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B23300" w14:paraId="2F61E292" w14:textId="77777777" w:rsidTr="00BF1190">
        <w:trPr>
          <w:trHeight w:val="1863"/>
        </w:trPr>
        <w:tc>
          <w:tcPr>
            <w:tcW w:w="3652" w:type="dxa"/>
            <w:tcBorders>
              <w:top w:val="nil"/>
              <w:left w:val="nil"/>
              <w:bottom w:val="nil"/>
              <w:right w:val="nil"/>
            </w:tcBorders>
          </w:tcPr>
          <w:p w14:paraId="3520336E" w14:textId="3AD94832" w:rsidR="008E7846" w:rsidRPr="00B23300" w:rsidRDefault="00B03A20" w:rsidP="00093E67">
            <w:pPr>
              <w:rPr>
                <w:rFonts w:ascii="Arial" w:hAnsi="Arial" w:cs="Arial"/>
                <w:b/>
                <w:color w:val="002C47"/>
                <w:sz w:val="36"/>
                <w:szCs w:val="36"/>
              </w:rPr>
            </w:pPr>
            <w:r>
              <w:rPr>
                <w:rFonts w:ascii="Arial" w:hAnsi="Arial" w:cs="Arial"/>
                <w:b/>
                <w:color w:val="002C47"/>
                <w:sz w:val="36"/>
                <w:szCs w:val="36"/>
              </w:rPr>
              <w:t>February 2021</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B23300" w14:paraId="32CF1C6A" w14:textId="77777777" w:rsidTr="0032583B">
        <w:trPr>
          <w:trHeight w:val="868"/>
        </w:trPr>
        <w:tc>
          <w:tcPr>
            <w:tcW w:w="9079" w:type="dxa"/>
          </w:tcPr>
          <w:p w14:paraId="593DCC2F" w14:textId="77777777" w:rsidR="0032583B" w:rsidRPr="00133FAA" w:rsidRDefault="0032583B" w:rsidP="00133FAA">
            <w:pPr>
              <w:pStyle w:val="Title"/>
              <w:framePr w:hSpace="0" w:wrap="auto" w:vAnchor="margin" w:yAlign="inline"/>
            </w:pPr>
            <w:r w:rsidRPr="00133FAA">
              <w:t xml:space="preserve">Australian Public Assessment Report for </w:t>
            </w:r>
            <w:proofErr w:type="spellStart"/>
            <w:r w:rsidR="00093E67" w:rsidRPr="00133FAA">
              <w:t>Etanercept</w:t>
            </w:r>
            <w:proofErr w:type="spellEnd"/>
          </w:p>
        </w:tc>
      </w:tr>
      <w:tr w:rsidR="0032583B" w:rsidRPr="00B23300" w14:paraId="6590D479" w14:textId="77777777" w:rsidTr="0032583B">
        <w:tc>
          <w:tcPr>
            <w:tcW w:w="9079" w:type="dxa"/>
          </w:tcPr>
          <w:p w14:paraId="4E81D337" w14:textId="5679A1D1" w:rsidR="0032583B" w:rsidRPr="00B23300" w:rsidRDefault="001B3586" w:rsidP="00133FAA">
            <w:pPr>
              <w:pStyle w:val="Subtitle"/>
              <w:framePr w:hSpace="0" w:wrap="auto" w:vAnchor="margin" w:yAlign="inline"/>
            </w:pPr>
            <w:r w:rsidRPr="00B23300">
              <w:t>Proprietary Product Name</w:t>
            </w:r>
            <w:r w:rsidR="00B03A20">
              <w:t>s</w:t>
            </w:r>
            <w:r w:rsidRPr="00B23300">
              <w:t xml:space="preserve">: </w:t>
            </w:r>
            <w:proofErr w:type="spellStart"/>
            <w:r w:rsidR="00BA1BDC">
              <w:t>Rymti</w:t>
            </w:r>
            <w:proofErr w:type="spellEnd"/>
            <w:r w:rsidR="00BA1BDC">
              <w:t>/</w:t>
            </w:r>
            <w:proofErr w:type="spellStart"/>
            <w:r w:rsidR="00093E67" w:rsidRPr="00B23300">
              <w:t>Etera</w:t>
            </w:r>
            <w:proofErr w:type="spellEnd"/>
          </w:p>
        </w:tc>
      </w:tr>
      <w:tr w:rsidR="0032583B" w:rsidRPr="00B23300" w14:paraId="6786F428" w14:textId="77777777" w:rsidTr="0032583B">
        <w:trPr>
          <w:trHeight w:val="486"/>
        </w:trPr>
        <w:tc>
          <w:tcPr>
            <w:tcW w:w="9079" w:type="dxa"/>
          </w:tcPr>
          <w:p w14:paraId="00340A97" w14:textId="082AC825" w:rsidR="0032583B" w:rsidRPr="00B23300" w:rsidRDefault="00460036" w:rsidP="00133FAA">
            <w:pPr>
              <w:pStyle w:val="Subtitle"/>
              <w:framePr w:hSpace="0" w:wrap="auto" w:vAnchor="margin" w:yAlign="inline"/>
            </w:pPr>
            <w:r w:rsidRPr="00B23300">
              <w:t xml:space="preserve">Sponsor: </w:t>
            </w:r>
            <w:r w:rsidR="00093E67" w:rsidRPr="00B23300">
              <w:t>Lupin Australia Pty Ltd</w:t>
            </w:r>
          </w:p>
        </w:tc>
      </w:tr>
    </w:tbl>
    <w:p w14:paraId="3F51904E" w14:textId="77777777" w:rsidR="008E7846" w:rsidRPr="00B23300" w:rsidRDefault="008E7846" w:rsidP="0085156D">
      <w:r w:rsidRPr="00B23300">
        <w:br w:type="page"/>
      </w:r>
    </w:p>
    <w:p w14:paraId="3719C62C" w14:textId="77777777" w:rsidR="008E7846" w:rsidRPr="00B23300" w:rsidRDefault="008E7846" w:rsidP="008E7846">
      <w:pPr>
        <w:pStyle w:val="NonTOCHeading2"/>
      </w:pPr>
      <w:r w:rsidRPr="00B23300">
        <w:lastRenderedPageBreak/>
        <w:t>About the Therapeutic Goods Administration (TGA)</w:t>
      </w:r>
    </w:p>
    <w:p w14:paraId="72D4448C" w14:textId="77777777" w:rsidR="008E7846" w:rsidRPr="00B23300" w:rsidRDefault="008E7846" w:rsidP="008E7846">
      <w:pPr>
        <w:pStyle w:val="ListBullet"/>
        <w:numPr>
          <w:ilvl w:val="0"/>
          <w:numId w:val="3"/>
        </w:numPr>
        <w:ind w:left="357" w:hanging="357"/>
      </w:pPr>
      <w:r w:rsidRPr="00B23300">
        <w:t xml:space="preserve">The Therapeutic Goods Administration (TGA) is </w:t>
      </w:r>
      <w:r w:rsidR="00E624A5" w:rsidRPr="00B23300">
        <w:t xml:space="preserve">part </w:t>
      </w:r>
      <w:r w:rsidRPr="00B23300">
        <w:t>of the Australian Government Department of Health and is responsible for regulating medicines and medical devices.</w:t>
      </w:r>
    </w:p>
    <w:p w14:paraId="5456A266" w14:textId="77777777" w:rsidR="008E7846" w:rsidRPr="00B23300" w:rsidRDefault="00C80137" w:rsidP="008E7846">
      <w:pPr>
        <w:pStyle w:val="ListBullet"/>
        <w:numPr>
          <w:ilvl w:val="0"/>
          <w:numId w:val="3"/>
        </w:numPr>
        <w:ind w:left="357" w:hanging="357"/>
      </w:pPr>
      <w:r w:rsidRPr="00B23300">
        <w:t xml:space="preserve">The </w:t>
      </w:r>
      <w:r w:rsidR="008E7846" w:rsidRPr="00B23300">
        <w:t xml:space="preserve">TGA administers the </w:t>
      </w:r>
      <w:r w:rsidR="008E7846" w:rsidRPr="00B23300">
        <w:rPr>
          <w:i/>
        </w:rPr>
        <w:t>Therapeutic Goods Act 1989</w:t>
      </w:r>
      <w:r w:rsidR="00785717" w:rsidRPr="00B23300">
        <w:rPr>
          <w:i/>
        </w:rPr>
        <w:t xml:space="preserve"> </w:t>
      </w:r>
      <w:r w:rsidR="00785717" w:rsidRPr="00B23300">
        <w:t>(the Act)</w:t>
      </w:r>
      <w:r w:rsidR="008E7846" w:rsidRPr="00B23300">
        <w:t>, applying a risk management approach designed to ensure therapeutic goods supplied in Australia meet acceptable standards of quality, safety and efficacy (performance) when necessary.</w:t>
      </w:r>
    </w:p>
    <w:p w14:paraId="1AA1007E" w14:textId="77777777" w:rsidR="008E7846" w:rsidRPr="00B23300" w:rsidRDefault="008E7846" w:rsidP="008E7846">
      <w:pPr>
        <w:pStyle w:val="ListBullet"/>
        <w:numPr>
          <w:ilvl w:val="0"/>
          <w:numId w:val="3"/>
        </w:numPr>
        <w:ind w:left="357" w:hanging="357"/>
      </w:pPr>
      <w:r w:rsidRPr="00B23300">
        <w:t xml:space="preserve">The work of the TGA </w:t>
      </w:r>
      <w:proofErr w:type="gramStart"/>
      <w:r w:rsidRPr="00B23300">
        <w:t>is based</w:t>
      </w:r>
      <w:proofErr w:type="gramEnd"/>
      <w:r w:rsidRPr="00B23300">
        <w:t xml:space="preserve"> on applying scientific and clinical expertise to decision-making, to ensure that the benefits to consumers outweigh any risks associated with the use of medicines and medical devices.</w:t>
      </w:r>
    </w:p>
    <w:p w14:paraId="2D9CA8A8" w14:textId="77777777" w:rsidR="008E7846" w:rsidRPr="00B23300" w:rsidRDefault="008E7846" w:rsidP="008E7846">
      <w:pPr>
        <w:pStyle w:val="ListBullet"/>
        <w:numPr>
          <w:ilvl w:val="0"/>
          <w:numId w:val="3"/>
        </w:numPr>
        <w:ind w:left="357" w:hanging="357"/>
      </w:pPr>
      <w:r w:rsidRPr="00B23300">
        <w:t>The TGA relies on the public, healthcare professionals and industry to report problems with medicines or medical devices. TGA investigates reports received by it to determine any necessary regulatory action.</w:t>
      </w:r>
    </w:p>
    <w:p w14:paraId="6DFF086D" w14:textId="77777777" w:rsidR="00441C3F" w:rsidRPr="00B23300" w:rsidRDefault="008E7846" w:rsidP="00441C3F">
      <w:pPr>
        <w:pStyle w:val="ListBullet"/>
        <w:numPr>
          <w:ilvl w:val="0"/>
          <w:numId w:val="3"/>
        </w:numPr>
        <w:ind w:left="357" w:hanging="357"/>
      </w:pPr>
      <w:r w:rsidRPr="00B23300">
        <w:t xml:space="preserve">To report a problem with a medicine or medical device, please see the information on </w:t>
      </w:r>
      <w:r w:rsidR="00441C3F" w:rsidRPr="00B23300">
        <w:t>the TGA website &lt;</w:t>
      </w:r>
      <w:hyperlink r:id="rId8" w:history="1">
        <w:r w:rsidR="00441C3F" w:rsidRPr="00B23300">
          <w:rPr>
            <w:rStyle w:val="Hyperlink"/>
          </w:rPr>
          <w:t>https://www.tga.gov.au</w:t>
        </w:r>
      </w:hyperlink>
      <w:r w:rsidR="00441C3F" w:rsidRPr="00B23300">
        <w:t>&gt;.</w:t>
      </w:r>
    </w:p>
    <w:p w14:paraId="6BF31DCE" w14:textId="77777777" w:rsidR="008E7846" w:rsidRPr="00B23300" w:rsidRDefault="008E7846" w:rsidP="00875A6B">
      <w:pPr>
        <w:pStyle w:val="NonTOCHeading2"/>
      </w:pPr>
      <w:r w:rsidRPr="00B23300">
        <w:t xml:space="preserve">About </w:t>
      </w:r>
      <w:proofErr w:type="spellStart"/>
      <w:r w:rsidRPr="00B23300">
        <w:t>AusPARs</w:t>
      </w:r>
      <w:proofErr w:type="spellEnd"/>
    </w:p>
    <w:p w14:paraId="68CB4A5D" w14:textId="77777777" w:rsidR="008E7846" w:rsidRPr="00B23300" w:rsidRDefault="008E7846" w:rsidP="008E7846">
      <w:pPr>
        <w:pStyle w:val="ListBullet"/>
        <w:numPr>
          <w:ilvl w:val="0"/>
          <w:numId w:val="3"/>
        </w:numPr>
        <w:ind w:left="357" w:hanging="357"/>
      </w:pPr>
      <w:r w:rsidRPr="00B23300">
        <w:t>An Australian Public Assessment Re</w:t>
      </w:r>
      <w:r w:rsidR="00133A1B" w:rsidRPr="00B23300">
        <w:t>port</w:t>
      </w:r>
      <w:r w:rsidRPr="00B23300">
        <w:t xml:space="preserve"> (</w:t>
      </w:r>
      <w:proofErr w:type="spellStart"/>
      <w:r w:rsidRPr="00B23300">
        <w:t>AusPAR</w:t>
      </w:r>
      <w:proofErr w:type="spellEnd"/>
      <w:r w:rsidRPr="00B23300">
        <w:t>) provides information about the evaluation of a prescription medicine and the considerations that led the TGA to approve or not approve a pr</w:t>
      </w:r>
      <w:r w:rsidR="00441C3F" w:rsidRPr="00B23300">
        <w:t>escription medicine submission.</w:t>
      </w:r>
    </w:p>
    <w:p w14:paraId="59F0CC97" w14:textId="77777777" w:rsidR="008E7846" w:rsidRPr="00B23300" w:rsidRDefault="008E7846" w:rsidP="008E7846">
      <w:pPr>
        <w:pStyle w:val="ListBullet"/>
        <w:numPr>
          <w:ilvl w:val="0"/>
          <w:numId w:val="3"/>
        </w:numPr>
        <w:ind w:left="357" w:hanging="357"/>
      </w:pPr>
      <w:proofErr w:type="spellStart"/>
      <w:r w:rsidRPr="00B23300">
        <w:t>AusPARs</w:t>
      </w:r>
      <w:proofErr w:type="spellEnd"/>
      <w:r w:rsidRPr="00B23300">
        <w:t xml:space="preserve"> </w:t>
      </w:r>
      <w:proofErr w:type="gramStart"/>
      <w:r w:rsidRPr="00B23300">
        <w:t>are prepared and published by the TGA</w:t>
      </w:r>
      <w:proofErr w:type="gramEnd"/>
      <w:r w:rsidRPr="00B23300">
        <w:t>.</w:t>
      </w:r>
    </w:p>
    <w:p w14:paraId="05E5B1E6" w14:textId="77777777" w:rsidR="008E7846" w:rsidRPr="00B23300" w:rsidRDefault="008E7846" w:rsidP="008E7846">
      <w:pPr>
        <w:pStyle w:val="ListBullet"/>
        <w:numPr>
          <w:ilvl w:val="0"/>
          <w:numId w:val="3"/>
        </w:numPr>
        <w:ind w:left="357" w:hanging="357"/>
      </w:pPr>
      <w:r w:rsidRPr="00B23300">
        <w:t xml:space="preserve">An </w:t>
      </w:r>
      <w:proofErr w:type="spellStart"/>
      <w:r w:rsidRPr="00B23300">
        <w:t>AusPAR</w:t>
      </w:r>
      <w:proofErr w:type="spellEnd"/>
      <w:r w:rsidRPr="00B23300">
        <w:t xml:space="preserve"> </w:t>
      </w:r>
      <w:proofErr w:type="gramStart"/>
      <w:r w:rsidRPr="00B23300">
        <w:t>is prepared</w:t>
      </w:r>
      <w:proofErr w:type="gramEnd"/>
      <w:r w:rsidRPr="00B23300">
        <w:t xml:space="preserve"> for submissions that relate to new chemical entities, generic medicines, major variations and extensions of indications.</w:t>
      </w:r>
    </w:p>
    <w:p w14:paraId="57E66D64" w14:textId="77777777" w:rsidR="008E7846" w:rsidRPr="00B23300" w:rsidRDefault="008E7846" w:rsidP="008E7846">
      <w:pPr>
        <w:pStyle w:val="ListBullet"/>
        <w:numPr>
          <w:ilvl w:val="0"/>
          <w:numId w:val="3"/>
        </w:numPr>
        <w:ind w:left="357" w:hanging="357"/>
      </w:pPr>
      <w:r w:rsidRPr="00B23300">
        <w:t xml:space="preserve">An </w:t>
      </w:r>
      <w:proofErr w:type="spellStart"/>
      <w:r w:rsidRPr="00B23300">
        <w:t>AusPAR</w:t>
      </w:r>
      <w:proofErr w:type="spellEnd"/>
      <w:r w:rsidRPr="00B23300">
        <w:t xml:space="preserve"> is a static document</w:t>
      </w:r>
      <w:r w:rsidR="00133A1B" w:rsidRPr="00B23300">
        <w:t>;</w:t>
      </w:r>
      <w:r w:rsidRPr="00B23300">
        <w:t xml:space="preserve"> it provide</w:t>
      </w:r>
      <w:r w:rsidR="00133A1B" w:rsidRPr="00B23300">
        <w:t>s</w:t>
      </w:r>
      <w:r w:rsidRPr="00B23300">
        <w:t xml:space="preserve"> information that relates to a submission at a particular point in time.</w:t>
      </w:r>
    </w:p>
    <w:p w14:paraId="3DFF6EF1" w14:textId="77777777" w:rsidR="00B452CE" w:rsidRPr="00B23300" w:rsidRDefault="008E7846" w:rsidP="00FF5755">
      <w:pPr>
        <w:pStyle w:val="ListBullet"/>
        <w:numPr>
          <w:ilvl w:val="0"/>
          <w:numId w:val="3"/>
        </w:numPr>
        <w:ind w:left="357" w:hanging="357"/>
      </w:pPr>
      <w:r w:rsidRPr="00B23300">
        <w:t xml:space="preserve">A new </w:t>
      </w:r>
      <w:proofErr w:type="spellStart"/>
      <w:r w:rsidRPr="00B23300">
        <w:t>AusPAR</w:t>
      </w:r>
      <w:proofErr w:type="spellEnd"/>
      <w:r w:rsidRPr="00B23300">
        <w:t xml:space="preserve"> </w:t>
      </w:r>
      <w:proofErr w:type="gramStart"/>
      <w:r w:rsidRPr="00B23300">
        <w:t>will be developed</w:t>
      </w:r>
      <w:proofErr w:type="gramEnd"/>
      <w:r w:rsidRPr="00B23300">
        <w:t xml:space="preserve"> to reflect changes to indications and/or major variations to a prescription medicine subject to evaluation by the TGA.</w:t>
      </w:r>
    </w:p>
    <w:p w14:paraId="0B4FF6AF" w14:textId="77777777" w:rsidR="00924482" w:rsidRPr="00B23300" w:rsidRDefault="00924482" w:rsidP="00F54B65">
      <w:pPr>
        <w:pStyle w:val="LegalSubheading"/>
        <w:spacing w:before="3120"/>
      </w:pPr>
      <w:r w:rsidRPr="00B23300">
        <w:t>Copyright</w:t>
      </w:r>
    </w:p>
    <w:p w14:paraId="15B756F7" w14:textId="5E0A2972" w:rsidR="00924482" w:rsidRPr="00B23300" w:rsidRDefault="00924482" w:rsidP="00924482">
      <w:pPr>
        <w:pStyle w:val="LegalCopy"/>
      </w:pPr>
      <w:r w:rsidRPr="00B23300">
        <w:rPr>
          <w:rFonts w:cs="Arial"/>
          <w:lang w:val="en-GB"/>
        </w:rPr>
        <w:t>© Commonwealth of Australia 20</w:t>
      </w:r>
      <w:r w:rsidR="00460036" w:rsidRPr="00B23300">
        <w:rPr>
          <w:rFonts w:cs="Arial"/>
          <w:lang w:val="en-GB"/>
        </w:rPr>
        <w:t>2</w:t>
      </w:r>
      <w:r w:rsidR="00127DB8">
        <w:rPr>
          <w:rFonts w:cs="Arial"/>
          <w:lang w:val="en-GB"/>
        </w:rPr>
        <w:t>1</w:t>
      </w:r>
      <w:r w:rsidRPr="00B23300">
        <w:rPr>
          <w:rFonts w:cs="Arial"/>
          <w:lang w:val="en-GB"/>
        </w:rPr>
        <w:br/>
      </w:r>
      <w:proofErr w:type="gramStart"/>
      <w:r w:rsidRPr="00B23300">
        <w:rPr>
          <w:rFonts w:cs="Arial"/>
          <w:lang w:val="en-GB"/>
        </w:rPr>
        <w:t>This</w:t>
      </w:r>
      <w:proofErr w:type="gramEnd"/>
      <w:r w:rsidRPr="00B23300">
        <w:rPr>
          <w:rFonts w:cs="Arial"/>
          <w:lang w:val="en-GB"/>
        </w:rPr>
        <w:t xml:space="preserve"> work is copyright. </w:t>
      </w:r>
      <w:proofErr w:type="gramStart"/>
      <w:r w:rsidRPr="00B23300">
        <w:rPr>
          <w:rFonts w:cs="Arial"/>
          <w:lang w:val="en-GB"/>
        </w:rPr>
        <w:t>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w:t>
      </w:r>
      <w:proofErr w:type="gramEnd"/>
      <w:r w:rsidRPr="00B23300">
        <w:rPr>
          <w:rFonts w:cs="Arial"/>
          <w:lang w:val="en-GB"/>
        </w:rPr>
        <w:t xml:space="preserve"> Apart from rights to use as permitted by the </w:t>
      </w:r>
      <w:r w:rsidRPr="00B23300">
        <w:rPr>
          <w:rFonts w:cs="Arial"/>
          <w:i/>
          <w:lang w:val="en-GB"/>
        </w:rPr>
        <w:t>Copyright Act 1968</w:t>
      </w:r>
      <w:r w:rsidRPr="00B23300">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w:t>
      </w:r>
      <w:proofErr w:type="gramStart"/>
      <w:r w:rsidRPr="00B23300">
        <w:rPr>
          <w:rFonts w:cs="Arial"/>
          <w:lang w:val="en-GB"/>
        </w:rPr>
        <w:t>sent</w:t>
      </w:r>
      <w:proofErr w:type="gramEnd"/>
      <w:r w:rsidRPr="00B23300">
        <w:rPr>
          <w:rFonts w:cs="Arial"/>
          <w:lang w:val="en-GB"/>
        </w:rPr>
        <w:t xml:space="preserve"> to the TGA Copyright Officer, Therapeutic Goods Administration, PO Box 100, </w:t>
      </w:r>
      <w:proofErr w:type="spellStart"/>
      <w:r w:rsidRPr="00B23300">
        <w:rPr>
          <w:rFonts w:cs="Arial"/>
          <w:lang w:val="en-GB"/>
        </w:rPr>
        <w:t>Woden</w:t>
      </w:r>
      <w:proofErr w:type="spellEnd"/>
      <w:r w:rsidRPr="00B23300">
        <w:rPr>
          <w:rFonts w:cs="Arial"/>
          <w:lang w:val="en-GB"/>
        </w:rPr>
        <w:t xml:space="preserve"> ACT 2606 or emailed to &lt;</w:t>
      </w:r>
      <w:hyperlink r:id="rId9" w:history="1">
        <w:r w:rsidRPr="00B23300">
          <w:rPr>
            <w:rStyle w:val="Hyperlink"/>
            <w:rFonts w:cs="Arial"/>
            <w:lang w:val="en-GB"/>
          </w:rPr>
          <w:t>tga.copyright@tga.gov.au</w:t>
        </w:r>
      </w:hyperlink>
      <w:r w:rsidRPr="00B23300">
        <w:rPr>
          <w:rFonts w:cs="Arial"/>
        </w:rPr>
        <w:t>&gt;.</w:t>
      </w:r>
    </w:p>
    <w:p w14:paraId="35900ED5" w14:textId="77777777" w:rsidR="00924482" w:rsidRPr="00B23300" w:rsidRDefault="00924482" w:rsidP="00924482">
      <w:pPr>
        <w:pStyle w:val="LegalCopy"/>
        <w:sectPr w:rsidR="00924482" w:rsidRPr="00B23300" w:rsidSect="003D1E62">
          <w:headerReference w:type="default" r:id="rId10"/>
          <w:footerReference w:type="default" r:id="rId11"/>
          <w:headerReference w:type="first" r:id="rId12"/>
          <w:pgSz w:w="11906" w:h="16838" w:code="9"/>
          <w:pgMar w:top="426" w:right="1701" w:bottom="0" w:left="1701" w:header="907" w:footer="142" w:gutter="0"/>
          <w:pgNumType w:fmt="lowerRoman" w:start="1"/>
          <w:cols w:space="708"/>
          <w:titlePg/>
          <w:docGrid w:linePitch="360"/>
        </w:sectPr>
      </w:pPr>
    </w:p>
    <w:bookmarkStart w:id="0" w:name="_Toc247691501" w:displacedByCustomXml="next"/>
    <w:bookmarkStart w:id="1"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14:paraId="7295D7B2" w14:textId="77777777" w:rsidR="0089635C" w:rsidRPr="00B23300" w:rsidRDefault="0089635C" w:rsidP="0010788A">
          <w:pPr>
            <w:pStyle w:val="Contents"/>
          </w:pPr>
          <w:r w:rsidRPr="00B23300">
            <w:t>Contents</w:t>
          </w:r>
        </w:p>
        <w:bookmarkStart w:id="2" w:name="_GoBack"/>
        <w:bookmarkEnd w:id="2"/>
        <w:p w14:paraId="28341485" w14:textId="376E5E9C" w:rsidR="00DA266F" w:rsidRDefault="00C525A2">
          <w:pPr>
            <w:pStyle w:val="TOC1"/>
            <w:rPr>
              <w:rFonts w:asciiTheme="minorHAnsi" w:eastAsiaTheme="minorEastAsia" w:hAnsiTheme="minorHAnsi" w:cstheme="minorBidi"/>
              <w:b w:val="0"/>
              <w:noProof/>
              <w:sz w:val="22"/>
              <w:lang w:eastAsia="en-AU"/>
            </w:rPr>
          </w:pPr>
          <w:r w:rsidRPr="00B23300">
            <w:fldChar w:fldCharType="begin"/>
          </w:r>
          <w:r w:rsidRPr="00B23300">
            <w:instrText xml:space="preserve"> TOC \h \z \t "Heading 2,1,Heading 3,2" </w:instrText>
          </w:r>
          <w:r w:rsidRPr="00B23300">
            <w:fldChar w:fldCharType="separate"/>
          </w:r>
          <w:hyperlink w:anchor="_Toc66284483" w:history="1">
            <w:r w:rsidR="00DA266F" w:rsidRPr="00D56DC4">
              <w:rPr>
                <w:rStyle w:val="Hyperlink"/>
                <w:noProof/>
              </w:rPr>
              <w:t>Common abbreviations</w:t>
            </w:r>
            <w:r w:rsidR="00DA266F">
              <w:rPr>
                <w:noProof/>
                <w:webHidden/>
              </w:rPr>
              <w:tab/>
            </w:r>
            <w:r w:rsidR="00DA266F">
              <w:rPr>
                <w:noProof/>
                <w:webHidden/>
              </w:rPr>
              <w:fldChar w:fldCharType="begin"/>
            </w:r>
            <w:r w:rsidR="00DA266F">
              <w:rPr>
                <w:noProof/>
                <w:webHidden/>
              </w:rPr>
              <w:instrText xml:space="preserve"> PAGEREF _Toc66284483 \h </w:instrText>
            </w:r>
            <w:r w:rsidR="00DA266F">
              <w:rPr>
                <w:noProof/>
                <w:webHidden/>
              </w:rPr>
            </w:r>
            <w:r w:rsidR="00DA266F">
              <w:rPr>
                <w:noProof/>
                <w:webHidden/>
              </w:rPr>
              <w:fldChar w:fldCharType="separate"/>
            </w:r>
            <w:r w:rsidR="00DA266F">
              <w:rPr>
                <w:noProof/>
                <w:webHidden/>
              </w:rPr>
              <w:t>4</w:t>
            </w:r>
            <w:r w:rsidR="00DA266F">
              <w:rPr>
                <w:noProof/>
                <w:webHidden/>
              </w:rPr>
              <w:fldChar w:fldCharType="end"/>
            </w:r>
          </w:hyperlink>
        </w:p>
        <w:p w14:paraId="7103F2E7" w14:textId="794426A8" w:rsidR="00DA266F" w:rsidRDefault="00DA266F">
          <w:pPr>
            <w:pStyle w:val="TOC2"/>
            <w:rPr>
              <w:rFonts w:asciiTheme="minorHAnsi" w:eastAsiaTheme="minorEastAsia" w:hAnsiTheme="minorHAnsi" w:cstheme="minorBidi"/>
              <w:b w:val="0"/>
              <w:noProof/>
              <w:sz w:val="22"/>
              <w:lang w:eastAsia="en-AU"/>
            </w:rPr>
          </w:pPr>
          <w:hyperlink w:anchor="_Toc66284484" w:history="1">
            <w:r w:rsidRPr="00D56DC4">
              <w:rPr>
                <w:rStyle w:val="Hyperlink"/>
                <w:noProof/>
                <w:lang w:eastAsia="en-AU"/>
              </w:rPr>
              <w:t>Submission details</w:t>
            </w:r>
            <w:r>
              <w:rPr>
                <w:noProof/>
                <w:webHidden/>
              </w:rPr>
              <w:tab/>
            </w:r>
            <w:r>
              <w:rPr>
                <w:noProof/>
                <w:webHidden/>
              </w:rPr>
              <w:fldChar w:fldCharType="begin"/>
            </w:r>
            <w:r>
              <w:rPr>
                <w:noProof/>
                <w:webHidden/>
              </w:rPr>
              <w:instrText xml:space="preserve"> PAGEREF _Toc66284484 \h </w:instrText>
            </w:r>
            <w:r>
              <w:rPr>
                <w:noProof/>
                <w:webHidden/>
              </w:rPr>
            </w:r>
            <w:r>
              <w:rPr>
                <w:noProof/>
                <w:webHidden/>
              </w:rPr>
              <w:fldChar w:fldCharType="separate"/>
            </w:r>
            <w:r>
              <w:rPr>
                <w:noProof/>
                <w:webHidden/>
              </w:rPr>
              <w:t>8</w:t>
            </w:r>
            <w:r>
              <w:rPr>
                <w:noProof/>
                <w:webHidden/>
              </w:rPr>
              <w:fldChar w:fldCharType="end"/>
            </w:r>
          </w:hyperlink>
        </w:p>
        <w:p w14:paraId="3F8A77C9" w14:textId="03C777D3" w:rsidR="00DA266F" w:rsidRDefault="00DA266F">
          <w:pPr>
            <w:pStyle w:val="TOC2"/>
            <w:rPr>
              <w:rFonts w:asciiTheme="minorHAnsi" w:eastAsiaTheme="minorEastAsia" w:hAnsiTheme="minorHAnsi" w:cstheme="minorBidi"/>
              <w:b w:val="0"/>
              <w:noProof/>
              <w:sz w:val="22"/>
              <w:lang w:eastAsia="en-AU"/>
            </w:rPr>
          </w:pPr>
          <w:hyperlink w:anchor="_Toc66284485" w:history="1">
            <w:r w:rsidRPr="00D56DC4">
              <w:rPr>
                <w:rStyle w:val="Hyperlink"/>
                <w:noProof/>
              </w:rPr>
              <w:t>Product background</w:t>
            </w:r>
            <w:r>
              <w:rPr>
                <w:noProof/>
                <w:webHidden/>
              </w:rPr>
              <w:tab/>
            </w:r>
            <w:r>
              <w:rPr>
                <w:noProof/>
                <w:webHidden/>
              </w:rPr>
              <w:fldChar w:fldCharType="begin"/>
            </w:r>
            <w:r>
              <w:rPr>
                <w:noProof/>
                <w:webHidden/>
              </w:rPr>
              <w:instrText xml:space="preserve"> PAGEREF _Toc66284485 \h </w:instrText>
            </w:r>
            <w:r>
              <w:rPr>
                <w:noProof/>
                <w:webHidden/>
              </w:rPr>
            </w:r>
            <w:r>
              <w:rPr>
                <w:noProof/>
                <w:webHidden/>
              </w:rPr>
              <w:fldChar w:fldCharType="separate"/>
            </w:r>
            <w:r>
              <w:rPr>
                <w:noProof/>
                <w:webHidden/>
              </w:rPr>
              <w:t>11</w:t>
            </w:r>
            <w:r>
              <w:rPr>
                <w:noProof/>
                <w:webHidden/>
              </w:rPr>
              <w:fldChar w:fldCharType="end"/>
            </w:r>
          </w:hyperlink>
        </w:p>
        <w:p w14:paraId="3E223B34" w14:textId="0F6AB836" w:rsidR="00DA266F" w:rsidRDefault="00DA266F">
          <w:pPr>
            <w:pStyle w:val="TOC2"/>
            <w:rPr>
              <w:rFonts w:asciiTheme="minorHAnsi" w:eastAsiaTheme="minorEastAsia" w:hAnsiTheme="minorHAnsi" w:cstheme="minorBidi"/>
              <w:b w:val="0"/>
              <w:noProof/>
              <w:sz w:val="22"/>
              <w:lang w:eastAsia="en-AU"/>
            </w:rPr>
          </w:pPr>
          <w:hyperlink w:anchor="_Toc66284486" w:history="1">
            <w:r w:rsidRPr="00D56DC4">
              <w:rPr>
                <w:rStyle w:val="Hyperlink"/>
                <w:noProof/>
              </w:rPr>
              <w:t>Regulatory status</w:t>
            </w:r>
            <w:r>
              <w:rPr>
                <w:noProof/>
                <w:webHidden/>
              </w:rPr>
              <w:tab/>
            </w:r>
            <w:r>
              <w:rPr>
                <w:noProof/>
                <w:webHidden/>
              </w:rPr>
              <w:fldChar w:fldCharType="begin"/>
            </w:r>
            <w:r>
              <w:rPr>
                <w:noProof/>
                <w:webHidden/>
              </w:rPr>
              <w:instrText xml:space="preserve"> PAGEREF _Toc66284486 \h </w:instrText>
            </w:r>
            <w:r>
              <w:rPr>
                <w:noProof/>
                <w:webHidden/>
              </w:rPr>
            </w:r>
            <w:r>
              <w:rPr>
                <w:noProof/>
                <w:webHidden/>
              </w:rPr>
              <w:fldChar w:fldCharType="separate"/>
            </w:r>
            <w:r>
              <w:rPr>
                <w:noProof/>
                <w:webHidden/>
              </w:rPr>
              <w:t>13</w:t>
            </w:r>
            <w:r>
              <w:rPr>
                <w:noProof/>
                <w:webHidden/>
              </w:rPr>
              <w:fldChar w:fldCharType="end"/>
            </w:r>
          </w:hyperlink>
        </w:p>
        <w:p w14:paraId="424603EC" w14:textId="33A20A0E" w:rsidR="00DA266F" w:rsidRDefault="00DA266F">
          <w:pPr>
            <w:pStyle w:val="TOC2"/>
            <w:rPr>
              <w:rFonts w:asciiTheme="minorHAnsi" w:eastAsiaTheme="minorEastAsia" w:hAnsiTheme="minorHAnsi" w:cstheme="minorBidi"/>
              <w:b w:val="0"/>
              <w:noProof/>
              <w:sz w:val="22"/>
              <w:lang w:eastAsia="en-AU"/>
            </w:rPr>
          </w:pPr>
          <w:hyperlink w:anchor="_Toc66284487" w:history="1">
            <w:r w:rsidRPr="00D56DC4">
              <w:rPr>
                <w:rStyle w:val="Hyperlink"/>
                <w:noProof/>
              </w:rPr>
              <w:t>Product Information</w:t>
            </w:r>
            <w:r>
              <w:rPr>
                <w:noProof/>
                <w:webHidden/>
              </w:rPr>
              <w:tab/>
            </w:r>
            <w:r>
              <w:rPr>
                <w:noProof/>
                <w:webHidden/>
              </w:rPr>
              <w:fldChar w:fldCharType="begin"/>
            </w:r>
            <w:r>
              <w:rPr>
                <w:noProof/>
                <w:webHidden/>
              </w:rPr>
              <w:instrText xml:space="preserve"> PAGEREF _Toc66284487 \h </w:instrText>
            </w:r>
            <w:r>
              <w:rPr>
                <w:noProof/>
                <w:webHidden/>
              </w:rPr>
            </w:r>
            <w:r>
              <w:rPr>
                <w:noProof/>
                <w:webHidden/>
              </w:rPr>
              <w:fldChar w:fldCharType="separate"/>
            </w:r>
            <w:r>
              <w:rPr>
                <w:noProof/>
                <w:webHidden/>
              </w:rPr>
              <w:t>14</w:t>
            </w:r>
            <w:r>
              <w:rPr>
                <w:noProof/>
                <w:webHidden/>
              </w:rPr>
              <w:fldChar w:fldCharType="end"/>
            </w:r>
          </w:hyperlink>
        </w:p>
        <w:p w14:paraId="131139E5" w14:textId="4A372D7C" w:rsidR="00DA266F" w:rsidRDefault="00DA266F">
          <w:pPr>
            <w:pStyle w:val="TOC1"/>
            <w:rPr>
              <w:rFonts w:asciiTheme="minorHAnsi" w:eastAsiaTheme="minorEastAsia" w:hAnsiTheme="minorHAnsi" w:cstheme="minorBidi"/>
              <w:b w:val="0"/>
              <w:noProof/>
              <w:sz w:val="22"/>
              <w:lang w:eastAsia="en-AU"/>
            </w:rPr>
          </w:pPr>
          <w:hyperlink w:anchor="_Toc66284488" w:history="1">
            <w:r w:rsidRPr="00D56DC4">
              <w:rPr>
                <w:rStyle w:val="Hyperlink"/>
                <w:noProof/>
              </w:rPr>
              <w:t>II. Registration timeline</w:t>
            </w:r>
            <w:r>
              <w:rPr>
                <w:noProof/>
                <w:webHidden/>
              </w:rPr>
              <w:tab/>
            </w:r>
            <w:r>
              <w:rPr>
                <w:noProof/>
                <w:webHidden/>
              </w:rPr>
              <w:fldChar w:fldCharType="begin"/>
            </w:r>
            <w:r>
              <w:rPr>
                <w:noProof/>
                <w:webHidden/>
              </w:rPr>
              <w:instrText xml:space="preserve"> PAGEREF _Toc66284488 \h </w:instrText>
            </w:r>
            <w:r>
              <w:rPr>
                <w:noProof/>
                <w:webHidden/>
              </w:rPr>
            </w:r>
            <w:r>
              <w:rPr>
                <w:noProof/>
                <w:webHidden/>
              </w:rPr>
              <w:fldChar w:fldCharType="separate"/>
            </w:r>
            <w:r>
              <w:rPr>
                <w:noProof/>
                <w:webHidden/>
              </w:rPr>
              <w:t>14</w:t>
            </w:r>
            <w:r>
              <w:rPr>
                <w:noProof/>
                <w:webHidden/>
              </w:rPr>
              <w:fldChar w:fldCharType="end"/>
            </w:r>
          </w:hyperlink>
        </w:p>
        <w:p w14:paraId="16E6D2C5" w14:textId="333A0F7E" w:rsidR="00DA266F" w:rsidRDefault="00DA266F">
          <w:pPr>
            <w:pStyle w:val="TOC1"/>
            <w:rPr>
              <w:rFonts w:asciiTheme="minorHAnsi" w:eastAsiaTheme="minorEastAsia" w:hAnsiTheme="minorHAnsi" w:cstheme="minorBidi"/>
              <w:b w:val="0"/>
              <w:noProof/>
              <w:sz w:val="22"/>
              <w:lang w:eastAsia="en-AU"/>
            </w:rPr>
          </w:pPr>
          <w:hyperlink w:anchor="_Toc66284489" w:history="1">
            <w:r w:rsidRPr="00D56DC4">
              <w:rPr>
                <w:rStyle w:val="Hyperlink"/>
                <w:noProof/>
              </w:rPr>
              <w:t>III. Submission overview and risk/benefit assessment</w:t>
            </w:r>
            <w:r>
              <w:rPr>
                <w:noProof/>
                <w:webHidden/>
              </w:rPr>
              <w:tab/>
            </w:r>
            <w:r>
              <w:rPr>
                <w:noProof/>
                <w:webHidden/>
              </w:rPr>
              <w:fldChar w:fldCharType="begin"/>
            </w:r>
            <w:r>
              <w:rPr>
                <w:noProof/>
                <w:webHidden/>
              </w:rPr>
              <w:instrText xml:space="preserve"> PAGEREF _Toc66284489 \h </w:instrText>
            </w:r>
            <w:r>
              <w:rPr>
                <w:noProof/>
                <w:webHidden/>
              </w:rPr>
            </w:r>
            <w:r>
              <w:rPr>
                <w:noProof/>
                <w:webHidden/>
              </w:rPr>
              <w:fldChar w:fldCharType="separate"/>
            </w:r>
            <w:r>
              <w:rPr>
                <w:noProof/>
                <w:webHidden/>
              </w:rPr>
              <w:t>15</w:t>
            </w:r>
            <w:r>
              <w:rPr>
                <w:noProof/>
                <w:webHidden/>
              </w:rPr>
              <w:fldChar w:fldCharType="end"/>
            </w:r>
          </w:hyperlink>
        </w:p>
        <w:p w14:paraId="30309B78" w14:textId="7194B486" w:rsidR="00DA266F" w:rsidRDefault="00DA266F">
          <w:pPr>
            <w:pStyle w:val="TOC2"/>
            <w:rPr>
              <w:rFonts w:asciiTheme="minorHAnsi" w:eastAsiaTheme="minorEastAsia" w:hAnsiTheme="minorHAnsi" w:cstheme="minorBidi"/>
              <w:b w:val="0"/>
              <w:noProof/>
              <w:sz w:val="22"/>
              <w:lang w:eastAsia="en-AU"/>
            </w:rPr>
          </w:pPr>
          <w:hyperlink w:anchor="_Toc66284490" w:history="1">
            <w:r w:rsidRPr="00D56DC4">
              <w:rPr>
                <w:rStyle w:val="Hyperlink"/>
                <w:noProof/>
              </w:rPr>
              <w:t>Quality</w:t>
            </w:r>
            <w:r>
              <w:rPr>
                <w:noProof/>
                <w:webHidden/>
              </w:rPr>
              <w:tab/>
            </w:r>
            <w:r>
              <w:rPr>
                <w:noProof/>
                <w:webHidden/>
              </w:rPr>
              <w:fldChar w:fldCharType="begin"/>
            </w:r>
            <w:r>
              <w:rPr>
                <w:noProof/>
                <w:webHidden/>
              </w:rPr>
              <w:instrText xml:space="preserve"> PAGEREF _Toc66284490 \h </w:instrText>
            </w:r>
            <w:r>
              <w:rPr>
                <w:noProof/>
                <w:webHidden/>
              </w:rPr>
            </w:r>
            <w:r>
              <w:rPr>
                <w:noProof/>
                <w:webHidden/>
              </w:rPr>
              <w:fldChar w:fldCharType="separate"/>
            </w:r>
            <w:r>
              <w:rPr>
                <w:noProof/>
                <w:webHidden/>
              </w:rPr>
              <w:t>16</w:t>
            </w:r>
            <w:r>
              <w:rPr>
                <w:noProof/>
                <w:webHidden/>
              </w:rPr>
              <w:fldChar w:fldCharType="end"/>
            </w:r>
          </w:hyperlink>
        </w:p>
        <w:p w14:paraId="53C92482" w14:textId="20CAB38B" w:rsidR="00DA266F" w:rsidRDefault="00DA266F">
          <w:pPr>
            <w:pStyle w:val="TOC2"/>
            <w:rPr>
              <w:rFonts w:asciiTheme="minorHAnsi" w:eastAsiaTheme="minorEastAsia" w:hAnsiTheme="minorHAnsi" w:cstheme="minorBidi"/>
              <w:b w:val="0"/>
              <w:noProof/>
              <w:sz w:val="22"/>
              <w:lang w:eastAsia="en-AU"/>
            </w:rPr>
          </w:pPr>
          <w:hyperlink w:anchor="_Toc66284491" w:history="1">
            <w:r w:rsidRPr="00D56DC4">
              <w:rPr>
                <w:rStyle w:val="Hyperlink"/>
                <w:noProof/>
              </w:rPr>
              <w:t>Nonclinical</w:t>
            </w:r>
            <w:r>
              <w:rPr>
                <w:noProof/>
                <w:webHidden/>
              </w:rPr>
              <w:tab/>
            </w:r>
            <w:r>
              <w:rPr>
                <w:noProof/>
                <w:webHidden/>
              </w:rPr>
              <w:fldChar w:fldCharType="begin"/>
            </w:r>
            <w:r>
              <w:rPr>
                <w:noProof/>
                <w:webHidden/>
              </w:rPr>
              <w:instrText xml:space="preserve"> PAGEREF _Toc66284491 \h </w:instrText>
            </w:r>
            <w:r>
              <w:rPr>
                <w:noProof/>
                <w:webHidden/>
              </w:rPr>
            </w:r>
            <w:r>
              <w:rPr>
                <w:noProof/>
                <w:webHidden/>
              </w:rPr>
              <w:fldChar w:fldCharType="separate"/>
            </w:r>
            <w:r>
              <w:rPr>
                <w:noProof/>
                <w:webHidden/>
              </w:rPr>
              <w:t>16</w:t>
            </w:r>
            <w:r>
              <w:rPr>
                <w:noProof/>
                <w:webHidden/>
              </w:rPr>
              <w:fldChar w:fldCharType="end"/>
            </w:r>
          </w:hyperlink>
        </w:p>
        <w:p w14:paraId="668A67DD" w14:textId="671E856E" w:rsidR="00DA266F" w:rsidRDefault="00DA266F">
          <w:pPr>
            <w:pStyle w:val="TOC2"/>
            <w:rPr>
              <w:rFonts w:asciiTheme="minorHAnsi" w:eastAsiaTheme="minorEastAsia" w:hAnsiTheme="minorHAnsi" w:cstheme="minorBidi"/>
              <w:b w:val="0"/>
              <w:noProof/>
              <w:sz w:val="22"/>
              <w:lang w:eastAsia="en-AU"/>
            </w:rPr>
          </w:pPr>
          <w:hyperlink w:anchor="_Toc66284492" w:history="1">
            <w:r w:rsidRPr="00D56DC4">
              <w:rPr>
                <w:rStyle w:val="Hyperlink"/>
                <w:noProof/>
              </w:rPr>
              <w:t>Clinical</w:t>
            </w:r>
            <w:r>
              <w:rPr>
                <w:noProof/>
                <w:webHidden/>
              </w:rPr>
              <w:tab/>
            </w:r>
            <w:r>
              <w:rPr>
                <w:noProof/>
                <w:webHidden/>
              </w:rPr>
              <w:fldChar w:fldCharType="begin"/>
            </w:r>
            <w:r>
              <w:rPr>
                <w:noProof/>
                <w:webHidden/>
              </w:rPr>
              <w:instrText xml:space="preserve"> PAGEREF _Toc66284492 \h </w:instrText>
            </w:r>
            <w:r>
              <w:rPr>
                <w:noProof/>
                <w:webHidden/>
              </w:rPr>
            </w:r>
            <w:r>
              <w:rPr>
                <w:noProof/>
                <w:webHidden/>
              </w:rPr>
              <w:fldChar w:fldCharType="separate"/>
            </w:r>
            <w:r>
              <w:rPr>
                <w:noProof/>
                <w:webHidden/>
              </w:rPr>
              <w:t>17</w:t>
            </w:r>
            <w:r>
              <w:rPr>
                <w:noProof/>
                <w:webHidden/>
              </w:rPr>
              <w:fldChar w:fldCharType="end"/>
            </w:r>
          </w:hyperlink>
        </w:p>
        <w:p w14:paraId="66BF84EA" w14:textId="0EA65DF4" w:rsidR="00DA266F" w:rsidRDefault="00DA266F">
          <w:pPr>
            <w:pStyle w:val="TOC2"/>
            <w:rPr>
              <w:rFonts w:asciiTheme="minorHAnsi" w:eastAsiaTheme="minorEastAsia" w:hAnsiTheme="minorHAnsi" w:cstheme="minorBidi"/>
              <w:b w:val="0"/>
              <w:noProof/>
              <w:sz w:val="22"/>
              <w:lang w:eastAsia="en-AU"/>
            </w:rPr>
          </w:pPr>
          <w:hyperlink w:anchor="_Toc66284493" w:history="1">
            <w:r w:rsidRPr="00D56DC4">
              <w:rPr>
                <w:rStyle w:val="Hyperlink"/>
                <w:noProof/>
                <w:lang w:eastAsia="en-AU"/>
              </w:rPr>
              <w:t>Risk management plan</w:t>
            </w:r>
            <w:r>
              <w:rPr>
                <w:noProof/>
                <w:webHidden/>
              </w:rPr>
              <w:tab/>
            </w:r>
            <w:r>
              <w:rPr>
                <w:noProof/>
                <w:webHidden/>
              </w:rPr>
              <w:fldChar w:fldCharType="begin"/>
            </w:r>
            <w:r>
              <w:rPr>
                <w:noProof/>
                <w:webHidden/>
              </w:rPr>
              <w:instrText xml:space="preserve"> PAGEREF _Toc66284493 \h </w:instrText>
            </w:r>
            <w:r>
              <w:rPr>
                <w:noProof/>
                <w:webHidden/>
              </w:rPr>
            </w:r>
            <w:r>
              <w:rPr>
                <w:noProof/>
                <w:webHidden/>
              </w:rPr>
              <w:fldChar w:fldCharType="separate"/>
            </w:r>
            <w:r>
              <w:rPr>
                <w:noProof/>
                <w:webHidden/>
              </w:rPr>
              <w:t>30</w:t>
            </w:r>
            <w:r>
              <w:rPr>
                <w:noProof/>
                <w:webHidden/>
              </w:rPr>
              <w:fldChar w:fldCharType="end"/>
            </w:r>
          </w:hyperlink>
        </w:p>
        <w:p w14:paraId="5C5AF9F8" w14:textId="0051A0DA" w:rsidR="00DA266F" w:rsidRDefault="00DA266F">
          <w:pPr>
            <w:pStyle w:val="TOC2"/>
            <w:rPr>
              <w:rFonts w:asciiTheme="minorHAnsi" w:eastAsiaTheme="minorEastAsia" w:hAnsiTheme="minorHAnsi" w:cstheme="minorBidi"/>
              <w:b w:val="0"/>
              <w:noProof/>
              <w:sz w:val="22"/>
              <w:lang w:eastAsia="en-AU"/>
            </w:rPr>
          </w:pPr>
          <w:hyperlink w:anchor="_Toc66284494" w:history="1">
            <w:r w:rsidRPr="00D56DC4">
              <w:rPr>
                <w:rStyle w:val="Hyperlink"/>
                <w:noProof/>
              </w:rPr>
              <w:t>Risk-benefit analysis</w:t>
            </w:r>
            <w:r>
              <w:rPr>
                <w:noProof/>
                <w:webHidden/>
              </w:rPr>
              <w:tab/>
            </w:r>
            <w:r>
              <w:rPr>
                <w:noProof/>
                <w:webHidden/>
              </w:rPr>
              <w:fldChar w:fldCharType="begin"/>
            </w:r>
            <w:r>
              <w:rPr>
                <w:noProof/>
                <w:webHidden/>
              </w:rPr>
              <w:instrText xml:space="preserve"> PAGEREF _Toc66284494 \h </w:instrText>
            </w:r>
            <w:r>
              <w:rPr>
                <w:noProof/>
                <w:webHidden/>
              </w:rPr>
            </w:r>
            <w:r>
              <w:rPr>
                <w:noProof/>
                <w:webHidden/>
              </w:rPr>
              <w:fldChar w:fldCharType="separate"/>
            </w:r>
            <w:r>
              <w:rPr>
                <w:noProof/>
                <w:webHidden/>
              </w:rPr>
              <w:t>32</w:t>
            </w:r>
            <w:r>
              <w:rPr>
                <w:noProof/>
                <w:webHidden/>
              </w:rPr>
              <w:fldChar w:fldCharType="end"/>
            </w:r>
          </w:hyperlink>
        </w:p>
        <w:p w14:paraId="29348DB1" w14:textId="1BA988B1" w:rsidR="00DA266F" w:rsidRDefault="00DA266F">
          <w:pPr>
            <w:pStyle w:val="TOC2"/>
            <w:rPr>
              <w:rFonts w:asciiTheme="minorHAnsi" w:eastAsiaTheme="minorEastAsia" w:hAnsiTheme="minorHAnsi" w:cstheme="minorBidi"/>
              <w:b w:val="0"/>
              <w:noProof/>
              <w:sz w:val="22"/>
              <w:lang w:eastAsia="en-AU"/>
            </w:rPr>
          </w:pPr>
          <w:hyperlink w:anchor="_Toc66284495" w:history="1">
            <w:r w:rsidRPr="00D56DC4">
              <w:rPr>
                <w:rStyle w:val="Hyperlink"/>
                <w:noProof/>
              </w:rPr>
              <w:t>Outcome</w:t>
            </w:r>
            <w:r>
              <w:rPr>
                <w:noProof/>
                <w:webHidden/>
              </w:rPr>
              <w:tab/>
            </w:r>
            <w:r>
              <w:rPr>
                <w:noProof/>
                <w:webHidden/>
              </w:rPr>
              <w:fldChar w:fldCharType="begin"/>
            </w:r>
            <w:r>
              <w:rPr>
                <w:noProof/>
                <w:webHidden/>
              </w:rPr>
              <w:instrText xml:space="preserve"> PAGEREF _Toc66284495 \h </w:instrText>
            </w:r>
            <w:r>
              <w:rPr>
                <w:noProof/>
                <w:webHidden/>
              </w:rPr>
            </w:r>
            <w:r>
              <w:rPr>
                <w:noProof/>
                <w:webHidden/>
              </w:rPr>
              <w:fldChar w:fldCharType="separate"/>
            </w:r>
            <w:r>
              <w:rPr>
                <w:noProof/>
                <w:webHidden/>
              </w:rPr>
              <w:t>38</w:t>
            </w:r>
            <w:r>
              <w:rPr>
                <w:noProof/>
                <w:webHidden/>
              </w:rPr>
              <w:fldChar w:fldCharType="end"/>
            </w:r>
          </w:hyperlink>
        </w:p>
        <w:p w14:paraId="602C76AC" w14:textId="2771FDCA" w:rsidR="00DA266F" w:rsidRDefault="00DA266F">
          <w:pPr>
            <w:pStyle w:val="TOC1"/>
            <w:rPr>
              <w:rFonts w:asciiTheme="minorHAnsi" w:eastAsiaTheme="minorEastAsia" w:hAnsiTheme="minorHAnsi" w:cstheme="minorBidi"/>
              <w:b w:val="0"/>
              <w:noProof/>
              <w:sz w:val="22"/>
              <w:lang w:eastAsia="en-AU"/>
            </w:rPr>
          </w:pPr>
          <w:hyperlink w:anchor="_Toc66284496" w:history="1">
            <w:r w:rsidRPr="00D56DC4">
              <w:rPr>
                <w:rStyle w:val="Hyperlink"/>
                <w:noProof/>
              </w:rPr>
              <w:t>Attachment 1. Product Information</w:t>
            </w:r>
            <w:r>
              <w:rPr>
                <w:noProof/>
                <w:webHidden/>
              </w:rPr>
              <w:tab/>
            </w:r>
            <w:r>
              <w:rPr>
                <w:noProof/>
                <w:webHidden/>
              </w:rPr>
              <w:fldChar w:fldCharType="begin"/>
            </w:r>
            <w:r>
              <w:rPr>
                <w:noProof/>
                <w:webHidden/>
              </w:rPr>
              <w:instrText xml:space="preserve"> PAGEREF _Toc66284496 \h </w:instrText>
            </w:r>
            <w:r>
              <w:rPr>
                <w:noProof/>
                <w:webHidden/>
              </w:rPr>
            </w:r>
            <w:r>
              <w:rPr>
                <w:noProof/>
                <w:webHidden/>
              </w:rPr>
              <w:fldChar w:fldCharType="separate"/>
            </w:r>
            <w:r>
              <w:rPr>
                <w:noProof/>
                <w:webHidden/>
              </w:rPr>
              <w:t>40</w:t>
            </w:r>
            <w:r>
              <w:rPr>
                <w:noProof/>
                <w:webHidden/>
              </w:rPr>
              <w:fldChar w:fldCharType="end"/>
            </w:r>
          </w:hyperlink>
        </w:p>
        <w:p w14:paraId="01340B24" w14:textId="1FC6C9AF" w:rsidR="003A7F6C" w:rsidRPr="00B23300" w:rsidRDefault="00C525A2" w:rsidP="00CB7FA2">
          <w:pPr>
            <w:pStyle w:val="TOC2"/>
            <w:ind w:left="0"/>
          </w:pPr>
          <w:r w:rsidRPr="00B23300">
            <w:fldChar w:fldCharType="end"/>
          </w:r>
        </w:p>
      </w:sdtContent>
    </w:sdt>
    <w:bookmarkStart w:id="3" w:name="_Toc314842482" w:displacedByCustomXml="prev"/>
    <w:p w14:paraId="30329770" w14:textId="77777777" w:rsidR="00FD119B" w:rsidRPr="00B23300" w:rsidRDefault="00441C3F" w:rsidP="00721A58">
      <w:pPr>
        <w:pStyle w:val="Heading2"/>
        <w:pageBreakBefore/>
      </w:pPr>
      <w:bookmarkStart w:id="4" w:name="_Toc351716269"/>
      <w:bookmarkStart w:id="5" w:name="_Toc351718881"/>
      <w:bookmarkStart w:id="6" w:name="_Toc355338616"/>
      <w:bookmarkStart w:id="7" w:name="_Toc356306144"/>
      <w:bookmarkStart w:id="8" w:name="_Toc66284483"/>
      <w:r w:rsidRPr="00B23300">
        <w:t>Common</w:t>
      </w:r>
      <w:r w:rsidR="00FD119B" w:rsidRPr="00B23300">
        <w:t xml:space="preserve"> abbreviations</w:t>
      </w:r>
      <w:bookmarkEnd w:id="4"/>
      <w:bookmarkEnd w:id="5"/>
      <w:bookmarkEnd w:id="6"/>
      <w:bookmarkEnd w:id="7"/>
      <w:bookmarkEnd w:id="8"/>
    </w:p>
    <w:tbl>
      <w:tblPr>
        <w:tblStyle w:val="TableTGAblue"/>
        <w:tblW w:w="0" w:type="auto"/>
        <w:tblLook w:val="04A0" w:firstRow="1" w:lastRow="0" w:firstColumn="1" w:lastColumn="0" w:noHBand="0" w:noVBand="1"/>
      </w:tblPr>
      <w:tblGrid>
        <w:gridCol w:w="1890"/>
        <w:gridCol w:w="6604"/>
      </w:tblGrid>
      <w:tr w:rsidR="00FD119B" w:rsidRPr="00B23300" w14:paraId="1FA2E3F0" w14:textId="77777777" w:rsidTr="003E491D">
        <w:trPr>
          <w:cnfStyle w:val="100000000000" w:firstRow="1" w:lastRow="0" w:firstColumn="0" w:lastColumn="0" w:oddVBand="0" w:evenVBand="0" w:oddHBand="0" w:evenHBand="0" w:firstRowFirstColumn="0" w:firstRowLastColumn="0" w:lastRowFirstColumn="0" w:lastRowLastColumn="0"/>
        </w:trPr>
        <w:tc>
          <w:tcPr>
            <w:tcW w:w="1890" w:type="dxa"/>
            <w:tcBorders>
              <w:top w:val="single" w:sz="4" w:space="0" w:color="auto"/>
              <w:left w:val="single" w:sz="4" w:space="0" w:color="auto"/>
              <w:bottom w:val="single" w:sz="4" w:space="0" w:color="auto"/>
              <w:right w:val="single" w:sz="4" w:space="0" w:color="auto"/>
            </w:tcBorders>
          </w:tcPr>
          <w:p w14:paraId="324D366F" w14:textId="77777777" w:rsidR="00FD119B" w:rsidRPr="00B23300" w:rsidRDefault="00FD119B" w:rsidP="00D47A3D">
            <w:pPr>
              <w:rPr>
                <w:lang w:eastAsia="en-US"/>
              </w:rPr>
            </w:pPr>
            <w:r w:rsidRPr="00B23300">
              <w:rPr>
                <w:lang w:eastAsia="en-US"/>
              </w:rPr>
              <w:t>Abbreviation</w:t>
            </w:r>
          </w:p>
        </w:tc>
        <w:tc>
          <w:tcPr>
            <w:tcW w:w="6604" w:type="dxa"/>
            <w:tcBorders>
              <w:top w:val="single" w:sz="4" w:space="0" w:color="auto"/>
              <w:left w:val="single" w:sz="4" w:space="0" w:color="auto"/>
              <w:bottom w:val="single" w:sz="4" w:space="0" w:color="auto"/>
              <w:right w:val="single" w:sz="4" w:space="0" w:color="auto"/>
            </w:tcBorders>
          </w:tcPr>
          <w:p w14:paraId="572E2088" w14:textId="77777777" w:rsidR="00FD119B" w:rsidRPr="00B23300" w:rsidRDefault="00FD119B" w:rsidP="00D47A3D">
            <w:pPr>
              <w:rPr>
                <w:lang w:eastAsia="en-US"/>
              </w:rPr>
            </w:pPr>
            <w:r w:rsidRPr="00B23300">
              <w:rPr>
                <w:lang w:eastAsia="en-US"/>
              </w:rPr>
              <w:t>Meaning</w:t>
            </w:r>
          </w:p>
        </w:tc>
      </w:tr>
      <w:tr w:rsidR="00460036" w:rsidRPr="00B23300" w14:paraId="5726135A" w14:textId="77777777" w:rsidTr="003E491D">
        <w:tc>
          <w:tcPr>
            <w:tcW w:w="1890" w:type="dxa"/>
            <w:tcBorders>
              <w:top w:val="single" w:sz="4" w:space="0" w:color="auto"/>
            </w:tcBorders>
          </w:tcPr>
          <w:p w14:paraId="470F428F" w14:textId="77777777" w:rsidR="00460036" w:rsidRPr="00B23300" w:rsidRDefault="00460036" w:rsidP="00D47A3D">
            <w:r w:rsidRPr="00B23300">
              <w:t>ACM</w:t>
            </w:r>
          </w:p>
        </w:tc>
        <w:tc>
          <w:tcPr>
            <w:tcW w:w="6604" w:type="dxa"/>
            <w:tcBorders>
              <w:top w:val="single" w:sz="4" w:space="0" w:color="auto"/>
            </w:tcBorders>
          </w:tcPr>
          <w:p w14:paraId="2F792FA8" w14:textId="7471EEFE" w:rsidR="00460036" w:rsidRPr="00B23300" w:rsidRDefault="00460036" w:rsidP="00D47A3D">
            <w:r w:rsidRPr="00B23300">
              <w:t xml:space="preserve">Advisory </w:t>
            </w:r>
            <w:r w:rsidR="00172AD7" w:rsidRPr="00B23300">
              <w:t>Committee on M</w:t>
            </w:r>
            <w:r w:rsidR="00EA2BBF" w:rsidRPr="00B23300">
              <w:t>edicines</w:t>
            </w:r>
          </w:p>
        </w:tc>
      </w:tr>
      <w:tr w:rsidR="00321B2A" w:rsidRPr="00B23300" w14:paraId="5F53929A" w14:textId="77777777" w:rsidTr="003E491D">
        <w:tc>
          <w:tcPr>
            <w:tcW w:w="1890" w:type="dxa"/>
            <w:tcBorders>
              <w:top w:val="single" w:sz="4" w:space="0" w:color="auto"/>
            </w:tcBorders>
          </w:tcPr>
          <w:p w14:paraId="33B3626B" w14:textId="6F450CE5" w:rsidR="00321B2A" w:rsidRPr="00B23300" w:rsidRDefault="00321B2A" w:rsidP="00D47A3D">
            <w:r w:rsidRPr="00B23300">
              <w:t>ACR</w:t>
            </w:r>
          </w:p>
        </w:tc>
        <w:tc>
          <w:tcPr>
            <w:tcW w:w="6604" w:type="dxa"/>
            <w:tcBorders>
              <w:top w:val="single" w:sz="4" w:space="0" w:color="auto"/>
            </w:tcBorders>
          </w:tcPr>
          <w:p w14:paraId="03D36197" w14:textId="11F56CB3" w:rsidR="00321B2A" w:rsidRPr="00B23300" w:rsidRDefault="00EA2BBF" w:rsidP="00D47A3D">
            <w:r w:rsidRPr="00B23300">
              <w:t>American C</w:t>
            </w:r>
            <w:r w:rsidR="00321B2A" w:rsidRPr="00B23300">
              <w:t>ollege of Rheumatology</w:t>
            </w:r>
          </w:p>
        </w:tc>
      </w:tr>
      <w:tr w:rsidR="00AC3F58" w:rsidRPr="00B23300" w14:paraId="5989F125" w14:textId="77777777" w:rsidTr="003E491D">
        <w:tc>
          <w:tcPr>
            <w:tcW w:w="1890" w:type="dxa"/>
            <w:vAlign w:val="bottom"/>
          </w:tcPr>
          <w:p w14:paraId="663B3942" w14:textId="54F1D099" w:rsidR="00AC3F58" w:rsidRPr="00B23300" w:rsidRDefault="00AC3F58" w:rsidP="00D47A3D">
            <w:pPr>
              <w:rPr>
                <w:color w:val="auto"/>
                <w:lang w:eastAsia="en-US"/>
              </w:rPr>
            </w:pPr>
            <w:r w:rsidRPr="00B23300">
              <w:t>ADA</w:t>
            </w:r>
          </w:p>
        </w:tc>
        <w:tc>
          <w:tcPr>
            <w:tcW w:w="6604" w:type="dxa"/>
            <w:vAlign w:val="bottom"/>
          </w:tcPr>
          <w:p w14:paraId="0910834E" w14:textId="5DE346C3" w:rsidR="00AC3F58" w:rsidRPr="00B23300" w:rsidRDefault="005131DE" w:rsidP="00D47A3D">
            <w:pPr>
              <w:rPr>
                <w:color w:val="auto"/>
                <w:lang w:eastAsia="en-US"/>
              </w:rPr>
            </w:pPr>
            <w:r w:rsidRPr="00B23300">
              <w:t>Anti-drug a</w:t>
            </w:r>
            <w:r w:rsidR="00AC3F58" w:rsidRPr="00B23300">
              <w:t>ntibody</w:t>
            </w:r>
          </w:p>
        </w:tc>
      </w:tr>
      <w:tr w:rsidR="0059506E" w:rsidRPr="00B23300" w14:paraId="08FFEE57" w14:textId="77777777" w:rsidTr="003E491D">
        <w:tc>
          <w:tcPr>
            <w:tcW w:w="1890" w:type="dxa"/>
            <w:vAlign w:val="bottom"/>
          </w:tcPr>
          <w:p w14:paraId="04D59B30" w14:textId="35EE36C0" w:rsidR="0059506E" w:rsidRPr="00B23300" w:rsidRDefault="0059506E" w:rsidP="0059506E">
            <w:r w:rsidRPr="00B23300">
              <w:t>ADCC</w:t>
            </w:r>
          </w:p>
        </w:tc>
        <w:tc>
          <w:tcPr>
            <w:tcW w:w="6604" w:type="dxa"/>
            <w:vAlign w:val="bottom"/>
          </w:tcPr>
          <w:p w14:paraId="11AF3138" w14:textId="16B91364" w:rsidR="0059506E" w:rsidRPr="00B23300" w:rsidRDefault="0059506E" w:rsidP="0059506E">
            <w:r w:rsidRPr="00B23300">
              <w:t>Antibody depen</w:t>
            </w:r>
            <w:r w:rsidR="00A738EB" w:rsidRPr="00B23300">
              <w:t>dent cell mediated cytotoxicity</w:t>
            </w:r>
          </w:p>
        </w:tc>
      </w:tr>
      <w:tr w:rsidR="00AC3F58" w:rsidRPr="00B23300" w14:paraId="018ADB0A" w14:textId="77777777" w:rsidTr="003E491D">
        <w:tc>
          <w:tcPr>
            <w:tcW w:w="1890" w:type="dxa"/>
            <w:vAlign w:val="bottom"/>
          </w:tcPr>
          <w:p w14:paraId="08B7F2C8" w14:textId="799C9685" w:rsidR="00AC3F58" w:rsidRPr="00B23300" w:rsidRDefault="00AC3F58" w:rsidP="00D47A3D">
            <w:r w:rsidRPr="00B23300">
              <w:t>AE</w:t>
            </w:r>
          </w:p>
        </w:tc>
        <w:tc>
          <w:tcPr>
            <w:tcW w:w="6604" w:type="dxa"/>
            <w:vAlign w:val="bottom"/>
          </w:tcPr>
          <w:p w14:paraId="13E98B1F" w14:textId="0CAF6270" w:rsidR="00AC3F58" w:rsidRPr="00B23300" w:rsidRDefault="000859B0" w:rsidP="00D47A3D">
            <w:r w:rsidRPr="00B23300">
              <w:t>Adverse e</w:t>
            </w:r>
            <w:r w:rsidR="00AC3F58" w:rsidRPr="00B23300">
              <w:t>vent</w:t>
            </w:r>
          </w:p>
        </w:tc>
      </w:tr>
      <w:tr w:rsidR="009B5FF0" w:rsidRPr="00B23300" w14:paraId="634150EA" w14:textId="77777777" w:rsidTr="003E491D">
        <w:tc>
          <w:tcPr>
            <w:tcW w:w="1890" w:type="dxa"/>
            <w:vAlign w:val="bottom"/>
          </w:tcPr>
          <w:p w14:paraId="41DE0D09" w14:textId="3ECCFA6B" w:rsidR="009B5FF0" w:rsidRPr="00B23300" w:rsidRDefault="004F5F3D" w:rsidP="00D47A3D">
            <w:r w:rsidRPr="00B23300">
              <w:t>ALT</w:t>
            </w:r>
          </w:p>
        </w:tc>
        <w:tc>
          <w:tcPr>
            <w:tcW w:w="6604" w:type="dxa"/>
            <w:vAlign w:val="bottom"/>
          </w:tcPr>
          <w:p w14:paraId="7EA6E237" w14:textId="6FF882DD" w:rsidR="009B5FF0" w:rsidRPr="00B23300" w:rsidRDefault="009B5FF0" w:rsidP="00D47A3D">
            <w:r w:rsidRPr="00B23300">
              <w:t>Alanine aminotransferase</w:t>
            </w:r>
          </w:p>
        </w:tc>
      </w:tr>
      <w:tr w:rsidR="00324C32" w:rsidRPr="00B23300" w14:paraId="73B00C24" w14:textId="77777777" w:rsidTr="003E491D">
        <w:tc>
          <w:tcPr>
            <w:tcW w:w="1890" w:type="dxa"/>
            <w:vAlign w:val="bottom"/>
          </w:tcPr>
          <w:p w14:paraId="79F84A3A" w14:textId="19B95BB2" w:rsidR="00324C32" w:rsidRPr="00B23300" w:rsidRDefault="00324C32" w:rsidP="00D47A3D">
            <w:r w:rsidRPr="00B23300">
              <w:t>ARGPM</w:t>
            </w:r>
          </w:p>
        </w:tc>
        <w:tc>
          <w:tcPr>
            <w:tcW w:w="6604" w:type="dxa"/>
            <w:vAlign w:val="bottom"/>
          </w:tcPr>
          <w:p w14:paraId="4544990B" w14:textId="31CFAE27" w:rsidR="00324C32" w:rsidRPr="00B23300" w:rsidRDefault="00324C32" w:rsidP="00324C32">
            <w:r w:rsidRPr="00B23300">
              <w:t xml:space="preserve">Australian </w:t>
            </w:r>
            <w:r w:rsidR="00415BA0">
              <w:t>R</w:t>
            </w:r>
            <w:r w:rsidRPr="00B23300">
              <w:t xml:space="preserve">egulatory </w:t>
            </w:r>
            <w:r w:rsidR="00415BA0">
              <w:t>G</w:t>
            </w:r>
            <w:r w:rsidRPr="00B23300">
              <w:t>uidel</w:t>
            </w:r>
            <w:r w:rsidR="00A738EB" w:rsidRPr="00B23300">
              <w:t xml:space="preserve">ines for </w:t>
            </w:r>
            <w:r w:rsidR="00415BA0">
              <w:t>P</w:t>
            </w:r>
            <w:r w:rsidR="00A738EB" w:rsidRPr="00B23300">
              <w:t xml:space="preserve">rescription </w:t>
            </w:r>
            <w:r w:rsidR="00415BA0">
              <w:t>M</w:t>
            </w:r>
            <w:r w:rsidR="00A738EB" w:rsidRPr="00B23300">
              <w:t>edicines</w:t>
            </w:r>
          </w:p>
        </w:tc>
      </w:tr>
      <w:tr w:rsidR="0059506E" w:rsidRPr="00B23300" w14:paraId="452548A5" w14:textId="77777777" w:rsidTr="003E491D">
        <w:tc>
          <w:tcPr>
            <w:tcW w:w="1890" w:type="dxa"/>
            <w:vAlign w:val="bottom"/>
          </w:tcPr>
          <w:p w14:paraId="3B5FFA83" w14:textId="088F3B42" w:rsidR="0059506E" w:rsidRPr="00B23300" w:rsidRDefault="0059506E" w:rsidP="00D47A3D">
            <w:r w:rsidRPr="00B23300">
              <w:t>ARTG</w:t>
            </w:r>
            <w:r w:rsidRPr="00B23300">
              <w:tab/>
            </w:r>
          </w:p>
        </w:tc>
        <w:tc>
          <w:tcPr>
            <w:tcW w:w="6604" w:type="dxa"/>
            <w:vAlign w:val="bottom"/>
          </w:tcPr>
          <w:p w14:paraId="6C1A39B8" w14:textId="3213B7DF" w:rsidR="0059506E" w:rsidRPr="00B23300" w:rsidRDefault="0059506E" w:rsidP="00D47A3D">
            <w:r w:rsidRPr="00B23300">
              <w:t>Australian Register of Therapeutic Goods</w:t>
            </w:r>
          </w:p>
        </w:tc>
      </w:tr>
      <w:tr w:rsidR="00AC3F58" w:rsidRPr="00B23300" w14:paraId="175764AE" w14:textId="77777777" w:rsidTr="003E491D">
        <w:tc>
          <w:tcPr>
            <w:tcW w:w="1890" w:type="dxa"/>
            <w:vAlign w:val="bottom"/>
          </w:tcPr>
          <w:p w14:paraId="16C409B0" w14:textId="0EBE37C3" w:rsidR="00AC3F58" w:rsidRPr="00B23300" w:rsidRDefault="00AC3F58" w:rsidP="00D47A3D">
            <w:r w:rsidRPr="00B23300">
              <w:t>AS</w:t>
            </w:r>
          </w:p>
        </w:tc>
        <w:tc>
          <w:tcPr>
            <w:tcW w:w="6604" w:type="dxa"/>
            <w:vAlign w:val="bottom"/>
          </w:tcPr>
          <w:p w14:paraId="79B45CC2" w14:textId="52987E82" w:rsidR="00AC3F58" w:rsidRPr="00B23300" w:rsidRDefault="00AC3F58" w:rsidP="00D47A3D">
            <w:r w:rsidRPr="00B23300">
              <w:t>Ankylosing</w:t>
            </w:r>
            <w:r w:rsidR="00865631" w:rsidRPr="00B23300">
              <w:t xml:space="preserve"> spondylitis</w:t>
            </w:r>
          </w:p>
        </w:tc>
      </w:tr>
      <w:tr w:rsidR="00757CDB" w:rsidRPr="00B23300" w14:paraId="30FDFE36" w14:textId="77777777" w:rsidTr="003E491D">
        <w:tc>
          <w:tcPr>
            <w:tcW w:w="1890" w:type="dxa"/>
            <w:vAlign w:val="bottom"/>
          </w:tcPr>
          <w:p w14:paraId="518717AF" w14:textId="33F3F523" w:rsidR="00757CDB" w:rsidRPr="00B23300" w:rsidRDefault="00757CDB" w:rsidP="00D47A3D">
            <w:r>
              <w:t>ASA</w:t>
            </w:r>
          </w:p>
        </w:tc>
        <w:tc>
          <w:tcPr>
            <w:tcW w:w="6604" w:type="dxa"/>
            <w:vAlign w:val="bottom"/>
          </w:tcPr>
          <w:p w14:paraId="46A487E4" w14:textId="64B5D3EF" w:rsidR="00757CDB" w:rsidRPr="00B23300" w:rsidRDefault="00757CDB" w:rsidP="00D47A3D">
            <w:r>
              <w:t>Australian</w:t>
            </w:r>
            <w:r w:rsidR="00415BA0">
              <w:t>-s</w:t>
            </w:r>
            <w:r>
              <w:t>pecific Annex</w:t>
            </w:r>
          </w:p>
        </w:tc>
      </w:tr>
      <w:tr w:rsidR="009B5FF0" w:rsidRPr="00B23300" w14:paraId="6E75E6D4" w14:textId="77777777" w:rsidTr="003E491D">
        <w:tc>
          <w:tcPr>
            <w:tcW w:w="1890" w:type="dxa"/>
            <w:vAlign w:val="bottom"/>
          </w:tcPr>
          <w:p w14:paraId="4FAF5829" w14:textId="444117BE" w:rsidR="009B5FF0" w:rsidRPr="00B23300" w:rsidRDefault="009B5FF0" w:rsidP="00D47A3D">
            <w:r w:rsidRPr="00B23300">
              <w:t>AST</w:t>
            </w:r>
          </w:p>
        </w:tc>
        <w:tc>
          <w:tcPr>
            <w:tcW w:w="6604" w:type="dxa"/>
            <w:vAlign w:val="bottom"/>
          </w:tcPr>
          <w:p w14:paraId="14D5F071" w14:textId="5807219B" w:rsidR="009B5FF0" w:rsidRPr="00B23300" w:rsidRDefault="009B5FF0" w:rsidP="00D47A3D">
            <w:r w:rsidRPr="00B23300">
              <w:t>Aspartate aminotransferase</w:t>
            </w:r>
          </w:p>
        </w:tc>
      </w:tr>
      <w:tr w:rsidR="00677A3F" w:rsidRPr="00B23300" w14:paraId="292B457E" w14:textId="77777777" w:rsidTr="003E491D">
        <w:tc>
          <w:tcPr>
            <w:tcW w:w="1890" w:type="dxa"/>
            <w:vAlign w:val="bottom"/>
          </w:tcPr>
          <w:p w14:paraId="2B0220FA" w14:textId="528F7D3A" w:rsidR="00677A3F" w:rsidRPr="00B23300" w:rsidRDefault="00677A3F" w:rsidP="00D47A3D">
            <w:r w:rsidRPr="00B23300">
              <w:t>AUC</w:t>
            </w:r>
          </w:p>
        </w:tc>
        <w:tc>
          <w:tcPr>
            <w:tcW w:w="6604" w:type="dxa"/>
            <w:vAlign w:val="bottom"/>
          </w:tcPr>
          <w:p w14:paraId="0BB7E726" w14:textId="713C62D9" w:rsidR="00677A3F" w:rsidRPr="00B23300" w:rsidRDefault="00677A3F" w:rsidP="00D47A3D">
            <w:r w:rsidRPr="00B23300">
              <w:t xml:space="preserve">Area under </w:t>
            </w:r>
            <w:r w:rsidR="00415BA0">
              <w:t xml:space="preserve">the </w:t>
            </w:r>
            <w:r w:rsidRPr="00B23300">
              <w:t>concentration time curve</w:t>
            </w:r>
          </w:p>
        </w:tc>
      </w:tr>
      <w:tr w:rsidR="00AC3F58" w:rsidRPr="00B23300" w14:paraId="2F55FBDF" w14:textId="77777777" w:rsidTr="003E491D">
        <w:tc>
          <w:tcPr>
            <w:tcW w:w="1890" w:type="dxa"/>
            <w:vAlign w:val="bottom"/>
          </w:tcPr>
          <w:p w14:paraId="4974FDF7" w14:textId="10AC6278" w:rsidR="00AC3F58" w:rsidRPr="00B23300" w:rsidRDefault="00AC3F58" w:rsidP="009E7DAF">
            <w:pPr>
              <w:jc w:val="both"/>
              <w:rPr>
                <w:rFonts w:eastAsia="MS Minngs"/>
              </w:rPr>
            </w:pPr>
            <w:proofErr w:type="spellStart"/>
            <w:r w:rsidRPr="00B23300">
              <w:t>AUC</w:t>
            </w:r>
            <w:r w:rsidRPr="00B23300">
              <w:rPr>
                <w:vertAlign w:val="subscript"/>
              </w:rPr>
              <w:t>t</w:t>
            </w:r>
            <w:proofErr w:type="spellEnd"/>
          </w:p>
        </w:tc>
        <w:tc>
          <w:tcPr>
            <w:tcW w:w="6604" w:type="dxa"/>
            <w:vAlign w:val="bottom"/>
          </w:tcPr>
          <w:p w14:paraId="283FB6D6" w14:textId="52A17BA1" w:rsidR="00AC3F58" w:rsidRPr="00B23300" w:rsidRDefault="00677A3F" w:rsidP="00677A3F">
            <w:pPr>
              <w:rPr>
                <w:rFonts w:eastAsia="MS Minngs"/>
              </w:rPr>
            </w:pPr>
            <w:r w:rsidRPr="00B23300">
              <w:t>Area under concentration time curve from time zero t</w:t>
            </w:r>
            <w:r w:rsidR="00A738EB" w:rsidRPr="00B23300">
              <w:t>o last measurable concentration</w:t>
            </w:r>
          </w:p>
        </w:tc>
      </w:tr>
      <w:tr w:rsidR="00EF5F95" w:rsidRPr="00B23300" w14:paraId="5A297E43" w14:textId="77777777" w:rsidTr="003E491D">
        <w:tc>
          <w:tcPr>
            <w:tcW w:w="1890" w:type="dxa"/>
            <w:vAlign w:val="bottom"/>
          </w:tcPr>
          <w:p w14:paraId="60D7755E" w14:textId="5DB5A797" w:rsidR="00EF5F95" w:rsidRPr="00B23300" w:rsidRDefault="00EF5F95" w:rsidP="00D47A3D">
            <w:proofErr w:type="spellStart"/>
            <w:r w:rsidRPr="00B23300">
              <w:t>AusPAR</w:t>
            </w:r>
            <w:proofErr w:type="spellEnd"/>
          </w:p>
        </w:tc>
        <w:tc>
          <w:tcPr>
            <w:tcW w:w="6604" w:type="dxa"/>
            <w:vAlign w:val="bottom"/>
          </w:tcPr>
          <w:p w14:paraId="44BE78B5" w14:textId="57C441DC" w:rsidR="00EF5F95" w:rsidRPr="00B23300" w:rsidRDefault="00EF5F95" w:rsidP="00EF5F95">
            <w:r w:rsidRPr="00B23300">
              <w:t>Aust</w:t>
            </w:r>
            <w:r w:rsidR="00A738EB" w:rsidRPr="00B23300">
              <w:t>ralian Public Assessment Report</w:t>
            </w:r>
          </w:p>
        </w:tc>
      </w:tr>
      <w:tr w:rsidR="009D21F0" w:rsidRPr="00B23300" w14:paraId="414AE548" w14:textId="77777777" w:rsidTr="003E491D">
        <w:tc>
          <w:tcPr>
            <w:tcW w:w="1890" w:type="dxa"/>
            <w:vAlign w:val="bottom"/>
          </w:tcPr>
          <w:p w14:paraId="3C8E15C0" w14:textId="3D5CA573" w:rsidR="009D21F0" w:rsidRPr="00B23300" w:rsidRDefault="009D21F0" w:rsidP="009D21F0">
            <w:r w:rsidRPr="00B23300">
              <w:t>BASDAI</w:t>
            </w:r>
          </w:p>
        </w:tc>
        <w:tc>
          <w:tcPr>
            <w:tcW w:w="6604" w:type="dxa"/>
            <w:vAlign w:val="bottom"/>
          </w:tcPr>
          <w:p w14:paraId="31E535BA" w14:textId="7F7C6D30" w:rsidR="009D21F0" w:rsidRPr="00B23300" w:rsidRDefault="009D21F0" w:rsidP="009D21F0">
            <w:r w:rsidRPr="00B23300">
              <w:t xml:space="preserve">Bath </w:t>
            </w:r>
            <w:r w:rsidR="00415BA0">
              <w:t>A</w:t>
            </w:r>
            <w:r w:rsidRPr="00B23300">
              <w:t xml:space="preserve">nkylosing </w:t>
            </w:r>
            <w:r w:rsidR="00415BA0">
              <w:t>S</w:t>
            </w:r>
            <w:r w:rsidRPr="00B23300">
              <w:t>po</w:t>
            </w:r>
            <w:r w:rsidR="00A738EB" w:rsidRPr="00B23300">
              <w:t xml:space="preserve">ndylitis </w:t>
            </w:r>
            <w:r w:rsidR="00415BA0">
              <w:t>D</w:t>
            </w:r>
            <w:r w:rsidR="00A738EB" w:rsidRPr="00B23300">
              <w:t xml:space="preserve">isease </w:t>
            </w:r>
            <w:r w:rsidR="00415BA0">
              <w:t>A</w:t>
            </w:r>
            <w:r w:rsidR="00A738EB" w:rsidRPr="00B23300">
              <w:t xml:space="preserve">ctivity </w:t>
            </w:r>
            <w:r w:rsidR="00415BA0">
              <w:t>I</w:t>
            </w:r>
            <w:r w:rsidR="00A738EB" w:rsidRPr="00B23300">
              <w:t>ndex</w:t>
            </w:r>
          </w:p>
        </w:tc>
      </w:tr>
      <w:tr w:rsidR="00AC3F58" w:rsidRPr="00B23300" w14:paraId="49F890E3" w14:textId="77777777" w:rsidTr="003E491D">
        <w:tc>
          <w:tcPr>
            <w:tcW w:w="1890" w:type="dxa"/>
            <w:vAlign w:val="bottom"/>
          </w:tcPr>
          <w:p w14:paraId="76386C11" w14:textId="5FDB2C5B" w:rsidR="00AC3F58" w:rsidRPr="00B23300" w:rsidRDefault="00AC3F58" w:rsidP="00D47A3D">
            <w:r w:rsidRPr="00B23300">
              <w:t>BMI</w:t>
            </w:r>
          </w:p>
        </w:tc>
        <w:tc>
          <w:tcPr>
            <w:tcW w:w="6604" w:type="dxa"/>
            <w:vAlign w:val="bottom"/>
          </w:tcPr>
          <w:p w14:paraId="6D96B708" w14:textId="0A7898CC" w:rsidR="00AC3F58" w:rsidRPr="00B23300" w:rsidRDefault="00AC3F58" w:rsidP="00D47A3D">
            <w:r w:rsidRPr="00B23300">
              <w:t xml:space="preserve">Body </w:t>
            </w:r>
            <w:r w:rsidR="00BF64D0" w:rsidRPr="00B23300">
              <w:t>mass index</w:t>
            </w:r>
          </w:p>
        </w:tc>
      </w:tr>
      <w:tr w:rsidR="00413240" w:rsidRPr="00B23300" w14:paraId="238E116D" w14:textId="77777777" w:rsidTr="003E491D">
        <w:tc>
          <w:tcPr>
            <w:tcW w:w="1890" w:type="dxa"/>
            <w:vAlign w:val="bottom"/>
          </w:tcPr>
          <w:p w14:paraId="2197E208" w14:textId="4A4FB2E0" w:rsidR="00413240" w:rsidRPr="00B23300" w:rsidRDefault="00413240" w:rsidP="00D47A3D">
            <w:r w:rsidRPr="00B23300">
              <w:t>CCP</w:t>
            </w:r>
          </w:p>
        </w:tc>
        <w:tc>
          <w:tcPr>
            <w:tcW w:w="6604" w:type="dxa"/>
            <w:vAlign w:val="bottom"/>
          </w:tcPr>
          <w:p w14:paraId="5AC71C1B" w14:textId="70066669" w:rsidR="00413240" w:rsidRPr="00B23300" w:rsidRDefault="00413240" w:rsidP="00D47A3D">
            <w:r w:rsidRPr="00B23300">
              <w:t xml:space="preserve">Cyclic </w:t>
            </w:r>
            <w:proofErr w:type="spellStart"/>
            <w:r w:rsidRPr="00B23300">
              <w:t>citrullinated</w:t>
            </w:r>
            <w:proofErr w:type="spellEnd"/>
            <w:r w:rsidRPr="00B23300">
              <w:t xml:space="preserve"> peptide</w:t>
            </w:r>
          </w:p>
        </w:tc>
      </w:tr>
      <w:tr w:rsidR="00C718F6" w:rsidRPr="00B23300" w14:paraId="3CD048CE" w14:textId="77777777" w:rsidTr="003E491D">
        <w:tc>
          <w:tcPr>
            <w:tcW w:w="1890" w:type="dxa"/>
            <w:vAlign w:val="bottom"/>
          </w:tcPr>
          <w:p w14:paraId="0DE6FDE8" w14:textId="7F4730B3" w:rsidR="00C718F6" w:rsidRPr="00B23300" w:rsidRDefault="00C718F6" w:rsidP="00D47A3D">
            <w:r w:rsidRPr="00B23300">
              <w:t>CHF</w:t>
            </w:r>
          </w:p>
        </w:tc>
        <w:tc>
          <w:tcPr>
            <w:tcW w:w="6604" w:type="dxa"/>
            <w:vAlign w:val="bottom"/>
          </w:tcPr>
          <w:p w14:paraId="71A75E0F" w14:textId="592370F6" w:rsidR="00C718F6" w:rsidRPr="00B23300" w:rsidRDefault="00C718F6" w:rsidP="00D47A3D">
            <w:r w:rsidRPr="00B23300">
              <w:t>Congestive heart failure</w:t>
            </w:r>
          </w:p>
        </w:tc>
      </w:tr>
      <w:tr w:rsidR="003779EB" w:rsidRPr="00B23300" w14:paraId="04143DAB" w14:textId="77777777" w:rsidTr="003E491D">
        <w:tc>
          <w:tcPr>
            <w:tcW w:w="1890" w:type="dxa"/>
            <w:vAlign w:val="bottom"/>
          </w:tcPr>
          <w:p w14:paraId="6FA80DBC" w14:textId="22401CA6" w:rsidR="003779EB" w:rsidRPr="00B23300" w:rsidRDefault="003779EB" w:rsidP="00D47A3D">
            <w:r w:rsidRPr="00B23300">
              <w:t>CHMP</w:t>
            </w:r>
          </w:p>
        </w:tc>
        <w:tc>
          <w:tcPr>
            <w:tcW w:w="6604" w:type="dxa"/>
            <w:vAlign w:val="bottom"/>
          </w:tcPr>
          <w:p w14:paraId="1D23DE4F" w14:textId="32E71D8F" w:rsidR="003779EB" w:rsidRPr="00B23300" w:rsidRDefault="003779EB" w:rsidP="00D47A3D">
            <w:r w:rsidRPr="00B23300">
              <w:t xml:space="preserve">Committee </w:t>
            </w:r>
            <w:r w:rsidR="00BA71C4" w:rsidRPr="00B23300">
              <w:t>For Medicinal Products For Human Use</w:t>
            </w:r>
            <w:r w:rsidR="00415BA0">
              <w:t xml:space="preserve"> (European Union)</w:t>
            </w:r>
          </w:p>
        </w:tc>
      </w:tr>
      <w:tr w:rsidR="00527784" w:rsidRPr="00B23300" w14:paraId="23894165" w14:textId="77777777" w:rsidTr="003E491D">
        <w:tc>
          <w:tcPr>
            <w:tcW w:w="1890" w:type="dxa"/>
            <w:vAlign w:val="bottom"/>
          </w:tcPr>
          <w:p w14:paraId="5D1DA056" w14:textId="1BBDE934" w:rsidR="00527784" w:rsidRPr="00B23300" w:rsidRDefault="00527784" w:rsidP="00D47A3D">
            <w:r w:rsidRPr="00B23300">
              <w:t>CHO</w:t>
            </w:r>
          </w:p>
        </w:tc>
        <w:tc>
          <w:tcPr>
            <w:tcW w:w="6604" w:type="dxa"/>
            <w:vAlign w:val="bottom"/>
          </w:tcPr>
          <w:p w14:paraId="549CEEFD" w14:textId="29180DC7" w:rsidR="00527784" w:rsidRPr="00B23300" w:rsidRDefault="00527784" w:rsidP="00D47A3D">
            <w:r w:rsidRPr="00B23300">
              <w:t>Chinese hamster ovary</w:t>
            </w:r>
          </w:p>
        </w:tc>
      </w:tr>
      <w:tr w:rsidR="00AC3F58" w:rsidRPr="00B23300" w14:paraId="482078BC" w14:textId="77777777" w:rsidTr="003E491D">
        <w:tc>
          <w:tcPr>
            <w:tcW w:w="1890" w:type="dxa"/>
            <w:vAlign w:val="bottom"/>
          </w:tcPr>
          <w:p w14:paraId="5F36C138" w14:textId="3F634267" w:rsidR="00AC3F58" w:rsidRPr="00B23300" w:rsidRDefault="008541A7" w:rsidP="00D47A3D">
            <w:r w:rsidRPr="00B23300">
              <w:t>CI</w:t>
            </w:r>
          </w:p>
        </w:tc>
        <w:tc>
          <w:tcPr>
            <w:tcW w:w="6604" w:type="dxa"/>
            <w:vAlign w:val="bottom"/>
          </w:tcPr>
          <w:p w14:paraId="529F6632" w14:textId="3315C953" w:rsidR="00AC3F58" w:rsidRPr="00B23300" w:rsidRDefault="00AC3F58" w:rsidP="00D47A3D">
            <w:r w:rsidRPr="00B23300">
              <w:t>Confidence interval</w:t>
            </w:r>
          </w:p>
        </w:tc>
      </w:tr>
      <w:tr w:rsidR="00AC3F58" w:rsidRPr="00B23300" w14:paraId="3AE1B944" w14:textId="77777777" w:rsidTr="003E491D">
        <w:tc>
          <w:tcPr>
            <w:tcW w:w="1890" w:type="dxa"/>
            <w:vAlign w:val="bottom"/>
          </w:tcPr>
          <w:p w14:paraId="37CE768B" w14:textId="008D2C84" w:rsidR="00AC3F58" w:rsidRPr="00B23300" w:rsidRDefault="00AC3F58" w:rsidP="00D47A3D">
            <w:proofErr w:type="spellStart"/>
            <w:r w:rsidRPr="00B23300">
              <w:rPr>
                <w:rFonts w:eastAsia="MS Minngs"/>
              </w:rPr>
              <w:t>C</w:t>
            </w:r>
            <w:r w:rsidRPr="00B23300">
              <w:rPr>
                <w:rFonts w:eastAsia="MS Minngs"/>
                <w:vertAlign w:val="subscript"/>
              </w:rPr>
              <w:t>max</w:t>
            </w:r>
            <w:proofErr w:type="spellEnd"/>
          </w:p>
        </w:tc>
        <w:tc>
          <w:tcPr>
            <w:tcW w:w="6604" w:type="dxa"/>
            <w:vAlign w:val="bottom"/>
          </w:tcPr>
          <w:p w14:paraId="06A674F6" w14:textId="4C24ACEB" w:rsidR="00AC3F58" w:rsidRPr="00B23300" w:rsidRDefault="00A738EB" w:rsidP="00D47A3D">
            <w:r w:rsidRPr="00B23300">
              <w:rPr>
                <w:rFonts w:eastAsia="MS Minngs"/>
              </w:rPr>
              <w:t>Maximum concentration</w:t>
            </w:r>
          </w:p>
        </w:tc>
      </w:tr>
      <w:tr w:rsidR="0058636B" w:rsidRPr="00B23300" w14:paraId="018F29FC" w14:textId="77777777" w:rsidTr="003E491D">
        <w:tc>
          <w:tcPr>
            <w:tcW w:w="1890" w:type="dxa"/>
            <w:vAlign w:val="bottom"/>
          </w:tcPr>
          <w:p w14:paraId="07FFC669" w14:textId="7461BDA1" w:rsidR="0058636B" w:rsidRPr="00B23300" w:rsidRDefault="0058636B" w:rsidP="00D47A3D">
            <w:pPr>
              <w:rPr>
                <w:rFonts w:eastAsia="MS Minngs"/>
              </w:rPr>
            </w:pPr>
            <w:r w:rsidRPr="00B23300">
              <w:rPr>
                <w:rFonts w:eastAsia="MS Minngs"/>
              </w:rPr>
              <w:t>CMI</w:t>
            </w:r>
          </w:p>
        </w:tc>
        <w:tc>
          <w:tcPr>
            <w:tcW w:w="6604" w:type="dxa"/>
            <w:vAlign w:val="bottom"/>
          </w:tcPr>
          <w:p w14:paraId="7A6B4DA8" w14:textId="286F1930" w:rsidR="0058636B" w:rsidRPr="00B23300" w:rsidRDefault="0058636B" w:rsidP="00D47A3D">
            <w:pPr>
              <w:rPr>
                <w:rFonts w:eastAsia="MS Minngs"/>
              </w:rPr>
            </w:pPr>
            <w:r w:rsidRPr="00B23300">
              <w:rPr>
                <w:rFonts w:eastAsia="MS Minngs"/>
              </w:rPr>
              <w:t>Consumer Medicines Information</w:t>
            </w:r>
          </w:p>
        </w:tc>
      </w:tr>
      <w:tr w:rsidR="00324C32" w:rsidRPr="00B23300" w14:paraId="2124BDD8" w14:textId="77777777" w:rsidTr="003E491D">
        <w:tc>
          <w:tcPr>
            <w:tcW w:w="1890" w:type="dxa"/>
            <w:vAlign w:val="bottom"/>
          </w:tcPr>
          <w:p w14:paraId="5811A5B2" w14:textId="7AA1554E" w:rsidR="00324C32" w:rsidRPr="00B23300" w:rsidRDefault="00324C32" w:rsidP="00D47A3D">
            <w:pPr>
              <w:rPr>
                <w:rFonts w:eastAsia="MS Minngs"/>
              </w:rPr>
            </w:pPr>
            <w:r w:rsidRPr="00B23300">
              <w:rPr>
                <w:rFonts w:eastAsia="MS Minngs"/>
              </w:rPr>
              <w:t>CPD</w:t>
            </w:r>
          </w:p>
        </w:tc>
        <w:tc>
          <w:tcPr>
            <w:tcW w:w="6604" w:type="dxa"/>
            <w:vAlign w:val="bottom"/>
          </w:tcPr>
          <w:p w14:paraId="380E8C2F" w14:textId="3CA7685A" w:rsidR="00324C32" w:rsidRPr="00B23300" w:rsidRDefault="00324C32" w:rsidP="00D47A3D">
            <w:pPr>
              <w:rPr>
                <w:rFonts w:eastAsia="MS Minngs"/>
              </w:rPr>
            </w:pPr>
            <w:r w:rsidRPr="00B23300">
              <w:rPr>
                <w:rFonts w:eastAsia="MS Minngs"/>
              </w:rPr>
              <w:t>Certified product details</w:t>
            </w:r>
          </w:p>
        </w:tc>
      </w:tr>
      <w:tr w:rsidR="00AC3F58" w:rsidRPr="00B23300" w14:paraId="1E7B749D" w14:textId="77777777" w:rsidTr="003E491D">
        <w:tc>
          <w:tcPr>
            <w:tcW w:w="1890" w:type="dxa"/>
            <w:vAlign w:val="bottom"/>
          </w:tcPr>
          <w:p w14:paraId="153838AB" w14:textId="01356DCD" w:rsidR="00AC3F58" w:rsidRPr="00B23300" w:rsidRDefault="00AC3F58" w:rsidP="00D47A3D">
            <w:pPr>
              <w:rPr>
                <w:rFonts w:eastAsia="MS Minngs"/>
              </w:rPr>
            </w:pPr>
            <w:r w:rsidRPr="00B23300">
              <w:t>CRP</w:t>
            </w:r>
          </w:p>
        </w:tc>
        <w:tc>
          <w:tcPr>
            <w:tcW w:w="6604" w:type="dxa"/>
            <w:vAlign w:val="bottom"/>
          </w:tcPr>
          <w:p w14:paraId="28E2C3BA" w14:textId="5A3C1C8A" w:rsidR="00AC3F58" w:rsidRPr="00B23300" w:rsidRDefault="003F2E79" w:rsidP="00150E1B">
            <w:pPr>
              <w:rPr>
                <w:rFonts w:eastAsia="MS Minngs"/>
              </w:rPr>
            </w:pPr>
            <w:r w:rsidRPr="00B23300">
              <w:t>C</w:t>
            </w:r>
            <w:r w:rsidR="00150E1B" w:rsidRPr="00B23300">
              <w:t>-</w:t>
            </w:r>
            <w:r w:rsidR="00D20591" w:rsidRPr="00B23300">
              <w:t>reactive protein</w:t>
            </w:r>
          </w:p>
        </w:tc>
      </w:tr>
      <w:tr w:rsidR="00AC3F58" w:rsidRPr="00B23300" w14:paraId="796EBC5B" w14:textId="77777777" w:rsidTr="003E491D">
        <w:tc>
          <w:tcPr>
            <w:tcW w:w="1890" w:type="dxa"/>
            <w:vAlign w:val="bottom"/>
          </w:tcPr>
          <w:p w14:paraId="52BEC873" w14:textId="283CE2F9" w:rsidR="00AC3F58" w:rsidRPr="00B23300" w:rsidRDefault="00AC3F58" w:rsidP="00D47A3D">
            <w:r w:rsidRPr="00B23300">
              <w:t>DAS</w:t>
            </w:r>
          </w:p>
        </w:tc>
        <w:tc>
          <w:tcPr>
            <w:tcW w:w="6604" w:type="dxa"/>
            <w:vAlign w:val="bottom"/>
          </w:tcPr>
          <w:p w14:paraId="7C1CD6F0" w14:textId="68581355" w:rsidR="00AC3F58" w:rsidRPr="00B23300" w:rsidRDefault="00AC3F58" w:rsidP="00D47A3D">
            <w:r w:rsidRPr="00B23300">
              <w:t xml:space="preserve">Disease </w:t>
            </w:r>
            <w:r w:rsidR="007509E7">
              <w:t>A</w:t>
            </w:r>
            <w:r w:rsidR="00B61CDB" w:rsidRPr="00B23300">
              <w:t xml:space="preserve">ctivity </w:t>
            </w:r>
            <w:r w:rsidR="007509E7">
              <w:t>S</w:t>
            </w:r>
            <w:r w:rsidR="00B61CDB" w:rsidRPr="00B23300">
              <w:t>core</w:t>
            </w:r>
          </w:p>
        </w:tc>
      </w:tr>
      <w:tr w:rsidR="0034356E" w:rsidRPr="00B23300" w14:paraId="5FF29604" w14:textId="77777777" w:rsidTr="003E491D">
        <w:tc>
          <w:tcPr>
            <w:tcW w:w="1890" w:type="dxa"/>
            <w:vAlign w:val="bottom"/>
          </w:tcPr>
          <w:p w14:paraId="398DE42C" w14:textId="6B656CF9" w:rsidR="0034356E" w:rsidRPr="00B23300" w:rsidRDefault="0034356E" w:rsidP="00D47A3D">
            <w:r w:rsidRPr="00B23300">
              <w:t>DLP</w:t>
            </w:r>
          </w:p>
        </w:tc>
        <w:tc>
          <w:tcPr>
            <w:tcW w:w="6604" w:type="dxa"/>
            <w:vAlign w:val="bottom"/>
          </w:tcPr>
          <w:p w14:paraId="137739D7" w14:textId="27D1ABC0" w:rsidR="0034356E" w:rsidRPr="00B23300" w:rsidRDefault="0034356E" w:rsidP="00D47A3D">
            <w:r w:rsidRPr="00B23300">
              <w:t>Data lock point</w:t>
            </w:r>
          </w:p>
        </w:tc>
      </w:tr>
      <w:tr w:rsidR="00AC3F58" w:rsidRPr="00B23300" w14:paraId="3D16FF5D" w14:textId="77777777" w:rsidTr="003E491D">
        <w:tc>
          <w:tcPr>
            <w:tcW w:w="1890" w:type="dxa"/>
            <w:vAlign w:val="bottom"/>
          </w:tcPr>
          <w:p w14:paraId="1479F116" w14:textId="1A84E1B8" w:rsidR="00AC3F58" w:rsidRPr="00B23300" w:rsidRDefault="00AC3F58" w:rsidP="00D47A3D">
            <w:r w:rsidRPr="00B23300">
              <w:t>DMARD</w:t>
            </w:r>
          </w:p>
        </w:tc>
        <w:tc>
          <w:tcPr>
            <w:tcW w:w="6604" w:type="dxa"/>
            <w:vAlign w:val="bottom"/>
          </w:tcPr>
          <w:p w14:paraId="2522A4BF" w14:textId="1CDA7C03" w:rsidR="00AC3F58" w:rsidRPr="00B23300" w:rsidRDefault="00DA157E" w:rsidP="00D47A3D">
            <w:r w:rsidRPr="00B23300">
              <w:t>Disease modifying anti-rheumatic drug</w:t>
            </w:r>
          </w:p>
        </w:tc>
      </w:tr>
      <w:tr w:rsidR="00DB4129" w:rsidRPr="00B23300" w14:paraId="6CBD09BA" w14:textId="77777777" w:rsidTr="003E491D">
        <w:tc>
          <w:tcPr>
            <w:tcW w:w="1890" w:type="dxa"/>
            <w:vAlign w:val="bottom"/>
          </w:tcPr>
          <w:p w14:paraId="4A6514B8" w14:textId="6BA6EDE9" w:rsidR="00DB4129" w:rsidRPr="00B23300" w:rsidRDefault="00DB4129" w:rsidP="00D47A3D">
            <w:r w:rsidRPr="00B23300">
              <w:t>DP</w:t>
            </w:r>
          </w:p>
        </w:tc>
        <w:tc>
          <w:tcPr>
            <w:tcW w:w="6604" w:type="dxa"/>
            <w:vAlign w:val="bottom"/>
          </w:tcPr>
          <w:p w14:paraId="22D8A84B" w14:textId="534C2784" w:rsidR="00DB4129" w:rsidRPr="00B23300" w:rsidRDefault="00DB4129" w:rsidP="00D47A3D">
            <w:r w:rsidRPr="00B23300">
              <w:t>Drug product</w:t>
            </w:r>
          </w:p>
        </w:tc>
      </w:tr>
      <w:tr w:rsidR="00DB4129" w:rsidRPr="00B23300" w14:paraId="0E6ACBE2" w14:textId="77777777" w:rsidTr="003E491D">
        <w:tc>
          <w:tcPr>
            <w:tcW w:w="1890" w:type="dxa"/>
            <w:vAlign w:val="bottom"/>
          </w:tcPr>
          <w:p w14:paraId="43F9A556" w14:textId="24770216" w:rsidR="00DB4129" w:rsidRPr="00B23300" w:rsidRDefault="00DB4129" w:rsidP="00D47A3D">
            <w:r w:rsidRPr="00B23300">
              <w:t>DS</w:t>
            </w:r>
          </w:p>
        </w:tc>
        <w:tc>
          <w:tcPr>
            <w:tcW w:w="6604" w:type="dxa"/>
            <w:vAlign w:val="bottom"/>
          </w:tcPr>
          <w:p w14:paraId="5B48AEE7" w14:textId="4DE3B40C" w:rsidR="00DB4129" w:rsidRPr="00B23300" w:rsidRDefault="00DB4129" w:rsidP="00D47A3D">
            <w:r w:rsidRPr="00B23300">
              <w:t>Drug substance</w:t>
            </w:r>
          </w:p>
        </w:tc>
      </w:tr>
      <w:tr w:rsidR="00DE3231" w:rsidRPr="00B23300" w14:paraId="67AD029E" w14:textId="77777777" w:rsidTr="003E491D">
        <w:tc>
          <w:tcPr>
            <w:tcW w:w="1890" w:type="dxa"/>
            <w:vAlign w:val="bottom"/>
          </w:tcPr>
          <w:p w14:paraId="63B3AE7D" w14:textId="211EC78C" w:rsidR="00DE3231" w:rsidRPr="00B23300" w:rsidRDefault="00DE3231" w:rsidP="00D47A3D">
            <w:r w:rsidRPr="00B23300">
              <w:t>ECG</w:t>
            </w:r>
          </w:p>
        </w:tc>
        <w:tc>
          <w:tcPr>
            <w:tcW w:w="6604" w:type="dxa"/>
            <w:vAlign w:val="bottom"/>
          </w:tcPr>
          <w:p w14:paraId="7F39CE51" w14:textId="681E643C" w:rsidR="00DE3231" w:rsidRPr="00B23300" w:rsidRDefault="00056ECA" w:rsidP="00DE3231">
            <w:r w:rsidRPr="00B23300">
              <w:t>Electrocardiogram</w:t>
            </w:r>
          </w:p>
        </w:tc>
      </w:tr>
      <w:tr w:rsidR="00073999" w:rsidRPr="00B23300" w14:paraId="4693D3FA" w14:textId="77777777" w:rsidTr="003E491D">
        <w:tc>
          <w:tcPr>
            <w:tcW w:w="1890" w:type="dxa"/>
            <w:vAlign w:val="bottom"/>
          </w:tcPr>
          <w:p w14:paraId="696E21A6" w14:textId="712DA953" w:rsidR="00073999" w:rsidRPr="00B23300" w:rsidRDefault="00073999" w:rsidP="00D47A3D">
            <w:r w:rsidRPr="00B23300">
              <w:t>ELISA</w:t>
            </w:r>
          </w:p>
        </w:tc>
        <w:tc>
          <w:tcPr>
            <w:tcW w:w="6604" w:type="dxa"/>
            <w:vAlign w:val="bottom"/>
          </w:tcPr>
          <w:p w14:paraId="410DB98B" w14:textId="246840F0" w:rsidR="00073999" w:rsidRPr="00B23300" w:rsidRDefault="00073999" w:rsidP="00073999">
            <w:r w:rsidRPr="00B23300">
              <w:t>En</w:t>
            </w:r>
            <w:r w:rsidR="00056ECA" w:rsidRPr="00B23300">
              <w:t>zyme linked immunosorbent assay</w:t>
            </w:r>
          </w:p>
        </w:tc>
      </w:tr>
      <w:tr w:rsidR="00AC3F58" w:rsidRPr="00B23300" w14:paraId="22953264" w14:textId="77777777" w:rsidTr="003E491D">
        <w:tc>
          <w:tcPr>
            <w:tcW w:w="1890" w:type="dxa"/>
            <w:vAlign w:val="bottom"/>
          </w:tcPr>
          <w:p w14:paraId="3EEF7202" w14:textId="50BAF54E" w:rsidR="00AC3F58" w:rsidRPr="00B23300" w:rsidRDefault="00AC3F58" w:rsidP="00D47A3D">
            <w:r w:rsidRPr="00B23300">
              <w:t>EMA</w:t>
            </w:r>
          </w:p>
        </w:tc>
        <w:tc>
          <w:tcPr>
            <w:tcW w:w="6604" w:type="dxa"/>
            <w:vAlign w:val="bottom"/>
          </w:tcPr>
          <w:p w14:paraId="02F59657" w14:textId="2FC29EE3" w:rsidR="00AC3F58" w:rsidRPr="00B23300" w:rsidRDefault="00056ECA" w:rsidP="00D47A3D">
            <w:r w:rsidRPr="00B23300">
              <w:t>European Medicines Agency</w:t>
            </w:r>
            <w:r w:rsidR="007509E7">
              <w:t xml:space="preserve"> (European Union)</w:t>
            </w:r>
          </w:p>
        </w:tc>
      </w:tr>
      <w:tr w:rsidR="00AC3F58" w:rsidRPr="00B23300" w14:paraId="74716253" w14:textId="77777777" w:rsidTr="003E491D">
        <w:tc>
          <w:tcPr>
            <w:tcW w:w="1890" w:type="dxa"/>
            <w:vAlign w:val="bottom"/>
          </w:tcPr>
          <w:p w14:paraId="1C5AF08D" w14:textId="3CD5F381" w:rsidR="00AC3F58" w:rsidRPr="00B23300" w:rsidRDefault="00AC3F58" w:rsidP="00D47A3D">
            <w:r w:rsidRPr="00B23300">
              <w:t>ESR</w:t>
            </w:r>
          </w:p>
        </w:tc>
        <w:tc>
          <w:tcPr>
            <w:tcW w:w="6604" w:type="dxa"/>
            <w:vAlign w:val="bottom"/>
          </w:tcPr>
          <w:p w14:paraId="67CB11A9" w14:textId="5F94BD4A" w:rsidR="00AC3F58" w:rsidRPr="00B23300" w:rsidRDefault="00AC3F58" w:rsidP="00D47A3D">
            <w:r w:rsidRPr="00B23300">
              <w:t xml:space="preserve">Erythrocyte </w:t>
            </w:r>
            <w:r w:rsidR="00397F63" w:rsidRPr="00B23300">
              <w:t>sedimentation ratio</w:t>
            </w:r>
          </w:p>
        </w:tc>
      </w:tr>
      <w:tr w:rsidR="00AC3F58" w:rsidRPr="00B23300" w14:paraId="0ABACC2C" w14:textId="77777777" w:rsidTr="003E491D">
        <w:tc>
          <w:tcPr>
            <w:tcW w:w="1890" w:type="dxa"/>
            <w:vAlign w:val="bottom"/>
          </w:tcPr>
          <w:p w14:paraId="131F3FCE" w14:textId="3B37789F" w:rsidR="00AC3F58" w:rsidRPr="00B23300" w:rsidRDefault="00AC3F58" w:rsidP="00D47A3D">
            <w:r w:rsidRPr="00B23300">
              <w:t>EU</w:t>
            </w:r>
          </w:p>
        </w:tc>
        <w:tc>
          <w:tcPr>
            <w:tcW w:w="6604" w:type="dxa"/>
            <w:vAlign w:val="bottom"/>
          </w:tcPr>
          <w:p w14:paraId="30DF89EB" w14:textId="5A1B2DEC" w:rsidR="00AC3F58" w:rsidRPr="00B23300" w:rsidRDefault="00AC3F58" w:rsidP="00D47A3D">
            <w:r w:rsidRPr="00B23300">
              <w:t>European Union</w:t>
            </w:r>
          </w:p>
        </w:tc>
      </w:tr>
      <w:tr w:rsidR="00AC3F58" w:rsidRPr="00B23300" w14:paraId="5A29E637" w14:textId="77777777" w:rsidTr="003E491D">
        <w:tc>
          <w:tcPr>
            <w:tcW w:w="1890" w:type="dxa"/>
            <w:vAlign w:val="bottom"/>
          </w:tcPr>
          <w:p w14:paraId="6AD0E788" w14:textId="1471A36D" w:rsidR="00AC3F58" w:rsidRPr="00B23300" w:rsidRDefault="00AC3F58" w:rsidP="00D47A3D">
            <w:r w:rsidRPr="00B23300">
              <w:t>EULAR</w:t>
            </w:r>
          </w:p>
        </w:tc>
        <w:tc>
          <w:tcPr>
            <w:tcW w:w="6604" w:type="dxa"/>
            <w:vAlign w:val="bottom"/>
          </w:tcPr>
          <w:p w14:paraId="6B4F3ED2" w14:textId="421535D2" w:rsidR="00AC3F58" w:rsidRPr="00B23300" w:rsidRDefault="00C164BC" w:rsidP="00D47A3D">
            <w:r w:rsidRPr="00B23300">
              <w:t>European League Against Rheumatism</w:t>
            </w:r>
          </w:p>
        </w:tc>
      </w:tr>
      <w:tr w:rsidR="00AC3F58" w:rsidRPr="00B23300" w14:paraId="1D28D4D0" w14:textId="77777777" w:rsidTr="003E491D">
        <w:tc>
          <w:tcPr>
            <w:tcW w:w="1890" w:type="dxa"/>
            <w:vAlign w:val="bottom"/>
          </w:tcPr>
          <w:p w14:paraId="09F94157" w14:textId="4278F818" w:rsidR="00AC3F58" w:rsidRPr="00B23300" w:rsidRDefault="00AC3F58" w:rsidP="00D47A3D">
            <w:r w:rsidRPr="00B23300">
              <w:t>FAS</w:t>
            </w:r>
          </w:p>
        </w:tc>
        <w:tc>
          <w:tcPr>
            <w:tcW w:w="6604" w:type="dxa"/>
            <w:vAlign w:val="bottom"/>
          </w:tcPr>
          <w:p w14:paraId="3A4C536A" w14:textId="1E71C41D" w:rsidR="00AC3F58" w:rsidRPr="00B23300" w:rsidRDefault="00AC3F58" w:rsidP="00D47A3D">
            <w:r w:rsidRPr="00B23300">
              <w:t xml:space="preserve">Full </w:t>
            </w:r>
            <w:r w:rsidR="0001086D" w:rsidRPr="00B23300">
              <w:t>analysis set</w:t>
            </w:r>
          </w:p>
        </w:tc>
      </w:tr>
      <w:tr w:rsidR="00EF5F95" w:rsidRPr="00B23300" w14:paraId="39E06F6E" w14:textId="77777777" w:rsidTr="003E491D">
        <w:tc>
          <w:tcPr>
            <w:tcW w:w="1890" w:type="dxa"/>
            <w:vAlign w:val="bottom"/>
          </w:tcPr>
          <w:p w14:paraId="4D7340A6" w14:textId="2A65BA19" w:rsidR="00EF5F95" w:rsidRPr="00B23300" w:rsidRDefault="00EF5F95" w:rsidP="00D47A3D">
            <w:r w:rsidRPr="00B23300">
              <w:t>Fc</w:t>
            </w:r>
          </w:p>
        </w:tc>
        <w:tc>
          <w:tcPr>
            <w:tcW w:w="6604" w:type="dxa"/>
            <w:vAlign w:val="bottom"/>
          </w:tcPr>
          <w:p w14:paraId="59840C80" w14:textId="6E88E9B0" w:rsidR="00EF5F95" w:rsidRPr="00B23300" w:rsidRDefault="00EF5F95" w:rsidP="00EF5F95">
            <w:r w:rsidRPr="00B23300">
              <w:t>Fragment crystallisable</w:t>
            </w:r>
          </w:p>
        </w:tc>
      </w:tr>
      <w:tr w:rsidR="00DC0113" w:rsidRPr="00B23300" w14:paraId="62643224" w14:textId="77777777" w:rsidTr="003E491D">
        <w:tc>
          <w:tcPr>
            <w:tcW w:w="1890" w:type="dxa"/>
            <w:vAlign w:val="bottom"/>
          </w:tcPr>
          <w:p w14:paraId="40DFA754" w14:textId="519C9668" w:rsidR="00DC0113" w:rsidRPr="00B23300" w:rsidRDefault="00DC0113" w:rsidP="00D47A3D">
            <w:r w:rsidRPr="00B23300">
              <w:t>FLR</w:t>
            </w:r>
          </w:p>
        </w:tc>
        <w:tc>
          <w:tcPr>
            <w:tcW w:w="6604" w:type="dxa"/>
            <w:vAlign w:val="bottom"/>
          </w:tcPr>
          <w:p w14:paraId="5F23258B" w14:textId="6BEDFD7B" w:rsidR="00DC0113" w:rsidRPr="00B23300" w:rsidRDefault="00DC0113" w:rsidP="00EF5F95">
            <w:r w:rsidRPr="00B23300">
              <w:t>Fluorescence</w:t>
            </w:r>
          </w:p>
        </w:tc>
      </w:tr>
      <w:tr w:rsidR="00CA0E6B" w:rsidRPr="00B23300" w14:paraId="653F0890" w14:textId="77777777" w:rsidTr="003E491D">
        <w:tc>
          <w:tcPr>
            <w:tcW w:w="1890" w:type="dxa"/>
            <w:vAlign w:val="bottom"/>
          </w:tcPr>
          <w:p w14:paraId="23C870DC" w14:textId="66516068" w:rsidR="00CA0E6B" w:rsidRPr="00B23300" w:rsidRDefault="00CA0E6B" w:rsidP="00D47A3D">
            <w:r w:rsidRPr="00B23300">
              <w:t>GCP</w:t>
            </w:r>
          </w:p>
        </w:tc>
        <w:tc>
          <w:tcPr>
            <w:tcW w:w="6604" w:type="dxa"/>
            <w:vAlign w:val="bottom"/>
          </w:tcPr>
          <w:p w14:paraId="5B9E5C12" w14:textId="23A3CB24" w:rsidR="00CA0E6B" w:rsidRPr="00B23300" w:rsidRDefault="00CA0E6B" w:rsidP="00EF5F95">
            <w:r w:rsidRPr="00B23300">
              <w:t xml:space="preserve">Good </w:t>
            </w:r>
            <w:r w:rsidR="00551193" w:rsidRPr="00B23300">
              <w:t>C</w:t>
            </w:r>
            <w:r w:rsidRPr="00B23300">
              <w:t xml:space="preserve">linical </w:t>
            </w:r>
            <w:r w:rsidR="00551193" w:rsidRPr="00B23300">
              <w:t>P</w:t>
            </w:r>
            <w:r w:rsidRPr="00B23300">
              <w:t>ractice</w:t>
            </w:r>
          </w:p>
        </w:tc>
      </w:tr>
      <w:tr w:rsidR="009B5FF0" w:rsidRPr="00B23300" w14:paraId="0495F3F0" w14:textId="77777777" w:rsidTr="003E491D">
        <w:tc>
          <w:tcPr>
            <w:tcW w:w="1890" w:type="dxa"/>
            <w:vAlign w:val="bottom"/>
          </w:tcPr>
          <w:p w14:paraId="06465FAF" w14:textId="0608EFB5" w:rsidR="009B5FF0" w:rsidRPr="00B23300" w:rsidRDefault="009B5FF0" w:rsidP="00D47A3D">
            <w:r w:rsidRPr="00B23300">
              <w:t>GGT</w:t>
            </w:r>
          </w:p>
        </w:tc>
        <w:tc>
          <w:tcPr>
            <w:tcW w:w="6604" w:type="dxa"/>
            <w:vAlign w:val="bottom"/>
          </w:tcPr>
          <w:p w14:paraId="54D182DB" w14:textId="20CB6521" w:rsidR="009B5FF0" w:rsidRPr="00B23300" w:rsidRDefault="009B5FF0" w:rsidP="009B5FF0">
            <w:r w:rsidRPr="00B23300">
              <w:t xml:space="preserve">Gamma </w:t>
            </w:r>
            <w:proofErr w:type="spellStart"/>
            <w:r w:rsidRPr="00B23300">
              <w:t>glutamyl</w:t>
            </w:r>
            <w:proofErr w:type="spellEnd"/>
            <w:r w:rsidRPr="00B23300">
              <w:t xml:space="preserve"> </w:t>
            </w:r>
            <w:proofErr w:type="spellStart"/>
            <w:r w:rsidRPr="00B23300">
              <w:t>transpeptidase</w:t>
            </w:r>
            <w:proofErr w:type="spellEnd"/>
          </w:p>
        </w:tc>
      </w:tr>
      <w:tr w:rsidR="00533790" w:rsidRPr="00B23300" w14:paraId="4FDF16B0" w14:textId="77777777" w:rsidTr="003E491D">
        <w:tc>
          <w:tcPr>
            <w:tcW w:w="1890" w:type="dxa"/>
            <w:vAlign w:val="bottom"/>
          </w:tcPr>
          <w:p w14:paraId="6B430A92" w14:textId="0FF7EF82" w:rsidR="00533790" w:rsidRPr="00B23300" w:rsidRDefault="00533790" w:rsidP="00D47A3D">
            <w:r w:rsidRPr="00B23300">
              <w:t>GMP</w:t>
            </w:r>
          </w:p>
        </w:tc>
        <w:tc>
          <w:tcPr>
            <w:tcW w:w="6604" w:type="dxa"/>
            <w:vAlign w:val="bottom"/>
          </w:tcPr>
          <w:p w14:paraId="05F98139" w14:textId="25BF047F" w:rsidR="00533790" w:rsidRPr="00B23300" w:rsidRDefault="00533790" w:rsidP="00533790">
            <w:r w:rsidRPr="00B23300">
              <w:t xml:space="preserve">Good </w:t>
            </w:r>
            <w:r w:rsidR="00551193" w:rsidRPr="00B23300">
              <w:t>M</w:t>
            </w:r>
            <w:r w:rsidRPr="00B23300">
              <w:t xml:space="preserve">anufacturing </w:t>
            </w:r>
            <w:r w:rsidR="00551193" w:rsidRPr="00B23300">
              <w:t>P</w:t>
            </w:r>
            <w:r w:rsidRPr="00B23300">
              <w:t>ractices</w:t>
            </w:r>
          </w:p>
        </w:tc>
      </w:tr>
      <w:tr w:rsidR="002020C3" w:rsidRPr="00B23300" w14:paraId="37B2CEFE" w14:textId="77777777" w:rsidTr="003E491D">
        <w:tc>
          <w:tcPr>
            <w:tcW w:w="1890" w:type="dxa"/>
            <w:vAlign w:val="bottom"/>
          </w:tcPr>
          <w:p w14:paraId="61A90899" w14:textId="255CA584" w:rsidR="002020C3" w:rsidRPr="00B23300" w:rsidRDefault="002020C3" w:rsidP="00D47A3D">
            <w:r w:rsidRPr="00B23300">
              <w:t>GVP</w:t>
            </w:r>
          </w:p>
        </w:tc>
        <w:tc>
          <w:tcPr>
            <w:tcW w:w="6604" w:type="dxa"/>
            <w:vAlign w:val="bottom"/>
          </w:tcPr>
          <w:p w14:paraId="2CBBB245" w14:textId="2190E455" w:rsidR="002020C3" w:rsidRPr="00B23300" w:rsidRDefault="002020C3" w:rsidP="002020C3">
            <w:r w:rsidRPr="00B23300">
              <w:t>G</w:t>
            </w:r>
            <w:r w:rsidR="00D42CE8" w:rsidRPr="00B23300">
              <w:t>ood Pharmacovigilance Practices</w:t>
            </w:r>
          </w:p>
        </w:tc>
      </w:tr>
      <w:tr w:rsidR="00372C66" w:rsidRPr="00B23300" w14:paraId="2B982759" w14:textId="77777777" w:rsidTr="003E491D">
        <w:tc>
          <w:tcPr>
            <w:tcW w:w="1890" w:type="dxa"/>
            <w:vAlign w:val="bottom"/>
          </w:tcPr>
          <w:p w14:paraId="15175281" w14:textId="7907502F" w:rsidR="00372C66" w:rsidRPr="00B23300" w:rsidRDefault="00372C66" w:rsidP="00D47A3D">
            <w:r w:rsidRPr="00B23300">
              <w:t>HAQ-DI</w:t>
            </w:r>
          </w:p>
        </w:tc>
        <w:tc>
          <w:tcPr>
            <w:tcW w:w="6604" w:type="dxa"/>
            <w:vAlign w:val="bottom"/>
          </w:tcPr>
          <w:p w14:paraId="3AC4D124" w14:textId="7BC21C0C" w:rsidR="00372C66" w:rsidRPr="00B23300" w:rsidRDefault="00372C66" w:rsidP="00372C66">
            <w:r w:rsidRPr="00B23300">
              <w:t xml:space="preserve">Health </w:t>
            </w:r>
            <w:r w:rsidR="007509E7">
              <w:t>A</w:t>
            </w:r>
            <w:r w:rsidRPr="00B23300">
              <w:t xml:space="preserve">ssessment </w:t>
            </w:r>
            <w:r w:rsidR="007509E7">
              <w:t>Q</w:t>
            </w:r>
            <w:r w:rsidRPr="00B23300">
              <w:t>uestionnaire</w:t>
            </w:r>
            <w:r w:rsidR="007509E7">
              <w:t>-D</w:t>
            </w:r>
            <w:r w:rsidRPr="00B23300">
              <w:t xml:space="preserve">isability </w:t>
            </w:r>
            <w:r w:rsidR="007509E7">
              <w:t>I</w:t>
            </w:r>
            <w:r w:rsidRPr="00B23300">
              <w:t>ndex</w:t>
            </w:r>
          </w:p>
        </w:tc>
      </w:tr>
      <w:tr w:rsidR="00DC0113" w:rsidRPr="00B23300" w14:paraId="4A732909" w14:textId="77777777" w:rsidTr="003E491D">
        <w:tc>
          <w:tcPr>
            <w:tcW w:w="1890" w:type="dxa"/>
            <w:vAlign w:val="bottom"/>
          </w:tcPr>
          <w:p w14:paraId="75D0ECA1" w14:textId="5B8D5FC3" w:rsidR="00DC0113" w:rsidRPr="00B23300" w:rsidRDefault="00DC0113" w:rsidP="00DC0113">
            <w:r w:rsidRPr="00B23300">
              <w:t>HILIC</w:t>
            </w:r>
          </w:p>
        </w:tc>
        <w:tc>
          <w:tcPr>
            <w:tcW w:w="6604" w:type="dxa"/>
            <w:vAlign w:val="bottom"/>
          </w:tcPr>
          <w:p w14:paraId="6B12C742" w14:textId="2B91A4FE" w:rsidR="00DC0113" w:rsidRPr="00B23300" w:rsidRDefault="00DC0113" w:rsidP="00DC0113">
            <w:r w:rsidRPr="00B23300">
              <w:t>Hydrophilic interaction liquid chromatography</w:t>
            </w:r>
          </w:p>
        </w:tc>
      </w:tr>
      <w:tr w:rsidR="00093721" w:rsidRPr="00B23300" w14:paraId="267EFBBA" w14:textId="77777777" w:rsidTr="003E491D">
        <w:tc>
          <w:tcPr>
            <w:tcW w:w="1890" w:type="dxa"/>
            <w:vAlign w:val="bottom"/>
          </w:tcPr>
          <w:p w14:paraId="0E1CAF9C" w14:textId="28C60C56" w:rsidR="00093721" w:rsidRPr="00B23300" w:rsidRDefault="00093721" w:rsidP="00D47A3D">
            <w:r w:rsidRPr="00B23300">
              <w:t>HLA</w:t>
            </w:r>
          </w:p>
        </w:tc>
        <w:tc>
          <w:tcPr>
            <w:tcW w:w="6604" w:type="dxa"/>
            <w:vAlign w:val="bottom"/>
          </w:tcPr>
          <w:p w14:paraId="7D89B202" w14:textId="358E6E5B" w:rsidR="00093721" w:rsidRPr="00B23300" w:rsidRDefault="00093721" w:rsidP="00093721">
            <w:r w:rsidRPr="00B23300">
              <w:t>Human leu</w:t>
            </w:r>
            <w:r w:rsidR="007509E7">
              <w:t>k</w:t>
            </w:r>
            <w:r w:rsidRPr="00B23300">
              <w:t>ocyte antigen</w:t>
            </w:r>
          </w:p>
        </w:tc>
      </w:tr>
      <w:tr w:rsidR="00ED0BA0" w:rsidRPr="00B23300" w14:paraId="10E17702" w14:textId="77777777" w:rsidTr="003E491D">
        <w:tc>
          <w:tcPr>
            <w:tcW w:w="1890" w:type="dxa"/>
            <w:vAlign w:val="bottom"/>
          </w:tcPr>
          <w:p w14:paraId="043C26FC" w14:textId="719F368C" w:rsidR="00ED0BA0" w:rsidRPr="00B23300" w:rsidRDefault="00ED0BA0" w:rsidP="00D47A3D">
            <w:r>
              <w:t>IFU</w:t>
            </w:r>
          </w:p>
        </w:tc>
        <w:tc>
          <w:tcPr>
            <w:tcW w:w="6604" w:type="dxa"/>
            <w:vAlign w:val="bottom"/>
          </w:tcPr>
          <w:p w14:paraId="12B04F5E" w14:textId="75F521D6" w:rsidR="00ED0BA0" w:rsidRPr="00B23300" w:rsidRDefault="00ED0BA0" w:rsidP="00093721">
            <w:r>
              <w:t>Instructions for Use</w:t>
            </w:r>
          </w:p>
        </w:tc>
      </w:tr>
      <w:tr w:rsidR="00EF5F95" w:rsidRPr="00B23300" w14:paraId="4D59DDDF" w14:textId="77777777" w:rsidTr="003E491D">
        <w:tc>
          <w:tcPr>
            <w:tcW w:w="1890" w:type="dxa"/>
            <w:vAlign w:val="bottom"/>
          </w:tcPr>
          <w:p w14:paraId="78B2527F" w14:textId="45E09A00" w:rsidR="00EF5F95" w:rsidRPr="00B23300" w:rsidRDefault="00EF5F95" w:rsidP="00D47A3D">
            <w:r w:rsidRPr="00B23300">
              <w:t>IgG</w:t>
            </w:r>
          </w:p>
        </w:tc>
        <w:tc>
          <w:tcPr>
            <w:tcW w:w="6604" w:type="dxa"/>
            <w:vAlign w:val="bottom"/>
          </w:tcPr>
          <w:p w14:paraId="6C13C42D" w14:textId="71A43A0B" w:rsidR="00EF5F95" w:rsidRPr="00B23300" w:rsidRDefault="008D51B6" w:rsidP="00EF5F95">
            <w:r>
              <w:t>I</w:t>
            </w:r>
            <w:r w:rsidR="00EF5F95" w:rsidRPr="00B23300">
              <w:t>mmunoglobulin G</w:t>
            </w:r>
          </w:p>
        </w:tc>
      </w:tr>
      <w:tr w:rsidR="00AC3F58" w:rsidRPr="00B23300" w14:paraId="68123F9F" w14:textId="77777777" w:rsidTr="003E491D">
        <w:tc>
          <w:tcPr>
            <w:tcW w:w="1890" w:type="dxa"/>
            <w:vAlign w:val="bottom"/>
          </w:tcPr>
          <w:p w14:paraId="252B168D" w14:textId="1F1FB29F" w:rsidR="00AC3F58" w:rsidRPr="00B23300" w:rsidRDefault="00AC3F58" w:rsidP="00D47A3D">
            <w:r w:rsidRPr="00B23300">
              <w:t>ISR</w:t>
            </w:r>
          </w:p>
        </w:tc>
        <w:tc>
          <w:tcPr>
            <w:tcW w:w="6604" w:type="dxa"/>
            <w:vAlign w:val="bottom"/>
          </w:tcPr>
          <w:p w14:paraId="010CEDFA" w14:textId="2F0248DB" w:rsidR="00AC3F58" w:rsidRPr="00B23300" w:rsidRDefault="00AC3F58" w:rsidP="00D47A3D">
            <w:r w:rsidRPr="00B23300">
              <w:t xml:space="preserve">Injection </w:t>
            </w:r>
            <w:r w:rsidR="00117B5B" w:rsidRPr="00B23300">
              <w:t>site reaction</w:t>
            </w:r>
          </w:p>
        </w:tc>
      </w:tr>
      <w:tr w:rsidR="00AC3F58" w:rsidRPr="00B23300" w14:paraId="3F520A18" w14:textId="77777777" w:rsidTr="003E491D">
        <w:tc>
          <w:tcPr>
            <w:tcW w:w="1890" w:type="dxa"/>
            <w:vAlign w:val="bottom"/>
          </w:tcPr>
          <w:p w14:paraId="466132F9" w14:textId="495A12C2" w:rsidR="00AC3F58" w:rsidRPr="00B23300" w:rsidRDefault="00AC3F58" w:rsidP="00D47A3D">
            <w:r w:rsidRPr="00B23300">
              <w:t>JIA</w:t>
            </w:r>
          </w:p>
        </w:tc>
        <w:tc>
          <w:tcPr>
            <w:tcW w:w="6604" w:type="dxa"/>
            <w:vAlign w:val="bottom"/>
          </w:tcPr>
          <w:p w14:paraId="19ED4A8F" w14:textId="198CE02B" w:rsidR="00AC3F58" w:rsidRPr="00B23300" w:rsidRDefault="00AC3F58" w:rsidP="00D47A3D">
            <w:r w:rsidRPr="00B23300">
              <w:t xml:space="preserve">Juvenile </w:t>
            </w:r>
            <w:r w:rsidR="00B2558F" w:rsidRPr="00B23300">
              <w:t>idiopathic arthritis</w:t>
            </w:r>
          </w:p>
        </w:tc>
      </w:tr>
      <w:tr w:rsidR="00093050" w:rsidRPr="00B23300" w14:paraId="1F61F632" w14:textId="77777777" w:rsidTr="003E491D">
        <w:tc>
          <w:tcPr>
            <w:tcW w:w="1890" w:type="dxa"/>
            <w:vAlign w:val="bottom"/>
          </w:tcPr>
          <w:p w14:paraId="1A8A9342" w14:textId="78105F82" w:rsidR="00093050" w:rsidRPr="00B23300" w:rsidRDefault="0006160B" w:rsidP="0006160B">
            <w:proofErr w:type="spellStart"/>
            <w:r w:rsidRPr="00B23300">
              <w:t>K</w:t>
            </w:r>
            <w:r w:rsidRPr="00CF5F1B">
              <w:rPr>
                <w:vertAlign w:val="subscript"/>
              </w:rPr>
              <w:t>d</w:t>
            </w:r>
            <w:proofErr w:type="spellEnd"/>
          </w:p>
        </w:tc>
        <w:tc>
          <w:tcPr>
            <w:tcW w:w="6604" w:type="dxa"/>
            <w:vAlign w:val="bottom"/>
          </w:tcPr>
          <w:p w14:paraId="5140008D" w14:textId="337E5A3B" w:rsidR="00093050" w:rsidRPr="00B23300" w:rsidRDefault="0006160B" w:rsidP="00D47A3D">
            <w:r>
              <w:t>Disassociation constant</w:t>
            </w:r>
          </w:p>
        </w:tc>
      </w:tr>
      <w:tr w:rsidR="00AC3F58" w:rsidRPr="00B23300" w14:paraId="18A36234" w14:textId="77777777" w:rsidTr="003E491D">
        <w:tc>
          <w:tcPr>
            <w:tcW w:w="1890" w:type="dxa"/>
            <w:vAlign w:val="bottom"/>
          </w:tcPr>
          <w:p w14:paraId="40BC484C" w14:textId="4EFB1C56" w:rsidR="00AC3F58" w:rsidRPr="00B23300" w:rsidRDefault="00AC3F58" w:rsidP="00D47A3D">
            <w:r w:rsidRPr="00B23300">
              <w:t>LS</w:t>
            </w:r>
          </w:p>
        </w:tc>
        <w:tc>
          <w:tcPr>
            <w:tcW w:w="6604" w:type="dxa"/>
            <w:vAlign w:val="bottom"/>
          </w:tcPr>
          <w:p w14:paraId="122E6347" w14:textId="3D12E402" w:rsidR="00AC3F58" w:rsidRPr="00B23300" w:rsidRDefault="00AC3F58" w:rsidP="00D47A3D">
            <w:r w:rsidRPr="00B23300">
              <w:t xml:space="preserve">Least </w:t>
            </w:r>
            <w:r w:rsidR="00EF6DC4" w:rsidRPr="00B23300">
              <w:t>square</w:t>
            </w:r>
          </w:p>
        </w:tc>
      </w:tr>
      <w:tr w:rsidR="00AC3F58" w:rsidRPr="00B23300" w14:paraId="7246919C" w14:textId="77777777" w:rsidTr="003E491D">
        <w:tc>
          <w:tcPr>
            <w:tcW w:w="1890" w:type="dxa"/>
            <w:vAlign w:val="bottom"/>
          </w:tcPr>
          <w:p w14:paraId="0C2D9C00" w14:textId="184CFC0B" w:rsidR="00AC3F58" w:rsidRPr="00B23300" w:rsidRDefault="00AC3F58" w:rsidP="00D47A3D">
            <w:r w:rsidRPr="00B23300">
              <w:t>MI</w:t>
            </w:r>
          </w:p>
        </w:tc>
        <w:tc>
          <w:tcPr>
            <w:tcW w:w="6604" w:type="dxa"/>
            <w:vAlign w:val="bottom"/>
          </w:tcPr>
          <w:p w14:paraId="4CC66612" w14:textId="522DCB8B" w:rsidR="00AC3F58" w:rsidRPr="00B23300" w:rsidRDefault="00AC3F58" w:rsidP="00056ECA">
            <w:r w:rsidRPr="00B23300">
              <w:t xml:space="preserve">Multiple </w:t>
            </w:r>
            <w:r w:rsidR="00A75C14" w:rsidRPr="00B23300">
              <w:t>imputation</w:t>
            </w:r>
          </w:p>
        </w:tc>
      </w:tr>
      <w:tr w:rsidR="00182335" w:rsidRPr="00B23300" w14:paraId="04DC928D" w14:textId="77777777" w:rsidTr="003E491D">
        <w:tc>
          <w:tcPr>
            <w:tcW w:w="1890" w:type="dxa"/>
            <w:vAlign w:val="bottom"/>
          </w:tcPr>
          <w:p w14:paraId="29C4A47F" w14:textId="794A8F6D" w:rsidR="00182335" w:rsidRPr="00B23300" w:rsidRDefault="00182335" w:rsidP="00D47A3D">
            <w:r w:rsidRPr="00B23300">
              <w:t>MRI</w:t>
            </w:r>
          </w:p>
        </w:tc>
        <w:tc>
          <w:tcPr>
            <w:tcW w:w="6604" w:type="dxa"/>
            <w:vAlign w:val="bottom"/>
          </w:tcPr>
          <w:p w14:paraId="77E770BA" w14:textId="45DA8D0B" w:rsidR="00182335" w:rsidRPr="00B23300" w:rsidRDefault="00182335" w:rsidP="00D47A3D">
            <w:r w:rsidRPr="00B23300">
              <w:t>Magnetic resonance imaging</w:t>
            </w:r>
          </w:p>
        </w:tc>
      </w:tr>
      <w:tr w:rsidR="00EF7079" w:rsidRPr="00B23300" w14:paraId="12F214AF" w14:textId="77777777" w:rsidTr="003E491D">
        <w:tc>
          <w:tcPr>
            <w:tcW w:w="1890" w:type="dxa"/>
            <w:vAlign w:val="bottom"/>
          </w:tcPr>
          <w:p w14:paraId="661281D0" w14:textId="2F16B189" w:rsidR="00EF7079" w:rsidRPr="00B23300" w:rsidRDefault="00EF7079" w:rsidP="00D47A3D">
            <w:r w:rsidRPr="00B23300">
              <w:t>MSD-ECL</w:t>
            </w:r>
          </w:p>
        </w:tc>
        <w:tc>
          <w:tcPr>
            <w:tcW w:w="6604" w:type="dxa"/>
            <w:vAlign w:val="bottom"/>
          </w:tcPr>
          <w:p w14:paraId="6F0AF8A7" w14:textId="67A12EE2" w:rsidR="00EF7079" w:rsidRPr="00B23300" w:rsidRDefault="00EF7079" w:rsidP="00EF7079">
            <w:proofErr w:type="spellStart"/>
            <w:r w:rsidRPr="00B23300">
              <w:t>Meso</w:t>
            </w:r>
            <w:proofErr w:type="spellEnd"/>
            <w:r w:rsidRPr="00B23300">
              <w:t xml:space="preserve"> scale discovery bri</w:t>
            </w:r>
            <w:r w:rsidR="00056ECA" w:rsidRPr="00B23300">
              <w:t>dging electro-</w:t>
            </w:r>
            <w:proofErr w:type="spellStart"/>
            <w:r w:rsidR="00056ECA" w:rsidRPr="00B23300">
              <w:t>chemiluminescence</w:t>
            </w:r>
            <w:proofErr w:type="spellEnd"/>
          </w:p>
        </w:tc>
      </w:tr>
      <w:tr w:rsidR="00AC3F58" w:rsidRPr="00B23300" w14:paraId="3A8D7990" w14:textId="77777777" w:rsidTr="003E491D">
        <w:tc>
          <w:tcPr>
            <w:tcW w:w="1890" w:type="dxa"/>
            <w:vAlign w:val="bottom"/>
          </w:tcPr>
          <w:p w14:paraId="7D95D8F4" w14:textId="607D69BE" w:rsidR="00AC3F58" w:rsidRPr="00B23300" w:rsidRDefault="00AC3F58" w:rsidP="00D47A3D">
            <w:r w:rsidRPr="00B23300">
              <w:t>MTX</w:t>
            </w:r>
          </w:p>
        </w:tc>
        <w:tc>
          <w:tcPr>
            <w:tcW w:w="6604" w:type="dxa"/>
            <w:vAlign w:val="bottom"/>
          </w:tcPr>
          <w:p w14:paraId="78B10804" w14:textId="464E9576" w:rsidR="00AC3F58" w:rsidRPr="00B23300" w:rsidRDefault="00AC3F58" w:rsidP="00D47A3D">
            <w:r w:rsidRPr="00B23300">
              <w:t>Methotrexate</w:t>
            </w:r>
          </w:p>
        </w:tc>
      </w:tr>
      <w:tr w:rsidR="00AC3F58" w:rsidRPr="00B23300" w14:paraId="5F0674A5" w14:textId="77777777" w:rsidTr="003E491D">
        <w:tc>
          <w:tcPr>
            <w:tcW w:w="1890" w:type="dxa"/>
            <w:vAlign w:val="bottom"/>
          </w:tcPr>
          <w:p w14:paraId="4140FB02" w14:textId="6901B997" w:rsidR="00AC3F58" w:rsidRPr="00B23300" w:rsidRDefault="009B7D6D" w:rsidP="00D47A3D">
            <w:proofErr w:type="spellStart"/>
            <w:r w:rsidRPr="00B23300">
              <w:t>nAB</w:t>
            </w:r>
            <w:proofErr w:type="spellEnd"/>
          </w:p>
        </w:tc>
        <w:tc>
          <w:tcPr>
            <w:tcW w:w="6604" w:type="dxa"/>
            <w:vAlign w:val="bottom"/>
          </w:tcPr>
          <w:p w14:paraId="74EA63E0" w14:textId="5F6BA53E" w:rsidR="00AC3F58" w:rsidRPr="00B23300" w:rsidRDefault="00DE3231" w:rsidP="00D47A3D">
            <w:r w:rsidRPr="00B23300">
              <w:t>Neutralising a</w:t>
            </w:r>
            <w:r w:rsidR="00AC3F58" w:rsidRPr="00B23300">
              <w:t>ntibodies</w:t>
            </w:r>
          </w:p>
        </w:tc>
      </w:tr>
      <w:tr w:rsidR="00F43882" w:rsidRPr="00B23300" w14:paraId="6CBBFBE0" w14:textId="77777777" w:rsidTr="003E491D">
        <w:tc>
          <w:tcPr>
            <w:tcW w:w="1890" w:type="dxa"/>
            <w:vAlign w:val="bottom"/>
          </w:tcPr>
          <w:p w14:paraId="10EE8ABD" w14:textId="2653A27A" w:rsidR="00F43882" w:rsidRPr="00B23300" w:rsidRDefault="00F43882" w:rsidP="00DC0113">
            <w:r w:rsidRPr="00B23300">
              <w:t>NP</w:t>
            </w:r>
          </w:p>
        </w:tc>
        <w:tc>
          <w:tcPr>
            <w:tcW w:w="6604" w:type="dxa"/>
            <w:vAlign w:val="bottom"/>
          </w:tcPr>
          <w:p w14:paraId="2A4D261D" w14:textId="2012B20E" w:rsidR="00F43882" w:rsidRPr="00B23300" w:rsidRDefault="00DC0113" w:rsidP="00DC0113">
            <w:r w:rsidRPr="00B23300">
              <w:t>Normal phase</w:t>
            </w:r>
          </w:p>
        </w:tc>
      </w:tr>
      <w:tr w:rsidR="00AC3F58" w:rsidRPr="00B23300" w14:paraId="39C481B2" w14:textId="77777777" w:rsidTr="003E491D">
        <w:tc>
          <w:tcPr>
            <w:tcW w:w="1890" w:type="dxa"/>
            <w:vAlign w:val="bottom"/>
          </w:tcPr>
          <w:p w14:paraId="1EC5FFD6" w14:textId="42B04EE6" w:rsidR="00AC3F58" w:rsidRPr="00B23300" w:rsidRDefault="00AC3F58" w:rsidP="00D47A3D">
            <w:proofErr w:type="spellStart"/>
            <w:r w:rsidRPr="00B23300">
              <w:t>nr</w:t>
            </w:r>
            <w:proofErr w:type="spellEnd"/>
            <w:r w:rsidRPr="00B23300">
              <w:t xml:space="preserve">-axial </w:t>
            </w:r>
            <w:proofErr w:type="spellStart"/>
            <w:r w:rsidRPr="00B23300">
              <w:t>SpA</w:t>
            </w:r>
            <w:proofErr w:type="spellEnd"/>
          </w:p>
        </w:tc>
        <w:tc>
          <w:tcPr>
            <w:tcW w:w="6604" w:type="dxa"/>
            <w:vAlign w:val="bottom"/>
          </w:tcPr>
          <w:p w14:paraId="2CF478A1" w14:textId="00CFA11B" w:rsidR="00AC3F58" w:rsidRPr="00B23300" w:rsidRDefault="00AC3F58" w:rsidP="00D47A3D">
            <w:pPr>
              <w:rPr>
                <w:lang w:val="it-IT"/>
              </w:rPr>
            </w:pPr>
            <w:r w:rsidRPr="00B23300">
              <w:t xml:space="preserve">Non-radiographic axial </w:t>
            </w:r>
            <w:proofErr w:type="spellStart"/>
            <w:r w:rsidRPr="00B23300">
              <w:t>spondyloarthritis</w:t>
            </w:r>
            <w:proofErr w:type="spellEnd"/>
          </w:p>
        </w:tc>
      </w:tr>
      <w:tr w:rsidR="00AC3F58" w:rsidRPr="00B23300" w14:paraId="2EB84E83" w14:textId="77777777" w:rsidTr="003E491D">
        <w:tc>
          <w:tcPr>
            <w:tcW w:w="1890" w:type="dxa"/>
            <w:vAlign w:val="bottom"/>
          </w:tcPr>
          <w:p w14:paraId="34372301" w14:textId="6FA8BD0C" w:rsidR="00AC3F58" w:rsidRPr="00B23300" w:rsidRDefault="00AC3F58" w:rsidP="00D47A3D">
            <w:r w:rsidRPr="00B23300">
              <w:t>NRI</w:t>
            </w:r>
          </w:p>
        </w:tc>
        <w:tc>
          <w:tcPr>
            <w:tcW w:w="6604" w:type="dxa"/>
            <w:vAlign w:val="bottom"/>
          </w:tcPr>
          <w:p w14:paraId="4246BC73" w14:textId="01A549F7" w:rsidR="00AC3F58" w:rsidRPr="00B23300" w:rsidRDefault="00AC3F58" w:rsidP="00D47A3D">
            <w:r w:rsidRPr="00B23300">
              <w:t>Non-</w:t>
            </w:r>
            <w:r w:rsidR="00056ECA" w:rsidRPr="00B23300">
              <w:t>responder imputation</w:t>
            </w:r>
          </w:p>
        </w:tc>
      </w:tr>
      <w:tr w:rsidR="001D692E" w:rsidRPr="00B23300" w14:paraId="2EFDFA79" w14:textId="77777777" w:rsidTr="003E491D">
        <w:tc>
          <w:tcPr>
            <w:tcW w:w="1890" w:type="dxa"/>
            <w:vAlign w:val="bottom"/>
          </w:tcPr>
          <w:p w14:paraId="3A1A257E" w14:textId="3778516A" w:rsidR="001D692E" w:rsidRPr="00B23300" w:rsidRDefault="001D692E" w:rsidP="001D692E">
            <w:r w:rsidRPr="00B23300">
              <w:t>NSAID</w:t>
            </w:r>
          </w:p>
        </w:tc>
        <w:tc>
          <w:tcPr>
            <w:tcW w:w="6604" w:type="dxa"/>
            <w:vAlign w:val="bottom"/>
          </w:tcPr>
          <w:p w14:paraId="181D16BC" w14:textId="1DD824DB" w:rsidR="001D692E" w:rsidRPr="00B23300" w:rsidRDefault="001D692E" w:rsidP="001D692E">
            <w:r w:rsidRPr="00B23300">
              <w:rPr>
                <w:lang w:val="it-IT"/>
              </w:rPr>
              <w:t>Non-steroidal anti-inflammatory drug</w:t>
            </w:r>
          </w:p>
        </w:tc>
      </w:tr>
      <w:tr w:rsidR="001D692E" w:rsidRPr="00B23300" w14:paraId="56AB7A8E" w14:textId="77777777" w:rsidTr="003E491D">
        <w:tc>
          <w:tcPr>
            <w:tcW w:w="1890" w:type="dxa"/>
            <w:vAlign w:val="bottom"/>
          </w:tcPr>
          <w:p w14:paraId="40C11F9A" w14:textId="62CE74F0" w:rsidR="001D692E" w:rsidRPr="00B23300" w:rsidRDefault="001D692E" w:rsidP="001D692E">
            <w:r w:rsidRPr="00B23300">
              <w:t>NYHA</w:t>
            </w:r>
          </w:p>
        </w:tc>
        <w:tc>
          <w:tcPr>
            <w:tcW w:w="6604" w:type="dxa"/>
            <w:vAlign w:val="bottom"/>
          </w:tcPr>
          <w:p w14:paraId="4BE621CC" w14:textId="572B185B" w:rsidR="001D692E" w:rsidRPr="00B23300" w:rsidRDefault="001D692E" w:rsidP="001D692E">
            <w:r w:rsidRPr="00B23300">
              <w:t>New York Heart Association</w:t>
            </w:r>
          </w:p>
        </w:tc>
      </w:tr>
      <w:tr w:rsidR="001D692E" w:rsidRPr="00B23300" w14:paraId="00C13F5D" w14:textId="77777777" w:rsidTr="003E491D">
        <w:tc>
          <w:tcPr>
            <w:tcW w:w="1890" w:type="dxa"/>
            <w:vAlign w:val="bottom"/>
          </w:tcPr>
          <w:p w14:paraId="27AD4E27" w14:textId="7BE831E0" w:rsidR="001D692E" w:rsidRPr="00B23300" w:rsidRDefault="001D692E" w:rsidP="001D692E">
            <w:r w:rsidRPr="00B23300">
              <w:t>PASI</w:t>
            </w:r>
          </w:p>
        </w:tc>
        <w:tc>
          <w:tcPr>
            <w:tcW w:w="6604" w:type="dxa"/>
            <w:vAlign w:val="bottom"/>
          </w:tcPr>
          <w:p w14:paraId="3E9BF98C" w14:textId="488F7D45" w:rsidR="001D692E" w:rsidRPr="00B23300" w:rsidRDefault="001D692E" w:rsidP="001D692E">
            <w:r w:rsidRPr="00B23300">
              <w:t xml:space="preserve">Psoriasis </w:t>
            </w:r>
            <w:r w:rsidR="0006160B">
              <w:t>A</w:t>
            </w:r>
            <w:r w:rsidRPr="00B23300">
              <w:t xml:space="preserve">rea </w:t>
            </w:r>
            <w:r w:rsidR="00056ECA" w:rsidRPr="00B23300">
              <w:t xml:space="preserve">and </w:t>
            </w:r>
            <w:r w:rsidR="0006160B">
              <w:t>S</w:t>
            </w:r>
            <w:r w:rsidR="00056ECA" w:rsidRPr="00B23300">
              <w:t xml:space="preserve">everity </w:t>
            </w:r>
            <w:r w:rsidR="0006160B">
              <w:t>I</w:t>
            </w:r>
            <w:r w:rsidR="00056ECA" w:rsidRPr="00B23300">
              <w:t>ndex</w:t>
            </w:r>
          </w:p>
        </w:tc>
      </w:tr>
      <w:tr w:rsidR="00E50C70" w:rsidRPr="00B23300" w14:paraId="13F4F2A9" w14:textId="77777777" w:rsidTr="003E491D">
        <w:tc>
          <w:tcPr>
            <w:tcW w:w="1890" w:type="dxa"/>
            <w:vAlign w:val="bottom"/>
          </w:tcPr>
          <w:p w14:paraId="41497357" w14:textId="45F9D0B0" w:rsidR="00E50C70" w:rsidRPr="00B23300" w:rsidRDefault="00E50C70" w:rsidP="001D692E">
            <w:r w:rsidRPr="00B23300">
              <w:t>PFP</w:t>
            </w:r>
          </w:p>
        </w:tc>
        <w:tc>
          <w:tcPr>
            <w:tcW w:w="6604" w:type="dxa"/>
            <w:vAlign w:val="bottom"/>
          </w:tcPr>
          <w:p w14:paraId="39DAA4E7" w14:textId="6597479C" w:rsidR="00E50C70" w:rsidRPr="00B23300" w:rsidRDefault="00E50C70" w:rsidP="001D692E">
            <w:r w:rsidRPr="00B23300">
              <w:t>Prefilled pen</w:t>
            </w:r>
          </w:p>
        </w:tc>
      </w:tr>
      <w:tr w:rsidR="001D692E" w:rsidRPr="00B23300" w14:paraId="2A4B78C4" w14:textId="77777777" w:rsidTr="003E491D">
        <w:tc>
          <w:tcPr>
            <w:tcW w:w="1890" w:type="dxa"/>
            <w:vAlign w:val="bottom"/>
          </w:tcPr>
          <w:p w14:paraId="32B73562" w14:textId="2C64C62E" w:rsidR="001D692E" w:rsidRPr="00B23300" w:rsidRDefault="001D692E" w:rsidP="001D692E">
            <w:r w:rsidRPr="00B23300">
              <w:t>PFS</w:t>
            </w:r>
          </w:p>
        </w:tc>
        <w:tc>
          <w:tcPr>
            <w:tcW w:w="6604" w:type="dxa"/>
            <w:vAlign w:val="bottom"/>
          </w:tcPr>
          <w:p w14:paraId="3987D036" w14:textId="6D69091E" w:rsidR="001D692E" w:rsidRPr="00B23300" w:rsidRDefault="001959EE" w:rsidP="001D692E">
            <w:r w:rsidRPr="00B23300">
              <w:t>Prefilled s</w:t>
            </w:r>
            <w:r w:rsidR="001D692E" w:rsidRPr="00B23300">
              <w:t>yringe</w:t>
            </w:r>
          </w:p>
        </w:tc>
      </w:tr>
      <w:tr w:rsidR="001D692E" w:rsidRPr="00B23300" w14:paraId="042AEF77" w14:textId="77777777" w:rsidTr="003E491D">
        <w:tc>
          <w:tcPr>
            <w:tcW w:w="1890" w:type="dxa"/>
            <w:vAlign w:val="bottom"/>
          </w:tcPr>
          <w:p w14:paraId="14F2C587" w14:textId="108EEB43" w:rsidR="001D692E" w:rsidRPr="00B23300" w:rsidRDefault="001D692E" w:rsidP="001D692E">
            <w:r w:rsidRPr="00B23300">
              <w:t>PI</w:t>
            </w:r>
          </w:p>
        </w:tc>
        <w:tc>
          <w:tcPr>
            <w:tcW w:w="6604" w:type="dxa"/>
            <w:vAlign w:val="bottom"/>
          </w:tcPr>
          <w:p w14:paraId="40908AD5" w14:textId="2DD5D1CC" w:rsidR="001D692E" w:rsidRPr="00B23300" w:rsidRDefault="001D692E" w:rsidP="001D692E">
            <w:r w:rsidRPr="00B23300">
              <w:t>Product Information</w:t>
            </w:r>
          </w:p>
        </w:tc>
      </w:tr>
      <w:tr w:rsidR="001D692E" w:rsidRPr="00B23300" w14:paraId="137A8BED" w14:textId="77777777" w:rsidTr="003E491D">
        <w:tc>
          <w:tcPr>
            <w:tcW w:w="1890" w:type="dxa"/>
            <w:vAlign w:val="bottom"/>
          </w:tcPr>
          <w:p w14:paraId="5C84692C" w14:textId="5F56C675" w:rsidR="001D692E" w:rsidRPr="00B23300" w:rsidRDefault="001D692E" w:rsidP="001D692E">
            <w:r w:rsidRPr="00B23300">
              <w:t>PK</w:t>
            </w:r>
          </w:p>
        </w:tc>
        <w:tc>
          <w:tcPr>
            <w:tcW w:w="6604" w:type="dxa"/>
            <w:vAlign w:val="bottom"/>
          </w:tcPr>
          <w:p w14:paraId="5EC3AAC1" w14:textId="1F085BA9" w:rsidR="001D692E" w:rsidRPr="00B23300" w:rsidRDefault="001D692E" w:rsidP="001D692E">
            <w:r w:rsidRPr="00B23300">
              <w:t>Pharmacokinetic</w:t>
            </w:r>
          </w:p>
        </w:tc>
      </w:tr>
      <w:tr w:rsidR="001D692E" w:rsidRPr="00B23300" w14:paraId="5B306D58" w14:textId="77777777" w:rsidTr="003E491D">
        <w:tc>
          <w:tcPr>
            <w:tcW w:w="1890" w:type="dxa"/>
            <w:vAlign w:val="bottom"/>
          </w:tcPr>
          <w:p w14:paraId="3AA6DBF0" w14:textId="6BDFB829" w:rsidR="001D692E" w:rsidRPr="00B23300" w:rsidRDefault="001D692E" w:rsidP="001D692E">
            <w:r w:rsidRPr="00B23300">
              <w:t>PPS</w:t>
            </w:r>
          </w:p>
        </w:tc>
        <w:tc>
          <w:tcPr>
            <w:tcW w:w="6604" w:type="dxa"/>
            <w:vAlign w:val="bottom"/>
          </w:tcPr>
          <w:p w14:paraId="2E505743" w14:textId="0ACD71F8" w:rsidR="001D692E" w:rsidRPr="00B23300" w:rsidRDefault="001D692E" w:rsidP="001D692E">
            <w:r w:rsidRPr="00B23300">
              <w:t xml:space="preserve">Per </w:t>
            </w:r>
            <w:r w:rsidR="00E954EA" w:rsidRPr="00B23300">
              <w:t>protocol set</w:t>
            </w:r>
          </w:p>
        </w:tc>
      </w:tr>
      <w:tr w:rsidR="001D692E" w:rsidRPr="00B23300" w14:paraId="55939503" w14:textId="77777777" w:rsidTr="003E491D">
        <w:tc>
          <w:tcPr>
            <w:tcW w:w="1890" w:type="dxa"/>
            <w:vAlign w:val="bottom"/>
          </w:tcPr>
          <w:p w14:paraId="251FBC4A" w14:textId="19C86E9B" w:rsidR="001D692E" w:rsidRPr="00B23300" w:rsidRDefault="001D692E" w:rsidP="001D692E">
            <w:proofErr w:type="spellStart"/>
            <w:r w:rsidRPr="00B23300">
              <w:t>PsA</w:t>
            </w:r>
            <w:proofErr w:type="spellEnd"/>
          </w:p>
        </w:tc>
        <w:tc>
          <w:tcPr>
            <w:tcW w:w="6604" w:type="dxa"/>
            <w:vAlign w:val="bottom"/>
          </w:tcPr>
          <w:p w14:paraId="4D872B43" w14:textId="259545F9" w:rsidR="001D692E" w:rsidRPr="00B23300" w:rsidRDefault="001D692E" w:rsidP="001D692E">
            <w:r w:rsidRPr="00B23300">
              <w:t>Psoriatic arthritis</w:t>
            </w:r>
          </w:p>
        </w:tc>
      </w:tr>
      <w:tr w:rsidR="001D692E" w:rsidRPr="00B23300" w14:paraId="2217E5E1" w14:textId="77777777" w:rsidTr="003E491D">
        <w:tc>
          <w:tcPr>
            <w:tcW w:w="1890" w:type="dxa"/>
            <w:vAlign w:val="bottom"/>
          </w:tcPr>
          <w:p w14:paraId="11986254" w14:textId="09DAB83E" w:rsidR="001D692E" w:rsidRPr="00B23300" w:rsidRDefault="001D692E" w:rsidP="001D692E">
            <w:r w:rsidRPr="00B23300">
              <w:t>PSO</w:t>
            </w:r>
          </w:p>
        </w:tc>
        <w:tc>
          <w:tcPr>
            <w:tcW w:w="6604" w:type="dxa"/>
            <w:vAlign w:val="bottom"/>
          </w:tcPr>
          <w:p w14:paraId="1E00DC80" w14:textId="476CFA77" w:rsidR="001D692E" w:rsidRPr="00B23300" w:rsidRDefault="001D692E" w:rsidP="001D692E">
            <w:r w:rsidRPr="00B23300">
              <w:t>Plaque psoriasis</w:t>
            </w:r>
          </w:p>
        </w:tc>
      </w:tr>
      <w:tr w:rsidR="00324C32" w:rsidRPr="00B23300" w14:paraId="33D2C35B" w14:textId="77777777" w:rsidTr="003E491D">
        <w:tc>
          <w:tcPr>
            <w:tcW w:w="1890" w:type="dxa"/>
            <w:vAlign w:val="bottom"/>
          </w:tcPr>
          <w:p w14:paraId="4FECCA46" w14:textId="593992CE" w:rsidR="00324C32" w:rsidRPr="00B23300" w:rsidRDefault="00324C32" w:rsidP="001D692E">
            <w:r w:rsidRPr="00B23300">
              <w:t>PSUR</w:t>
            </w:r>
          </w:p>
        </w:tc>
        <w:tc>
          <w:tcPr>
            <w:tcW w:w="6604" w:type="dxa"/>
            <w:vAlign w:val="bottom"/>
          </w:tcPr>
          <w:p w14:paraId="4A18C88E" w14:textId="060104F9" w:rsidR="00324C32" w:rsidRPr="00B23300" w:rsidRDefault="00324C32" w:rsidP="00324C32">
            <w:r w:rsidRPr="00B23300">
              <w:t>Periodic safety update report</w:t>
            </w:r>
          </w:p>
        </w:tc>
      </w:tr>
      <w:tr w:rsidR="001D692E" w:rsidRPr="00B23300" w14:paraId="0DFF9342" w14:textId="77777777" w:rsidTr="003E491D">
        <w:tc>
          <w:tcPr>
            <w:tcW w:w="1890" w:type="dxa"/>
            <w:vAlign w:val="bottom"/>
          </w:tcPr>
          <w:p w14:paraId="1A029C9B" w14:textId="20C1020D" w:rsidR="001D692E" w:rsidRPr="00B23300" w:rsidRDefault="001D692E" w:rsidP="001D692E">
            <w:r w:rsidRPr="00B23300">
              <w:t>PT</w:t>
            </w:r>
          </w:p>
        </w:tc>
        <w:tc>
          <w:tcPr>
            <w:tcW w:w="6604" w:type="dxa"/>
            <w:vAlign w:val="bottom"/>
          </w:tcPr>
          <w:p w14:paraId="713EB701" w14:textId="0A796D71" w:rsidR="001D692E" w:rsidRPr="00B23300" w:rsidRDefault="001D692E" w:rsidP="001D692E">
            <w:r w:rsidRPr="00B23300">
              <w:t xml:space="preserve">Preferred </w:t>
            </w:r>
            <w:r w:rsidR="0006160B">
              <w:t>T</w:t>
            </w:r>
            <w:r w:rsidR="00117B5B" w:rsidRPr="00B23300">
              <w:t>erm</w:t>
            </w:r>
          </w:p>
        </w:tc>
      </w:tr>
      <w:tr w:rsidR="00CA0E6B" w:rsidRPr="00B23300" w14:paraId="19BFC1AE" w14:textId="77777777" w:rsidTr="003E491D">
        <w:tc>
          <w:tcPr>
            <w:tcW w:w="1890" w:type="dxa"/>
            <w:vAlign w:val="bottom"/>
          </w:tcPr>
          <w:p w14:paraId="66E29B2E" w14:textId="46CF0224" w:rsidR="00CA0E6B" w:rsidRPr="00B23300" w:rsidRDefault="00CA0E6B" w:rsidP="001D692E">
            <w:r w:rsidRPr="00B23300">
              <w:t>PY</w:t>
            </w:r>
          </w:p>
        </w:tc>
        <w:tc>
          <w:tcPr>
            <w:tcW w:w="6604" w:type="dxa"/>
            <w:vAlign w:val="bottom"/>
          </w:tcPr>
          <w:p w14:paraId="1E681379" w14:textId="42107C20" w:rsidR="00CA0E6B" w:rsidRPr="00B23300" w:rsidRDefault="00CA0E6B" w:rsidP="001D692E">
            <w:r w:rsidRPr="00B23300">
              <w:t>Patient years</w:t>
            </w:r>
          </w:p>
        </w:tc>
      </w:tr>
      <w:tr w:rsidR="001D692E" w:rsidRPr="00B23300" w14:paraId="639228FC" w14:textId="77777777" w:rsidTr="003E491D">
        <w:tc>
          <w:tcPr>
            <w:tcW w:w="1890" w:type="dxa"/>
            <w:vAlign w:val="bottom"/>
          </w:tcPr>
          <w:p w14:paraId="2AED191D" w14:textId="793B453A" w:rsidR="001D692E" w:rsidRPr="00B23300" w:rsidRDefault="001D692E" w:rsidP="001D692E">
            <w:r w:rsidRPr="00B23300">
              <w:t>RA</w:t>
            </w:r>
          </w:p>
        </w:tc>
        <w:tc>
          <w:tcPr>
            <w:tcW w:w="6604" w:type="dxa"/>
            <w:vAlign w:val="bottom"/>
          </w:tcPr>
          <w:p w14:paraId="64E941E7" w14:textId="6782F39B" w:rsidR="001D692E" w:rsidRPr="00B23300" w:rsidRDefault="001D692E" w:rsidP="001D692E">
            <w:r w:rsidRPr="00B23300">
              <w:t>Rheumatoid arthritis</w:t>
            </w:r>
          </w:p>
        </w:tc>
      </w:tr>
      <w:tr w:rsidR="0058636B" w:rsidRPr="00B23300" w14:paraId="7DF59D10" w14:textId="77777777" w:rsidTr="003E491D">
        <w:tc>
          <w:tcPr>
            <w:tcW w:w="1890" w:type="dxa"/>
            <w:vAlign w:val="bottom"/>
          </w:tcPr>
          <w:p w14:paraId="0B320737" w14:textId="2D27AF5B" w:rsidR="0058636B" w:rsidRPr="00B23300" w:rsidRDefault="0058636B" w:rsidP="001D692E">
            <w:r w:rsidRPr="00B23300">
              <w:t>RABBIT</w:t>
            </w:r>
          </w:p>
        </w:tc>
        <w:tc>
          <w:tcPr>
            <w:tcW w:w="6604" w:type="dxa"/>
            <w:vAlign w:val="bottom"/>
          </w:tcPr>
          <w:p w14:paraId="194B6F32" w14:textId="03346820" w:rsidR="0058636B" w:rsidRPr="00B23300" w:rsidRDefault="0058636B" w:rsidP="001D692E">
            <w:r w:rsidRPr="00B23300">
              <w:t xml:space="preserve">Rheumatoid </w:t>
            </w:r>
            <w:r w:rsidR="00E14971">
              <w:t>A</w:t>
            </w:r>
            <w:r w:rsidRPr="00B23300">
              <w:t xml:space="preserve">rthritis: </w:t>
            </w:r>
            <w:r w:rsidR="00E14971">
              <w:t>O</w:t>
            </w:r>
            <w:r w:rsidRPr="00B23300">
              <w:t xml:space="preserve">bservation of </w:t>
            </w:r>
            <w:r w:rsidR="00E14971">
              <w:t>B</w:t>
            </w:r>
            <w:r w:rsidRPr="00B23300">
              <w:t xml:space="preserve">iologic </w:t>
            </w:r>
            <w:r w:rsidR="00E14971">
              <w:t>T</w:t>
            </w:r>
            <w:r w:rsidRPr="00B23300">
              <w:t>herapy</w:t>
            </w:r>
            <w:r w:rsidR="00E14971">
              <w:t xml:space="preserve"> (German: </w:t>
            </w:r>
            <w:proofErr w:type="spellStart"/>
            <w:r w:rsidR="00E14971" w:rsidRPr="00CF5F1B">
              <w:rPr>
                <w:i/>
              </w:rPr>
              <w:t>Rheumatoide</w:t>
            </w:r>
            <w:proofErr w:type="spellEnd"/>
            <w:r w:rsidR="00E14971" w:rsidRPr="00CF5F1B">
              <w:rPr>
                <w:i/>
              </w:rPr>
              <w:t xml:space="preserve"> Arthritis: </w:t>
            </w:r>
            <w:proofErr w:type="spellStart"/>
            <w:r w:rsidR="00E14971" w:rsidRPr="00CF5F1B">
              <w:rPr>
                <w:i/>
              </w:rPr>
              <w:t>Beobachtung</w:t>
            </w:r>
            <w:proofErr w:type="spellEnd"/>
            <w:r w:rsidR="00E14971" w:rsidRPr="00CF5F1B">
              <w:rPr>
                <w:i/>
              </w:rPr>
              <w:t xml:space="preserve"> der </w:t>
            </w:r>
            <w:proofErr w:type="spellStart"/>
            <w:r w:rsidR="00E14971" w:rsidRPr="00CF5F1B">
              <w:rPr>
                <w:i/>
              </w:rPr>
              <w:t>Biologika-Therapie</w:t>
            </w:r>
            <w:proofErr w:type="spellEnd"/>
            <w:r w:rsidR="00E14971">
              <w:t>)</w:t>
            </w:r>
          </w:p>
        </w:tc>
      </w:tr>
      <w:tr w:rsidR="00513464" w:rsidRPr="00B23300" w14:paraId="2E45CE66" w14:textId="77777777" w:rsidTr="003E491D">
        <w:tc>
          <w:tcPr>
            <w:tcW w:w="1890" w:type="dxa"/>
            <w:vAlign w:val="bottom"/>
          </w:tcPr>
          <w:p w14:paraId="1B604167" w14:textId="08FED88A" w:rsidR="00513464" w:rsidRPr="005E6B60" w:rsidRDefault="00513464" w:rsidP="001D692E">
            <w:r w:rsidRPr="00B23300">
              <w:t>RH</w:t>
            </w:r>
          </w:p>
        </w:tc>
        <w:tc>
          <w:tcPr>
            <w:tcW w:w="6604" w:type="dxa"/>
            <w:vAlign w:val="bottom"/>
          </w:tcPr>
          <w:p w14:paraId="56B9BAF3" w14:textId="52A3F72E" w:rsidR="00513464" w:rsidRPr="00B23300" w:rsidRDefault="00513464" w:rsidP="001D692E">
            <w:r w:rsidRPr="00B23300">
              <w:t>Relative humidity</w:t>
            </w:r>
          </w:p>
        </w:tc>
      </w:tr>
      <w:tr w:rsidR="004943D4" w:rsidRPr="00B23300" w14:paraId="2F878975" w14:textId="77777777" w:rsidTr="003E491D">
        <w:tc>
          <w:tcPr>
            <w:tcW w:w="1890" w:type="dxa"/>
            <w:vAlign w:val="bottom"/>
          </w:tcPr>
          <w:p w14:paraId="1186740D" w14:textId="45E0AD93" w:rsidR="004943D4" w:rsidRPr="00B23300" w:rsidRDefault="004943D4" w:rsidP="001D692E">
            <w:r w:rsidRPr="00B23300">
              <w:t>RMP</w:t>
            </w:r>
          </w:p>
        </w:tc>
        <w:tc>
          <w:tcPr>
            <w:tcW w:w="6604" w:type="dxa"/>
            <w:vAlign w:val="bottom"/>
          </w:tcPr>
          <w:p w14:paraId="6E1ED2BD" w14:textId="3E3183D3" w:rsidR="004943D4" w:rsidRPr="00B23300" w:rsidRDefault="004943D4" w:rsidP="001D692E">
            <w:r w:rsidRPr="00B23300">
              <w:t>Risk management plan</w:t>
            </w:r>
          </w:p>
        </w:tc>
      </w:tr>
      <w:tr w:rsidR="001D692E" w:rsidRPr="00B23300" w14:paraId="38F4FA4F" w14:textId="77777777" w:rsidTr="003E491D">
        <w:tc>
          <w:tcPr>
            <w:tcW w:w="1890" w:type="dxa"/>
            <w:vAlign w:val="bottom"/>
          </w:tcPr>
          <w:p w14:paraId="57C298AE" w14:textId="2933853D" w:rsidR="001D692E" w:rsidRPr="00B23300" w:rsidRDefault="001D692E" w:rsidP="001D692E">
            <w:r w:rsidRPr="00B23300">
              <w:t>SAE</w:t>
            </w:r>
          </w:p>
        </w:tc>
        <w:tc>
          <w:tcPr>
            <w:tcW w:w="6604" w:type="dxa"/>
            <w:vAlign w:val="bottom"/>
          </w:tcPr>
          <w:p w14:paraId="5F682233" w14:textId="7363520D" w:rsidR="001D692E" w:rsidRPr="00B23300" w:rsidRDefault="001D692E" w:rsidP="001D692E">
            <w:r w:rsidRPr="00B23300">
              <w:t>Serious adverse event</w:t>
            </w:r>
          </w:p>
        </w:tc>
      </w:tr>
      <w:tr w:rsidR="001D692E" w:rsidRPr="00B23300" w14:paraId="2487ED6F" w14:textId="77777777" w:rsidTr="003E491D">
        <w:tc>
          <w:tcPr>
            <w:tcW w:w="1890" w:type="dxa"/>
            <w:vAlign w:val="bottom"/>
          </w:tcPr>
          <w:p w14:paraId="71C5B0A5" w14:textId="0DAC89B4" w:rsidR="001D692E" w:rsidRPr="00B23300" w:rsidRDefault="001D692E" w:rsidP="001D692E">
            <w:r w:rsidRPr="00B23300">
              <w:t>SD</w:t>
            </w:r>
          </w:p>
        </w:tc>
        <w:tc>
          <w:tcPr>
            <w:tcW w:w="6604" w:type="dxa"/>
            <w:vAlign w:val="bottom"/>
          </w:tcPr>
          <w:p w14:paraId="48168F65" w14:textId="002072E2" w:rsidR="001D692E" w:rsidRPr="00B23300" w:rsidRDefault="001D692E" w:rsidP="001D692E">
            <w:r w:rsidRPr="00B23300">
              <w:t>Standard deviation</w:t>
            </w:r>
          </w:p>
        </w:tc>
      </w:tr>
      <w:tr w:rsidR="001D692E" w:rsidRPr="00B23300" w14:paraId="224AE1CB" w14:textId="77777777" w:rsidTr="003E491D">
        <w:tc>
          <w:tcPr>
            <w:tcW w:w="1890" w:type="dxa"/>
            <w:vAlign w:val="bottom"/>
          </w:tcPr>
          <w:p w14:paraId="6E5D4487" w14:textId="2DC4E67D" w:rsidR="001D692E" w:rsidRPr="00B23300" w:rsidRDefault="001D692E" w:rsidP="001D692E">
            <w:r w:rsidRPr="00B23300">
              <w:t>SOC</w:t>
            </w:r>
          </w:p>
        </w:tc>
        <w:tc>
          <w:tcPr>
            <w:tcW w:w="6604" w:type="dxa"/>
            <w:vAlign w:val="bottom"/>
          </w:tcPr>
          <w:p w14:paraId="0B1AE835" w14:textId="189550EE" w:rsidR="001D692E" w:rsidRPr="00B23300" w:rsidRDefault="001D692E" w:rsidP="001D692E">
            <w:r w:rsidRPr="00B23300">
              <w:t xml:space="preserve">System </w:t>
            </w:r>
            <w:r w:rsidR="00117B5B" w:rsidRPr="00B23300">
              <w:t>organ class</w:t>
            </w:r>
          </w:p>
        </w:tc>
      </w:tr>
      <w:tr w:rsidR="00485268" w:rsidRPr="00B23300" w14:paraId="5FE52030" w14:textId="77777777" w:rsidTr="003E491D">
        <w:tc>
          <w:tcPr>
            <w:tcW w:w="1890" w:type="dxa"/>
            <w:vAlign w:val="bottom"/>
          </w:tcPr>
          <w:p w14:paraId="22419651" w14:textId="369CEA0A" w:rsidR="00485268" w:rsidRPr="00B23300" w:rsidRDefault="00485268" w:rsidP="001D692E">
            <w:r w:rsidRPr="00B23300">
              <w:t>SPR</w:t>
            </w:r>
          </w:p>
        </w:tc>
        <w:tc>
          <w:tcPr>
            <w:tcW w:w="6604" w:type="dxa"/>
            <w:vAlign w:val="bottom"/>
          </w:tcPr>
          <w:p w14:paraId="49306024" w14:textId="64F7335E" w:rsidR="00485268" w:rsidRPr="00B23300" w:rsidRDefault="00485268" w:rsidP="001D692E">
            <w:r w:rsidRPr="00B23300">
              <w:t xml:space="preserve">Surface </w:t>
            </w:r>
            <w:proofErr w:type="spellStart"/>
            <w:r w:rsidRPr="00B23300">
              <w:t>plasmon</w:t>
            </w:r>
            <w:proofErr w:type="spellEnd"/>
            <w:r w:rsidRPr="00B23300">
              <w:t xml:space="preserve"> resonance</w:t>
            </w:r>
          </w:p>
        </w:tc>
      </w:tr>
      <w:tr w:rsidR="001D692E" w:rsidRPr="00B23300" w14:paraId="51510F1E" w14:textId="77777777" w:rsidTr="003E491D">
        <w:tc>
          <w:tcPr>
            <w:tcW w:w="1890" w:type="dxa"/>
            <w:vAlign w:val="bottom"/>
          </w:tcPr>
          <w:p w14:paraId="3A600987" w14:textId="2DBDE211" w:rsidR="001D692E" w:rsidRPr="00B23300" w:rsidRDefault="001D692E" w:rsidP="001D692E">
            <w:r w:rsidRPr="00B23300">
              <w:t>TB</w:t>
            </w:r>
          </w:p>
        </w:tc>
        <w:tc>
          <w:tcPr>
            <w:tcW w:w="6604" w:type="dxa"/>
            <w:vAlign w:val="bottom"/>
          </w:tcPr>
          <w:p w14:paraId="115A53E4" w14:textId="68967CCA" w:rsidR="001D692E" w:rsidRPr="00B23300" w:rsidRDefault="001D692E" w:rsidP="001D692E">
            <w:r w:rsidRPr="00B23300">
              <w:t>Tuberculosis</w:t>
            </w:r>
          </w:p>
        </w:tc>
      </w:tr>
      <w:tr w:rsidR="001D692E" w:rsidRPr="00B23300" w14:paraId="65B08965" w14:textId="77777777" w:rsidTr="003E491D">
        <w:tc>
          <w:tcPr>
            <w:tcW w:w="1890" w:type="dxa"/>
            <w:vAlign w:val="bottom"/>
          </w:tcPr>
          <w:p w14:paraId="7CC6BECC" w14:textId="4093CDD2" w:rsidR="001D692E" w:rsidRPr="00B23300" w:rsidRDefault="001D692E" w:rsidP="001D692E">
            <w:r w:rsidRPr="00B23300">
              <w:t>T</w:t>
            </w:r>
            <w:r w:rsidRPr="00B23300">
              <w:rPr>
                <w:vertAlign w:val="subscript"/>
              </w:rPr>
              <w:t>1/2</w:t>
            </w:r>
          </w:p>
        </w:tc>
        <w:tc>
          <w:tcPr>
            <w:tcW w:w="6604" w:type="dxa"/>
            <w:vAlign w:val="bottom"/>
          </w:tcPr>
          <w:p w14:paraId="6F9296CF" w14:textId="3FDD6496" w:rsidR="001D692E" w:rsidRPr="00B23300" w:rsidRDefault="001D692E" w:rsidP="001D692E">
            <w:r w:rsidRPr="00B23300">
              <w:t>Terminal drug half life</w:t>
            </w:r>
          </w:p>
        </w:tc>
      </w:tr>
      <w:tr w:rsidR="001D692E" w:rsidRPr="00B23300" w14:paraId="6FCBA5AB" w14:textId="77777777" w:rsidTr="003E491D">
        <w:tc>
          <w:tcPr>
            <w:tcW w:w="1890" w:type="dxa"/>
            <w:vAlign w:val="bottom"/>
          </w:tcPr>
          <w:p w14:paraId="0B4233AC" w14:textId="1DD44586" w:rsidR="001D692E" w:rsidRPr="00B23300" w:rsidRDefault="001D692E" w:rsidP="001D692E">
            <w:r w:rsidRPr="00B23300">
              <w:t>TGA</w:t>
            </w:r>
          </w:p>
        </w:tc>
        <w:tc>
          <w:tcPr>
            <w:tcW w:w="6604" w:type="dxa"/>
            <w:vAlign w:val="bottom"/>
          </w:tcPr>
          <w:p w14:paraId="05C4F3DA" w14:textId="38F561BE" w:rsidR="001D692E" w:rsidRPr="00B23300" w:rsidRDefault="001D692E" w:rsidP="001D692E">
            <w:r w:rsidRPr="00B23300">
              <w:t>Therapeutic Goods Administration</w:t>
            </w:r>
          </w:p>
        </w:tc>
      </w:tr>
      <w:tr w:rsidR="001D692E" w:rsidRPr="00B23300" w14:paraId="3487D121" w14:textId="77777777" w:rsidTr="003E491D">
        <w:tc>
          <w:tcPr>
            <w:tcW w:w="1890" w:type="dxa"/>
            <w:vAlign w:val="bottom"/>
          </w:tcPr>
          <w:p w14:paraId="3FDD0AB5" w14:textId="596EBBF9" w:rsidR="001D692E" w:rsidRPr="00B23300" w:rsidRDefault="001D692E" w:rsidP="001D692E">
            <w:r w:rsidRPr="00B23300">
              <w:t>TNF</w:t>
            </w:r>
          </w:p>
        </w:tc>
        <w:tc>
          <w:tcPr>
            <w:tcW w:w="6604" w:type="dxa"/>
            <w:vAlign w:val="bottom"/>
          </w:tcPr>
          <w:p w14:paraId="1DF0A8C8" w14:textId="6E2515EC" w:rsidR="001D692E" w:rsidRPr="00B23300" w:rsidRDefault="001D692E" w:rsidP="001D692E">
            <w:r w:rsidRPr="00B23300">
              <w:t>Tumour necrosis factor</w:t>
            </w:r>
          </w:p>
        </w:tc>
      </w:tr>
      <w:tr w:rsidR="001D692E" w:rsidRPr="00B23300" w14:paraId="5E825163" w14:textId="77777777" w:rsidTr="003E491D">
        <w:tc>
          <w:tcPr>
            <w:tcW w:w="1890" w:type="dxa"/>
            <w:vAlign w:val="bottom"/>
          </w:tcPr>
          <w:p w14:paraId="422629D7" w14:textId="78B9CAC6" w:rsidR="001D692E" w:rsidRPr="00B23300" w:rsidRDefault="001D692E" w:rsidP="001D692E">
            <w:r w:rsidRPr="00B23300">
              <w:t>TNFR</w:t>
            </w:r>
          </w:p>
        </w:tc>
        <w:tc>
          <w:tcPr>
            <w:tcW w:w="6604" w:type="dxa"/>
            <w:vAlign w:val="bottom"/>
          </w:tcPr>
          <w:p w14:paraId="4D1FF838" w14:textId="07F7F3DA" w:rsidR="001D692E" w:rsidRPr="00B23300" w:rsidRDefault="001D692E" w:rsidP="001D692E">
            <w:r w:rsidRPr="00B23300">
              <w:t>Tumour necrosis factor receptor</w:t>
            </w:r>
          </w:p>
        </w:tc>
      </w:tr>
      <w:tr w:rsidR="00CA0E6B" w:rsidRPr="00B23300" w14:paraId="708B6D83" w14:textId="77777777" w:rsidTr="003E491D">
        <w:tc>
          <w:tcPr>
            <w:tcW w:w="1890" w:type="dxa"/>
            <w:vAlign w:val="bottom"/>
          </w:tcPr>
          <w:p w14:paraId="22A127AB" w14:textId="61BB7F18" w:rsidR="00CA0E6B" w:rsidRPr="00B23300" w:rsidRDefault="00CA0E6B" w:rsidP="001D692E">
            <w:r w:rsidRPr="00B23300">
              <w:t>TEAE</w:t>
            </w:r>
          </w:p>
        </w:tc>
        <w:tc>
          <w:tcPr>
            <w:tcW w:w="6604" w:type="dxa"/>
            <w:vAlign w:val="bottom"/>
          </w:tcPr>
          <w:p w14:paraId="1B7B9EE5" w14:textId="1C83C694" w:rsidR="00CA0E6B" w:rsidRPr="00B23300" w:rsidRDefault="00CA0E6B" w:rsidP="001D692E">
            <w:r w:rsidRPr="00B23300">
              <w:t>Treatment emergent adverse event</w:t>
            </w:r>
          </w:p>
        </w:tc>
      </w:tr>
      <w:tr w:rsidR="001D692E" w:rsidRPr="00B23300" w14:paraId="10D19C40" w14:textId="77777777" w:rsidTr="003E491D">
        <w:tc>
          <w:tcPr>
            <w:tcW w:w="1890" w:type="dxa"/>
            <w:vAlign w:val="bottom"/>
          </w:tcPr>
          <w:p w14:paraId="2E50D5A8" w14:textId="4C13AB8F" w:rsidR="001D692E" w:rsidRPr="00B23300" w:rsidRDefault="001D692E" w:rsidP="001D692E">
            <w:r w:rsidRPr="00B23300">
              <w:t>TRAE</w:t>
            </w:r>
          </w:p>
        </w:tc>
        <w:tc>
          <w:tcPr>
            <w:tcW w:w="6604" w:type="dxa"/>
            <w:vAlign w:val="bottom"/>
          </w:tcPr>
          <w:p w14:paraId="6E215BF4" w14:textId="4F953AC3" w:rsidR="001D692E" w:rsidRPr="00B23300" w:rsidRDefault="001D692E" w:rsidP="001D692E">
            <w:r w:rsidRPr="00B23300">
              <w:t>Treatment related adverse event</w:t>
            </w:r>
          </w:p>
        </w:tc>
      </w:tr>
      <w:tr w:rsidR="001D692E" w:rsidRPr="00B23300" w14:paraId="61E7AF37" w14:textId="77777777" w:rsidTr="003E491D">
        <w:tc>
          <w:tcPr>
            <w:tcW w:w="1890" w:type="dxa"/>
            <w:vAlign w:val="bottom"/>
          </w:tcPr>
          <w:p w14:paraId="2AF9D56D" w14:textId="1039C1FA" w:rsidR="001D692E" w:rsidRPr="00B23300" w:rsidRDefault="001D692E" w:rsidP="001D692E">
            <w:r w:rsidRPr="00B23300">
              <w:t>ULN</w:t>
            </w:r>
          </w:p>
        </w:tc>
        <w:tc>
          <w:tcPr>
            <w:tcW w:w="6604" w:type="dxa"/>
            <w:vAlign w:val="bottom"/>
          </w:tcPr>
          <w:p w14:paraId="4D7D7B15" w14:textId="7C047F68" w:rsidR="001D692E" w:rsidRPr="00B23300" w:rsidRDefault="001D692E" w:rsidP="001D692E">
            <w:r w:rsidRPr="00B23300">
              <w:t>Upper limit of normal</w:t>
            </w:r>
          </w:p>
        </w:tc>
      </w:tr>
      <w:tr w:rsidR="00DC0113" w:rsidRPr="00B23300" w14:paraId="5925A885" w14:textId="77777777" w:rsidTr="003E491D">
        <w:tc>
          <w:tcPr>
            <w:tcW w:w="1890" w:type="dxa"/>
            <w:vAlign w:val="bottom"/>
          </w:tcPr>
          <w:p w14:paraId="77DB61F7" w14:textId="3310745D" w:rsidR="00DC0113" w:rsidRPr="00B23300" w:rsidRDefault="00DC0113" w:rsidP="001D692E">
            <w:r w:rsidRPr="00B23300">
              <w:t>UPLC</w:t>
            </w:r>
          </w:p>
        </w:tc>
        <w:tc>
          <w:tcPr>
            <w:tcW w:w="6604" w:type="dxa"/>
            <w:vAlign w:val="bottom"/>
          </w:tcPr>
          <w:p w14:paraId="364A3D7D" w14:textId="3E664DEB" w:rsidR="00DC0113" w:rsidRPr="00B23300" w:rsidRDefault="00DC0113" w:rsidP="001D692E">
            <w:r w:rsidRPr="00B23300">
              <w:t>Ultra high performance liquid chromatography</w:t>
            </w:r>
          </w:p>
        </w:tc>
      </w:tr>
    </w:tbl>
    <w:p w14:paraId="642230A2" w14:textId="59CA4F05" w:rsidR="008E7846" w:rsidRPr="00B23300" w:rsidRDefault="008E7846" w:rsidP="00DA266F">
      <w:pPr>
        <w:pStyle w:val="Heading3"/>
        <w:pageBreakBefore/>
        <w:rPr>
          <w:lang w:eastAsia="en-AU"/>
        </w:rPr>
      </w:pPr>
      <w:bookmarkStart w:id="9" w:name="_Toc247691502"/>
      <w:bookmarkStart w:id="10" w:name="_Toc314842483"/>
      <w:bookmarkStart w:id="11" w:name="_Toc66284484"/>
      <w:bookmarkEnd w:id="0"/>
      <w:bookmarkEnd w:id="3"/>
      <w:r w:rsidRPr="00B23300">
        <w:rPr>
          <w:lang w:eastAsia="en-AU"/>
        </w:rPr>
        <w:t>Submission details</w:t>
      </w:r>
      <w:bookmarkEnd w:id="9"/>
      <w:bookmarkEnd w:id="10"/>
      <w:bookmarkEnd w:id="11"/>
    </w:p>
    <w:tbl>
      <w:tblPr>
        <w:tblW w:w="9214" w:type="dxa"/>
        <w:tblInd w:w="108" w:type="dxa"/>
        <w:tblLook w:val="01E0" w:firstRow="1" w:lastRow="1" w:firstColumn="1" w:lastColumn="1" w:noHBand="0" w:noVBand="0"/>
      </w:tblPr>
      <w:tblGrid>
        <w:gridCol w:w="2907"/>
        <w:gridCol w:w="6307"/>
      </w:tblGrid>
      <w:tr w:rsidR="008E7846" w:rsidRPr="00B23300" w14:paraId="44F13551" w14:textId="77777777" w:rsidTr="003735BC">
        <w:tc>
          <w:tcPr>
            <w:tcW w:w="2907" w:type="dxa"/>
          </w:tcPr>
          <w:p w14:paraId="0EB0B2A3" w14:textId="77777777" w:rsidR="008E7846" w:rsidRPr="00B23300" w:rsidRDefault="001B5C90" w:rsidP="001B5C90">
            <w:pPr>
              <w:rPr>
                <w:i/>
              </w:rPr>
            </w:pPr>
            <w:r w:rsidRPr="00B23300">
              <w:rPr>
                <w:i/>
              </w:rPr>
              <w:t>Type of s</w:t>
            </w:r>
            <w:r w:rsidR="008E7846" w:rsidRPr="00B23300">
              <w:rPr>
                <w:i/>
              </w:rPr>
              <w:t>ubmission</w:t>
            </w:r>
            <w:r w:rsidRPr="00B23300">
              <w:rPr>
                <w:i/>
              </w:rPr>
              <w:t>:</w:t>
            </w:r>
          </w:p>
        </w:tc>
        <w:tc>
          <w:tcPr>
            <w:tcW w:w="6307" w:type="dxa"/>
          </w:tcPr>
          <w:p w14:paraId="2BC1CD64" w14:textId="77777777" w:rsidR="008E7846" w:rsidRPr="00B23300" w:rsidRDefault="00084EE3" w:rsidP="00D47A3D">
            <w:r w:rsidRPr="00B23300">
              <w:t>New biosimilar medicine</w:t>
            </w:r>
          </w:p>
        </w:tc>
      </w:tr>
      <w:tr w:rsidR="00460036" w:rsidRPr="00B23300" w14:paraId="0756497D" w14:textId="77777777" w:rsidTr="003735BC">
        <w:tc>
          <w:tcPr>
            <w:tcW w:w="2907" w:type="dxa"/>
          </w:tcPr>
          <w:p w14:paraId="749742E8" w14:textId="77777777" w:rsidR="00460036" w:rsidRPr="00B23300" w:rsidRDefault="00084EE3" w:rsidP="00084EE3">
            <w:pPr>
              <w:rPr>
                <w:i/>
              </w:rPr>
            </w:pPr>
            <w:r w:rsidRPr="00B23300">
              <w:rPr>
                <w:i/>
              </w:rPr>
              <w:t>Product name</w:t>
            </w:r>
            <w:r w:rsidR="00460036" w:rsidRPr="00B23300">
              <w:rPr>
                <w:i/>
              </w:rPr>
              <w:t>:</w:t>
            </w:r>
          </w:p>
        </w:tc>
        <w:tc>
          <w:tcPr>
            <w:tcW w:w="6307" w:type="dxa"/>
          </w:tcPr>
          <w:p w14:paraId="69EEC05B" w14:textId="56F44330" w:rsidR="00460036" w:rsidRPr="00B23300" w:rsidRDefault="00017F10" w:rsidP="00D47A3D">
            <w:proofErr w:type="spellStart"/>
            <w:r>
              <w:t>Rymti</w:t>
            </w:r>
            <w:proofErr w:type="spellEnd"/>
            <w:r>
              <w:t>/</w:t>
            </w:r>
            <w:proofErr w:type="spellStart"/>
            <w:r w:rsidR="00084EE3" w:rsidRPr="00B23300">
              <w:t>Etera</w:t>
            </w:r>
            <w:proofErr w:type="spellEnd"/>
          </w:p>
        </w:tc>
      </w:tr>
      <w:tr w:rsidR="00460036" w:rsidRPr="00B23300" w14:paraId="7E16BE27" w14:textId="77777777" w:rsidTr="003735BC">
        <w:tc>
          <w:tcPr>
            <w:tcW w:w="2907" w:type="dxa"/>
          </w:tcPr>
          <w:p w14:paraId="144DFF81" w14:textId="77777777" w:rsidR="00460036" w:rsidRPr="00B23300" w:rsidRDefault="00084EE3" w:rsidP="00084EE3">
            <w:pPr>
              <w:rPr>
                <w:i/>
              </w:rPr>
            </w:pPr>
            <w:r w:rsidRPr="00B23300">
              <w:rPr>
                <w:i/>
              </w:rPr>
              <w:t>Active ingredient</w:t>
            </w:r>
            <w:r w:rsidR="00460036" w:rsidRPr="00B23300">
              <w:rPr>
                <w:i/>
              </w:rPr>
              <w:t>:</w:t>
            </w:r>
          </w:p>
        </w:tc>
        <w:tc>
          <w:tcPr>
            <w:tcW w:w="6307" w:type="dxa"/>
          </w:tcPr>
          <w:p w14:paraId="0F4FA918" w14:textId="77621C8B" w:rsidR="00460036" w:rsidRPr="00B23300" w:rsidRDefault="00056ECA" w:rsidP="00D47A3D">
            <w:proofErr w:type="spellStart"/>
            <w:r w:rsidRPr="00B23300">
              <w:t>Etanercept</w:t>
            </w:r>
            <w:proofErr w:type="spellEnd"/>
          </w:p>
        </w:tc>
      </w:tr>
      <w:tr w:rsidR="008E7846" w:rsidRPr="00B23300" w14:paraId="25D8D487" w14:textId="77777777" w:rsidTr="003735BC">
        <w:tc>
          <w:tcPr>
            <w:tcW w:w="2907" w:type="dxa"/>
          </w:tcPr>
          <w:p w14:paraId="4989E676" w14:textId="77777777" w:rsidR="008E7846" w:rsidRPr="00B23300" w:rsidRDefault="008E7846" w:rsidP="003D1E62">
            <w:r w:rsidRPr="00B23300">
              <w:rPr>
                <w:i/>
              </w:rPr>
              <w:t>Decision</w:t>
            </w:r>
            <w:r w:rsidRPr="00B23300">
              <w:t>:</w:t>
            </w:r>
          </w:p>
        </w:tc>
        <w:tc>
          <w:tcPr>
            <w:tcW w:w="6307" w:type="dxa"/>
          </w:tcPr>
          <w:p w14:paraId="4A5B264A" w14:textId="77777777" w:rsidR="008E7846" w:rsidRPr="00B23300" w:rsidRDefault="00084EE3" w:rsidP="00D47A3D">
            <w:r w:rsidRPr="00B23300">
              <w:t>Approved</w:t>
            </w:r>
          </w:p>
        </w:tc>
      </w:tr>
      <w:tr w:rsidR="008E7846" w:rsidRPr="00B23300" w14:paraId="06A3A839" w14:textId="77777777" w:rsidTr="003735BC">
        <w:tc>
          <w:tcPr>
            <w:tcW w:w="2907" w:type="dxa"/>
          </w:tcPr>
          <w:p w14:paraId="0A5E0B40" w14:textId="77777777" w:rsidR="008E7846" w:rsidRPr="00B23300" w:rsidRDefault="008E7846" w:rsidP="001B5C90">
            <w:pPr>
              <w:rPr>
                <w:i/>
              </w:rPr>
            </w:pPr>
            <w:r w:rsidRPr="00B23300">
              <w:rPr>
                <w:i/>
              </w:rPr>
              <w:t xml:space="preserve">Date of </w:t>
            </w:r>
            <w:r w:rsidR="001B5C90" w:rsidRPr="00B23300">
              <w:rPr>
                <w:i/>
              </w:rPr>
              <w:t>d</w:t>
            </w:r>
            <w:r w:rsidRPr="00B23300">
              <w:rPr>
                <w:i/>
              </w:rPr>
              <w:t>ecision:</w:t>
            </w:r>
          </w:p>
        </w:tc>
        <w:tc>
          <w:tcPr>
            <w:tcW w:w="6307" w:type="dxa"/>
          </w:tcPr>
          <w:p w14:paraId="54E23F4F" w14:textId="77777777" w:rsidR="008E7846" w:rsidRPr="00B23300" w:rsidRDefault="00084EE3" w:rsidP="00D47A3D">
            <w:r w:rsidRPr="00B23300">
              <w:t>28 January 2020</w:t>
            </w:r>
          </w:p>
        </w:tc>
      </w:tr>
      <w:tr w:rsidR="00ED2922" w:rsidRPr="00B23300" w14:paraId="63A76542" w14:textId="77777777" w:rsidTr="003735BC">
        <w:tc>
          <w:tcPr>
            <w:tcW w:w="2907" w:type="dxa"/>
          </w:tcPr>
          <w:p w14:paraId="4F79431C" w14:textId="77777777" w:rsidR="00ED2922" w:rsidRPr="00B23300" w:rsidRDefault="00ED2922" w:rsidP="001B5C90">
            <w:pPr>
              <w:rPr>
                <w:i/>
              </w:rPr>
            </w:pPr>
            <w:r w:rsidRPr="00B23300">
              <w:rPr>
                <w:i/>
              </w:rPr>
              <w:t>Date of entry onto ARTG</w:t>
            </w:r>
            <w:r w:rsidR="00500337" w:rsidRPr="00B23300">
              <w:rPr>
                <w:i/>
              </w:rPr>
              <w:t>:</w:t>
            </w:r>
          </w:p>
        </w:tc>
        <w:tc>
          <w:tcPr>
            <w:tcW w:w="6307" w:type="dxa"/>
          </w:tcPr>
          <w:p w14:paraId="7A10700C" w14:textId="77777777" w:rsidR="00ED2922" w:rsidRPr="00B23300" w:rsidRDefault="00084EE3" w:rsidP="00D47A3D">
            <w:r w:rsidRPr="00B23300">
              <w:t>1 October 2020</w:t>
            </w:r>
          </w:p>
        </w:tc>
      </w:tr>
      <w:tr w:rsidR="00500337" w:rsidRPr="00B23300" w14:paraId="0ABDBB5B" w14:textId="77777777" w:rsidTr="003735BC">
        <w:tc>
          <w:tcPr>
            <w:tcW w:w="2907" w:type="dxa"/>
          </w:tcPr>
          <w:p w14:paraId="27E47A35" w14:textId="77777777" w:rsidR="00500337" w:rsidRPr="00B23300" w:rsidRDefault="00084EE3" w:rsidP="001B5C90">
            <w:pPr>
              <w:rPr>
                <w:i/>
              </w:rPr>
            </w:pPr>
            <w:r w:rsidRPr="00B23300">
              <w:rPr>
                <w:i/>
              </w:rPr>
              <w:t>ARTG numbers</w:t>
            </w:r>
            <w:r w:rsidR="00500337" w:rsidRPr="00B23300">
              <w:rPr>
                <w:i/>
              </w:rPr>
              <w:t>:</w:t>
            </w:r>
          </w:p>
        </w:tc>
        <w:tc>
          <w:tcPr>
            <w:tcW w:w="6307" w:type="dxa"/>
          </w:tcPr>
          <w:p w14:paraId="033105F2" w14:textId="77777777" w:rsidR="00500337" w:rsidRPr="00B23300" w:rsidRDefault="00084EE3" w:rsidP="00D47A3D">
            <w:r w:rsidRPr="00B23300">
              <w:t>309829, 309831, 309830, 309834</w:t>
            </w:r>
          </w:p>
        </w:tc>
      </w:tr>
      <w:tr w:rsidR="003735BC" w:rsidRPr="00B23300" w14:paraId="706FDE97" w14:textId="77777777" w:rsidTr="003735BC">
        <w:tc>
          <w:tcPr>
            <w:tcW w:w="2907" w:type="dxa"/>
          </w:tcPr>
          <w:p w14:paraId="2BC94C82" w14:textId="77777777" w:rsidR="003735BC" w:rsidRPr="00B23300" w:rsidRDefault="00FA5069" w:rsidP="001B5C90">
            <w:pPr>
              <w:rPr>
                <w:i/>
              </w:rPr>
            </w:pPr>
            <w:r w:rsidRPr="00B23300">
              <w:rPr>
                <w:rFonts w:ascii="Wingdings 3" w:hAnsi="Wingdings 3"/>
                <w:sz w:val="34"/>
                <w:szCs w:val="34"/>
                <w:lang w:eastAsia="en-AU"/>
              </w:rPr>
              <w:t></w:t>
            </w:r>
            <w:r w:rsidR="003735BC" w:rsidRPr="00B23300">
              <w:rPr>
                <w:i/>
              </w:rPr>
              <w:t>Black Triangle Scheme</w:t>
            </w:r>
            <w:r w:rsidR="004C4FBE" w:rsidRPr="00B23300">
              <w:rPr>
                <w:i/>
              </w:rPr>
              <w:t>:</w:t>
            </w:r>
            <w:r w:rsidR="00460036" w:rsidRPr="00B23300">
              <w:rPr>
                <w:rStyle w:val="FootnoteReference"/>
                <w:i/>
              </w:rPr>
              <w:footnoteReference w:id="1"/>
            </w:r>
          </w:p>
        </w:tc>
        <w:tc>
          <w:tcPr>
            <w:tcW w:w="6307" w:type="dxa"/>
          </w:tcPr>
          <w:p w14:paraId="6488D568" w14:textId="43854FE8" w:rsidR="003735BC" w:rsidRPr="005E6B60" w:rsidRDefault="00056ECA" w:rsidP="00D47A3D">
            <w:r w:rsidRPr="005E6B60">
              <w:t>No</w:t>
            </w:r>
          </w:p>
        </w:tc>
      </w:tr>
      <w:tr w:rsidR="008E7846" w:rsidRPr="00B23300" w14:paraId="7EEECEF9" w14:textId="77777777" w:rsidTr="00BF1190">
        <w:tc>
          <w:tcPr>
            <w:tcW w:w="2907" w:type="dxa"/>
          </w:tcPr>
          <w:p w14:paraId="42907189" w14:textId="77777777" w:rsidR="008E7846" w:rsidRPr="00B23300" w:rsidRDefault="008E7846" w:rsidP="001B5C90">
            <w:pPr>
              <w:rPr>
                <w:i/>
              </w:rPr>
            </w:pPr>
            <w:r w:rsidRPr="00B23300">
              <w:rPr>
                <w:i/>
              </w:rPr>
              <w:t xml:space="preserve">Sponsor’s </w:t>
            </w:r>
            <w:r w:rsidR="001B5C90" w:rsidRPr="00B23300">
              <w:rPr>
                <w:i/>
              </w:rPr>
              <w:t>n</w:t>
            </w:r>
            <w:r w:rsidRPr="00B23300">
              <w:rPr>
                <w:i/>
              </w:rPr>
              <w:t xml:space="preserve">ame and </w:t>
            </w:r>
            <w:r w:rsidR="001B5C90" w:rsidRPr="00B23300">
              <w:rPr>
                <w:i/>
              </w:rPr>
              <w:t>a</w:t>
            </w:r>
            <w:r w:rsidRPr="00B23300">
              <w:rPr>
                <w:i/>
              </w:rPr>
              <w:t>ddress:</w:t>
            </w:r>
          </w:p>
        </w:tc>
        <w:tc>
          <w:tcPr>
            <w:tcW w:w="6307" w:type="dxa"/>
          </w:tcPr>
          <w:p w14:paraId="3A607F51" w14:textId="77777777" w:rsidR="00084EE3" w:rsidRPr="00B23300" w:rsidRDefault="00084EE3" w:rsidP="00D47A3D">
            <w:r w:rsidRPr="00B23300">
              <w:t>Lupin Australia Pty Ltd</w:t>
            </w:r>
          </w:p>
          <w:p w14:paraId="652D1C75" w14:textId="33D71B55" w:rsidR="006D4732" w:rsidRDefault="003F2E79" w:rsidP="00D47A3D">
            <w:r w:rsidRPr="00B23300">
              <w:t>Suite 2 Level 2, 19</w:t>
            </w:r>
            <w:r w:rsidR="006D4732">
              <w:t>-</w:t>
            </w:r>
            <w:r w:rsidR="0086232A" w:rsidRPr="00B23300">
              <w:t>23 Prospect St,</w:t>
            </w:r>
          </w:p>
          <w:p w14:paraId="23012B82" w14:textId="2DF8D79C" w:rsidR="008E7846" w:rsidRPr="00B23300" w:rsidRDefault="0086232A" w:rsidP="00D47A3D">
            <w:r w:rsidRPr="00B23300">
              <w:t>Box Hill, V</w:t>
            </w:r>
            <w:r w:rsidR="006D4732">
              <w:t>IC,</w:t>
            </w:r>
            <w:r w:rsidR="00084EE3" w:rsidRPr="00B23300">
              <w:t xml:space="preserve"> 3128</w:t>
            </w:r>
          </w:p>
        </w:tc>
      </w:tr>
      <w:tr w:rsidR="008E7846" w:rsidRPr="00B23300" w14:paraId="14FC1370" w14:textId="77777777" w:rsidTr="00BF1190">
        <w:tc>
          <w:tcPr>
            <w:tcW w:w="2907" w:type="dxa"/>
          </w:tcPr>
          <w:p w14:paraId="2A8721DE" w14:textId="77777777" w:rsidR="008E7846" w:rsidRPr="00B23300" w:rsidRDefault="00084EE3" w:rsidP="00084EE3">
            <w:pPr>
              <w:rPr>
                <w:i/>
              </w:rPr>
            </w:pPr>
            <w:r w:rsidRPr="00B23300">
              <w:rPr>
                <w:i/>
              </w:rPr>
              <w:t>Dose form</w:t>
            </w:r>
            <w:r w:rsidR="001B5C90" w:rsidRPr="00B23300">
              <w:rPr>
                <w:i/>
              </w:rPr>
              <w:t>:</w:t>
            </w:r>
          </w:p>
        </w:tc>
        <w:tc>
          <w:tcPr>
            <w:tcW w:w="6307" w:type="dxa"/>
          </w:tcPr>
          <w:p w14:paraId="1D2AFB6C" w14:textId="77777777" w:rsidR="008E7846" w:rsidRPr="00B23300" w:rsidRDefault="00084EE3" w:rsidP="00D47A3D">
            <w:r w:rsidRPr="00B23300">
              <w:t>Solution for injection</w:t>
            </w:r>
          </w:p>
        </w:tc>
      </w:tr>
      <w:tr w:rsidR="008E7846" w:rsidRPr="00B23300" w14:paraId="19CCF8D2" w14:textId="77777777" w:rsidTr="00BF1190">
        <w:tc>
          <w:tcPr>
            <w:tcW w:w="2907" w:type="dxa"/>
          </w:tcPr>
          <w:p w14:paraId="258261D1" w14:textId="77777777" w:rsidR="008E7846" w:rsidRPr="00B23300" w:rsidRDefault="008E7846" w:rsidP="00084EE3">
            <w:pPr>
              <w:rPr>
                <w:i/>
              </w:rPr>
            </w:pPr>
            <w:r w:rsidRPr="00B23300">
              <w:rPr>
                <w:i/>
              </w:rPr>
              <w:t xml:space="preserve">Strengths: </w:t>
            </w:r>
          </w:p>
        </w:tc>
        <w:tc>
          <w:tcPr>
            <w:tcW w:w="6307" w:type="dxa"/>
          </w:tcPr>
          <w:p w14:paraId="15EF5643" w14:textId="0065420D" w:rsidR="008E7846" w:rsidRPr="00B23300" w:rsidRDefault="00084EE3" w:rsidP="00D47A3D">
            <w:r w:rsidRPr="00B23300">
              <w:t>25 mg</w:t>
            </w:r>
            <w:r w:rsidR="006D4732">
              <w:t xml:space="preserve"> (25 mg/0.5 mL)</w:t>
            </w:r>
            <w:r w:rsidRPr="00B23300">
              <w:t xml:space="preserve"> and 50 mg</w:t>
            </w:r>
            <w:r w:rsidR="006D4732">
              <w:t xml:space="preserve"> (50 mg/1.0 mL)</w:t>
            </w:r>
          </w:p>
        </w:tc>
      </w:tr>
      <w:tr w:rsidR="008E7846" w:rsidRPr="00B23300" w14:paraId="513FE692" w14:textId="77777777" w:rsidTr="00BF1190">
        <w:tc>
          <w:tcPr>
            <w:tcW w:w="2907" w:type="dxa"/>
          </w:tcPr>
          <w:p w14:paraId="677257C5" w14:textId="77777777" w:rsidR="008E7846" w:rsidRPr="00B23300" w:rsidRDefault="008E7846" w:rsidP="00084EE3">
            <w:pPr>
              <w:rPr>
                <w:i/>
              </w:rPr>
            </w:pPr>
            <w:r w:rsidRPr="00B23300">
              <w:rPr>
                <w:i/>
              </w:rPr>
              <w:t>Container:</w:t>
            </w:r>
          </w:p>
        </w:tc>
        <w:tc>
          <w:tcPr>
            <w:tcW w:w="6307" w:type="dxa"/>
          </w:tcPr>
          <w:p w14:paraId="289E0559" w14:textId="4D90DF3C" w:rsidR="008E7846" w:rsidRPr="00B23300" w:rsidRDefault="00084EE3" w:rsidP="00D47A3D">
            <w:r w:rsidRPr="00B23300">
              <w:t>Prefilled syringe</w:t>
            </w:r>
            <w:r w:rsidR="001959EE" w:rsidRPr="00B23300">
              <w:t xml:space="preserve"> (PFS)</w:t>
            </w:r>
          </w:p>
        </w:tc>
      </w:tr>
      <w:tr w:rsidR="008E7846" w:rsidRPr="00B23300" w14:paraId="61C8697A" w14:textId="77777777" w:rsidTr="00BF1190">
        <w:tc>
          <w:tcPr>
            <w:tcW w:w="2907" w:type="dxa"/>
          </w:tcPr>
          <w:p w14:paraId="1B7D5492" w14:textId="10D4B6A2" w:rsidR="008E7846" w:rsidRPr="00B23300" w:rsidRDefault="008E7846" w:rsidP="00E45619">
            <w:pPr>
              <w:rPr>
                <w:i/>
              </w:rPr>
            </w:pPr>
            <w:r w:rsidRPr="00B23300">
              <w:rPr>
                <w:i/>
              </w:rPr>
              <w:t>Pack size:</w:t>
            </w:r>
          </w:p>
        </w:tc>
        <w:tc>
          <w:tcPr>
            <w:tcW w:w="6307" w:type="dxa"/>
          </w:tcPr>
          <w:p w14:paraId="32221D3D" w14:textId="77777777" w:rsidR="008E7846" w:rsidRPr="00B23300" w:rsidRDefault="00084EE3" w:rsidP="00D47A3D">
            <w:r w:rsidRPr="00B23300">
              <w:t>4</w:t>
            </w:r>
          </w:p>
        </w:tc>
      </w:tr>
      <w:tr w:rsidR="008E7846" w:rsidRPr="00431339" w14:paraId="379E4672" w14:textId="77777777" w:rsidTr="00BF1190">
        <w:tc>
          <w:tcPr>
            <w:tcW w:w="2907" w:type="dxa"/>
          </w:tcPr>
          <w:p w14:paraId="60834FA0" w14:textId="77777777" w:rsidR="008E7846" w:rsidRPr="00B23300" w:rsidRDefault="008E7846" w:rsidP="00551193">
            <w:pPr>
              <w:rPr>
                <w:i/>
              </w:rPr>
            </w:pPr>
            <w:r w:rsidRPr="00B23300">
              <w:rPr>
                <w:i/>
              </w:rPr>
              <w:t xml:space="preserve">Approved </w:t>
            </w:r>
            <w:r w:rsidR="001B5C90" w:rsidRPr="00B23300">
              <w:rPr>
                <w:i/>
              </w:rPr>
              <w:t>t</w:t>
            </w:r>
            <w:r w:rsidRPr="00B23300">
              <w:rPr>
                <w:i/>
              </w:rPr>
              <w:t>herapeutic use:</w:t>
            </w:r>
          </w:p>
        </w:tc>
        <w:tc>
          <w:tcPr>
            <w:tcW w:w="6307" w:type="dxa"/>
          </w:tcPr>
          <w:p w14:paraId="289292F4" w14:textId="77777777" w:rsidR="00F26565" w:rsidRPr="00B23300" w:rsidRDefault="00F26565" w:rsidP="007F356C">
            <w:pPr>
              <w:rPr>
                <w:i/>
              </w:rPr>
            </w:pPr>
            <w:r w:rsidRPr="00B23300">
              <w:rPr>
                <w:b/>
                <w:i/>
              </w:rPr>
              <w:t>Adults</w:t>
            </w:r>
          </w:p>
          <w:p w14:paraId="1A1C6EB6" w14:textId="14899FD8" w:rsidR="00F26565" w:rsidRPr="00B23300" w:rsidRDefault="00EA2BBF" w:rsidP="007F356C">
            <w:r w:rsidRPr="00B23300">
              <w:rPr>
                <w:b/>
                <w:i/>
              </w:rPr>
              <w:t>Rheumatoid a</w:t>
            </w:r>
            <w:r w:rsidR="00F26565" w:rsidRPr="00B23300">
              <w:rPr>
                <w:b/>
                <w:i/>
              </w:rPr>
              <w:t>rthritis</w:t>
            </w:r>
          </w:p>
          <w:p w14:paraId="4FD00E50" w14:textId="39128792" w:rsidR="00F26565" w:rsidRPr="00431339" w:rsidRDefault="00F26565">
            <w:pPr>
              <w:rPr>
                <w:i/>
              </w:rPr>
            </w:pPr>
            <w:r w:rsidRPr="00B23300">
              <w:rPr>
                <w:i/>
              </w:rPr>
              <w:t xml:space="preserve">Active, adult </w:t>
            </w:r>
            <w:r w:rsidRPr="00431339">
              <w:rPr>
                <w:i/>
              </w:rPr>
              <w:t>rheumatoid arthritis (RA)</w:t>
            </w:r>
            <w:r w:rsidRPr="00B23300">
              <w:rPr>
                <w:i/>
              </w:rPr>
              <w:t xml:space="preserve"> in patients who have had inadequate </w:t>
            </w:r>
            <w:r w:rsidR="003F2E79" w:rsidRPr="00B23300">
              <w:rPr>
                <w:i/>
              </w:rPr>
              <w:t xml:space="preserve">response to one or more </w:t>
            </w:r>
            <w:proofErr w:type="gramStart"/>
            <w:r w:rsidR="003F2E79" w:rsidRPr="00431339">
              <w:rPr>
                <w:i/>
              </w:rPr>
              <w:t xml:space="preserve">disease </w:t>
            </w:r>
            <w:r w:rsidRPr="00431339">
              <w:rPr>
                <w:i/>
              </w:rPr>
              <w:t>modifying</w:t>
            </w:r>
            <w:proofErr w:type="gramEnd"/>
            <w:r w:rsidRPr="00431339">
              <w:rPr>
                <w:i/>
              </w:rPr>
              <w:t xml:space="preserve"> </w:t>
            </w:r>
            <w:proofErr w:type="spellStart"/>
            <w:r w:rsidRPr="00431339">
              <w:rPr>
                <w:i/>
              </w:rPr>
              <w:t>antirheumatic</w:t>
            </w:r>
            <w:proofErr w:type="spellEnd"/>
            <w:r w:rsidRPr="00431339">
              <w:rPr>
                <w:i/>
              </w:rPr>
              <w:t xml:space="preserve"> drugs (DMARDs).</w:t>
            </w:r>
            <w:r w:rsidRPr="00B23300">
              <w:rPr>
                <w:i/>
              </w:rPr>
              <w:t xml:space="preserve"> </w:t>
            </w:r>
            <w:proofErr w:type="spellStart"/>
            <w:r w:rsidR="00687E69" w:rsidRPr="00B23300">
              <w:rPr>
                <w:i/>
              </w:rPr>
              <w:t>Rymti</w:t>
            </w:r>
            <w:proofErr w:type="spellEnd"/>
            <w:r w:rsidR="003279F7">
              <w:rPr>
                <w:i/>
              </w:rPr>
              <w:t>/</w:t>
            </w:r>
            <w:proofErr w:type="spellStart"/>
            <w:r w:rsidR="00687E69" w:rsidRPr="00B23300">
              <w:rPr>
                <w:i/>
              </w:rPr>
              <w:t>Etera</w:t>
            </w:r>
            <w:proofErr w:type="spellEnd"/>
            <w:r w:rsidR="00687E69" w:rsidRPr="00B23300">
              <w:rPr>
                <w:i/>
              </w:rPr>
              <w:t xml:space="preserve"> </w:t>
            </w:r>
            <w:proofErr w:type="gramStart"/>
            <w:r w:rsidRPr="00B23300">
              <w:rPr>
                <w:i/>
              </w:rPr>
              <w:t>can be used</w:t>
            </w:r>
            <w:proofErr w:type="gramEnd"/>
            <w:r w:rsidRPr="00B23300">
              <w:rPr>
                <w:i/>
              </w:rPr>
              <w:t xml:space="preserve"> in combination with methotrexate.</w:t>
            </w:r>
          </w:p>
          <w:p w14:paraId="7BC1F6DD" w14:textId="18CE670F" w:rsidR="00F26565" w:rsidRPr="00431339" w:rsidRDefault="00F26565">
            <w:pPr>
              <w:rPr>
                <w:i/>
              </w:rPr>
            </w:pPr>
            <w:r w:rsidRPr="00431339">
              <w:rPr>
                <w:i/>
              </w:rPr>
              <w:t xml:space="preserve">Severe, active </w:t>
            </w:r>
            <w:r w:rsidR="000A6317" w:rsidRPr="00431339">
              <w:rPr>
                <w:i/>
              </w:rPr>
              <w:t>RA</w:t>
            </w:r>
            <w:r w:rsidRPr="00431339">
              <w:rPr>
                <w:i/>
              </w:rPr>
              <w:t xml:space="preserve"> in adults to slow progression of </w:t>
            </w:r>
            <w:r w:rsidR="00EA2BBF" w:rsidRPr="00431339">
              <w:rPr>
                <w:i/>
              </w:rPr>
              <w:t>disease associated</w:t>
            </w:r>
            <w:r w:rsidRPr="00431339">
              <w:rPr>
                <w:i/>
              </w:rPr>
              <w:t xml:space="preserve"> structural damage in patients at high risk of erosive disease.</w:t>
            </w:r>
          </w:p>
          <w:p w14:paraId="5B287A63" w14:textId="592EA083" w:rsidR="00F26565" w:rsidRPr="00431339" w:rsidRDefault="00F26565" w:rsidP="007F356C">
            <w:r w:rsidRPr="00431339">
              <w:rPr>
                <w:b/>
                <w:i/>
              </w:rPr>
              <w:t xml:space="preserve">Psoriatic </w:t>
            </w:r>
            <w:r w:rsidR="00EA2BBF" w:rsidRPr="00431339">
              <w:rPr>
                <w:b/>
                <w:i/>
              </w:rPr>
              <w:t>a</w:t>
            </w:r>
            <w:r w:rsidRPr="00431339">
              <w:rPr>
                <w:b/>
                <w:i/>
              </w:rPr>
              <w:t>rthritis</w:t>
            </w:r>
          </w:p>
          <w:p w14:paraId="3AEC1CC7" w14:textId="3561A6FA" w:rsidR="00F26565" w:rsidRPr="00431339" w:rsidRDefault="00F26565">
            <w:pPr>
              <w:rPr>
                <w:i/>
              </w:rPr>
            </w:pPr>
            <w:r w:rsidRPr="00431339">
              <w:rPr>
                <w:i/>
              </w:rPr>
              <w:t>The signs and symptoms of active and progressive psoriatic arthritis in adults, when th</w:t>
            </w:r>
            <w:r w:rsidR="003F2E79" w:rsidRPr="00431339">
              <w:rPr>
                <w:i/>
              </w:rPr>
              <w:t xml:space="preserve">e response to previous disease </w:t>
            </w:r>
            <w:r w:rsidRPr="00431339">
              <w:rPr>
                <w:i/>
              </w:rPr>
              <w:t xml:space="preserve">modifying </w:t>
            </w:r>
            <w:proofErr w:type="spellStart"/>
            <w:r w:rsidRPr="00431339">
              <w:rPr>
                <w:i/>
              </w:rPr>
              <w:t>antirheumatic</w:t>
            </w:r>
            <w:proofErr w:type="spellEnd"/>
            <w:r w:rsidRPr="00431339">
              <w:rPr>
                <w:i/>
              </w:rPr>
              <w:t xml:space="preserve"> therapy has </w:t>
            </w:r>
            <w:r w:rsidR="004536FB" w:rsidRPr="00431339">
              <w:rPr>
                <w:i/>
              </w:rPr>
              <w:t>been inadequate</w:t>
            </w:r>
            <w:r w:rsidR="00EA2BBF" w:rsidRPr="00431339">
              <w:rPr>
                <w:i/>
              </w:rPr>
              <w:t xml:space="preserve">. </w:t>
            </w:r>
            <w:proofErr w:type="spellStart"/>
            <w:r w:rsidRPr="00431339">
              <w:rPr>
                <w:i/>
              </w:rPr>
              <w:t>Etanercept</w:t>
            </w:r>
            <w:proofErr w:type="spellEnd"/>
            <w:r w:rsidRPr="00431339">
              <w:rPr>
                <w:i/>
              </w:rPr>
              <w:t xml:space="preserve"> </w:t>
            </w:r>
            <w:proofErr w:type="gramStart"/>
            <w:r w:rsidRPr="00431339">
              <w:rPr>
                <w:i/>
              </w:rPr>
              <w:t>has been shown</w:t>
            </w:r>
            <w:proofErr w:type="gramEnd"/>
            <w:r w:rsidRPr="00431339">
              <w:rPr>
                <w:i/>
              </w:rPr>
              <w:t xml:space="preserve"> to reduce the rate of progression of joint damage as measured by X-ray an</w:t>
            </w:r>
            <w:r w:rsidR="00437D1C" w:rsidRPr="00431339">
              <w:rPr>
                <w:i/>
              </w:rPr>
              <w:t>d to improve physical function.</w:t>
            </w:r>
          </w:p>
          <w:p w14:paraId="0F18DEF4" w14:textId="43CF4398" w:rsidR="00F26565" w:rsidRPr="00431339" w:rsidRDefault="00EA2BBF" w:rsidP="007F356C">
            <w:r w:rsidRPr="00431339">
              <w:rPr>
                <w:b/>
                <w:i/>
              </w:rPr>
              <w:t>Plaque p</w:t>
            </w:r>
            <w:r w:rsidR="00F26565" w:rsidRPr="00431339">
              <w:rPr>
                <w:b/>
                <w:i/>
              </w:rPr>
              <w:t>soriasis</w:t>
            </w:r>
          </w:p>
          <w:p w14:paraId="482DF641" w14:textId="77777777" w:rsidR="00F26565" w:rsidRPr="00431339" w:rsidRDefault="00F26565">
            <w:pPr>
              <w:rPr>
                <w:i/>
              </w:rPr>
            </w:pPr>
            <w:r w:rsidRPr="00431339">
              <w:rPr>
                <w:i/>
              </w:rPr>
              <w:t>Adult patients with moderate to severe chronic plaque psoriasis, who are candidates for phototherapy or systemic therapy.</w:t>
            </w:r>
          </w:p>
          <w:p w14:paraId="264CFD9F" w14:textId="5752F476" w:rsidR="00F26565" w:rsidRPr="00431339" w:rsidRDefault="00EA2BBF" w:rsidP="007F356C">
            <w:r w:rsidRPr="00431339">
              <w:rPr>
                <w:b/>
                <w:i/>
              </w:rPr>
              <w:t>Ankylosing s</w:t>
            </w:r>
            <w:r w:rsidR="00F26565" w:rsidRPr="00431339">
              <w:rPr>
                <w:b/>
                <w:i/>
              </w:rPr>
              <w:t>pondylitis</w:t>
            </w:r>
          </w:p>
          <w:p w14:paraId="72AA86B7" w14:textId="71AB7588" w:rsidR="00F26565" w:rsidRPr="00B23300" w:rsidRDefault="00F26565">
            <w:pPr>
              <w:rPr>
                <w:i/>
              </w:rPr>
            </w:pPr>
            <w:r w:rsidRPr="00431339">
              <w:rPr>
                <w:i/>
              </w:rPr>
              <w:t>The signs and symptoms of active ankylosing spondylitis</w:t>
            </w:r>
            <w:r w:rsidR="00865631" w:rsidRPr="00431339">
              <w:rPr>
                <w:i/>
              </w:rPr>
              <w:t xml:space="preserve"> (AS)</w:t>
            </w:r>
            <w:r w:rsidRPr="00B23300">
              <w:rPr>
                <w:i/>
              </w:rPr>
              <w:t xml:space="preserve"> in adults.</w:t>
            </w:r>
          </w:p>
          <w:p w14:paraId="12FEFF0A" w14:textId="4FD6B5AC" w:rsidR="00F26565" w:rsidRPr="00431339" w:rsidRDefault="00EA2BBF" w:rsidP="007F356C">
            <w:r w:rsidRPr="00431339">
              <w:rPr>
                <w:b/>
                <w:i/>
              </w:rPr>
              <w:t xml:space="preserve">Non-radiographic axial </w:t>
            </w:r>
            <w:proofErr w:type="spellStart"/>
            <w:r w:rsidRPr="00431339">
              <w:rPr>
                <w:b/>
                <w:i/>
              </w:rPr>
              <w:t>s</w:t>
            </w:r>
            <w:r w:rsidR="00F26565" w:rsidRPr="00431339">
              <w:rPr>
                <w:b/>
                <w:i/>
              </w:rPr>
              <w:t>pondyloarthritis</w:t>
            </w:r>
            <w:proofErr w:type="spellEnd"/>
          </w:p>
          <w:p w14:paraId="5B8ACD1E" w14:textId="7FBF71C3" w:rsidR="00F26565" w:rsidRDefault="00F26565">
            <w:pPr>
              <w:rPr>
                <w:i/>
              </w:rPr>
            </w:pPr>
            <w:r w:rsidRPr="00431339">
              <w:rPr>
                <w:i/>
              </w:rPr>
              <w:t>Treatment of adults with a</w:t>
            </w:r>
            <w:r w:rsidR="008B1065" w:rsidRPr="00431339">
              <w:rPr>
                <w:i/>
              </w:rPr>
              <w:t>ctive;</w:t>
            </w:r>
            <w:bookmarkStart w:id="12" w:name="_Ref58229129"/>
            <w:r w:rsidR="009D6E99">
              <w:rPr>
                <w:i/>
              </w:rPr>
              <w:t>*</w:t>
            </w:r>
            <w:bookmarkEnd w:id="12"/>
            <w:r w:rsidRPr="00B23300">
              <w:rPr>
                <w:i/>
              </w:rPr>
              <w:t xml:space="preserve"> </w:t>
            </w:r>
            <w:r w:rsidRPr="00431339">
              <w:rPr>
                <w:i/>
              </w:rPr>
              <w:t xml:space="preserve">non-radiographic axial </w:t>
            </w:r>
            <w:proofErr w:type="spellStart"/>
            <w:r w:rsidRPr="00431339">
              <w:rPr>
                <w:i/>
              </w:rPr>
              <w:t>spondyloarthritis</w:t>
            </w:r>
            <w:proofErr w:type="spellEnd"/>
            <w:r w:rsidRPr="00431339">
              <w:rPr>
                <w:i/>
              </w:rPr>
              <w:t xml:space="preserve"> </w:t>
            </w:r>
            <w:r w:rsidR="00841C54" w:rsidRPr="00431339">
              <w:rPr>
                <w:i/>
              </w:rPr>
              <w:t>(</w:t>
            </w:r>
            <w:proofErr w:type="spellStart"/>
            <w:r w:rsidR="00841C54" w:rsidRPr="00431339">
              <w:rPr>
                <w:i/>
              </w:rPr>
              <w:t>nr</w:t>
            </w:r>
            <w:proofErr w:type="spellEnd"/>
            <w:r w:rsidR="00841C54" w:rsidRPr="00431339">
              <w:rPr>
                <w:i/>
              </w:rPr>
              <w:t xml:space="preserve">-axial </w:t>
            </w:r>
            <w:proofErr w:type="spellStart"/>
            <w:r w:rsidR="00841C54" w:rsidRPr="00431339">
              <w:rPr>
                <w:i/>
              </w:rPr>
              <w:t>SpA</w:t>
            </w:r>
            <w:proofErr w:type="spellEnd"/>
            <w:r w:rsidR="00841C54" w:rsidRPr="00431339">
              <w:rPr>
                <w:i/>
              </w:rPr>
              <w:t>)</w:t>
            </w:r>
            <w:r w:rsidR="00841C54" w:rsidRPr="00B23300">
              <w:rPr>
                <w:i/>
              </w:rPr>
              <w:t xml:space="preserve"> </w:t>
            </w:r>
            <w:r w:rsidRPr="00B23300">
              <w:rPr>
                <w:i/>
              </w:rPr>
              <w:t>with objective signs of inflamma</w:t>
            </w:r>
            <w:r w:rsidR="003F2E79" w:rsidRPr="00B23300">
              <w:rPr>
                <w:i/>
              </w:rPr>
              <w:t xml:space="preserve">tion as indicated by elevated </w:t>
            </w:r>
            <w:r w:rsidR="003F2E79" w:rsidRPr="00431339">
              <w:rPr>
                <w:i/>
              </w:rPr>
              <w:t>C</w:t>
            </w:r>
            <w:r w:rsidR="00150E1B" w:rsidRPr="00431339">
              <w:rPr>
                <w:i/>
              </w:rPr>
              <w:t>-</w:t>
            </w:r>
            <w:r w:rsidRPr="00431339">
              <w:rPr>
                <w:i/>
              </w:rPr>
              <w:t>reactive protein (CRP</w:t>
            </w:r>
            <w:r w:rsidRPr="00B23300">
              <w:rPr>
                <w:i/>
              </w:rPr>
              <w:t>) and/</w:t>
            </w:r>
            <w:r w:rsidRPr="00431339">
              <w:rPr>
                <w:i/>
              </w:rPr>
              <w:t xml:space="preserve">or </w:t>
            </w:r>
            <w:r w:rsidR="00182335" w:rsidRPr="00431339">
              <w:rPr>
                <w:i/>
              </w:rPr>
              <w:t>magnetic resonance imaging (</w:t>
            </w:r>
            <w:r w:rsidRPr="00431339">
              <w:rPr>
                <w:i/>
              </w:rPr>
              <w:t>MRI</w:t>
            </w:r>
            <w:r w:rsidR="00182335" w:rsidRPr="00431339">
              <w:rPr>
                <w:i/>
              </w:rPr>
              <w:t>)</w:t>
            </w:r>
            <w:r w:rsidRPr="00B23300">
              <w:rPr>
                <w:i/>
              </w:rPr>
              <w:t xml:space="preserve"> change who have had an inadequate response to </w:t>
            </w:r>
            <w:r w:rsidR="009D21F0" w:rsidRPr="00431339">
              <w:rPr>
                <w:i/>
              </w:rPr>
              <w:t>non-steroidal anti-inflammatory drugs (</w:t>
            </w:r>
            <w:r w:rsidRPr="00431339">
              <w:rPr>
                <w:i/>
              </w:rPr>
              <w:t>NSAIDs</w:t>
            </w:r>
            <w:r w:rsidR="009D21F0" w:rsidRPr="00431339">
              <w:rPr>
                <w:i/>
              </w:rPr>
              <w:t>)</w:t>
            </w:r>
            <w:r w:rsidRPr="00431339">
              <w:rPr>
                <w:i/>
              </w:rPr>
              <w:t>.</w:t>
            </w:r>
          </w:p>
          <w:p w14:paraId="3090E1B7" w14:textId="65C1811E" w:rsidR="009D6E99" w:rsidRPr="00CF5F1B" w:rsidRDefault="009D6E99" w:rsidP="009D6E99">
            <w:pPr>
              <w:pStyle w:val="ListBullet"/>
              <w:numPr>
                <w:ilvl w:val="0"/>
                <w:numId w:val="0"/>
              </w:numPr>
              <w:rPr>
                <w:i/>
              </w:rPr>
            </w:pPr>
            <w:r w:rsidRPr="00CF5F1B">
              <w:rPr>
                <w:i/>
              </w:rPr>
              <w:t xml:space="preserve">* Active disease </w:t>
            </w:r>
            <w:proofErr w:type="gramStart"/>
            <w:r w:rsidRPr="00CF5F1B">
              <w:rPr>
                <w:i/>
              </w:rPr>
              <w:t>is defined</w:t>
            </w:r>
            <w:proofErr w:type="gramEnd"/>
            <w:r w:rsidRPr="00CF5F1B">
              <w:rPr>
                <w:i/>
              </w:rPr>
              <w:t xml:space="preserve"> as a </w:t>
            </w:r>
            <w:r w:rsidRPr="009D6E99">
              <w:rPr>
                <w:i/>
              </w:rPr>
              <w:t>Bath Ankylosing Spondylitis Disease Activity Index</w:t>
            </w:r>
            <w:r w:rsidRPr="00CF5F1B">
              <w:rPr>
                <w:i/>
              </w:rPr>
              <w:t xml:space="preserve"> (BASDAI) score of ≥ 4.</w:t>
            </w:r>
          </w:p>
          <w:p w14:paraId="5477B1E4" w14:textId="57A3F285" w:rsidR="00F26565" w:rsidRPr="00431339" w:rsidRDefault="00437D1C" w:rsidP="007F356C">
            <w:pPr>
              <w:rPr>
                <w:i/>
              </w:rPr>
            </w:pPr>
            <w:r w:rsidRPr="00431339">
              <w:rPr>
                <w:b/>
                <w:i/>
              </w:rPr>
              <w:t>Children and a</w:t>
            </w:r>
            <w:r w:rsidR="00F26565" w:rsidRPr="00431339">
              <w:rPr>
                <w:b/>
                <w:i/>
              </w:rPr>
              <w:t>dolescents</w:t>
            </w:r>
          </w:p>
          <w:p w14:paraId="0EF04B27" w14:textId="1764391B" w:rsidR="00F26565" w:rsidRPr="00B23300" w:rsidRDefault="00F26565">
            <w:pPr>
              <w:rPr>
                <w:i/>
              </w:rPr>
            </w:pPr>
            <w:r w:rsidRPr="00431339">
              <w:rPr>
                <w:i/>
              </w:rPr>
              <w:t xml:space="preserve">Children and adolescents weighing less than 62.5 kg should not receive </w:t>
            </w:r>
            <w:proofErr w:type="spellStart"/>
            <w:r w:rsidR="00687E69" w:rsidRPr="00431339">
              <w:rPr>
                <w:i/>
              </w:rPr>
              <w:t>Rymti</w:t>
            </w:r>
            <w:proofErr w:type="spellEnd"/>
            <w:r w:rsidR="003279F7">
              <w:rPr>
                <w:i/>
              </w:rPr>
              <w:t>/</w:t>
            </w:r>
            <w:proofErr w:type="spellStart"/>
            <w:r w:rsidR="00687E69" w:rsidRPr="00431339">
              <w:rPr>
                <w:i/>
              </w:rPr>
              <w:t>Etera</w:t>
            </w:r>
            <w:proofErr w:type="spellEnd"/>
            <w:r w:rsidRPr="00431339">
              <w:rPr>
                <w:i/>
              </w:rPr>
              <w:t xml:space="preserve">. These patients should be accurately dosed on </w:t>
            </w:r>
            <w:proofErr w:type="gramStart"/>
            <w:r w:rsidRPr="00431339">
              <w:rPr>
                <w:i/>
              </w:rPr>
              <w:t>a</w:t>
            </w:r>
            <w:proofErr w:type="gramEnd"/>
            <w:r w:rsidRPr="00431339">
              <w:rPr>
                <w:i/>
              </w:rPr>
              <w:t xml:space="preserve"> mg/kg basis with other </w:t>
            </w:r>
            <w:proofErr w:type="spellStart"/>
            <w:r w:rsidRPr="00431339">
              <w:rPr>
                <w:i/>
              </w:rPr>
              <w:t>etanercept</w:t>
            </w:r>
            <w:proofErr w:type="spellEnd"/>
            <w:r w:rsidRPr="00431339">
              <w:rPr>
                <w:i/>
              </w:rPr>
              <w:t xml:space="preserve"> products.</w:t>
            </w:r>
            <w:bookmarkStart w:id="13" w:name="_Ref58234121"/>
            <w:r w:rsidR="00D00D1C" w:rsidRPr="00B23300">
              <w:rPr>
                <w:rStyle w:val="FootnoteReference"/>
                <w:i/>
              </w:rPr>
              <w:footnoteReference w:id="2"/>
            </w:r>
            <w:bookmarkEnd w:id="13"/>
          </w:p>
          <w:p w14:paraId="337FCA0C" w14:textId="4043B10B" w:rsidR="00F26565" w:rsidRPr="00431339" w:rsidRDefault="00F26565" w:rsidP="007F356C">
            <w:r w:rsidRPr="00431339">
              <w:rPr>
                <w:b/>
                <w:i/>
              </w:rPr>
              <w:t xml:space="preserve">Juvenile </w:t>
            </w:r>
            <w:r w:rsidR="00EA2BBF" w:rsidRPr="00431339">
              <w:rPr>
                <w:b/>
                <w:i/>
              </w:rPr>
              <w:t>idiopathic arthritis</w:t>
            </w:r>
          </w:p>
          <w:p w14:paraId="15AE2A4D" w14:textId="4F2332E5" w:rsidR="00F26565" w:rsidRPr="00431339" w:rsidRDefault="00F26565">
            <w:pPr>
              <w:rPr>
                <w:i/>
              </w:rPr>
            </w:pPr>
            <w:r w:rsidRPr="00431339">
              <w:rPr>
                <w:i/>
              </w:rPr>
              <w:t>Active polyarthritis (rheumatoid factor positive or negative) in children and</w:t>
            </w:r>
            <w:r w:rsidR="004B0416" w:rsidRPr="00431339">
              <w:rPr>
                <w:i/>
              </w:rPr>
              <w:t xml:space="preserve"> </w:t>
            </w:r>
            <w:proofErr w:type="gramStart"/>
            <w:r w:rsidR="009B7D6D" w:rsidRPr="00431339">
              <w:rPr>
                <w:i/>
              </w:rPr>
              <w:t>adolescents,</w:t>
            </w:r>
            <w:proofErr w:type="gramEnd"/>
            <w:r w:rsidR="009B7D6D" w:rsidRPr="00431339">
              <w:rPr>
                <w:i/>
              </w:rPr>
              <w:t xml:space="preserve"> aged two</w:t>
            </w:r>
            <w:r w:rsidRPr="00431339">
              <w:rPr>
                <w:i/>
              </w:rPr>
              <w:t xml:space="preserve"> to 17 years, who have had an ina</w:t>
            </w:r>
            <w:r w:rsidR="00706F1A" w:rsidRPr="00431339">
              <w:rPr>
                <w:i/>
              </w:rPr>
              <w:t xml:space="preserve">dequate response to one or more </w:t>
            </w:r>
            <w:r w:rsidRPr="00431339">
              <w:rPr>
                <w:i/>
              </w:rPr>
              <w:t>DMARDs.</w:t>
            </w:r>
          </w:p>
          <w:p w14:paraId="55999733" w14:textId="6534D61F" w:rsidR="00F26565" w:rsidRPr="00431339" w:rsidRDefault="00F26565">
            <w:pPr>
              <w:rPr>
                <w:i/>
              </w:rPr>
            </w:pPr>
            <w:r w:rsidRPr="00431339">
              <w:rPr>
                <w:i/>
              </w:rPr>
              <w:t xml:space="preserve">Active extended </w:t>
            </w:r>
            <w:proofErr w:type="spellStart"/>
            <w:r w:rsidRPr="00431339">
              <w:rPr>
                <w:i/>
              </w:rPr>
              <w:t>oligoarthritis</w:t>
            </w:r>
            <w:proofErr w:type="spellEnd"/>
            <w:r w:rsidRPr="00431339">
              <w:rPr>
                <w:i/>
              </w:rPr>
              <w:t xml:space="preserve"> in </w:t>
            </w:r>
            <w:r w:rsidR="009B7D6D" w:rsidRPr="00431339">
              <w:rPr>
                <w:i/>
              </w:rPr>
              <w:t>children and adolescents, aged two</w:t>
            </w:r>
            <w:r w:rsidRPr="00431339">
              <w:rPr>
                <w:i/>
              </w:rPr>
              <w:t xml:space="preserve"> to 17 years, who have had an inadequate response to, or who have proved intolerant to, methotrexate.</w:t>
            </w:r>
          </w:p>
          <w:p w14:paraId="004A6775" w14:textId="782B8BBF" w:rsidR="00F26565" w:rsidRPr="00431339" w:rsidRDefault="003F2E79">
            <w:pPr>
              <w:rPr>
                <w:i/>
              </w:rPr>
            </w:pPr>
            <w:r w:rsidRPr="00431339">
              <w:rPr>
                <w:i/>
              </w:rPr>
              <w:t xml:space="preserve">Active </w:t>
            </w:r>
            <w:proofErr w:type="spellStart"/>
            <w:r w:rsidRPr="00431339">
              <w:rPr>
                <w:i/>
              </w:rPr>
              <w:t>enthesitis</w:t>
            </w:r>
            <w:proofErr w:type="spellEnd"/>
            <w:r w:rsidRPr="00431339">
              <w:rPr>
                <w:i/>
              </w:rPr>
              <w:t xml:space="preserve"> </w:t>
            </w:r>
            <w:r w:rsidR="00F26565" w:rsidRPr="00431339">
              <w:rPr>
                <w:i/>
              </w:rPr>
              <w:t>related arthritis in adolescents, aged 12 to 17</w:t>
            </w:r>
            <w:r w:rsidR="00BE67D8">
              <w:rPr>
                <w:i/>
              </w:rPr>
              <w:t> </w:t>
            </w:r>
            <w:r w:rsidR="00F26565" w:rsidRPr="00431339">
              <w:rPr>
                <w:i/>
              </w:rPr>
              <w:t>years, who have had an inadequate response to, or who have proved intolerant to, conventional therapy.</w:t>
            </w:r>
          </w:p>
          <w:p w14:paraId="416FA482" w14:textId="77777777" w:rsidR="00F26565" w:rsidRPr="00431339" w:rsidRDefault="00F26565">
            <w:pPr>
              <w:rPr>
                <w:i/>
              </w:rPr>
            </w:pPr>
            <w:r w:rsidRPr="00431339">
              <w:rPr>
                <w:i/>
              </w:rPr>
              <w:t>Active psoriatic arthritis in adolescents, aged 12 to 17 years, who have had an inadequate response to, or who have proved intolerant to, methotrexate.</w:t>
            </w:r>
          </w:p>
          <w:p w14:paraId="7306E11F" w14:textId="10E37184" w:rsidR="00F26565" w:rsidRPr="00431339" w:rsidRDefault="00F26565">
            <w:pPr>
              <w:rPr>
                <w:i/>
              </w:rPr>
            </w:pPr>
            <w:proofErr w:type="spellStart"/>
            <w:r w:rsidRPr="00431339">
              <w:rPr>
                <w:i/>
              </w:rPr>
              <w:t>Etanercept</w:t>
            </w:r>
            <w:proofErr w:type="spellEnd"/>
            <w:r w:rsidRPr="00431339">
              <w:rPr>
                <w:i/>
              </w:rPr>
              <w:t xml:space="preserve"> </w:t>
            </w:r>
            <w:proofErr w:type="gramStart"/>
            <w:r w:rsidRPr="00431339">
              <w:rPr>
                <w:i/>
              </w:rPr>
              <w:t>has not been stud</w:t>
            </w:r>
            <w:r w:rsidR="009B7D6D" w:rsidRPr="00431339">
              <w:rPr>
                <w:i/>
              </w:rPr>
              <w:t>ied</w:t>
            </w:r>
            <w:proofErr w:type="gramEnd"/>
            <w:r w:rsidR="009B7D6D" w:rsidRPr="00431339">
              <w:rPr>
                <w:i/>
              </w:rPr>
              <w:t xml:space="preserve"> in children aged less than two</w:t>
            </w:r>
            <w:r w:rsidR="00BE67D8">
              <w:rPr>
                <w:i/>
              </w:rPr>
              <w:t> </w:t>
            </w:r>
            <w:r w:rsidRPr="00431339">
              <w:rPr>
                <w:i/>
              </w:rPr>
              <w:t>years.</w:t>
            </w:r>
          </w:p>
          <w:p w14:paraId="69F75EF1" w14:textId="0B469104" w:rsidR="00F26565" w:rsidRPr="00431339" w:rsidRDefault="00F26565" w:rsidP="007F356C">
            <w:r w:rsidRPr="00431339">
              <w:rPr>
                <w:b/>
                <w:i/>
              </w:rPr>
              <w:t xml:space="preserve">Paediatric </w:t>
            </w:r>
            <w:r w:rsidR="00EA2BBF" w:rsidRPr="00431339">
              <w:rPr>
                <w:b/>
                <w:i/>
              </w:rPr>
              <w:t>plaque psoriasis</w:t>
            </w:r>
          </w:p>
          <w:p w14:paraId="520226FB" w14:textId="2597D172" w:rsidR="008E7846" w:rsidRPr="00B23300" w:rsidRDefault="00F26565">
            <w:pPr>
              <w:rPr>
                <w:i/>
              </w:rPr>
            </w:pPr>
            <w:r w:rsidRPr="00431339">
              <w:rPr>
                <w:i/>
              </w:rPr>
              <w:t>Chronic, severe plaque psoriasis in</w:t>
            </w:r>
            <w:r w:rsidR="00687024" w:rsidRPr="00431339">
              <w:rPr>
                <w:i/>
              </w:rPr>
              <w:t xml:space="preserve"> children and adolescents from four</w:t>
            </w:r>
            <w:r w:rsidRPr="00431339">
              <w:rPr>
                <w:i/>
              </w:rPr>
              <w:t xml:space="preserve"> to 17 years, who are inadequately controlled by, or are intolerant to, other systemic therapies or phototherapies. Duration of therapy to be no longer than 24 weeks and treatment to </w:t>
            </w:r>
            <w:proofErr w:type="gramStart"/>
            <w:r w:rsidRPr="00431339">
              <w:rPr>
                <w:i/>
              </w:rPr>
              <w:t>be ceased</w:t>
            </w:r>
            <w:proofErr w:type="gramEnd"/>
            <w:r w:rsidRPr="00431339">
              <w:rPr>
                <w:i/>
              </w:rPr>
              <w:t xml:space="preserve"> after 12 weeks if a significant </w:t>
            </w:r>
            <w:r w:rsidR="003279F7">
              <w:rPr>
                <w:i/>
              </w:rPr>
              <w:t>P</w:t>
            </w:r>
            <w:r w:rsidR="00EA2BBF" w:rsidRPr="00431339">
              <w:rPr>
                <w:i/>
              </w:rPr>
              <w:t xml:space="preserve">soriasis </w:t>
            </w:r>
            <w:r w:rsidR="003279F7">
              <w:rPr>
                <w:i/>
              </w:rPr>
              <w:t>A</w:t>
            </w:r>
            <w:r w:rsidR="00EA2BBF" w:rsidRPr="00431339">
              <w:rPr>
                <w:i/>
              </w:rPr>
              <w:t xml:space="preserve">rea and </w:t>
            </w:r>
            <w:r w:rsidR="003279F7">
              <w:rPr>
                <w:i/>
              </w:rPr>
              <w:t>S</w:t>
            </w:r>
            <w:r w:rsidR="00EA2BBF" w:rsidRPr="00431339">
              <w:rPr>
                <w:i/>
              </w:rPr>
              <w:t xml:space="preserve">everity </w:t>
            </w:r>
            <w:r w:rsidR="003279F7">
              <w:rPr>
                <w:i/>
              </w:rPr>
              <w:t>I</w:t>
            </w:r>
            <w:r w:rsidR="00EA2BBF" w:rsidRPr="00431339">
              <w:rPr>
                <w:i/>
              </w:rPr>
              <w:t>ndex (</w:t>
            </w:r>
            <w:r w:rsidRPr="00431339">
              <w:rPr>
                <w:i/>
              </w:rPr>
              <w:t>PASI)</w:t>
            </w:r>
            <w:r w:rsidRPr="00B23300">
              <w:rPr>
                <w:i/>
              </w:rPr>
              <w:t xml:space="preserve"> response is not achieved.</w:t>
            </w:r>
          </w:p>
        </w:tc>
      </w:tr>
      <w:tr w:rsidR="008E7846" w:rsidRPr="00431339" w14:paraId="7CCD3891" w14:textId="77777777" w:rsidTr="00BF1190">
        <w:tc>
          <w:tcPr>
            <w:tcW w:w="2907" w:type="dxa"/>
          </w:tcPr>
          <w:p w14:paraId="4E016665" w14:textId="6DEBBD95" w:rsidR="008E7846" w:rsidRPr="00431339" w:rsidRDefault="008E7846" w:rsidP="00E45619">
            <w:pPr>
              <w:rPr>
                <w:i/>
              </w:rPr>
            </w:pPr>
            <w:r w:rsidRPr="00431339">
              <w:rPr>
                <w:i/>
              </w:rPr>
              <w:t>Route of administration:</w:t>
            </w:r>
          </w:p>
        </w:tc>
        <w:tc>
          <w:tcPr>
            <w:tcW w:w="6307" w:type="dxa"/>
          </w:tcPr>
          <w:p w14:paraId="26C20882" w14:textId="77777777" w:rsidR="008E7846" w:rsidRPr="00431339" w:rsidRDefault="00084EE3" w:rsidP="00D47A3D">
            <w:r w:rsidRPr="00431339">
              <w:t>Subcutaneous injection</w:t>
            </w:r>
          </w:p>
        </w:tc>
      </w:tr>
      <w:tr w:rsidR="008E7846" w:rsidRPr="00B23300" w14:paraId="1584D71F" w14:textId="77777777" w:rsidTr="00BF1190">
        <w:tc>
          <w:tcPr>
            <w:tcW w:w="2907" w:type="dxa"/>
          </w:tcPr>
          <w:p w14:paraId="68000E9B" w14:textId="77777777" w:rsidR="008E7846" w:rsidRPr="00A75E77" w:rsidRDefault="008E7846" w:rsidP="00E45619">
            <w:r w:rsidRPr="00A75E77">
              <w:t>Dosage:</w:t>
            </w:r>
          </w:p>
        </w:tc>
        <w:tc>
          <w:tcPr>
            <w:tcW w:w="6307" w:type="dxa"/>
          </w:tcPr>
          <w:p w14:paraId="653D3AEE" w14:textId="1F572F01" w:rsidR="00084EE3" w:rsidRPr="000D05A4" w:rsidRDefault="00084EE3" w:rsidP="00D47A3D">
            <w:r w:rsidRPr="000D05A4">
              <w:t xml:space="preserve">Treatment </w:t>
            </w:r>
            <w:proofErr w:type="gramStart"/>
            <w:r w:rsidRPr="000D05A4">
              <w:t xml:space="preserve">should be initiated and supervised by specialist physicians experienced in the diagnosis and treatment of </w:t>
            </w:r>
            <w:r w:rsidR="00F60FDF">
              <w:t>rheumatoid arthritis</w:t>
            </w:r>
            <w:r w:rsidRPr="000D05A4">
              <w:t xml:space="preserve">, juvenile idiopathic arthritis, psoriatic arthritis, ankylosing spondylitis, </w:t>
            </w:r>
            <w:r w:rsidR="00F60FDF">
              <w:t>n</w:t>
            </w:r>
            <w:r w:rsidR="00F60FDF" w:rsidRPr="00F60FDF">
              <w:t xml:space="preserve">on-radiographic axial </w:t>
            </w:r>
            <w:proofErr w:type="spellStart"/>
            <w:r w:rsidR="00F60FDF" w:rsidRPr="00F60FDF">
              <w:t>spondyloarthritis</w:t>
            </w:r>
            <w:proofErr w:type="spellEnd"/>
            <w:r w:rsidRPr="000D05A4">
              <w:t>, plaque psoriasis or paediatric plaque psoriasis</w:t>
            </w:r>
            <w:proofErr w:type="gramEnd"/>
            <w:r w:rsidRPr="000D05A4">
              <w:t xml:space="preserve">. Patients may </w:t>
            </w:r>
            <w:proofErr w:type="spellStart"/>
            <w:r w:rsidRPr="000D05A4">
              <w:t>self</w:t>
            </w:r>
            <w:r w:rsidR="003F2E79" w:rsidRPr="000D05A4">
              <w:t xml:space="preserve"> </w:t>
            </w:r>
            <w:r w:rsidRPr="000D05A4">
              <w:t>inject</w:t>
            </w:r>
            <w:proofErr w:type="spellEnd"/>
            <w:r w:rsidRPr="000D05A4">
              <w:t xml:space="preserve"> only if their physician determines that it is appropriate and with medical follow</w:t>
            </w:r>
            <w:r w:rsidR="003F2E79" w:rsidRPr="000D05A4">
              <w:t xml:space="preserve"> </w:t>
            </w:r>
            <w:r w:rsidRPr="000D05A4">
              <w:t>up, as necessary, after proper training in injection technique.</w:t>
            </w:r>
          </w:p>
          <w:p w14:paraId="790AA881" w14:textId="2CF3FCD7" w:rsidR="00084EE3" w:rsidRPr="000D05A4" w:rsidRDefault="0067598F" w:rsidP="00D47A3D">
            <w:r w:rsidRPr="000D05A4">
              <w:t xml:space="preserve">Patients treated with </w:t>
            </w:r>
            <w:proofErr w:type="spellStart"/>
            <w:r w:rsidRPr="000D05A4">
              <w:t>Rymti</w:t>
            </w:r>
            <w:proofErr w:type="spellEnd"/>
            <w:r w:rsidR="00F60FDF">
              <w:t>/</w:t>
            </w:r>
            <w:proofErr w:type="spellStart"/>
            <w:r w:rsidR="00084EE3" w:rsidRPr="000D05A4">
              <w:t>Etera</w:t>
            </w:r>
            <w:proofErr w:type="spellEnd"/>
            <w:r w:rsidR="00084EE3" w:rsidRPr="000D05A4">
              <w:t xml:space="preserve"> </w:t>
            </w:r>
            <w:proofErr w:type="gramStart"/>
            <w:r w:rsidR="00084EE3" w:rsidRPr="000D05A4">
              <w:t>should be given</w:t>
            </w:r>
            <w:proofErr w:type="gramEnd"/>
            <w:r w:rsidR="00084EE3" w:rsidRPr="000D05A4">
              <w:t xml:space="preserve"> the </w:t>
            </w:r>
            <w:r w:rsidR="00F60FDF">
              <w:t>P</w:t>
            </w:r>
            <w:r w:rsidR="00EA2BBF" w:rsidRPr="000D05A4">
              <w:t xml:space="preserve">atient </w:t>
            </w:r>
            <w:r w:rsidR="00F60FDF">
              <w:t>A</w:t>
            </w:r>
            <w:r w:rsidR="00EA2BBF" w:rsidRPr="000D05A4">
              <w:t xml:space="preserve">lert </w:t>
            </w:r>
            <w:r w:rsidR="00F60FDF">
              <w:t>C</w:t>
            </w:r>
            <w:r w:rsidR="00EA2BBF" w:rsidRPr="000D05A4">
              <w:t>ard.</w:t>
            </w:r>
          </w:p>
          <w:p w14:paraId="50B1905C" w14:textId="376D25C5" w:rsidR="00FD6916" w:rsidRPr="00A75E77" w:rsidRDefault="00FD6916" w:rsidP="006812C6">
            <w:pPr>
              <w:rPr>
                <w:b/>
              </w:rPr>
            </w:pPr>
            <w:r w:rsidRPr="00A75E77">
              <w:rPr>
                <w:b/>
              </w:rPr>
              <w:t>Adults</w:t>
            </w:r>
            <w:r w:rsidR="00F26D97">
              <w:rPr>
                <w:b/>
              </w:rPr>
              <w:t>: r</w:t>
            </w:r>
            <w:r w:rsidR="00F26D97" w:rsidRPr="00A75E77">
              <w:rPr>
                <w:b/>
              </w:rPr>
              <w:t xml:space="preserve">heumatoid </w:t>
            </w:r>
            <w:r w:rsidR="00F26D97">
              <w:rPr>
                <w:b/>
              </w:rPr>
              <w:t>a</w:t>
            </w:r>
            <w:r w:rsidRPr="00A75E77">
              <w:rPr>
                <w:b/>
              </w:rPr>
              <w:t xml:space="preserve">rthritis, </w:t>
            </w:r>
            <w:r w:rsidR="00F26D97">
              <w:rPr>
                <w:b/>
              </w:rPr>
              <w:t>p</w:t>
            </w:r>
            <w:r w:rsidRPr="00A75E77">
              <w:rPr>
                <w:b/>
              </w:rPr>
              <w:t xml:space="preserve">soriatic </w:t>
            </w:r>
            <w:r w:rsidR="00F26D97">
              <w:rPr>
                <w:b/>
              </w:rPr>
              <w:t>a</w:t>
            </w:r>
            <w:r w:rsidRPr="00A75E77">
              <w:rPr>
                <w:b/>
              </w:rPr>
              <w:t xml:space="preserve">rthritis, </w:t>
            </w:r>
            <w:r w:rsidR="00F26D97">
              <w:rPr>
                <w:b/>
              </w:rPr>
              <w:t>n</w:t>
            </w:r>
            <w:r w:rsidRPr="00A75E77">
              <w:rPr>
                <w:b/>
              </w:rPr>
              <w:t>on-</w:t>
            </w:r>
            <w:r w:rsidR="00F26D97">
              <w:rPr>
                <w:b/>
              </w:rPr>
              <w:t>r</w:t>
            </w:r>
            <w:r w:rsidRPr="00A75E77">
              <w:rPr>
                <w:b/>
              </w:rPr>
              <w:t xml:space="preserve">adiographic </w:t>
            </w:r>
            <w:r w:rsidR="00F26D97">
              <w:rPr>
                <w:b/>
              </w:rPr>
              <w:t>a</w:t>
            </w:r>
            <w:r w:rsidRPr="00A75E77">
              <w:rPr>
                <w:b/>
              </w:rPr>
              <w:t xml:space="preserve">xial </w:t>
            </w:r>
            <w:proofErr w:type="spellStart"/>
            <w:r w:rsidR="00F26D97">
              <w:rPr>
                <w:b/>
              </w:rPr>
              <w:t>s</w:t>
            </w:r>
            <w:r w:rsidRPr="00A75E77">
              <w:rPr>
                <w:b/>
              </w:rPr>
              <w:t>pondyloarthritis</w:t>
            </w:r>
            <w:proofErr w:type="spellEnd"/>
            <w:r w:rsidRPr="00A75E77">
              <w:rPr>
                <w:b/>
              </w:rPr>
              <w:t xml:space="preserve"> and </w:t>
            </w:r>
            <w:r w:rsidR="00F26D97">
              <w:rPr>
                <w:b/>
              </w:rPr>
              <w:t>a</w:t>
            </w:r>
            <w:r w:rsidRPr="00A75E77">
              <w:rPr>
                <w:b/>
              </w:rPr>
              <w:t xml:space="preserve">nkylosing </w:t>
            </w:r>
            <w:r w:rsidR="00F26D97">
              <w:rPr>
                <w:b/>
              </w:rPr>
              <w:t>s</w:t>
            </w:r>
            <w:r w:rsidRPr="00A75E77">
              <w:rPr>
                <w:b/>
              </w:rPr>
              <w:t>pondylitis</w:t>
            </w:r>
          </w:p>
          <w:p w14:paraId="40909E38" w14:textId="6E11B6A4" w:rsidR="00FD6916" w:rsidRPr="000D05A4" w:rsidRDefault="00FD6916">
            <w:r w:rsidRPr="000D05A4">
              <w:t xml:space="preserve">The recommended dose of </w:t>
            </w:r>
            <w:proofErr w:type="spellStart"/>
            <w:r w:rsidRPr="000D05A4">
              <w:t>Rymti</w:t>
            </w:r>
            <w:proofErr w:type="spellEnd"/>
            <w:r w:rsidR="00F26D97">
              <w:t>/</w:t>
            </w:r>
            <w:proofErr w:type="spellStart"/>
            <w:r w:rsidRPr="000D05A4">
              <w:t>Etera</w:t>
            </w:r>
            <w:proofErr w:type="spellEnd"/>
            <w:r w:rsidRPr="000D05A4">
              <w:t xml:space="preserve"> is 50 mg per week, given as a subcutaneous injection, either once weekly as a single 50</w:t>
            </w:r>
            <w:r w:rsidR="00F26D97">
              <w:t> </w:t>
            </w:r>
            <w:r w:rsidRPr="000D05A4">
              <w:t>mg injection or twice weekly as two separate 25</w:t>
            </w:r>
            <w:r w:rsidR="00F26D97">
              <w:t> </w:t>
            </w:r>
            <w:r w:rsidRPr="000D05A4">
              <w:t>mg injections given three to four days apart.</w:t>
            </w:r>
          </w:p>
          <w:p w14:paraId="16F04966" w14:textId="7A04FFC0" w:rsidR="00FD6916" w:rsidRPr="000D05A4" w:rsidRDefault="00FD6916">
            <w:r w:rsidRPr="000D05A4">
              <w:t xml:space="preserve">Available data in </w:t>
            </w:r>
            <w:r w:rsidR="00F26D97">
              <w:t>n</w:t>
            </w:r>
            <w:r w:rsidR="00F26D97" w:rsidRPr="00F26D97">
              <w:t xml:space="preserve">on-radiographic axial </w:t>
            </w:r>
            <w:proofErr w:type="spellStart"/>
            <w:r w:rsidR="00F26D97" w:rsidRPr="00F26D97">
              <w:t>spondyloarthritis</w:t>
            </w:r>
            <w:r w:rsidRPr="000D05A4">
              <w:t>suggest</w:t>
            </w:r>
            <w:proofErr w:type="spellEnd"/>
            <w:r w:rsidRPr="000D05A4">
              <w:t xml:space="preserve"> a clinical response </w:t>
            </w:r>
            <w:proofErr w:type="gramStart"/>
            <w:r w:rsidRPr="000D05A4">
              <w:t>is usually achieved</w:t>
            </w:r>
            <w:proofErr w:type="gramEnd"/>
            <w:r w:rsidRPr="000D05A4">
              <w:t xml:space="preserve"> within 12 weeks of treatment. Continued therapy should be carefully reconsidered in a patient not responding within this </w:t>
            </w:r>
            <w:proofErr w:type="gramStart"/>
            <w:r w:rsidRPr="000D05A4">
              <w:t>time period</w:t>
            </w:r>
            <w:proofErr w:type="gramEnd"/>
            <w:r w:rsidRPr="000D05A4">
              <w:t>.</w:t>
            </w:r>
          </w:p>
          <w:p w14:paraId="1B3C89C6" w14:textId="7B702994" w:rsidR="00FD6916" w:rsidRPr="00A75E77" w:rsidRDefault="00F26D97" w:rsidP="006812C6">
            <w:pPr>
              <w:rPr>
                <w:b/>
              </w:rPr>
            </w:pPr>
            <w:r>
              <w:rPr>
                <w:b/>
              </w:rPr>
              <w:t>Adults: p</w:t>
            </w:r>
            <w:r w:rsidR="00FD6916" w:rsidRPr="00A75E77">
              <w:rPr>
                <w:b/>
              </w:rPr>
              <w:t xml:space="preserve">laque </w:t>
            </w:r>
            <w:r>
              <w:rPr>
                <w:b/>
              </w:rPr>
              <w:t>p</w:t>
            </w:r>
            <w:r w:rsidR="00FD6916" w:rsidRPr="00A75E77">
              <w:rPr>
                <w:b/>
              </w:rPr>
              <w:t>soriasis</w:t>
            </w:r>
          </w:p>
          <w:p w14:paraId="0FD90FB9" w14:textId="08910097" w:rsidR="00FD6916" w:rsidRPr="000D05A4" w:rsidRDefault="00FD6916">
            <w:r w:rsidRPr="000D05A4">
              <w:t xml:space="preserve">The recommended dose of </w:t>
            </w:r>
            <w:proofErr w:type="spellStart"/>
            <w:r w:rsidRPr="000D05A4">
              <w:t>Rymti</w:t>
            </w:r>
            <w:proofErr w:type="spellEnd"/>
            <w:r w:rsidR="00F26D97">
              <w:t>/</w:t>
            </w:r>
            <w:proofErr w:type="spellStart"/>
            <w:r w:rsidRPr="000D05A4">
              <w:t>Etera</w:t>
            </w:r>
            <w:proofErr w:type="spellEnd"/>
            <w:r w:rsidRPr="000D05A4">
              <w:t xml:space="preserve"> is 50 mg per week, given once weekly (single 50 mg injection) or twice weekly (single 25</w:t>
            </w:r>
            <w:r w:rsidR="00F26D97">
              <w:t> </w:t>
            </w:r>
            <w:r w:rsidRPr="000D05A4">
              <w:t xml:space="preserve">mg injections given three to four days apart) as a subcutaneous injection. Higher responses </w:t>
            </w:r>
            <w:proofErr w:type="gramStart"/>
            <w:r w:rsidRPr="000D05A4">
              <w:t>may be achieved</w:t>
            </w:r>
            <w:proofErr w:type="gramEnd"/>
            <w:r w:rsidRPr="000D05A4">
              <w:t xml:space="preserve"> from initial treatment for up to 12 weeks with a dose of 50 mg given twice weekly, after which, the dose should be reduced to the standard dose of 50 mg per week. Treatment </w:t>
            </w:r>
            <w:proofErr w:type="gramStart"/>
            <w:r w:rsidRPr="000D05A4">
              <w:t>should be discontinued</w:t>
            </w:r>
            <w:proofErr w:type="gramEnd"/>
            <w:r w:rsidRPr="000D05A4">
              <w:t xml:space="preserve"> in patients who do not show a significant </w:t>
            </w:r>
            <w:r w:rsidR="00F26D97">
              <w:t>Psoriasis Area and Severity Index (</w:t>
            </w:r>
            <w:r w:rsidRPr="000D05A4">
              <w:t>PASI</w:t>
            </w:r>
            <w:r w:rsidR="00F26D97">
              <w:t>)</w:t>
            </w:r>
            <w:r w:rsidRPr="000D05A4">
              <w:t xml:space="preserve"> response after 12 weeks. If re</w:t>
            </w:r>
            <w:r w:rsidR="00F26D97">
              <w:noBreakHyphen/>
            </w:r>
            <w:r w:rsidRPr="000D05A4">
              <w:t xml:space="preserve">treatment with </w:t>
            </w:r>
            <w:proofErr w:type="spellStart"/>
            <w:r w:rsidR="008A26C9" w:rsidRPr="000D05A4">
              <w:t>Rymti</w:t>
            </w:r>
            <w:proofErr w:type="spellEnd"/>
            <w:r w:rsidR="00F26D97">
              <w:t>/</w:t>
            </w:r>
            <w:proofErr w:type="spellStart"/>
            <w:r w:rsidR="008A26C9" w:rsidRPr="000D05A4">
              <w:t>Etera</w:t>
            </w:r>
            <w:proofErr w:type="spellEnd"/>
            <w:r w:rsidR="008A26C9" w:rsidRPr="000D05A4">
              <w:t xml:space="preserve"> </w:t>
            </w:r>
            <w:proofErr w:type="gramStart"/>
            <w:r w:rsidRPr="000D05A4">
              <w:t>is indicated</w:t>
            </w:r>
            <w:proofErr w:type="gramEnd"/>
            <w:r w:rsidRPr="000D05A4">
              <w:t>, the dose used should be 50 mg per week.</w:t>
            </w:r>
          </w:p>
          <w:p w14:paraId="153CEA7A" w14:textId="1653BF89" w:rsidR="00FD6916" w:rsidRPr="00A75E77" w:rsidRDefault="00F26D97" w:rsidP="006812C6">
            <w:pPr>
              <w:rPr>
                <w:b/>
              </w:rPr>
            </w:pPr>
            <w:r>
              <w:rPr>
                <w:b/>
              </w:rPr>
              <w:t>Use in e</w:t>
            </w:r>
            <w:r w:rsidR="00FD6916" w:rsidRPr="00A75E77">
              <w:rPr>
                <w:b/>
              </w:rPr>
              <w:t xml:space="preserve">lderly </w:t>
            </w:r>
            <w:r>
              <w:rPr>
                <w:b/>
              </w:rPr>
              <w:t>p</w:t>
            </w:r>
            <w:r w:rsidR="00FD6916" w:rsidRPr="00A75E77">
              <w:rPr>
                <w:b/>
              </w:rPr>
              <w:t>atients</w:t>
            </w:r>
          </w:p>
          <w:p w14:paraId="64DF7AB4" w14:textId="23EB64E3" w:rsidR="00FD6916" w:rsidRPr="000D05A4" w:rsidRDefault="00FD6916">
            <w:r w:rsidRPr="000D05A4">
              <w:t xml:space="preserve">Elderly </w:t>
            </w:r>
            <w:r w:rsidR="00F26D97">
              <w:t>rheumatoid arthritis</w:t>
            </w:r>
            <w:r w:rsidRPr="000D05A4">
              <w:t xml:space="preserve"> patients (age ≥ 65 years) show similar safety, efficacy and pharmacokinetic profiles compared to younger adult patients treated with </w:t>
            </w:r>
            <w:proofErr w:type="spellStart"/>
            <w:r w:rsidR="008A26C9" w:rsidRPr="000D05A4">
              <w:t>Rymti</w:t>
            </w:r>
            <w:proofErr w:type="spellEnd"/>
            <w:r w:rsidR="00F26D97">
              <w:t>/</w:t>
            </w:r>
            <w:proofErr w:type="spellStart"/>
            <w:r w:rsidR="008A26C9" w:rsidRPr="000D05A4">
              <w:t>Etera</w:t>
            </w:r>
            <w:proofErr w:type="spellEnd"/>
            <w:r w:rsidRPr="000D05A4">
              <w:t xml:space="preserve">. Dose adjustment </w:t>
            </w:r>
            <w:proofErr w:type="gramStart"/>
            <w:r w:rsidRPr="000D05A4">
              <w:t>is not needed</w:t>
            </w:r>
            <w:proofErr w:type="gramEnd"/>
            <w:r w:rsidRPr="000D05A4">
              <w:t xml:space="preserve"> for the elderly. However, as with other medicinal products, greater sensitivity in some older patients </w:t>
            </w:r>
            <w:proofErr w:type="gramStart"/>
            <w:r w:rsidRPr="000D05A4">
              <w:t>cannot be ruled out</w:t>
            </w:r>
            <w:proofErr w:type="gramEnd"/>
            <w:r w:rsidRPr="000D05A4">
              <w:t>.</w:t>
            </w:r>
          </w:p>
          <w:p w14:paraId="6C73308B" w14:textId="501F73CD" w:rsidR="00FD6916" w:rsidRPr="00A75E77" w:rsidRDefault="00F26D97" w:rsidP="006812C6">
            <w:pPr>
              <w:rPr>
                <w:b/>
              </w:rPr>
            </w:pPr>
            <w:r>
              <w:rPr>
                <w:b/>
              </w:rPr>
              <w:t>Use in c</w:t>
            </w:r>
            <w:r w:rsidR="00FD6916" w:rsidRPr="00A75E77">
              <w:rPr>
                <w:b/>
              </w:rPr>
              <w:t xml:space="preserve">hildren and </w:t>
            </w:r>
            <w:r>
              <w:rPr>
                <w:b/>
              </w:rPr>
              <w:t>a</w:t>
            </w:r>
            <w:r w:rsidR="00FD6916" w:rsidRPr="00A75E77">
              <w:rPr>
                <w:b/>
              </w:rPr>
              <w:t>dolescents</w:t>
            </w:r>
          </w:p>
          <w:p w14:paraId="1A1A2694" w14:textId="212B177B" w:rsidR="00FD6916" w:rsidRPr="000D05A4" w:rsidRDefault="008A26C9">
            <w:proofErr w:type="spellStart"/>
            <w:r w:rsidRPr="000D05A4">
              <w:t>Rymti</w:t>
            </w:r>
            <w:proofErr w:type="spellEnd"/>
            <w:r w:rsidR="00F26D97">
              <w:t>/</w:t>
            </w:r>
            <w:proofErr w:type="spellStart"/>
            <w:r w:rsidRPr="000D05A4">
              <w:t>Etera</w:t>
            </w:r>
            <w:proofErr w:type="spellEnd"/>
            <w:r w:rsidRPr="000D05A4">
              <w:t xml:space="preserve"> is only available as 25 mg prefilled syringe and 50</w:t>
            </w:r>
            <w:r w:rsidR="002350BA">
              <w:t> </w:t>
            </w:r>
            <w:r w:rsidRPr="000D05A4">
              <w:t>mg pre</w:t>
            </w:r>
            <w:r w:rsidR="00FD6916" w:rsidRPr="000D05A4">
              <w:t>filled syringe.</w:t>
            </w:r>
          </w:p>
          <w:p w14:paraId="4CD6C9B3" w14:textId="69D5AA7B" w:rsidR="00FD6916" w:rsidRPr="000D05A4" w:rsidRDefault="008A26C9">
            <w:proofErr w:type="spellStart"/>
            <w:r w:rsidRPr="000D05A4">
              <w:t>Rymti</w:t>
            </w:r>
            <w:proofErr w:type="spellEnd"/>
            <w:r w:rsidR="002350BA">
              <w:t>/</w:t>
            </w:r>
            <w:proofErr w:type="spellStart"/>
            <w:r w:rsidRPr="000D05A4">
              <w:t>Etera</w:t>
            </w:r>
            <w:proofErr w:type="spellEnd"/>
            <w:r w:rsidRPr="000D05A4">
              <w:t xml:space="preserve"> </w:t>
            </w:r>
            <w:proofErr w:type="gramStart"/>
            <w:r w:rsidR="00FD6916" w:rsidRPr="000D05A4">
              <w:t>should only be administered</w:t>
            </w:r>
            <w:proofErr w:type="gramEnd"/>
            <w:r w:rsidR="00FD6916" w:rsidRPr="000D05A4">
              <w:t xml:space="preserve"> in children and adolescents weighing 62.5 kg or more. The dosage of </w:t>
            </w:r>
            <w:proofErr w:type="spellStart"/>
            <w:r w:rsidRPr="000D05A4">
              <w:t>Rymti</w:t>
            </w:r>
            <w:proofErr w:type="spellEnd"/>
            <w:r w:rsidR="002350BA">
              <w:t>/</w:t>
            </w:r>
            <w:proofErr w:type="spellStart"/>
            <w:r w:rsidRPr="000D05A4">
              <w:t>Etera</w:t>
            </w:r>
            <w:proofErr w:type="spellEnd"/>
            <w:r w:rsidRPr="000D05A4">
              <w:t xml:space="preserve"> </w:t>
            </w:r>
            <w:proofErr w:type="gramStart"/>
            <w:r w:rsidR="00FD6916" w:rsidRPr="000D05A4">
              <w:t>is based</w:t>
            </w:r>
            <w:proofErr w:type="gramEnd"/>
            <w:r w:rsidR="00FD6916" w:rsidRPr="000D05A4">
              <w:t xml:space="preserve"> on body weight for children and adolescents. Patients weighing less than 62.5 kg should be accurately dosed on </w:t>
            </w:r>
            <w:proofErr w:type="gramStart"/>
            <w:r w:rsidR="00FD6916" w:rsidRPr="000D05A4">
              <w:t>a</w:t>
            </w:r>
            <w:proofErr w:type="gramEnd"/>
            <w:r w:rsidR="00FD6916" w:rsidRPr="000D05A4">
              <w:t xml:space="preserve"> mg/kg basis using other </w:t>
            </w:r>
            <w:proofErr w:type="spellStart"/>
            <w:r w:rsidR="00FD6916" w:rsidRPr="000D05A4">
              <w:t>etanercept</w:t>
            </w:r>
            <w:proofErr w:type="spellEnd"/>
            <w:r w:rsidR="00FD6916" w:rsidRPr="000D05A4">
              <w:t xml:space="preserve"> products (see below for dosing for specific indications). Patients weighing 62.5 kg or more and receiving once weekly doses </w:t>
            </w:r>
            <w:proofErr w:type="gramStart"/>
            <w:r w:rsidR="00FD6916" w:rsidRPr="000D05A4">
              <w:t>may be dosed</w:t>
            </w:r>
            <w:proofErr w:type="gramEnd"/>
            <w:r w:rsidR="00FD6916" w:rsidRPr="000D05A4">
              <w:t xml:space="preserve"> </w:t>
            </w:r>
            <w:r w:rsidRPr="000D05A4">
              <w:t>using a 50</w:t>
            </w:r>
            <w:r w:rsidR="002350BA">
              <w:t> </w:t>
            </w:r>
            <w:r w:rsidRPr="000D05A4">
              <w:t xml:space="preserve">mg (in 1 mL) fixed </w:t>
            </w:r>
            <w:r w:rsidR="00FD6916" w:rsidRPr="000D05A4">
              <w:t>dose prefilled syringe.</w:t>
            </w:r>
          </w:p>
          <w:p w14:paraId="6704B28A" w14:textId="3ADB673E" w:rsidR="00FD6916" w:rsidRPr="00A75E77" w:rsidRDefault="00FD6916" w:rsidP="006812C6">
            <w:pPr>
              <w:rPr>
                <w:b/>
              </w:rPr>
            </w:pPr>
            <w:r w:rsidRPr="00A75E77">
              <w:rPr>
                <w:b/>
              </w:rPr>
              <w:t>Juve</w:t>
            </w:r>
            <w:r w:rsidR="008A26C9" w:rsidRPr="00A75E77">
              <w:rPr>
                <w:b/>
              </w:rPr>
              <w:t xml:space="preserve">nile </w:t>
            </w:r>
            <w:r w:rsidR="002350BA">
              <w:rPr>
                <w:b/>
              </w:rPr>
              <w:t>i</w:t>
            </w:r>
            <w:r w:rsidR="008A26C9" w:rsidRPr="00A75E77">
              <w:rPr>
                <w:b/>
              </w:rPr>
              <w:t xml:space="preserve">diopathic </w:t>
            </w:r>
            <w:r w:rsidR="002350BA">
              <w:rPr>
                <w:b/>
              </w:rPr>
              <w:t>a</w:t>
            </w:r>
            <w:r w:rsidR="008A26C9" w:rsidRPr="00A75E77">
              <w:rPr>
                <w:b/>
              </w:rPr>
              <w:t>rthritis (age two</w:t>
            </w:r>
            <w:r w:rsidRPr="00A75E77">
              <w:rPr>
                <w:b/>
              </w:rPr>
              <w:t xml:space="preserve"> years and above)</w:t>
            </w:r>
          </w:p>
          <w:p w14:paraId="23E2F6C3" w14:textId="45DD4729" w:rsidR="00FD6916" w:rsidRPr="000D05A4" w:rsidRDefault="00FD6916">
            <w:r w:rsidRPr="000D05A4">
              <w:t>The</w:t>
            </w:r>
            <w:r w:rsidR="008A26C9" w:rsidRPr="000D05A4">
              <w:t xml:space="preserve"> recommended dose for children </w:t>
            </w:r>
            <w:r w:rsidR="002350BA">
              <w:t>2</w:t>
            </w:r>
            <w:r w:rsidR="00925B9F">
              <w:t xml:space="preserve"> to</w:t>
            </w:r>
            <w:r w:rsidRPr="000D05A4">
              <w:t>17 years of age is 0.8</w:t>
            </w:r>
            <w:r w:rsidR="002350BA">
              <w:t> </w:t>
            </w:r>
            <w:r w:rsidRPr="000D05A4">
              <w:t>mg/kg (up to a maximum of 50 mg per dose) given once weekly as a subcutaneous injection, or 0.4 mg/kg (up to a maximum of 25 mg), given tw</w:t>
            </w:r>
            <w:r w:rsidR="008A26C9" w:rsidRPr="000D05A4">
              <w:t xml:space="preserve">ice weekly with an interval of three to four </w:t>
            </w:r>
            <w:r w:rsidRPr="000D05A4">
              <w:t>days between doses.</w:t>
            </w:r>
          </w:p>
          <w:p w14:paraId="2FDD8851" w14:textId="0EEEDD36" w:rsidR="00FD6916" w:rsidRPr="00A75E77" w:rsidRDefault="00FD6916" w:rsidP="006812C6">
            <w:pPr>
              <w:rPr>
                <w:b/>
              </w:rPr>
            </w:pPr>
            <w:r w:rsidRPr="00A75E77">
              <w:rPr>
                <w:b/>
              </w:rPr>
              <w:t>Pa</w:t>
            </w:r>
            <w:r w:rsidR="008A26C9" w:rsidRPr="00A75E77">
              <w:rPr>
                <w:b/>
              </w:rPr>
              <w:t xml:space="preserve">ediatric </w:t>
            </w:r>
            <w:r w:rsidR="002350BA">
              <w:rPr>
                <w:b/>
              </w:rPr>
              <w:t>p</w:t>
            </w:r>
            <w:r w:rsidR="008A26C9" w:rsidRPr="00A75E77">
              <w:rPr>
                <w:b/>
              </w:rPr>
              <w:t xml:space="preserve">laque </w:t>
            </w:r>
            <w:r w:rsidR="002350BA">
              <w:rPr>
                <w:b/>
              </w:rPr>
              <w:t>p</w:t>
            </w:r>
            <w:r w:rsidR="008A26C9" w:rsidRPr="00A75E77">
              <w:rPr>
                <w:b/>
              </w:rPr>
              <w:t>soriasis (age four</w:t>
            </w:r>
            <w:r w:rsidRPr="00A75E77">
              <w:rPr>
                <w:b/>
              </w:rPr>
              <w:t xml:space="preserve"> years and above)</w:t>
            </w:r>
          </w:p>
          <w:p w14:paraId="479CBA5A" w14:textId="4A599CED" w:rsidR="00FD6916" w:rsidRPr="000D05A4" w:rsidRDefault="00FD6916">
            <w:r w:rsidRPr="000D05A4">
              <w:t>The recommended dose is 0.8 mg/kg (up to a maximum of 50</w:t>
            </w:r>
            <w:r w:rsidR="002350BA">
              <w:t> </w:t>
            </w:r>
            <w:r w:rsidRPr="000D05A4">
              <w:t xml:space="preserve">mg per dose), given once weekly as a subcutaneous injection for up to 24 weeks. Treatment </w:t>
            </w:r>
            <w:proofErr w:type="gramStart"/>
            <w:r w:rsidRPr="000D05A4">
              <w:t>should be discontinued</w:t>
            </w:r>
            <w:proofErr w:type="gramEnd"/>
            <w:r w:rsidRPr="000D05A4">
              <w:t xml:space="preserve"> in patients who do not show a significant </w:t>
            </w:r>
            <w:r w:rsidR="002350BA">
              <w:t>Psoriasis Area and Severity Index (</w:t>
            </w:r>
            <w:r w:rsidRPr="000D05A4">
              <w:t>PASI</w:t>
            </w:r>
            <w:r w:rsidR="002350BA">
              <w:t>)</w:t>
            </w:r>
            <w:r w:rsidRPr="000D05A4">
              <w:t xml:space="preserve"> response after 12 weeks. If re-treatment with </w:t>
            </w:r>
            <w:proofErr w:type="spellStart"/>
            <w:r w:rsidR="008A26C9" w:rsidRPr="000D05A4">
              <w:t>Rymti</w:t>
            </w:r>
            <w:proofErr w:type="spellEnd"/>
            <w:r w:rsidR="002350BA">
              <w:t>/</w:t>
            </w:r>
            <w:proofErr w:type="spellStart"/>
            <w:r w:rsidR="008A26C9" w:rsidRPr="000D05A4">
              <w:t>Etera</w:t>
            </w:r>
            <w:proofErr w:type="spellEnd"/>
            <w:r w:rsidR="008A26C9" w:rsidRPr="000D05A4">
              <w:t xml:space="preserve"> </w:t>
            </w:r>
            <w:proofErr w:type="gramStart"/>
            <w:r w:rsidRPr="000D05A4">
              <w:t>is indicated</w:t>
            </w:r>
            <w:proofErr w:type="gramEnd"/>
            <w:r w:rsidRPr="000D05A4">
              <w:t>, the above guidance on treatment duration should be followed.</w:t>
            </w:r>
          </w:p>
          <w:p w14:paraId="17B85440" w14:textId="21BA7039" w:rsidR="00460036" w:rsidRPr="000D05A4" w:rsidRDefault="00460036" w:rsidP="00D47A3D">
            <w:r w:rsidRPr="000D05A4">
              <w:t>For further information regarding dosage, refer to the Product Information.</w:t>
            </w:r>
          </w:p>
        </w:tc>
      </w:tr>
      <w:tr w:rsidR="00460036" w:rsidRPr="00B23300" w14:paraId="33B8E7EE" w14:textId="77777777" w:rsidTr="00BF1190">
        <w:tc>
          <w:tcPr>
            <w:tcW w:w="2907" w:type="dxa"/>
          </w:tcPr>
          <w:p w14:paraId="243D8443" w14:textId="77777777" w:rsidR="00460036" w:rsidRPr="00B23300" w:rsidRDefault="00460036" w:rsidP="00E45619">
            <w:pPr>
              <w:rPr>
                <w:i/>
              </w:rPr>
            </w:pPr>
            <w:r w:rsidRPr="00B23300">
              <w:rPr>
                <w:i/>
              </w:rPr>
              <w:t>Pregnancy category:</w:t>
            </w:r>
          </w:p>
        </w:tc>
        <w:tc>
          <w:tcPr>
            <w:tcW w:w="6307" w:type="dxa"/>
          </w:tcPr>
          <w:p w14:paraId="6707BED0" w14:textId="77777777" w:rsidR="00151D8B" w:rsidRPr="00B23300" w:rsidRDefault="00151D8B" w:rsidP="00D47A3D">
            <w:r w:rsidRPr="00B23300">
              <w:t>D</w:t>
            </w:r>
          </w:p>
          <w:p w14:paraId="2F302A29" w14:textId="60C7A949" w:rsidR="00151D8B" w:rsidRPr="00B23300" w:rsidRDefault="00151D8B" w:rsidP="00D47A3D">
            <w:proofErr w:type="gramStart"/>
            <w:r w:rsidRPr="00B23300">
              <w:t>Drugs which</w:t>
            </w:r>
            <w:proofErr w:type="gramEnd"/>
            <w:r w:rsidRPr="00B23300">
              <w:t xml:space="preserve"> have caused, are suspected to have caused or may be expected to cause, an increased incidence of human </w:t>
            </w:r>
            <w:proofErr w:type="spellStart"/>
            <w:r w:rsidR="00A4784C" w:rsidRPr="00B23300">
              <w:t>f</w:t>
            </w:r>
            <w:r w:rsidR="00EA2BBF" w:rsidRPr="00B23300">
              <w:t>etal</w:t>
            </w:r>
            <w:proofErr w:type="spellEnd"/>
            <w:r w:rsidRPr="00B23300">
              <w:t xml:space="preserve"> malformations or irreversible damage. These drugs may also have adverse pharmacological effects. Accompanying texts </w:t>
            </w:r>
            <w:proofErr w:type="gramStart"/>
            <w:r w:rsidRPr="00B23300">
              <w:t>should be consulted</w:t>
            </w:r>
            <w:proofErr w:type="gramEnd"/>
            <w:r w:rsidRPr="00B23300">
              <w:t xml:space="preserve"> for further details.</w:t>
            </w:r>
          </w:p>
          <w:p w14:paraId="65CE3AF6" w14:textId="77777777" w:rsidR="00460036" w:rsidRPr="00B23300" w:rsidRDefault="00460036" w:rsidP="00D47A3D">
            <w:r w:rsidRPr="00B23300">
              <w:t xml:space="preserve">The use of any medicine during pregnancy requires careful consideration of both risks and benefits by the treating health professional. This </w:t>
            </w:r>
            <w:proofErr w:type="gramStart"/>
            <w:r w:rsidRPr="00B23300">
              <w:t>must not be used</w:t>
            </w:r>
            <w:proofErr w:type="gramEnd"/>
            <w:r w:rsidRPr="00B23300">
              <w:t xml:space="preserve"> as the sole basis of decision making in the use of medicines during pregnancy. The TGA does not provide advice on the use of medicines in pregnancy for specific cases. More information is available from obstetric drug information services in your State or Territory.</w:t>
            </w:r>
          </w:p>
        </w:tc>
      </w:tr>
    </w:tbl>
    <w:p w14:paraId="57A652E7" w14:textId="77777777" w:rsidR="008E7846" w:rsidRPr="00B23300" w:rsidRDefault="008E7846" w:rsidP="008E7846">
      <w:pPr>
        <w:pStyle w:val="Heading3"/>
      </w:pPr>
      <w:bookmarkStart w:id="14" w:name="_Toc247691503"/>
      <w:bookmarkStart w:id="15" w:name="_Toc314842484"/>
      <w:bookmarkStart w:id="16" w:name="_Toc66284485"/>
      <w:r w:rsidRPr="00B23300">
        <w:t>Product background</w:t>
      </w:r>
      <w:bookmarkEnd w:id="14"/>
      <w:bookmarkEnd w:id="15"/>
      <w:bookmarkEnd w:id="16"/>
    </w:p>
    <w:p w14:paraId="22C73FA9" w14:textId="442877A0" w:rsidR="00FB7B99" w:rsidRDefault="00250271" w:rsidP="00D47A3D">
      <w:r w:rsidRPr="00B23300">
        <w:t xml:space="preserve">This </w:t>
      </w:r>
      <w:proofErr w:type="spellStart"/>
      <w:r w:rsidRPr="00B23300">
        <w:t>AusPAR</w:t>
      </w:r>
      <w:proofErr w:type="spellEnd"/>
      <w:r w:rsidRPr="00B23300">
        <w:t xml:space="preserve"> describes the application by </w:t>
      </w:r>
      <w:r w:rsidR="00C76D58" w:rsidRPr="00B23300">
        <w:t xml:space="preserve">Lupin Australia Pty Ltd </w:t>
      </w:r>
      <w:r w:rsidR="00D47A3D" w:rsidRPr="00B23300">
        <w:t xml:space="preserve">(the sponsor) to register </w:t>
      </w:r>
      <w:proofErr w:type="spellStart"/>
      <w:r w:rsidR="00687E69" w:rsidRPr="00B23300">
        <w:t>Rymti</w:t>
      </w:r>
      <w:proofErr w:type="spellEnd"/>
      <w:r w:rsidR="002350BA">
        <w:t>/</w:t>
      </w:r>
      <w:proofErr w:type="spellStart"/>
      <w:r w:rsidR="00687E69" w:rsidRPr="00B23300">
        <w:t>Etera</w:t>
      </w:r>
      <w:proofErr w:type="spellEnd"/>
      <w:r w:rsidRPr="00B23300">
        <w:t xml:space="preserve"> (</w:t>
      </w:r>
      <w:proofErr w:type="spellStart"/>
      <w:r w:rsidR="00EA2BBF" w:rsidRPr="00B23300">
        <w:t>etanercept</w:t>
      </w:r>
      <w:proofErr w:type="spellEnd"/>
      <w:r w:rsidRPr="00B23300">
        <w:t xml:space="preserve">) </w:t>
      </w:r>
      <w:r w:rsidR="00C76D58" w:rsidRPr="00B23300">
        <w:t>25 mg</w:t>
      </w:r>
      <w:r w:rsidR="002350BA">
        <w:t>/0.5 mL</w:t>
      </w:r>
      <w:r w:rsidR="00C76D58" w:rsidRPr="00B23300">
        <w:t xml:space="preserve"> and 50 mg</w:t>
      </w:r>
      <w:r w:rsidR="002350BA">
        <w:t>/1.0 mL</w:t>
      </w:r>
      <w:r w:rsidRPr="00B23300">
        <w:t xml:space="preserve">, </w:t>
      </w:r>
      <w:r w:rsidR="00C76D58" w:rsidRPr="00B23300">
        <w:t>solution for injection</w:t>
      </w:r>
      <w:r w:rsidRPr="00B23300">
        <w:t xml:space="preserve"> </w:t>
      </w:r>
      <w:r w:rsidR="002350BA">
        <w:t xml:space="preserve">prefilled syringe </w:t>
      </w:r>
      <w:r w:rsidRPr="00B23300">
        <w:t xml:space="preserve">for the </w:t>
      </w:r>
      <w:r w:rsidR="0067598F" w:rsidRPr="00B23300">
        <w:t>following proposed indications</w:t>
      </w:r>
      <w:r w:rsidR="00CF5DAD" w:rsidRPr="00B23300">
        <w:t>:</w:t>
      </w:r>
    </w:p>
    <w:p w14:paraId="4F4B4E67" w14:textId="21D26A15" w:rsidR="006879F6" w:rsidRPr="00B23300" w:rsidRDefault="006879F6" w:rsidP="006C663A">
      <w:pPr>
        <w:ind w:left="720"/>
      </w:pPr>
      <w:r w:rsidRPr="006879F6">
        <w:rPr>
          <w:i/>
        </w:rPr>
        <w:t>The proposed i</w:t>
      </w:r>
      <w:r>
        <w:rPr>
          <w:i/>
        </w:rPr>
        <w:t xml:space="preserve">ndications and dosage for </w:t>
      </w:r>
      <w:proofErr w:type="spellStart"/>
      <w:r>
        <w:rPr>
          <w:i/>
        </w:rPr>
        <w:t>Rymit</w:t>
      </w:r>
      <w:proofErr w:type="spellEnd"/>
      <w:r w:rsidR="002350BA">
        <w:rPr>
          <w:i/>
        </w:rPr>
        <w:t>/</w:t>
      </w:r>
      <w:proofErr w:type="spellStart"/>
      <w:r w:rsidRPr="006879F6">
        <w:rPr>
          <w:i/>
        </w:rPr>
        <w:t>Etera</w:t>
      </w:r>
      <w:proofErr w:type="spellEnd"/>
      <w:r w:rsidRPr="006879F6">
        <w:rPr>
          <w:i/>
        </w:rPr>
        <w:t xml:space="preserve"> are identical to those currently registered for Enbrel</w:t>
      </w:r>
      <w:r w:rsidR="000D05A4">
        <w:rPr>
          <w:i/>
        </w:rPr>
        <w:t>;</w:t>
      </w:r>
      <w:r w:rsidR="000D05A4">
        <w:rPr>
          <w:rStyle w:val="FootnoteReference"/>
          <w:i/>
        </w:rPr>
        <w:footnoteReference w:id="3"/>
      </w:r>
      <w:r w:rsidRPr="006879F6">
        <w:rPr>
          <w:i/>
        </w:rPr>
        <w:t xml:space="preserve"> except for the weight restrictions for children and adolescents prescribed for the juvenile idiopathic arthritis and </w:t>
      </w:r>
      <w:proofErr w:type="gramStart"/>
      <w:r w:rsidRPr="006879F6">
        <w:rPr>
          <w:i/>
        </w:rPr>
        <w:t>paediatric plaque psoriasis indications</w:t>
      </w:r>
      <w:proofErr w:type="gramEnd"/>
      <w:r w:rsidRPr="006879F6">
        <w:rPr>
          <w:i/>
        </w:rPr>
        <w:t>, as follows:</w:t>
      </w:r>
      <w:r w:rsidRPr="006879F6">
        <w:t xml:space="preserve"> </w:t>
      </w:r>
      <w:r w:rsidRPr="006879F6">
        <w:rPr>
          <w:i/>
        </w:rPr>
        <w:t xml:space="preserve">Children and adolescents weighing less than 62.5 kg should not receive </w:t>
      </w:r>
      <w:proofErr w:type="spellStart"/>
      <w:r w:rsidRPr="006879F6">
        <w:rPr>
          <w:i/>
        </w:rPr>
        <w:t>Rymti</w:t>
      </w:r>
      <w:proofErr w:type="spellEnd"/>
      <w:r w:rsidR="002350BA">
        <w:rPr>
          <w:i/>
        </w:rPr>
        <w:t>/</w:t>
      </w:r>
      <w:proofErr w:type="spellStart"/>
      <w:r w:rsidRPr="006879F6">
        <w:rPr>
          <w:i/>
        </w:rPr>
        <w:t>Etera</w:t>
      </w:r>
      <w:proofErr w:type="spellEnd"/>
      <w:r w:rsidRPr="006879F6">
        <w:rPr>
          <w:i/>
        </w:rPr>
        <w:t xml:space="preserve">. These patients should be accurately dosed on </w:t>
      </w:r>
      <w:proofErr w:type="gramStart"/>
      <w:r w:rsidRPr="006879F6">
        <w:rPr>
          <w:i/>
        </w:rPr>
        <w:t>a</w:t>
      </w:r>
      <w:proofErr w:type="gramEnd"/>
      <w:r w:rsidRPr="006879F6">
        <w:rPr>
          <w:i/>
        </w:rPr>
        <w:t xml:space="preserve"> mg/kg basis with other </w:t>
      </w:r>
      <w:proofErr w:type="spellStart"/>
      <w:r w:rsidRPr="006879F6">
        <w:rPr>
          <w:i/>
        </w:rPr>
        <w:t>etanercept</w:t>
      </w:r>
      <w:proofErr w:type="spellEnd"/>
      <w:r w:rsidRPr="006879F6">
        <w:rPr>
          <w:i/>
        </w:rPr>
        <w:t xml:space="preserve"> products</w:t>
      </w:r>
      <w:r>
        <w:rPr>
          <w:i/>
        </w:rPr>
        <w:t>.</w:t>
      </w:r>
    </w:p>
    <w:p w14:paraId="5BE657A5" w14:textId="3D483EAF" w:rsidR="003547D0" w:rsidRPr="00B23300" w:rsidRDefault="003547D0" w:rsidP="006879F6">
      <w:r w:rsidRPr="00B23300">
        <w:t>R</w:t>
      </w:r>
      <w:r w:rsidR="000C3DB4">
        <w:t>heumatoid arthritis (R</w:t>
      </w:r>
      <w:r w:rsidRPr="00B23300">
        <w:t>A</w:t>
      </w:r>
      <w:r w:rsidR="000C3DB4">
        <w:t>)</w:t>
      </w:r>
      <w:r w:rsidRPr="00B23300">
        <w:t xml:space="preserve"> is a chronic inflammatory autoimmune disease characterised by </w:t>
      </w:r>
      <w:proofErr w:type="spellStart"/>
      <w:r w:rsidRPr="00B23300">
        <w:t>polyarticular</w:t>
      </w:r>
      <w:proofErr w:type="spellEnd"/>
      <w:r w:rsidRPr="00B23300">
        <w:t xml:space="preserve"> inflammatory synovitis, which is associated with cartilage breakdown, bony erosion and ultimately loss of function of the affected joints. It is the second most common form of arthritis and the most common autoimmune disease in Aus</w:t>
      </w:r>
      <w:r w:rsidR="00E13FDA" w:rsidRPr="00B23300">
        <w:t>tralia with a prevalence of 2%.</w:t>
      </w:r>
    </w:p>
    <w:p w14:paraId="2EBD3021" w14:textId="7380A973" w:rsidR="003547D0" w:rsidRPr="00431339" w:rsidRDefault="003547D0" w:rsidP="00D47A3D">
      <w:r w:rsidRPr="00431339">
        <w:t xml:space="preserve">Juvenile </w:t>
      </w:r>
      <w:r w:rsidR="00EA2BBF" w:rsidRPr="00431339">
        <w:t xml:space="preserve">idiopathic arthritis </w:t>
      </w:r>
      <w:r w:rsidRPr="00431339">
        <w:t>(JIA)</w:t>
      </w:r>
      <w:r w:rsidRPr="00B23300">
        <w:t xml:space="preserve"> is the most common rheumatic disease in children and is more common in females. The estimated prevalence of JIA in Australia is </w:t>
      </w:r>
      <w:r w:rsidR="00AF7CBD" w:rsidRPr="00431339">
        <w:t>one</w:t>
      </w:r>
      <w:r w:rsidRPr="00431339">
        <w:t xml:space="preserve"> in 100</w:t>
      </w:r>
      <w:r w:rsidR="00E13FDA" w:rsidRPr="00431339">
        <w:t>0</w:t>
      </w:r>
      <w:r w:rsidR="000C3DB4">
        <w:t> </w:t>
      </w:r>
      <w:r w:rsidR="00E13FDA" w:rsidRPr="00431339">
        <w:t>children aged up to 16 years.</w:t>
      </w:r>
    </w:p>
    <w:p w14:paraId="2AEC3E00" w14:textId="546B701A" w:rsidR="003547D0" w:rsidRPr="006879F6" w:rsidRDefault="000C3DB4" w:rsidP="006879F6">
      <w:r>
        <w:t>Ankylosing spondylitis (</w:t>
      </w:r>
      <w:r w:rsidR="003547D0" w:rsidRPr="005E6B60">
        <w:t>AS</w:t>
      </w:r>
      <w:r>
        <w:t>)</w:t>
      </w:r>
      <w:r w:rsidR="003547D0" w:rsidRPr="00B23300">
        <w:t xml:space="preserve"> affects approximately 0.5% of the population, mainly young to middle aged males. The characteristic clinical features of AS are inflammatory back pain with peripheral </w:t>
      </w:r>
      <w:r w:rsidR="003547D0" w:rsidRPr="006879F6">
        <w:t xml:space="preserve">symptoms such as </w:t>
      </w:r>
      <w:proofErr w:type="spellStart"/>
      <w:r w:rsidR="003547D0" w:rsidRPr="006879F6">
        <w:t>enthesitis</w:t>
      </w:r>
      <w:proofErr w:type="spellEnd"/>
      <w:r w:rsidR="003547D0" w:rsidRPr="006879F6">
        <w:t xml:space="preserve"> or arthritis, and extra</w:t>
      </w:r>
      <w:r w:rsidR="003F2E79" w:rsidRPr="006879F6">
        <w:t xml:space="preserve"> </w:t>
      </w:r>
      <w:r w:rsidR="003547D0" w:rsidRPr="006879F6">
        <w:t>articular manifestations such as anterior uveitis,</w:t>
      </w:r>
      <w:r w:rsidR="00093721" w:rsidRPr="006879F6">
        <w:t xml:space="preserve"> plaque psoriasis (</w:t>
      </w:r>
      <w:r w:rsidR="003547D0" w:rsidRPr="006879F6">
        <w:t>PSO</w:t>
      </w:r>
      <w:r w:rsidR="00093721" w:rsidRPr="006879F6">
        <w:t>)</w:t>
      </w:r>
      <w:r w:rsidR="003547D0" w:rsidRPr="006879F6">
        <w:t xml:space="preserve"> and chronic inflammatory bowel disease. Most patients with active AS show objective signs of inflammation on imaging such as </w:t>
      </w:r>
      <w:proofErr w:type="spellStart"/>
      <w:r w:rsidR="003547D0" w:rsidRPr="006879F6">
        <w:t>sacroiliitis</w:t>
      </w:r>
      <w:proofErr w:type="spellEnd"/>
      <w:r w:rsidR="003547D0" w:rsidRPr="006879F6">
        <w:t xml:space="preserve"> and spondylitis, or </w:t>
      </w:r>
      <w:r>
        <w:t>findings via</w:t>
      </w:r>
      <w:r w:rsidR="003547D0" w:rsidRPr="006879F6">
        <w:t xml:space="preserve"> laboratory </w:t>
      </w:r>
      <w:r>
        <w:t>tests</w:t>
      </w:r>
      <w:r w:rsidRPr="006879F6">
        <w:t xml:space="preserve"> </w:t>
      </w:r>
      <w:r w:rsidR="003547D0" w:rsidRPr="006879F6">
        <w:t>such as</w:t>
      </w:r>
      <w:r>
        <w:t xml:space="preserve"> elevated</w:t>
      </w:r>
      <w:r w:rsidR="003547D0" w:rsidRPr="006879F6">
        <w:t xml:space="preserve"> </w:t>
      </w:r>
      <w:r>
        <w:t>C</w:t>
      </w:r>
      <w:r>
        <w:noBreakHyphen/>
        <w:t>reactive protein (</w:t>
      </w:r>
      <w:r w:rsidR="00D20591" w:rsidRPr="006879F6">
        <w:t>C</w:t>
      </w:r>
      <w:r w:rsidR="003547D0" w:rsidRPr="006879F6">
        <w:t>RP</w:t>
      </w:r>
      <w:r>
        <w:t>)</w:t>
      </w:r>
      <w:r w:rsidR="003547D0" w:rsidRPr="006879F6">
        <w:t xml:space="preserve"> or erythrocyte sedimentation rate. Furthermore, many patients with AS are positive for human leu</w:t>
      </w:r>
      <w:r>
        <w:t>k</w:t>
      </w:r>
      <w:r w:rsidR="003547D0" w:rsidRPr="006879F6">
        <w:t xml:space="preserve">ocyte antigen (HLA) B27, have a positive family history of </w:t>
      </w:r>
      <w:proofErr w:type="spellStart"/>
      <w:r w:rsidR="003547D0" w:rsidRPr="006879F6">
        <w:t>spondyloarthritis</w:t>
      </w:r>
      <w:proofErr w:type="spellEnd"/>
      <w:r w:rsidR="003547D0" w:rsidRPr="006879F6">
        <w:t xml:space="preserve"> or related diseases. </w:t>
      </w:r>
      <w:r w:rsidRPr="000C3DB4">
        <w:t xml:space="preserve">Non-radiographic axial </w:t>
      </w:r>
      <w:proofErr w:type="spellStart"/>
      <w:r w:rsidRPr="000C3DB4">
        <w:t>spondyloarthritis</w:t>
      </w:r>
      <w:proofErr w:type="spellEnd"/>
      <w:r>
        <w:t xml:space="preserve"> (</w:t>
      </w:r>
      <w:proofErr w:type="spellStart"/>
      <w:r w:rsidR="00841C54" w:rsidRPr="006879F6">
        <w:t>n</w:t>
      </w:r>
      <w:r w:rsidR="003547D0" w:rsidRPr="006879F6">
        <w:t>r</w:t>
      </w:r>
      <w:proofErr w:type="spellEnd"/>
      <w:r w:rsidR="003547D0" w:rsidRPr="006879F6">
        <w:t xml:space="preserve">-axial </w:t>
      </w:r>
      <w:proofErr w:type="spellStart"/>
      <w:r w:rsidR="003547D0" w:rsidRPr="006879F6">
        <w:t>SpA</w:t>
      </w:r>
      <w:proofErr w:type="spellEnd"/>
      <w:r>
        <w:t>)</w:t>
      </w:r>
      <w:r w:rsidR="003547D0" w:rsidRPr="006879F6">
        <w:t xml:space="preserve"> is a related condition to AS in which patients have a similar clinical presentation (including inflammatory back pain), but radiographic </w:t>
      </w:r>
      <w:proofErr w:type="spellStart"/>
      <w:r w:rsidR="003547D0" w:rsidRPr="006879F6">
        <w:t>sacroiliitis</w:t>
      </w:r>
      <w:proofErr w:type="spellEnd"/>
      <w:r w:rsidR="003547D0" w:rsidRPr="006879F6">
        <w:t xml:space="preserve"> is not identified on plain X-rays. The prevalence of </w:t>
      </w:r>
      <w:proofErr w:type="spellStart"/>
      <w:r w:rsidR="003547D0" w:rsidRPr="006879F6">
        <w:t>nr</w:t>
      </w:r>
      <w:proofErr w:type="spellEnd"/>
      <w:r w:rsidR="003547D0" w:rsidRPr="006879F6">
        <w:t xml:space="preserve">-axial </w:t>
      </w:r>
      <w:proofErr w:type="spellStart"/>
      <w:r w:rsidR="003547D0" w:rsidRPr="006879F6">
        <w:t>SpA</w:t>
      </w:r>
      <w:proofErr w:type="spellEnd"/>
      <w:r w:rsidR="003547D0" w:rsidRPr="006879F6">
        <w:t xml:space="preserve"> is similar to that of AS, but the former has a higher female preponderance. The rate of progression of </w:t>
      </w:r>
      <w:proofErr w:type="spellStart"/>
      <w:r w:rsidR="003547D0" w:rsidRPr="006879F6">
        <w:t>nr</w:t>
      </w:r>
      <w:proofErr w:type="spellEnd"/>
      <w:r w:rsidR="003547D0" w:rsidRPr="006879F6">
        <w:t xml:space="preserve">-axial </w:t>
      </w:r>
      <w:proofErr w:type="spellStart"/>
      <w:r w:rsidR="003547D0" w:rsidRPr="006879F6">
        <w:t>SpA</w:t>
      </w:r>
      <w:proofErr w:type="spellEnd"/>
      <w:r w:rsidR="003547D0" w:rsidRPr="006879F6">
        <w:t xml:space="preserve"> to </w:t>
      </w:r>
      <w:r w:rsidR="009B7D6D" w:rsidRPr="006879F6">
        <w:t>AS ranges from 10% to 20% over two</w:t>
      </w:r>
      <w:r w:rsidR="003547D0" w:rsidRPr="006879F6">
        <w:t xml:space="preserve"> years.</w:t>
      </w:r>
    </w:p>
    <w:p w14:paraId="441361F0" w14:textId="0EE11F88" w:rsidR="003547D0" w:rsidRPr="006879F6" w:rsidRDefault="000C3DB4" w:rsidP="006879F6">
      <w:r>
        <w:t>Plaque psoriasis (</w:t>
      </w:r>
      <w:r w:rsidR="003547D0" w:rsidRPr="006879F6">
        <w:t>PSO</w:t>
      </w:r>
      <w:r>
        <w:t>)</w:t>
      </w:r>
      <w:r w:rsidR="003547D0" w:rsidRPr="006879F6">
        <w:t xml:space="preserve"> is an inflammatory immune based skin disorder with a genetic disposition, occurring in 3% of the adult Australian population. Though PSO can present at any age, the mean age of onset h</w:t>
      </w:r>
      <w:r w:rsidR="003F2E79" w:rsidRPr="006879F6">
        <w:t xml:space="preserve">as a bimodal distribution at 15 to 20 years and 55 to </w:t>
      </w:r>
      <w:r w:rsidR="003547D0" w:rsidRPr="006879F6">
        <w:t>60</w:t>
      </w:r>
      <w:r>
        <w:t> </w:t>
      </w:r>
      <w:r w:rsidR="003547D0" w:rsidRPr="006879F6">
        <w:t xml:space="preserve">years. It </w:t>
      </w:r>
      <w:proofErr w:type="gramStart"/>
      <w:r w:rsidR="003547D0" w:rsidRPr="006879F6">
        <w:t>is equally distributed</w:t>
      </w:r>
      <w:proofErr w:type="gramEnd"/>
      <w:r w:rsidR="003547D0" w:rsidRPr="006879F6">
        <w:t xml:space="preserve"> across the genders. Approximately 15% of all cases of PSO begin in children before the age of 15 years, and the condition may star</w:t>
      </w:r>
      <w:r w:rsidR="003F2E79" w:rsidRPr="006879F6">
        <w:t xml:space="preserve">t as young as infancy. About 25 to </w:t>
      </w:r>
      <w:r w:rsidR="003547D0" w:rsidRPr="006879F6">
        <w:t>30% of subjects with PSO develop a concurrent inflammatory arthritis, psoriatic arthritis (</w:t>
      </w:r>
      <w:proofErr w:type="spellStart"/>
      <w:r w:rsidR="003547D0" w:rsidRPr="006879F6">
        <w:t>PsA</w:t>
      </w:r>
      <w:proofErr w:type="spellEnd"/>
      <w:r w:rsidR="003547D0" w:rsidRPr="006879F6">
        <w:t>).</w:t>
      </w:r>
    </w:p>
    <w:p w14:paraId="5AE91C9F" w14:textId="4E142968" w:rsidR="003547D0" w:rsidRPr="00B23300" w:rsidRDefault="003547D0" w:rsidP="00D47A3D">
      <w:r w:rsidRPr="005E6B60">
        <w:t xml:space="preserve">The inflammatory </w:t>
      </w:r>
      <w:proofErr w:type="spellStart"/>
      <w:r w:rsidRPr="005E6B60">
        <w:t>arthritides</w:t>
      </w:r>
      <w:proofErr w:type="spellEnd"/>
      <w:r w:rsidRPr="005E6B60">
        <w:t xml:space="preserve"> (RA, </w:t>
      </w:r>
      <w:proofErr w:type="spellStart"/>
      <w:r w:rsidRPr="005E6B60">
        <w:t>PsA</w:t>
      </w:r>
      <w:proofErr w:type="spellEnd"/>
      <w:r w:rsidRPr="005E6B60">
        <w:t xml:space="preserve"> and JIA) are </w:t>
      </w:r>
      <w:r w:rsidR="000C3DB4">
        <w:t xml:space="preserve">a group of </w:t>
      </w:r>
      <w:r w:rsidRPr="005E6B60">
        <w:t xml:space="preserve">heterogeneous conditions in terms of clinical presentation, natural history and drug responsiveness. </w:t>
      </w:r>
      <w:r w:rsidRPr="00B23300">
        <w:t>Conventional synthetic disease</w:t>
      </w:r>
      <w:r w:rsidR="002D338E">
        <w:t>-</w:t>
      </w:r>
      <w:r w:rsidRPr="00B23300">
        <w:t xml:space="preserve">modifying </w:t>
      </w:r>
      <w:proofErr w:type="spellStart"/>
      <w:r w:rsidR="002D338E">
        <w:t>antirheumatic</w:t>
      </w:r>
      <w:proofErr w:type="spellEnd"/>
      <w:r w:rsidR="002D338E">
        <w:t xml:space="preserve"> </w:t>
      </w:r>
      <w:r w:rsidRPr="00B23300">
        <w:t xml:space="preserve">drugs </w:t>
      </w:r>
      <w:r w:rsidR="002D338E">
        <w:t xml:space="preserve">(DMARD), </w:t>
      </w:r>
      <w:r w:rsidRPr="00B23300">
        <w:t xml:space="preserve">in particular, </w:t>
      </w:r>
      <w:r w:rsidR="009267F7" w:rsidRPr="005E6B60">
        <w:t>methotrexate (MTX)</w:t>
      </w:r>
      <w:r w:rsidRPr="005E6B60">
        <w:t>,</w:t>
      </w:r>
      <w:r w:rsidRPr="00B23300">
        <w:t xml:space="preserve"> </w:t>
      </w:r>
      <w:r w:rsidR="002D338E">
        <w:t xml:space="preserve">either </w:t>
      </w:r>
      <w:r w:rsidRPr="00B23300">
        <w:t xml:space="preserve">alone or in combination with each other, are the initial recommended treatments for most types of inflammatory arthritis apart from AS. Biological DMARDs, </w:t>
      </w:r>
      <w:proofErr w:type="gramStart"/>
      <w:r w:rsidRPr="00B23300">
        <w:t>either as add-on or single drug therapy, is the next recommended line of therapy in active inflammatory arthritis</w:t>
      </w:r>
      <w:proofErr w:type="gramEnd"/>
      <w:r w:rsidRPr="00B23300">
        <w:t xml:space="preserve"> after conventional synthetic DMARD failure or intolerability. While anti-</w:t>
      </w:r>
      <w:r w:rsidR="00A17632" w:rsidRPr="005E6B60">
        <w:t>tumour necrosis factor (</w:t>
      </w:r>
      <w:r w:rsidRPr="005E6B60">
        <w:t>TNF</w:t>
      </w:r>
      <w:r w:rsidR="00A17632" w:rsidRPr="005E6B60">
        <w:t>)</w:t>
      </w:r>
      <w:r w:rsidRPr="00B23300">
        <w:t xml:space="preserve"> drugs and cytokine modulators </w:t>
      </w:r>
      <w:proofErr w:type="gramStart"/>
      <w:r w:rsidRPr="00B23300">
        <w:t>have been shown</w:t>
      </w:r>
      <w:proofErr w:type="gramEnd"/>
      <w:r w:rsidRPr="00B23300">
        <w:t xml:space="preserve"> to demonstrate significant efficacy in treating active inflammatory arthritis, a substantial proportion of patients are not achieving</w:t>
      </w:r>
      <w:r w:rsidR="00E13FDA" w:rsidRPr="00B23300">
        <w:t xml:space="preserve"> meaningful clinical responses.</w:t>
      </w:r>
    </w:p>
    <w:p w14:paraId="3BFBD87A" w14:textId="0F9F0C79" w:rsidR="003547D0" w:rsidRPr="005E6B60" w:rsidRDefault="003547D0" w:rsidP="00D47A3D">
      <w:r w:rsidRPr="005E6B60">
        <w:t xml:space="preserve">Current treatment strategies for </w:t>
      </w:r>
      <w:proofErr w:type="spellStart"/>
      <w:r w:rsidRPr="005E6B60">
        <w:t>nr</w:t>
      </w:r>
      <w:proofErr w:type="spellEnd"/>
      <w:r w:rsidRPr="005E6B60">
        <w:t xml:space="preserve">-axial </w:t>
      </w:r>
      <w:proofErr w:type="spellStart"/>
      <w:r w:rsidRPr="005E6B60">
        <w:t>SpA</w:t>
      </w:r>
      <w:proofErr w:type="spellEnd"/>
      <w:r w:rsidRPr="005E6B60">
        <w:t xml:space="preserve"> are the same as for AS, and include </w:t>
      </w:r>
      <w:r w:rsidR="002D338E">
        <w:t>non</w:t>
      </w:r>
      <w:r w:rsidR="002D338E">
        <w:noBreakHyphen/>
        <w:t>steroidal anti-inflammatory drugs (</w:t>
      </w:r>
      <w:r w:rsidRPr="005E6B60">
        <w:t>NSAID</w:t>
      </w:r>
      <w:r w:rsidR="002D338E">
        <w:t>)</w:t>
      </w:r>
      <w:r w:rsidRPr="005E6B60">
        <w:t xml:space="preserve">, exercise based programs and anti-TNF inhibitors for refractory inflammatory </w:t>
      </w:r>
      <w:proofErr w:type="spellStart"/>
      <w:r w:rsidRPr="005E6B60">
        <w:t>spondyloarthritis</w:t>
      </w:r>
      <w:proofErr w:type="spellEnd"/>
      <w:r w:rsidRPr="005E6B60">
        <w:t>.</w:t>
      </w:r>
    </w:p>
    <w:p w14:paraId="47AC9C8F" w14:textId="2A5BC5D2" w:rsidR="003547D0" w:rsidRPr="005E6B60" w:rsidRDefault="00150E1B" w:rsidP="00D47A3D">
      <w:r w:rsidRPr="005E6B60">
        <w:t>Depending on severity, a step</w:t>
      </w:r>
      <w:r w:rsidR="003547D0" w:rsidRPr="005E6B60">
        <w:t xml:space="preserve">wise approach </w:t>
      </w:r>
      <w:proofErr w:type="gramStart"/>
      <w:r w:rsidR="003547D0" w:rsidRPr="005E6B60">
        <w:t>is typically used</w:t>
      </w:r>
      <w:proofErr w:type="gramEnd"/>
      <w:r w:rsidR="003547D0" w:rsidRPr="005E6B60">
        <w:t xml:space="preserve"> when managing PSO. The first line strategy is topical therapy, which satisfactorily controls PSO in approximately 70% of all cases. Topical therapies include various </w:t>
      </w:r>
      <w:r w:rsidR="007A5F32" w:rsidRPr="005E6B60">
        <w:t>corticosteroids</w:t>
      </w:r>
      <w:r w:rsidR="003547D0" w:rsidRPr="005E6B60">
        <w:t>,</w:t>
      </w:r>
      <w:r w:rsidR="003547D0" w:rsidRPr="00B23300">
        <w:t xml:space="preserve"> tar preparations, emollients, salicylic acid, vitamin D analogues, </w:t>
      </w:r>
      <w:proofErr w:type="spellStart"/>
      <w:r w:rsidR="003547D0" w:rsidRPr="00B23300">
        <w:t>retinoids</w:t>
      </w:r>
      <w:proofErr w:type="spellEnd"/>
      <w:r w:rsidR="002D338E">
        <w:t>,</w:t>
      </w:r>
      <w:r w:rsidR="003547D0" w:rsidRPr="00B23300">
        <w:t xml:space="preserve"> and </w:t>
      </w:r>
      <w:proofErr w:type="spellStart"/>
      <w:r w:rsidR="003547D0" w:rsidRPr="00B23300">
        <w:t>calcineurin</w:t>
      </w:r>
      <w:proofErr w:type="spellEnd"/>
      <w:r w:rsidR="003547D0" w:rsidRPr="00B23300">
        <w:t xml:space="preserve"> inhibitors such as </w:t>
      </w:r>
      <w:proofErr w:type="spellStart"/>
      <w:r w:rsidR="003547D0" w:rsidRPr="00B23300">
        <w:t>pimecrolimus</w:t>
      </w:r>
      <w:proofErr w:type="spellEnd"/>
      <w:r w:rsidR="003547D0" w:rsidRPr="00B23300">
        <w:t xml:space="preserve">. Various types of phototherapy </w:t>
      </w:r>
      <w:proofErr w:type="gramStart"/>
      <w:r w:rsidR="003547D0" w:rsidRPr="00B23300">
        <w:t>are generally considered</w:t>
      </w:r>
      <w:proofErr w:type="gramEnd"/>
      <w:r w:rsidR="003547D0" w:rsidRPr="00B23300">
        <w:t xml:space="preserve"> the next line of treatment in Australian guidelines, but their availability and potential limitations is a barrier to utilisation. Until recently, non-biological systemic therapies, in particular, weekly low dose MTX, have been the mainstay of treatment refractory moderate to severe PSO in adults. Other commonly used systemic therapies include oral cyclosporine and </w:t>
      </w:r>
      <w:proofErr w:type="spellStart"/>
      <w:r w:rsidR="003547D0" w:rsidRPr="00B23300">
        <w:t>acitretin</w:t>
      </w:r>
      <w:proofErr w:type="spellEnd"/>
      <w:r w:rsidR="003547D0" w:rsidRPr="00B23300">
        <w:t>. However, evidence indicates that conventional systemic therapies have limite</w:t>
      </w:r>
      <w:r w:rsidR="00EC51EB" w:rsidRPr="005E6B60">
        <w:t>d efficacy in treating PSO (for example,</w:t>
      </w:r>
      <w:r w:rsidR="003547D0" w:rsidRPr="005E6B60">
        <w:t xml:space="preserve"> MTX and </w:t>
      </w:r>
      <w:proofErr w:type="spellStart"/>
      <w:r w:rsidR="00FD31D1">
        <w:t>ciclosporin</w:t>
      </w:r>
      <w:proofErr w:type="spellEnd"/>
      <w:r w:rsidR="00FD31D1">
        <w:t xml:space="preserve"> </w:t>
      </w:r>
      <w:r w:rsidR="003F2E79" w:rsidRPr="005E6B60">
        <w:t xml:space="preserve">achieve a </w:t>
      </w:r>
      <w:r w:rsidR="002D338E">
        <w:t>Psoriasis Area and Severity Index (PASI) 75</w:t>
      </w:r>
      <w:r w:rsidR="003F2E79" w:rsidRPr="005E6B60">
        <w:t xml:space="preserve"> response of 50 to 70% after 12 to </w:t>
      </w:r>
      <w:r w:rsidR="003547D0" w:rsidRPr="005E6B60">
        <w:t>16 weeks of therapy), and carry significant toxicity and tolerability risks. The efficacy and safety of biologic therapies such as TNF and interleukin</w:t>
      </w:r>
      <w:r w:rsidR="003F2E79" w:rsidRPr="005E6B60">
        <w:t xml:space="preserve"> </w:t>
      </w:r>
      <w:r w:rsidR="003547D0" w:rsidRPr="005E6B60">
        <w:t xml:space="preserve">17 inhibitors is established for patients </w:t>
      </w:r>
      <w:r w:rsidR="003F2E79" w:rsidRPr="005E6B60">
        <w:t xml:space="preserve">with moderate to severe PSO (70 to </w:t>
      </w:r>
      <w:r w:rsidR="003547D0" w:rsidRPr="005E6B60">
        <w:t>80% of patients achieve a</w:t>
      </w:r>
      <w:r w:rsidR="00B20DC2" w:rsidRPr="005E6B60">
        <w:t>t least a PASI75 response at ten</w:t>
      </w:r>
      <w:r w:rsidR="003F2E79" w:rsidRPr="005E6B60">
        <w:t xml:space="preserve"> to </w:t>
      </w:r>
      <w:r w:rsidR="003547D0" w:rsidRPr="005E6B60">
        <w:t xml:space="preserve">16 weeks). However, while biologic drugs </w:t>
      </w:r>
      <w:proofErr w:type="gramStart"/>
      <w:r w:rsidR="003547D0" w:rsidRPr="005E6B60">
        <w:t>have been shown</w:t>
      </w:r>
      <w:proofErr w:type="gramEnd"/>
      <w:r w:rsidR="003547D0" w:rsidRPr="005E6B60">
        <w:t xml:space="preserve"> to demonstrate significant efficacy in treating active PSO, loss of response over time may occur in up to 30% of patients and necessitate alternative treatment options.</w:t>
      </w:r>
    </w:p>
    <w:p w14:paraId="248E1892" w14:textId="6F056344" w:rsidR="003547D0" w:rsidRPr="005E6B60" w:rsidRDefault="003547D0" w:rsidP="00D47A3D">
      <w:r w:rsidRPr="005E6B60">
        <w:t xml:space="preserve">TNF plays a central role in the molecular and cellular events occurring in the pathogenesis of several autoimmune inflammatory conditions. Elevated concentrations of TNF have been found in the synovium of those with active RA, </w:t>
      </w:r>
      <w:proofErr w:type="spellStart"/>
      <w:r w:rsidRPr="005E6B60">
        <w:t>PsA</w:t>
      </w:r>
      <w:proofErr w:type="spellEnd"/>
      <w:r w:rsidRPr="005E6B60">
        <w:t xml:space="preserve"> and AS, as well as in the skin lesions of PSO. Anti-TNF medicines work by neutralising the activity of soluble TNF and</w:t>
      </w:r>
      <w:r w:rsidR="009B7D6D" w:rsidRPr="005E6B60">
        <w:t xml:space="preserve"> preventing its binding to the two</w:t>
      </w:r>
      <w:r w:rsidRPr="005E6B60">
        <w:t xml:space="preserve"> main TNF receptors</w:t>
      </w:r>
      <w:r w:rsidR="00FD31D1">
        <w:t xml:space="preserve">, </w:t>
      </w:r>
      <w:r w:rsidRPr="005E6B60">
        <w:t xml:space="preserve">p55 and p75. These receptors </w:t>
      </w:r>
      <w:proofErr w:type="gramStart"/>
      <w:r w:rsidRPr="005E6B60">
        <w:t>are expressed</w:t>
      </w:r>
      <w:proofErr w:type="gramEnd"/>
      <w:r w:rsidRPr="005E6B60">
        <w:t xml:space="preserve"> on </w:t>
      </w:r>
      <w:r w:rsidR="002C1A2A" w:rsidRPr="005E6B60">
        <w:t>the membrane of monocytes and T-</w:t>
      </w:r>
      <w:r w:rsidRPr="005E6B60">
        <w:t>lymphocytes, and circulate</w:t>
      </w:r>
      <w:r w:rsidR="00E13FDA" w:rsidRPr="005E6B60">
        <w:t xml:space="preserve"> in the blood in soluble forms.</w:t>
      </w:r>
    </w:p>
    <w:p w14:paraId="054EFBBA" w14:textId="7F068346" w:rsidR="003547D0" w:rsidRPr="00B23300" w:rsidRDefault="00894B70" w:rsidP="00D47A3D">
      <w:proofErr w:type="spellStart"/>
      <w:r w:rsidRPr="005E6B60">
        <w:t>Etanercept</w:t>
      </w:r>
      <w:proofErr w:type="spellEnd"/>
      <w:r w:rsidRPr="005E6B60">
        <w:t xml:space="preserve"> </w:t>
      </w:r>
      <w:r w:rsidR="003547D0" w:rsidRPr="005E6B60">
        <w:t xml:space="preserve">is a recombinant human </w:t>
      </w:r>
      <w:proofErr w:type="gramStart"/>
      <w:r w:rsidR="000F2E3B" w:rsidRPr="005E6B60">
        <w:t>tumour necrosis factor receptor</w:t>
      </w:r>
      <w:proofErr w:type="gramEnd"/>
      <w:r w:rsidR="000F2E3B" w:rsidRPr="005E6B60">
        <w:t xml:space="preserve"> (</w:t>
      </w:r>
      <w:r w:rsidR="003547D0" w:rsidRPr="005E6B60">
        <w:t>TNFR</w:t>
      </w:r>
      <w:r w:rsidR="000F2E3B" w:rsidRPr="005E6B60">
        <w:t>)</w:t>
      </w:r>
      <w:r w:rsidR="003547D0" w:rsidRPr="005E6B60">
        <w:t xml:space="preserve"> p75 fusion protein, which inhibits the binding of TNF to the surface of cells expressing TNFR such as T-lymphocytes in the synovium of patients with active RA. Enbrel</w:t>
      </w:r>
      <w:r w:rsidR="00DD387D" w:rsidRPr="005E6B60">
        <w:t xml:space="preserve"> (the reference medicinal product)</w:t>
      </w:r>
      <w:r w:rsidR="003547D0" w:rsidRPr="005E6B60">
        <w:t xml:space="preserve"> </w:t>
      </w:r>
      <w:proofErr w:type="gramStart"/>
      <w:r w:rsidR="003547D0" w:rsidRPr="005E6B60">
        <w:t>is currently ap</w:t>
      </w:r>
      <w:r w:rsidR="00304062" w:rsidRPr="005E6B60">
        <w:t>proved</w:t>
      </w:r>
      <w:proofErr w:type="gramEnd"/>
      <w:r w:rsidR="00304062" w:rsidRPr="005E6B60">
        <w:t xml:space="preserve"> in Australia for use in seven</w:t>
      </w:r>
      <w:r w:rsidR="003547D0" w:rsidRPr="005E6B60">
        <w:t xml:space="preserve"> treatmen</w:t>
      </w:r>
      <w:r w:rsidR="009B7D6D" w:rsidRPr="005E6B60">
        <w:t xml:space="preserve">t indications </w:t>
      </w:r>
      <w:r w:rsidR="0073783C" w:rsidRPr="005E6B60">
        <w:t>(five</w:t>
      </w:r>
      <w:r w:rsidR="009B7D6D" w:rsidRPr="005E6B60">
        <w:t xml:space="preserve"> in adults and two</w:t>
      </w:r>
      <w:r w:rsidR="003547D0" w:rsidRPr="00B23300">
        <w:t xml:space="preserve"> paediatric</w:t>
      </w:r>
      <w:r w:rsidR="00FD31D1">
        <w:t xml:space="preserve"> indications</w:t>
      </w:r>
      <w:r w:rsidR="003547D0" w:rsidRPr="00B23300">
        <w:t xml:space="preserve">). The central therapeutic effect of Enbrel in all these indications </w:t>
      </w:r>
      <w:proofErr w:type="gramStart"/>
      <w:r w:rsidR="003547D0" w:rsidRPr="00B23300">
        <w:t>is mediated</w:t>
      </w:r>
      <w:proofErr w:type="gramEnd"/>
      <w:r w:rsidR="003547D0" w:rsidRPr="00B23300">
        <w:t xml:space="preserve"> by TNF blockade. Reducing disease activity and slowing the progression of inflammatory disease are the key therapeutic goals in inflammatory autoimmune disease. </w:t>
      </w:r>
      <w:proofErr w:type="spellStart"/>
      <w:r w:rsidRPr="00B23300">
        <w:t>Etanercept</w:t>
      </w:r>
      <w:proofErr w:type="spellEnd"/>
      <w:r w:rsidRPr="00B23300">
        <w:t xml:space="preserve"> </w:t>
      </w:r>
      <w:r w:rsidR="003547D0" w:rsidRPr="00B23300">
        <w:t>is well established and widel</w:t>
      </w:r>
      <w:r w:rsidR="002C1A2A" w:rsidRPr="00B23300">
        <w:t xml:space="preserve">y used in clinical practice for </w:t>
      </w:r>
      <w:r w:rsidR="003547D0" w:rsidRPr="00B23300">
        <w:t>&gt;</w:t>
      </w:r>
      <w:r w:rsidR="00E01921" w:rsidRPr="00B23300">
        <w:t xml:space="preserve"> </w:t>
      </w:r>
      <w:r w:rsidR="003547D0" w:rsidRPr="00B23300">
        <w:t xml:space="preserve">18 years, with a </w:t>
      </w:r>
      <w:proofErr w:type="gramStart"/>
      <w:r w:rsidR="003547D0" w:rsidRPr="00B23300">
        <w:t>well</w:t>
      </w:r>
      <w:r w:rsidR="003F2E79" w:rsidRPr="00B23300">
        <w:t xml:space="preserve"> </w:t>
      </w:r>
      <w:r w:rsidR="003547D0" w:rsidRPr="00B23300">
        <w:t>charac</w:t>
      </w:r>
      <w:r w:rsidR="001B3586" w:rsidRPr="00B23300">
        <w:t>terised</w:t>
      </w:r>
      <w:proofErr w:type="gramEnd"/>
      <w:r w:rsidR="001B3586" w:rsidRPr="00B23300">
        <w:t xml:space="preserve"> benefit</w:t>
      </w:r>
      <w:r w:rsidR="00FD31D1">
        <w:t>-</w:t>
      </w:r>
      <w:r w:rsidR="001B3586" w:rsidRPr="00B23300">
        <w:t>risk profile.</w:t>
      </w:r>
    </w:p>
    <w:p w14:paraId="046D1B17" w14:textId="77777777" w:rsidR="008E7846" w:rsidRPr="00B23300" w:rsidRDefault="00386150" w:rsidP="008E7846">
      <w:pPr>
        <w:pStyle w:val="Heading3"/>
      </w:pPr>
      <w:bookmarkStart w:id="17" w:name="_Toc314842485"/>
      <w:bookmarkStart w:id="18" w:name="_Toc247691504"/>
      <w:bookmarkStart w:id="19" w:name="_Toc66284486"/>
      <w:r w:rsidRPr="00B23300">
        <w:t>Regulatory s</w:t>
      </w:r>
      <w:r w:rsidR="008E7846" w:rsidRPr="00B23300">
        <w:t>tatus</w:t>
      </w:r>
      <w:bookmarkEnd w:id="17"/>
      <w:bookmarkEnd w:id="18"/>
      <w:bookmarkEnd w:id="19"/>
    </w:p>
    <w:p w14:paraId="68B4ECF6" w14:textId="21AB5D2C" w:rsidR="00940A89" w:rsidRPr="00B23300" w:rsidRDefault="00006FAB" w:rsidP="00D47A3D">
      <w:bookmarkStart w:id="20" w:name="_Toc247691505"/>
      <w:bookmarkStart w:id="21" w:name="_Toc314842486"/>
      <w:r w:rsidRPr="00B23300">
        <w:t xml:space="preserve">This product </w:t>
      </w:r>
      <w:proofErr w:type="gramStart"/>
      <w:r w:rsidRPr="00B23300">
        <w:t>is considered</w:t>
      </w:r>
      <w:proofErr w:type="gramEnd"/>
      <w:r w:rsidRPr="00B23300">
        <w:t xml:space="preserve"> a new biosimilar medicine for Australian regulatory purposes.</w:t>
      </w:r>
    </w:p>
    <w:p w14:paraId="7FF38EA0" w14:textId="7C185592" w:rsidR="00006FAB" w:rsidRPr="00B23300" w:rsidRDefault="00006FAB" w:rsidP="00D47A3D">
      <w:r w:rsidRPr="00B23300">
        <w:t>At the time the TGA considered this application, similar application</w:t>
      </w:r>
      <w:r w:rsidR="00AF0D79">
        <w:t>s</w:t>
      </w:r>
      <w:r w:rsidRPr="00B23300">
        <w:t xml:space="preserve"> w</w:t>
      </w:r>
      <w:r w:rsidR="00AF0D79">
        <w:t>ere</w:t>
      </w:r>
      <w:r w:rsidRPr="00B23300">
        <w:t xml:space="preserve"> </w:t>
      </w:r>
      <w:r w:rsidR="004D38CC">
        <w:t>approved</w:t>
      </w:r>
      <w:r w:rsidRPr="00B23300">
        <w:t xml:space="preserve"> in </w:t>
      </w:r>
      <w:r w:rsidR="009D7479" w:rsidRPr="00B23300">
        <w:t xml:space="preserve">Japan </w:t>
      </w:r>
      <w:r w:rsidR="00A47004">
        <w:t>(</w:t>
      </w:r>
      <w:r w:rsidR="0064588D">
        <w:t>approved</w:t>
      </w:r>
      <w:r w:rsidR="00E20570">
        <w:t xml:space="preserve">: </w:t>
      </w:r>
      <w:r w:rsidR="00EB6058">
        <w:t>26</w:t>
      </w:r>
      <w:r w:rsidR="00EC5CDE">
        <w:t xml:space="preserve"> </w:t>
      </w:r>
      <w:r w:rsidR="009D7479" w:rsidRPr="00B23300">
        <w:t>March 201</w:t>
      </w:r>
      <w:r w:rsidR="00E44575">
        <w:t>9</w:t>
      </w:r>
      <w:r w:rsidR="00A47004">
        <w:t>)</w:t>
      </w:r>
      <w:r w:rsidR="009D7479" w:rsidRPr="00B23300">
        <w:t xml:space="preserve"> and </w:t>
      </w:r>
      <w:r w:rsidR="00E44575">
        <w:t>India (</w:t>
      </w:r>
      <w:r w:rsidR="005921A9">
        <w:t>approved</w:t>
      </w:r>
      <w:r w:rsidR="00E20570">
        <w:t xml:space="preserve">: </w:t>
      </w:r>
      <w:r w:rsidR="00E44575">
        <w:t xml:space="preserve">March 2019), and </w:t>
      </w:r>
      <w:r w:rsidR="00AF0D79">
        <w:t xml:space="preserve">an application was </w:t>
      </w:r>
      <w:r w:rsidR="00E44575">
        <w:t xml:space="preserve">under consideration in </w:t>
      </w:r>
      <w:r w:rsidR="00AF0D79">
        <w:t xml:space="preserve">the </w:t>
      </w:r>
      <w:r w:rsidR="009D7479" w:rsidRPr="005E6B60">
        <w:t>European Union (EU)</w:t>
      </w:r>
      <w:r w:rsidR="009D7479" w:rsidRPr="00B23300">
        <w:t xml:space="preserve"> </w:t>
      </w:r>
      <w:r w:rsidR="00A47004">
        <w:t>(</w:t>
      </w:r>
      <w:r w:rsidR="00AF0D79">
        <w:t xml:space="preserve">submitted: </w:t>
      </w:r>
      <w:r w:rsidR="00EC5CDE">
        <w:t>30 April 2018</w:t>
      </w:r>
      <w:r w:rsidRPr="00B23300">
        <w:t>).</w:t>
      </w:r>
    </w:p>
    <w:p w14:paraId="48E5DF9B" w14:textId="51BDED84" w:rsidR="00594B06" w:rsidRPr="00B23300" w:rsidRDefault="005A4213" w:rsidP="009905D0">
      <w:pPr>
        <w:pStyle w:val="TableTitle"/>
      </w:pPr>
      <w:r w:rsidRPr="00B23300">
        <w:t xml:space="preserve">Table </w:t>
      </w:r>
      <w:fldSimple w:instr=" SEQ Table \* ARABIC ">
        <w:r w:rsidR="00C34A49">
          <w:rPr>
            <w:noProof/>
          </w:rPr>
          <w:t>1</w:t>
        </w:r>
      </w:fldSimple>
      <w:r w:rsidR="00B73652" w:rsidRPr="00B23300">
        <w:t>: I</w:t>
      </w:r>
      <w:r w:rsidR="00594B06" w:rsidRPr="00B23300">
        <w:t xml:space="preserve">nternational regulatory status for </w:t>
      </w:r>
      <w:proofErr w:type="spellStart"/>
      <w:r w:rsidR="00594B06" w:rsidRPr="00B23300">
        <w:t>Rymti</w:t>
      </w:r>
      <w:proofErr w:type="spellEnd"/>
      <w:r w:rsidR="00594B06" w:rsidRPr="00B23300">
        <w:t xml:space="preserve">, </w:t>
      </w:r>
      <w:proofErr w:type="spellStart"/>
      <w:r w:rsidR="00594B06" w:rsidRPr="00B23300">
        <w:t>Etera</w:t>
      </w:r>
      <w:proofErr w:type="spellEnd"/>
    </w:p>
    <w:tbl>
      <w:tblPr>
        <w:tblStyle w:val="TableTGAblue"/>
        <w:tblW w:w="8784" w:type="dxa"/>
        <w:tblLayout w:type="fixed"/>
        <w:tblLook w:val="04A0" w:firstRow="1" w:lastRow="0" w:firstColumn="1" w:lastColumn="0" w:noHBand="0" w:noVBand="1"/>
      </w:tblPr>
      <w:tblGrid>
        <w:gridCol w:w="1129"/>
        <w:gridCol w:w="1560"/>
        <w:gridCol w:w="1842"/>
        <w:gridCol w:w="1985"/>
        <w:gridCol w:w="2268"/>
      </w:tblGrid>
      <w:tr w:rsidR="00084C39" w:rsidRPr="00B23300" w14:paraId="5F9230D4" w14:textId="77777777" w:rsidTr="00084C39">
        <w:trPr>
          <w:cnfStyle w:val="100000000000" w:firstRow="1" w:lastRow="0" w:firstColumn="0" w:lastColumn="0" w:oddVBand="0" w:evenVBand="0" w:oddHBand="0" w:evenHBand="0" w:firstRowFirstColumn="0" w:firstRowLastColumn="0" w:lastRowFirstColumn="0" w:lastRowLastColumn="0"/>
          <w:trHeight w:val="826"/>
        </w:trPr>
        <w:tc>
          <w:tcPr>
            <w:tcW w:w="1129" w:type="dxa"/>
            <w:tcBorders>
              <w:top w:val="single" w:sz="4" w:space="0" w:color="auto"/>
              <w:left w:val="single" w:sz="4" w:space="0" w:color="auto"/>
              <w:bottom w:val="single" w:sz="4" w:space="0" w:color="auto"/>
              <w:right w:val="single" w:sz="4" w:space="0" w:color="auto"/>
            </w:tcBorders>
          </w:tcPr>
          <w:p w14:paraId="3DB39A98" w14:textId="1DF7C346" w:rsidR="009251D4" w:rsidRPr="009251D4" w:rsidRDefault="009251D4" w:rsidP="009A245E">
            <w:pPr>
              <w:ind w:left="0" w:right="0"/>
              <w:jc w:val="both"/>
            </w:pPr>
            <w:r w:rsidRPr="009251D4">
              <w:t>Country/Region</w:t>
            </w:r>
          </w:p>
        </w:tc>
        <w:tc>
          <w:tcPr>
            <w:tcW w:w="1560" w:type="dxa"/>
            <w:tcBorders>
              <w:top w:val="single" w:sz="4" w:space="0" w:color="auto"/>
              <w:left w:val="single" w:sz="4" w:space="0" w:color="auto"/>
              <w:bottom w:val="single" w:sz="4" w:space="0" w:color="auto"/>
              <w:right w:val="single" w:sz="4" w:space="0" w:color="auto"/>
            </w:tcBorders>
          </w:tcPr>
          <w:p w14:paraId="2BADD922" w14:textId="77777777" w:rsidR="009251D4" w:rsidRDefault="009251D4" w:rsidP="009A245E">
            <w:pPr>
              <w:spacing w:before="0" w:after="200" w:line="0" w:lineRule="auto"/>
              <w:jc w:val="both"/>
            </w:pPr>
          </w:p>
          <w:p w14:paraId="132AB12C" w14:textId="399AB1A2" w:rsidR="009251D4" w:rsidRPr="008069CA" w:rsidRDefault="009251D4" w:rsidP="009A245E">
            <w:pPr>
              <w:ind w:left="0"/>
              <w:jc w:val="both"/>
            </w:pPr>
            <w:r w:rsidRPr="00E44575">
              <w:t>Trade Name</w:t>
            </w:r>
          </w:p>
        </w:tc>
        <w:tc>
          <w:tcPr>
            <w:tcW w:w="1842" w:type="dxa"/>
            <w:tcBorders>
              <w:top w:val="single" w:sz="4" w:space="0" w:color="auto"/>
              <w:left w:val="single" w:sz="4" w:space="0" w:color="auto"/>
              <w:bottom w:val="single" w:sz="4" w:space="0" w:color="auto"/>
              <w:right w:val="single" w:sz="4" w:space="0" w:color="auto"/>
            </w:tcBorders>
          </w:tcPr>
          <w:p w14:paraId="6FF4B539" w14:textId="0B941B2C" w:rsidR="009251D4" w:rsidRPr="00B23300" w:rsidRDefault="009251D4" w:rsidP="009A245E">
            <w:pPr>
              <w:jc w:val="both"/>
            </w:pPr>
            <w:r w:rsidRPr="00B23300">
              <w:t>Submission date</w:t>
            </w:r>
          </w:p>
        </w:tc>
        <w:tc>
          <w:tcPr>
            <w:tcW w:w="1985" w:type="dxa"/>
            <w:tcBorders>
              <w:top w:val="single" w:sz="4" w:space="0" w:color="auto"/>
              <w:left w:val="single" w:sz="4" w:space="0" w:color="auto"/>
              <w:bottom w:val="single" w:sz="4" w:space="0" w:color="auto"/>
              <w:right w:val="single" w:sz="4" w:space="0" w:color="auto"/>
            </w:tcBorders>
          </w:tcPr>
          <w:p w14:paraId="2FB98DD9" w14:textId="4FB1B835" w:rsidR="009251D4" w:rsidRPr="00B23300" w:rsidRDefault="009251D4" w:rsidP="009A245E">
            <w:pPr>
              <w:ind w:left="0" w:right="0"/>
              <w:jc w:val="both"/>
            </w:pPr>
            <w:r w:rsidRPr="00B23300">
              <w:t>Status</w:t>
            </w:r>
          </w:p>
        </w:tc>
        <w:tc>
          <w:tcPr>
            <w:tcW w:w="2268" w:type="dxa"/>
            <w:tcBorders>
              <w:top w:val="single" w:sz="4" w:space="0" w:color="auto"/>
              <w:left w:val="single" w:sz="4" w:space="0" w:color="auto"/>
              <w:bottom w:val="single" w:sz="4" w:space="0" w:color="auto"/>
              <w:right w:val="single" w:sz="4" w:space="0" w:color="auto"/>
            </w:tcBorders>
          </w:tcPr>
          <w:p w14:paraId="7C839904" w14:textId="77777777" w:rsidR="009251D4" w:rsidRPr="00B23300" w:rsidRDefault="009251D4" w:rsidP="009A245E">
            <w:pPr>
              <w:ind w:left="0" w:right="0"/>
              <w:jc w:val="both"/>
            </w:pPr>
            <w:r w:rsidRPr="00B23300">
              <w:t>Approved indications</w:t>
            </w:r>
          </w:p>
        </w:tc>
      </w:tr>
      <w:tr w:rsidR="00084C39" w:rsidRPr="00B23300" w14:paraId="43BA1AD3" w14:textId="77777777" w:rsidTr="00CE6B4D">
        <w:trPr>
          <w:trHeight w:val="1420"/>
        </w:trPr>
        <w:tc>
          <w:tcPr>
            <w:tcW w:w="1129" w:type="dxa"/>
            <w:tcBorders>
              <w:top w:val="single" w:sz="4" w:space="0" w:color="auto"/>
            </w:tcBorders>
          </w:tcPr>
          <w:p w14:paraId="066810F5" w14:textId="77777777" w:rsidR="009251D4" w:rsidRPr="00B23300" w:rsidRDefault="009251D4" w:rsidP="009A245E">
            <w:pPr>
              <w:ind w:left="0"/>
            </w:pPr>
            <w:r w:rsidRPr="00B23300">
              <w:t>Japan</w:t>
            </w:r>
          </w:p>
        </w:tc>
        <w:tc>
          <w:tcPr>
            <w:tcW w:w="1560" w:type="dxa"/>
            <w:tcBorders>
              <w:top w:val="single" w:sz="4" w:space="0" w:color="auto"/>
              <w:left w:val="single" w:sz="4" w:space="0" w:color="auto"/>
            </w:tcBorders>
          </w:tcPr>
          <w:p w14:paraId="1B60E574" w14:textId="1814B89E" w:rsidR="009251D4" w:rsidRPr="00B23300" w:rsidRDefault="00233370" w:rsidP="009251D4">
            <w:pPr>
              <w:ind w:left="0"/>
            </w:pPr>
            <w:proofErr w:type="spellStart"/>
            <w:r>
              <w:t>Etanercept</w:t>
            </w:r>
            <w:proofErr w:type="spellEnd"/>
          </w:p>
        </w:tc>
        <w:tc>
          <w:tcPr>
            <w:tcW w:w="1842" w:type="dxa"/>
            <w:tcBorders>
              <w:top w:val="single" w:sz="4" w:space="0" w:color="auto"/>
            </w:tcBorders>
          </w:tcPr>
          <w:p w14:paraId="3EC96C42" w14:textId="4BE30C99" w:rsidR="009251D4" w:rsidRPr="009A245E" w:rsidDel="004A7E76" w:rsidRDefault="009251D4" w:rsidP="009A245E">
            <w:pPr>
              <w:ind w:left="0"/>
            </w:pPr>
            <w:r w:rsidRPr="009A245E">
              <w:t>30 March 2018</w:t>
            </w:r>
          </w:p>
        </w:tc>
        <w:tc>
          <w:tcPr>
            <w:tcW w:w="1985" w:type="dxa"/>
            <w:tcBorders>
              <w:top w:val="single" w:sz="4" w:space="0" w:color="auto"/>
            </w:tcBorders>
          </w:tcPr>
          <w:p w14:paraId="1C987AC4" w14:textId="5D8B5D9E" w:rsidR="009251D4" w:rsidRPr="009A245E" w:rsidRDefault="009251D4" w:rsidP="009A245E">
            <w:pPr>
              <w:ind w:left="0"/>
            </w:pPr>
            <w:r w:rsidRPr="009A245E">
              <w:t xml:space="preserve">Approved </w:t>
            </w:r>
            <w:r w:rsidR="00233370" w:rsidRPr="009A245E">
              <w:t xml:space="preserve">26 </w:t>
            </w:r>
            <w:r w:rsidRPr="009A245E">
              <w:t>Mar</w:t>
            </w:r>
            <w:r w:rsidR="00233370" w:rsidRPr="009A245E">
              <w:t>ch</w:t>
            </w:r>
            <w:r w:rsidRPr="009A245E">
              <w:t xml:space="preserve"> 2019</w:t>
            </w:r>
          </w:p>
        </w:tc>
        <w:tc>
          <w:tcPr>
            <w:tcW w:w="2268" w:type="dxa"/>
            <w:tcBorders>
              <w:top w:val="single" w:sz="4" w:space="0" w:color="auto"/>
            </w:tcBorders>
          </w:tcPr>
          <w:p w14:paraId="48CA0744" w14:textId="6C83AF14" w:rsidR="00A60BD0" w:rsidRDefault="00233370" w:rsidP="009A245E">
            <w:pPr>
              <w:ind w:left="0"/>
              <w:rPr>
                <w:i/>
              </w:rPr>
            </w:pPr>
            <w:r w:rsidRPr="00401F04">
              <w:rPr>
                <w:i/>
              </w:rPr>
              <w:t>Rheumatoid arthritis (including prevention of structural damage of joints) insufficiently effective in existing treatments</w:t>
            </w:r>
            <w:r w:rsidR="00A60BD0">
              <w:rPr>
                <w:i/>
              </w:rPr>
              <w:t>.</w:t>
            </w:r>
          </w:p>
          <w:p w14:paraId="20AA638F" w14:textId="7698D763" w:rsidR="0071509A" w:rsidRPr="00401F04" w:rsidRDefault="00A60BD0" w:rsidP="009A245E">
            <w:pPr>
              <w:ind w:left="0"/>
              <w:rPr>
                <w:i/>
              </w:rPr>
            </w:pPr>
            <w:r>
              <w:rPr>
                <w:i/>
              </w:rPr>
              <w:t>J</w:t>
            </w:r>
            <w:r w:rsidR="00233370" w:rsidRPr="00401F04">
              <w:rPr>
                <w:i/>
              </w:rPr>
              <w:t>uvenile idiopathic arthritis with multi-joint activity with insufficient effect in existing treatment</w:t>
            </w:r>
            <w:r w:rsidR="00E34E07">
              <w:rPr>
                <w:i/>
              </w:rPr>
              <w:t>.</w:t>
            </w:r>
          </w:p>
        </w:tc>
      </w:tr>
      <w:tr w:rsidR="00084C39" w:rsidRPr="00B23300" w14:paraId="0E72FAED" w14:textId="77777777" w:rsidTr="00084C39">
        <w:trPr>
          <w:trHeight w:val="1774"/>
        </w:trPr>
        <w:tc>
          <w:tcPr>
            <w:tcW w:w="1129" w:type="dxa"/>
          </w:tcPr>
          <w:p w14:paraId="55A3DB21" w14:textId="07084043" w:rsidR="009251D4" w:rsidRPr="00B23300" w:rsidRDefault="009251D4" w:rsidP="009A245E">
            <w:pPr>
              <w:ind w:left="0"/>
            </w:pPr>
            <w:r w:rsidRPr="00B23300">
              <w:t>EU</w:t>
            </w:r>
          </w:p>
        </w:tc>
        <w:tc>
          <w:tcPr>
            <w:tcW w:w="1560" w:type="dxa"/>
            <w:tcBorders>
              <w:left w:val="single" w:sz="4" w:space="0" w:color="auto"/>
            </w:tcBorders>
          </w:tcPr>
          <w:p w14:paraId="4D3A0B6F" w14:textId="43995946" w:rsidR="009251D4" w:rsidRPr="00B23300" w:rsidRDefault="009251D4" w:rsidP="009A245E">
            <w:pPr>
              <w:ind w:left="0"/>
            </w:pPr>
            <w:proofErr w:type="spellStart"/>
            <w:r>
              <w:t>Nepexto</w:t>
            </w:r>
            <w:proofErr w:type="spellEnd"/>
          </w:p>
        </w:tc>
        <w:tc>
          <w:tcPr>
            <w:tcW w:w="1842" w:type="dxa"/>
          </w:tcPr>
          <w:p w14:paraId="67B7B496" w14:textId="60672A76" w:rsidR="009251D4" w:rsidRPr="00B23300" w:rsidDel="004A7E76" w:rsidRDefault="009251D4" w:rsidP="009A245E">
            <w:pPr>
              <w:ind w:left="0"/>
            </w:pPr>
            <w:r w:rsidRPr="009A245E">
              <w:t>30 April 2018</w:t>
            </w:r>
          </w:p>
        </w:tc>
        <w:tc>
          <w:tcPr>
            <w:tcW w:w="1985" w:type="dxa"/>
          </w:tcPr>
          <w:p w14:paraId="3345E438" w14:textId="1F255BC3" w:rsidR="009251D4" w:rsidRPr="00B23300" w:rsidRDefault="00233370" w:rsidP="009A245E">
            <w:pPr>
              <w:ind w:left="0"/>
            </w:pPr>
            <w:r>
              <w:t>Under consideration</w:t>
            </w:r>
          </w:p>
        </w:tc>
        <w:tc>
          <w:tcPr>
            <w:tcW w:w="2268" w:type="dxa"/>
          </w:tcPr>
          <w:p w14:paraId="1B51067F" w14:textId="276E53E6" w:rsidR="0015327F" w:rsidRPr="00E34E07" w:rsidRDefault="00322AA1" w:rsidP="00171ED4">
            <w:pPr>
              <w:ind w:left="0"/>
            </w:pPr>
            <w:r>
              <w:t>U</w:t>
            </w:r>
            <w:r w:rsidR="00E34E07" w:rsidRPr="00E34E07">
              <w:t>nder consideration</w:t>
            </w:r>
          </w:p>
        </w:tc>
      </w:tr>
      <w:tr w:rsidR="00084C39" w:rsidRPr="00B23300" w14:paraId="3240A8A2" w14:textId="77777777" w:rsidTr="00084C39">
        <w:trPr>
          <w:trHeight w:val="1524"/>
        </w:trPr>
        <w:tc>
          <w:tcPr>
            <w:tcW w:w="1129" w:type="dxa"/>
          </w:tcPr>
          <w:p w14:paraId="4E21C759" w14:textId="7E844C89" w:rsidR="0064588D" w:rsidRPr="00B23300" w:rsidRDefault="0064588D" w:rsidP="009A245E">
            <w:pPr>
              <w:ind w:left="0"/>
            </w:pPr>
            <w:r w:rsidRPr="0064588D">
              <w:t>India</w:t>
            </w:r>
          </w:p>
        </w:tc>
        <w:tc>
          <w:tcPr>
            <w:tcW w:w="1560" w:type="dxa"/>
            <w:tcBorders>
              <w:left w:val="single" w:sz="4" w:space="0" w:color="auto"/>
            </w:tcBorders>
          </w:tcPr>
          <w:p w14:paraId="27861770" w14:textId="77777777" w:rsidR="00084C39" w:rsidRDefault="0064588D" w:rsidP="009A245E">
            <w:pPr>
              <w:ind w:left="0"/>
            </w:pPr>
            <w:proofErr w:type="spellStart"/>
            <w:r w:rsidRPr="0064588D">
              <w:t>Rymti</w:t>
            </w:r>
            <w:proofErr w:type="spellEnd"/>
            <w:r w:rsidRPr="0064588D">
              <w:t>/</w:t>
            </w:r>
          </w:p>
          <w:p w14:paraId="4F28C762" w14:textId="77777777" w:rsidR="00084C39" w:rsidRDefault="0064588D" w:rsidP="009A245E">
            <w:pPr>
              <w:ind w:left="0"/>
            </w:pPr>
            <w:proofErr w:type="spellStart"/>
            <w:r w:rsidRPr="0064588D">
              <w:t>Nepexto</w:t>
            </w:r>
            <w:proofErr w:type="spellEnd"/>
            <w:r w:rsidRPr="0064588D">
              <w:t>/</w:t>
            </w:r>
          </w:p>
          <w:p w14:paraId="00E97063" w14:textId="34522A2D" w:rsidR="0064588D" w:rsidRDefault="0064588D" w:rsidP="009A245E">
            <w:pPr>
              <w:ind w:left="0"/>
            </w:pPr>
            <w:proofErr w:type="spellStart"/>
            <w:r w:rsidRPr="0064588D">
              <w:t>Etera</w:t>
            </w:r>
            <w:proofErr w:type="spellEnd"/>
          </w:p>
        </w:tc>
        <w:tc>
          <w:tcPr>
            <w:tcW w:w="1842" w:type="dxa"/>
          </w:tcPr>
          <w:p w14:paraId="16892B48" w14:textId="3471B7CF" w:rsidR="0064588D" w:rsidRPr="00B23300" w:rsidRDefault="0064588D" w:rsidP="009A245E">
            <w:pPr>
              <w:ind w:left="0"/>
            </w:pPr>
            <w:r w:rsidRPr="0064588D">
              <w:t>August 2018</w:t>
            </w:r>
          </w:p>
        </w:tc>
        <w:tc>
          <w:tcPr>
            <w:tcW w:w="1985" w:type="dxa"/>
          </w:tcPr>
          <w:p w14:paraId="274E2E2B" w14:textId="25FBF154" w:rsidR="0064588D" w:rsidRDefault="0064588D" w:rsidP="009A245E">
            <w:pPr>
              <w:ind w:left="0"/>
            </w:pPr>
            <w:r w:rsidRPr="0064588D">
              <w:t>Approved March 2019</w:t>
            </w:r>
          </w:p>
        </w:tc>
        <w:tc>
          <w:tcPr>
            <w:tcW w:w="2268" w:type="dxa"/>
          </w:tcPr>
          <w:p w14:paraId="7D4DF1C2" w14:textId="6A2319A6" w:rsidR="0064588D" w:rsidRPr="00401F04" w:rsidRDefault="0064588D" w:rsidP="009A245E">
            <w:pPr>
              <w:ind w:left="0"/>
              <w:rPr>
                <w:i/>
              </w:rPr>
            </w:pPr>
            <w:r w:rsidRPr="00401F04">
              <w:rPr>
                <w:i/>
              </w:rPr>
              <w:t>Rheumatoid arthritis</w:t>
            </w:r>
            <w:r w:rsidR="00A60BD0">
              <w:rPr>
                <w:i/>
              </w:rPr>
              <w:t xml:space="preserve"> (RA)</w:t>
            </w:r>
            <w:r w:rsidRPr="00401F04">
              <w:rPr>
                <w:i/>
              </w:rPr>
              <w:t>, psoriatic arthritis</w:t>
            </w:r>
            <w:r w:rsidR="00A60BD0">
              <w:rPr>
                <w:i/>
              </w:rPr>
              <w:t xml:space="preserve"> (</w:t>
            </w:r>
            <w:proofErr w:type="spellStart"/>
            <w:r w:rsidR="00A60BD0">
              <w:rPr>
                <w:i/>
              </w:rPr>
              <w:t>PsA</w:t>
            </w:r>
            <w:proofErr w:type="spellEnd"/>
            <w:r w:rsidR="00A60BD0">
              <w:rPr>
                <w:i/>
              </w:rPr>
              <w:t>)</w:t>
            </w:r>
            <w:r w:rsidRPr="00401F04">
              <w:rPr>
                <w:i/>
              </w:rPr>
              <w:t>, ankylosing spondylitis</w:t>
            </w:r>
            <w:r w:rsidR="00A60BD0">
              <w:rPr>
                <w:i/>
              </w:rPr>
              <w:t xml:space="preserve"> (AS)</w:t>
            </w:r>
            <w:r w:rsidRPr="00401F04">
              <w:rPr>
                <w:i/>
              </w:rPr>
              <w:t xml:space="preserve">, </w:t>
            </w:r>
            <w:proofErr w:type="spellStart"/>
            <w:r w:rsidRPr="00401F04">
              <w:rPr>
                <w:i/>
              </w:rPr>
              <w:t>nonradiographic</w:t>
            </w:r>
            <w:proofErr w:type="spellEnd"/>
            <w:r w:rsidRPr="00401F04">
              <w:rPr>
                <w:i/>
              </w:rPr>
              <w:t xml:space="preserve"> axial </w:t>
            </w:r>
            <w:proofErr w:type="spellStart"/>
            <w:r w:rsidRPr="00401F04">
              <w:rPr>
                <w:i/>
              </w:rPr>
              <w:t>spondyloarthritis</w:t>
            </w:r>
            <w:proofErr w:type="spellEnd"/>
            <w:r w:rsidR="00E34E07">
              <w:rPr>
                <w:i/>
              </w:rPr>
              <w:t xml:space="preserve"> (</w:t>
            </w:r>
            <w:proofErr w:type="spellStart"/>
            <w:r w:rsidR="00E34E07">
              <w:rPr>
                <w:i/>
              </w:rPr>
              <w:t>nr-AxSpA</w:t>
            </w:r>
            <w:proofErr w:type="spellEnd"/>
            <w:r w:rsidR="00E34E07">
              <w:rPr>
                <w:i/>
              </w:rPr>
              <w:t>)</w:t>
            </w:r>
            <w:r w:rsidRPr="00401F04">
              <w:rPr>
                <w:i/>
              </w:rPr>
              <w:t xml:space="preserve">, plaque psoriasis, </w:t>
            </w:r>
            <w:proofErr w:type="spellStart"/>
            <w:r w:rsidRPr="00401F04">
              <w:rPr>
                <w:i/>
              </w:rPr>
              <w:t>pediatric</w:t>
            </w:r>
            <w:proofErr w:type="spellEnd"/>
            <w:r w:rsidRPr="00401F04">
              <w:rPr>
                <w:i/>
              </w:rPr>
              <w:t xml:space="preserve"> plaque psoriasis and juvenile idiopathic arthritis</w:t>
            </w:r>
            <w:r w:rsidR="00A60BD0">
              <w:rPr>
                <w:i/>
              </w:rPr>
              <w:t xml:space="preserve"> (JIA)</w:t>
            </w:r>
          </w:p>
        </w:tc>
      </w:tr>
    </w:tbl>
    <w:p w14:paraId="368D3AEE" w14:textId="26485D10" w:rsidR="00A42128" w:rsidRDefault="00A42128">
      <w:pPr>
        <w:spacing w:before="0" w:after="200" w:line="0" w:lineRule="auto"/>
        <w:rPr>
          <w:color w:val="000000" w:themeColor="text1"/>
          <w:szCs w:val="21"/>
          <w:lang w:eastAsia="en-AU"/>
        </w:rPr>
      </w:pPr>
    </w:p>
    <w:p w14:paraId="6C10FFD5" w14:textId="5C8AACDF" w:rsidR="008E7846" w:rsidRPr="00B23300" w:rsidRDefault="008E7846" w:rsidP="00940A89">
      <w:pPr>
        <w:pStyle w:val="Heading3"/>
      </w:pPr>
      <w:bookmarkStart w:id="22" w:name="_Toc66284487"/>
      <w:r w:rsidRPr="00B23300">
        <w:t>Product Information</w:t>
      </w:r>
      <w:bookmarkEnd w:id="20"/>
      <w:bookmarkEnd w:id="21"/>
      <w:bookmarkEnd w:id="22"/>
    </w:p>
    <w:p w14:paraId="63336EE2" w14:textId="77777777" w:rsidR="00940A89" w:rsidRPr="00B23300" w:rsidRDefault="006136D7" w:rsidP="00940A89">
      <w:bookmarkStart w:id="23" w:name="_Toc247691506"/>
      <w:bookmarkStart w:id="24" w:name="_Toc314842487"/>
      <w:r w:rsidRPr="00B23300">
        <w:t xml:space="preserve">The </w:t>
      </w:r>
      <w:r w:rsidRPr="005E6B60">
        <w:t>Product Information (PI)</w:t>
      </w:r>
      <w:r w:rsidRPr="00B23300">
        <w:t xml:space="preserve"> approved with the </w:t>
      </w:r>
      <w:proofErr w:type="gramStart"/>
      <w:r w:rsidRPr="00B23300">
        <w:t xml:space="preserve">submission which is described in this </w:t>
      </w:r>
      <w:proofErr w:type="spellStart"/>
      <w:r w:rsidRPr="00B23300">
        <w:t>AusPAR</w:t>
      </w:r>
      <w:proofErr w:type="spellEnd"/>
      <w:proofErr w:type="gramEnd"/>
      <w:r w:rsidRPr="00B23300">
        <w:t xml:space="preserve"> can be found as Attachment 1. For the most recent PI, please refer to the TGA website at </w:t>
      </w:r>
      <w:r w:rsidR="00441C3F" w:rsidRPr="00B23300">
        <w:t>&lt;</w:t>
      </w:r>
      <w:hyperlink r:id="rId13" w:history="1">
        <w:r w:rsidR="00441C3F" w:rsidRPr="00B23300">
          <w:rPr>
            <w:rStyle w:val="Hyperlink"/>
          </w:rPr>
          <w:t>https://www.tga.gov.au/product-information-pi</w:t>
        </w:r>
      </w:hyperlink>
      <w:r w:rsidR="00441C3F" w:rsidRPr="00B23300">
        <w:t>&gt;</w:t>
      </w:r>
      <w:r w:rsidR="00940A89" w:rsidRPr="00B23300">
        <w:t>.</w:t>
      </w:r>
    </w:p>
    <w:p w14:paraId="4731D281" w14:textId="77777777" w:rsidR="00500337" w:rsidRPr="00B23300" w:rsidRDefault="00500337" w:rsidP="00500337">
      <w:pPr>
        <w:pStyle w:val="Heading2"/>
      </w:pPr>
      <w:bookmarkStart w:id="25" w:name="_Toc504480011"/>
      <w:bookmarkStart w:id="26" w:name="_Toc66284488"/>
      <w:r w:rsidRPr="00B23300">
        <w:t>II. Registration timeline</w:t>
      </w:r>
      <w:bookmarkEnd w:id="25"/>
      <w:bookmarkEnd w:id="26"/>
    </w:p>
    <w:p w14:paraId="5D65891C" w14:textId="77777777" w:rsidR="00500337" w:rsidRPr="00B23300" w:rsidRDefault="00500337" w:rsidP="00D47A3D">
      <w:r w:rsidRPr="00B23300">
        <w:t xml:space="preserve">The following table captures the key steps and dates for this application and which </w:t>
      </w:r>
      <w:proofErr w:type="gramStart"/>
      <w:r w:rsidRPr="00B23300">
        <w:t xml:space="preserve">are detailed and discussed in this </w:t>
      </w:r>
      <w:proofErr w:type="spellStart"/>
      <w:r w:rsidRPr="00B23300">
        <w:t>AusPAR</w:t>
      </w:r>
      <w:proofErr w:type="spellEnd"/>
      <w:proofErr w:type="gramEnd"/>
      <w:r w:rsidRPr="00B23300">
        <w:t>.</w:t>
      </w:r>
    </w:p>
    <w:p w14:paraId="1B49E6BE" w14:textId="1EA32B43" w:rsidR="006A58A8" w:rsidRPr="00B23300" w:rsidRDefault="005A4213" w:rsidP="009905D0">
      <w:pPr>
        <w:pStyle w:val="TableTitle"/>
      </w:pPr>
      <w:r w:rsidRPr="00B23300">
        <w:t xml:space="preserve">Table </w:t>
      </w:r>
      <w:fldSimple w:instr=" SEQ Table \* ARABIC ">
        <w:r w:rsidR="00C34A49">
          <w:rPr>
            <w:noProof/>
          </w:rPr>
          <w:t>2</w:t>
        </w:r>
      </w:fldSimple>
      <w:r w:rsidR="00006FAB" w:rsidRPr="00B23300">
        <w:t>:</w:t>
      </w:r>
      <w:r w:rsidR="008311E9" w:rsidRPr="00B23300">
        <w:t xml:space="preserve"> Timeline for Submission PM-2018</w:t>
      </w:r>
      <w:r w:rsidR="006A58A8" w:rsidRPr="00B23300">
        <w:t>-</w:t>
      </w:r>
      <w:r w:rsidR="008311E9" w:rsidRPr="00B23300">
        <w:t>03223-1-3</w:t>
      </w:r>
    </w:p>
    <w:tbl>
      <w:tblPr>
        <w:tblStyle w:val="TableTGAblue"/>
        <w:tblW w:w="0" w:type="auto"/>
        <w:tblLook w:val="04A0" w:firstRow="1" w:lastRow="0" w:firstColumn="1" w:lastColumn="0" w:noHBand="0" w:noVBand="1"/>
      </w:tblPr>
      <w:tblGrid>
        <w:gridCol w:w="4263"/>
        <w:gridCol w:w="4231"/>
      </w:tblGrid>
      <w:tr w:rsidR="00500337" w:rsidRPr="00B23300" w14:paraId="2FD4838A" w14:textId="77777777" w:rsidTr="00706BE6">
        <w:trPr>
          <w:cnfStyle w:val="100000000000" w:firstRow="1" w:lastRow="0" w:firstColumn="0" w:lastColumn="0" w:oddVBand="0" w:evenVBand="0" w:oddHBand="0" w:evenHBand="0" w:firstRowFirstColumn="0" w:firstRowLastColumn="0" w:lastRowFirstColumn="0" w:lastRowLastColumn="0"/>
          <w:cantSplit/>
        </w:trPr>
        <w:tc>
          <w:tcPr>
            <w:tcW w:w="4263" w:type="dxa"/>
            <w:tcBorders>
              <w:top w:val="single" w:sz="4" w:space="0" w:color="auto"/>
              <w:left w:val="single" w:sz="4" w:space="0" w:color="auto"/>
              <w:bottom w:val="single" w:sz="4" w:space="0" w:color="auto"/>
              <w:right w:val="single" w:sz="4" w:space="0" w:color="auto"/>
            </w:tcBorders>
          </w:tcPr>
          <w:p w14:paraId="7D25CC41" w14:textId="77777777" w:rsidR="00500337" w:rsidRPr="00B23300" w:rsidRDefault="00500337" w:rsidP="00500337">
            <w:pPr>
              <w:ind w:left="0" w:right="0"/>
            </w:pPr>
            <w:r w:rsidRPr="00B23300">
              <w:t>Description</w:t>
            </w:r>
          </w:p>
        </w:tc>
        <w:tc>
          <w:tcPr>
            <w:tcW w:w="4231" w:type="dxa"/>
            <w:tcBorders>
              <w:top w:val="single" w:sz="4" w:space="0" w:color="auto"/>
              <w:left w:val="single" w:sz="4" w:space="0" w:color="auto"/>
              <w:bottom w:val="single" w:sz="4" w:space="0" w:color="auto"/>
              <w:right w:val="single" w:sz="4" w:space="0" w:color="auto"/>
            </w:tcBorders>
          </w:tcPr>
          <w:p w14:paraId="2E19D386" w14:textId="7B88F2E1" w:rsidR="00500337" w:rsidRPr="00B23300" w:rsidRDefault="00500337" w:rsidP="007B0533">
            <w:pPr>
              <w:tabs>
                <w:tab w:val="left" w:pos="2740"/>
              </w:tabs>
              <w:ind w:left="0" w:right="0"/>
            </w:pPr>
            <w:r w:rsidRPr="00B23300">
              <w:t>Date</w:t>
            </w:r>
          </w:p>
        </w:tc>
      </w:tr>
      <w:tr w:rsidR="00500337" w:rsidRPr="00B23300" w14:paraId="3B37DE89" w14:textId="77777777" w:rsidTr="00706BE6">
        <w:tc>
          <w:tcPr>
            <w:tcW w:w="4263" w:type="dxa"/>
            <w:tcBorders>
              <w:top w:val="single" w:sz="4" w:space="0" w:color="auto"/>
            </w:tcBorders>
          </w:tcPr>
          <w:p w14:paraId="06C70008" w14:textId="77777777" w:rsidR="00500337" w:rsidRPr="00B23300" w:rsidRDefault="00500337" w:rsidP="00500337">
            <w:pPr>
              <w:ind w:left="0" w:right="0"/>
            </w:pPr>
            <w:r w:rsidRPr="00B23300">
              <w:t>Submission dossier accepted and first round evaluation commenced</w:t>
            </w:r>
          </w:p>
        </w:tc>
        <w:tc>
          <w:tcPr>
            <w:tcW w:w="4231" w:type="dxa"/>
            <w:tcBorders>
              <w:top w:val="single" w:sz="4" w:space="0" w:color="auto"/>
            </w:tcBorders>
          </w:tcPr>
          <w:p w14:paraId="1B58DD8B" w14:textId="77777777" w:rsidR="00500337" w:rsidRPr="00B23300" w:rsidRDefault="00706BE6" w:rsidP="00D47A3D">
            <w:r w:rsidRPr="00B23300">
              <w:t>31 October 2018</w:t>
            </w:r>
          </w:p>
        </w:tc>
      </w:tr>
      <w:tr w:rsidR="00500337" w:rsidRPr="00B23300" w14:paraId="57B68D2A" w14:textId="77777777" w:rsidTr="00706BE6">
        <w:tc>
          <w:tcPr>
            <w:tcW w:w="4263" w:type="dxa"/>
          </w:tcPr>
          <w:p w14:paraId="6960FAB8" w14:textId="77777777" w:rsidR="00500337" w:rsidRPr="00B23300" w:rsidRDefault="00500337" w:rsidP="00500337">
            <w:pPr>
              <w:ind w:left="0" w:right="0"/>
            </w:pPr>
            <w:r w:rsidRPr="00B23300">
              <w:t>First round evaluation completed</w:t>
            </w:r>
          </w:p>
        </w:tc>
        <w:tc>
          <w:tcPr>
            <w:tcW w:w="4231" w:type="dxa"/>
          </w:tcPr>
          <w:p w14:paraId="487F5396" w14:textId="77777777" w:rsidR="00500337" w:rsidRPr="00B23300" w:rsidRDefault="00706BE6" w:rsidP="00D47A3D">
            <w:r w:rsidRPr="00B23300">
              <w:t>18 April 2019</w:t>
            </w:r>
          </w:p>
        </w:tc>
      </w:tr>
      <w:tr w:rsidR="00500337" w:rsidRPr="00B23300" w14:paraId="51199C85" w14:textId="77777777" w:rsidTr="00706BE6">
        <w:tc>
          <w:tcPr>
            <w:tcW w:w="4263" w:type="dxa"/>
          </w:tcPr>
          <w:p w14:paraId="11525EC6" w14:textId="77777777" w:rsidR="00500337" w:rsidRPr="00B23300" w:rsidRDefault="00500337" w:rsidP="00500337">
            <w:pPr>
              <w:ind w:left="0" w:right="0"/>
            </w:pPr>
            <w:r w:rsidRPr="00B23300">
              <w:t>Sponsor provides responses on questions raised in first round evaluation</w:t>
            </w:r>
          </w:p>
        </w:tc>
        <w:tc>
          <w:tcPr>
            <w:tcW w:w="4231" w:type="dxa"/>
          </w:tcPr>
          <w:p w14:paraId="200A9598" w14:textId="77777777" w:rsidR="00500337" w:rsidRPr="00B23300" w:rsidRDefault="00706BE6" w:rsidP="00D47A3D">
            <w:r w:rsidRPr="00B23300">
              <w:t>18 June 2019</w:t>
            </w:r>
          </w:p>
        </w:tc>
      </w:tr>
      <w:tr w:rsidR="00500337" w:rsidRPr="00B23300" w14:paraId="3D4DC84F" w14:textId="77777777" w:rsidTr="00706BE6">
        <w:tc>
          <w:tcPr>
            <w:tcW w:w="4263" w:type="dxa"/>
          </w:tcPr>
          <w:p w14:paraId="5E966BE9" w14:textId="77777777" w:rsidR="00500337" w:rsidRPr="00B23300" w:rsidRDefault="00500337" w:rsidP="00500337">
            <w:pPr>
              <w:ind w:left="0" w:right="0"/>
            </w:pPr>
            <w:r w:rsidRPr="00B23300">
              <w:t>Second round evaluation completed</w:t>
            </w:r>
          </w:p>
        </w:tc>
        <w:tc>
          <w:tcPr>
            <w:tcW w:w="4231" w:type="dxa"/>
          </w:tcPr>
          <w:p w14:paraId="4BB6C26E" w14:textId="77777777" w:rsidR="00500337" w:rsidRPr="00B23300" w:rsidRDefault="00706BE6" w:rsidP="00D47A3D">
            <w:r w:rsidRPr="00B23300">
              <w:t>9 August 2019</w:t>
            </w:r>
          </w:p>
        </w:tc>
      </w:tr>
      <w:tr w:rsidR="00500337" w:rsidRPr="00B23300" w14:paraId="6B321E66" w14:textId="77777777" w:rsidTr="00706BE6">
        <w:tc>
          <w:tcPr>
            <w:tcW w:w="4263" w:type="dxa"/>
          </w:tcPr>
          <w:p w14:paraId="6C0A4A13" w14:textId="77777777" w:rsidR="00500337" w:rsidRPr="00B23300" w:rsidRDefault="00500337" w:rsidP="00500337">
            <w:pPr>
              <w:ind w:left="0" w:right="0"/>
            </w:pPr>
            <w:r w:rsidRPr="00B23300">
              <w:t>Delegate’s Overall benefit-risk assessment and request for Advisory Committee advice</w:t>
            </w:r>
          </w:p>
        </w:tc>
        <w:tc>
          <w:tcPr>
            <w:tcW w:w="4231" w:type="dxa"/>
          </w:tcPr>
          <w:p w14:paraId="61C8B0C3" w14:textId="77777777" w:rsidR="00500337" w:rsidRPr="00B23300" w:rsidRDefault="00706BE6" w:rsidP="00D47A3D">
            <w:r w:rsidRPr="00B23300">
              <w:t>5 November 2019</w:t>
            </w:r>
          </w:p>
        </w:tc>
      </w:tr>
      <w:tr w:rsidR="00500337" w:rsidRPr="00B23300" w14:paraId="21F52419" w14:textId="77777777" w:rsidTr="00706BE6">
        <w:tc>
          <w:tcPr>
            <w:tcW w:w="4263" w:type="dxa"/>
          </w:tcPr>
          <w:p w14:paraId="7CC52F07" w14:textId="77777777" w:rsidR="00500337" w:rsidRPr="00B23300" w:rsidRDefault="00500337" w:rsidP="00500337">
            <w:pPr>
              <w:ind w:left="0" w:right="0"/>
            </w:pPr>
            <w:r w:rsidRPr="00B23300">
              <w:t>Sponsor’s pre-Advisory Committee response</w:t>
            </w:r>
          </w:p>
        </w:tc>
        <w:tc>
          <w:tcPr>
            <w:tcW w:w="4231" w:type="dxa"/>
          </w:tcPr>
          <w:p w14:paraId="33AA290A" w14:textId="77777777" w:rsidR="00500337" w:rsidRPr="00B23300" w:rsidRDefault="00706BE6" w:rsidP="00D47A3D">
            <w:r w:rsidRPr="00B23300">
              <w:t>18 November 2019</w:t>
            </w:r>
          </w:p>
        </w:tc>
      </w:tr>
      <w:tr w:rsidR="00500337" w:rsidRPr="00B23300" w14:paraId="3992B497" w14:textId="77777777" w:rsidTr="00706BE6">
        <w:tc>
          <w:tcPr>
            <w:tcW w:w="4263" w:type="dxa"/>
          </w:tcPr>
          <w:p w14:paraId="5476A727" w14:textId="77777777" w:rsidR="00500337" w:rsidRPr="00B23300" w:rsidRDefault="00500337" w:rsidP="00500337">
            <w:pPr>
              <w:ind w:left="0" w:right="0"/>
            </w:pPr>
            <w:r w:rsidRPr="00B23300">
              <w:t>Advisory Committee meeting</w:t>
            </w:r>
          </w:p>
        </w:tc>
        <w:tc>
          <w:tcPr>
            <w:tcW w:w="4231" w:type="dxa"/>
          </w:tcPr>
          <w:p w14:paraId="66F7555D" w14:textId="77777777" w:rsidR="00500337" w:rsidRPr="00B23300" w:rsidRDefault="00706BE6" w:rsidP="00D47A3D">
            <w:r w:rsidRPr="00B23300">
              <w:t>6 December 2019</w:t>
            </w:r>
          </w:p>
        </w:tc>
      </w:tr>
      <w:tr w:rsidR="00500337" w:rsidRPr="00B23300" w14:paraId="63DD3BB1" w14:textId="77777777" w:rsidTr="00706BE6">
        <w:tc>
          <w:tcPr>
            <w:tcW w:w="4263" w:type="dxa"/>
          </w:tcPr>
          <w:p w14:paraId="4C26DC99" w14:textId="77777777" w:rsidR="00500337" w:rsidRPr="00B23300" w:rsidRDefault="00500337" w:rsidP="00500337">
            <w:pPr>
              <w:ind w:left="0" w:right="0"/>
            </w:pPr>
            <w:r w:rsidRPr="00B23300">
              <w:t>Registration decision (Outcome)</w:t>
            </w:r>
          </w:p>
        </w:tc>
        <w:tc>
          <w:tcPr>
            <w:tcW w:w="4231" w:type="dxa"/>
          </w:tcPr>
          <w:p w14:paraId="09E9A7F6" w14:textId="77777777" w:rsidR="00500337" w:rsidRPr="00B23300" w:rsidRDefault="00A030A5" w:rsidP="00D47A3D">
            <w:r w:rsidRPr="00B23300">
              <w:t>29 January 2020</w:t>
            </w:r>
          </w:p>
        </w:tc>
      </w:tr>
      <w:tr w:rsidR="00500337" w:rsidRPr="00B23300" w14:paraId="0CAF866B" w14:textId="77777777" w:rsidTr="00706BE6">
        <w:tc>
          <w:tcPr>
            <w:tcW w:w="4263" w:type="dxa"/>
          </w:tcPr>
          <w:p w14:paraId="3947DF66" w14:textId="77777777" w:rsidR="00500337" w:rsidRPr="00B23300" w:rsidRDefault="00500337" w:rsidP="00500337">
            <w:pPr>
              <w:ind w:left="0" w:right="0"/>
            </w:pPr>
            <w:r w:rsidRPr="00B23300">
              <w:t xml:space="preserve">Completion of administrative activities and registration on </w:t>
            </w:r>
            <w:r w:rsidR="00006FAB" w:rsidRPr="00B23300">
              <w:t xml:space="preserve">the </w:t>
            </w:r>
            <w:r w:rsidRPr="00B23300">
              <w:t>ARTG</w:t>
            </w:r>
          </w:p>
        </w:tc>
        <w:tc>
          <w:tcPr>
            <w:tcW w:w="4231" w:type="dxa"/>
          </w:tcPr>
          <w:p w14:paraId="15522DB0" w14:textId="77777777" w:rsidR="00500337" w:rsidRPr="00B23300" w:rsidRDefault="00A030A5" w:rsidP="00D47A3D">
            <w:r w:rsidRPr="00B23300">
              <w:t>1 October 2020</w:t>
            </w:r>
          </w:p>
        </w:tc>
      </w:tr>
      <w:tr w:rsidR="00500337" w:rsidRPr="00B23300" w14:paraId="6E1BE007" w14:textId="77777777" w:rsidTr="00706BE6">
        <w:tc>
          <w:tcPr>
            <w:tcW w:w="4263" w:type="dxa"/>
          </w:tcPr>
          <w:p w14:paraId="44C4634E" w14:textId="77777777" w:rsidR="00500337" w:rsidRPr="00B23300" w:rsidRDefault="00500337" w:rsidP="00500337">
            <w:pPr>
              <w:ind w:left="0" w:right="0"/>
            </w:pPr>
            <w:r w:rsidRPr="00B23300">
              <w:t>Number of working days from submission dossier acceptance to registration decision*</w:t>
            </w:r>
          </w:p>
        </w:tc>
        <w:tc>
          <w:tcPr>
            <w:tcW w:w="4231" w:type="dxa"/>
          </w:tcPr>
          <w:p w14:paraId="3D227629" w14:textId="77777777" w:rsidR="00500337" w:rsidRPr="00B23300" w:rsidRDefault="00706BE6" w:rsidP="00D47A3D">
            <w:r w:rsidRPr="00B23300">
              <w:t>226</w:t>
            </w:r>
          </w:p>
        </w:tc>
      </w:tr>
    </w:tbl>
    <w:p w14:paraId="3E6E6447" w14:textId="77777777" w:rsidR="00500337" w:rsidRPr="00B23300" w:rsidRDefault="00500337" w:rsidP="005E0A0B">
      <w:pPr>
        <w:pStyle w:val="TableDescription"/>
      </w:pPr>
      <w:r w:rsidRPr="00B23300">
        <w:t>*</w:t>
      </w:r>
      <w:r w:rsidR="00BF3774" w:rsidRPr="00B23300">
        <w:t xml:space="preserve">Statutory </w:t>
      </w:r>
      <w:r w:rsidRPr="00B23300">
        <w:t>timeframe for standard applications is 2</w:t>
      </w:r>
      <w:r w:rsidR="00BF3774" w:rsidRPr="00B23300">
        <w:t>55</w:t>
      </w:r>
      <w:r w:rsidRPr="00B23300">
        <w:t xml:space="preserve"> working days</w:t>
      </w:r>
    </w:p>
    <w:p w14:paraId="2C09DBD3" w14:textId="77777777" w:rsidR="008E7846" w:rsidRPr="00B23300" w:rsidRDefault="00456765" w:rsidP="008E7846">
      <w:pPr>
        <w:pStyle w:val="Heading2"/>
      </w:pPr>
      <w:bookmarkStart w:id="27" w:name="_Toc196046504"/>
      <w:bookmarkStart w:id="28" w:name="_Toc247691527"/>
      <w:bookmarkStart w:id="29" w:name="_Toc314842510"/>
      <w:bookmarkStart w:id="30" w:name="_Toc163441390"/>
      <w:bookmarkStart w:id="31" w:name="_Toc66284489"/>
      <w:bookmarkEnd w:id="23"/>
      <w:bookmarkEnd w:id="24"/>
      <w:bookmarkEnd w:id="1"/>
      <w:r w:rsidRPr="00B23300">
        <w:t>I</w:t>
      </w:r>
      <w:r w:rsidR="00DA64CB" w:rsidRPr="00B23300">
        <w:t>I</w:t>
      </w:r>
      <w:r w:rsidR="008E7846" w:rsidRPr="00B23300">
        <w:t xml:space="preserve">I. </w:t>
      </w:r>
      <w:r w:rsidR="00006FAB" w:rsidRPr="00B23300">
        <w:t xml:space="preserve">Submission overview </w:t>
      </w:r>
      <w:r w:rsidR="008E7846" w:rsidRPr="00B23300">
        <w:t>and risk/benefit assessment</w:t>
      </w:r>
      <w:bookmarkEnd w:id="27"/>
      <w:bookmarkEnd w:id="28"/>
      <w:bookmarkEnd w:id="29"/>
      <w:bookmarkEnd w:id="31"/>
    </w:p>
    <w:p w14:paraId="1142F3F0" w14:textId="63E43FF7" w:rsidR="00006FAB" w:rsidRPr="00B23300" w:rsidRDefault="00006FAB" w:rsidP="00D47A3D">
      <w:bookmarkStart w:id="32" w:name="_Toc247691528"/>
      <w:r w:rsidRPr="00B23300">
        <w:t>The submission was summarised in the following Delegate’s overview and recommendations.</w:t>
      </w:r>
    </w:p>
    <w:p w14:paraId="6D0C4060" w14:textId="5BD5CB15" w:rsidR="009544F2" w:rsidRPr="00B23300" w:rsidRDefault="009544F2" w:rsidP="009544F2">
      <w:r w:rsidRPr="00B23300">
        <w:t xml:space="preserve">The following guidance documents are of relevance to the submission: </w:t>
      </w:r>
    </w:p>
    <w:p w14:paraId="0A0E93DF" w14:textId="3D0CFEC5" w:rsidR="009544F2" w:rsidRPr="00B23300" w:rsidRDefault="009544F2" w:rsidP="00F779C3">
      <w:pPr>
        <w:pStyle w:val="ListBullet"/>
      </w:pPr>
      <w:r w:rsidRPr="00B23300">
        <w:t>Therapeutic Goods Administration: Regulation of biosimilar medicines (version 2.0; December 2015).</w:t>
      </w:r>
    </w:p>
    <w:p w14:paraId="6C4B8230" w14:textId="77F80BD3" w:rsidR="009544F2" w:rsidRPr="00B23300" w:rsidRDefault="009544F2" w:rsidP="00F779C3">
      <w:pPr>
        <w:pStyle w:val="ListBullet"/>
      </w:pPr>
      <w:r w:rsidRPr="00B23300">
        <w:rPr>
          <w:b/>
        </w:rPr>
        <w:t>CPMP/EWP/556/95</w:t>
      </w:r>
      <w:r w:rsidRPr="00B23300">
        <w:t xml:space="preserve"> </w:t>
      </w:r>
      <w:r w:rsidRPr="00B23300">
        <w:rPr>
          <w:b/>
        </w:rPr>
        <w:t>Rev 1</w:t>
      </w:r>
      <w:r w:rsidRPr="00B23300">
        <w:t>: Points to Consider on Clinical Investigation of Medicinal Products other than NSAIDS for Treatment of Rheumatoid Arthritis. Effective:</w:t>
      </w:r>
      <w:r w:rsidR="007932E1">
        <w:t> </w:t>
      </w:r>
      <w:r w:rsidRPr="00B23300">
        <w:t>29</w:t>
      </w:r>
      <w:r w:rsidR="007932E1">
        <w:t> </w:t>
      </w:r>
      <w:r w:rsidRPr="00B23300">
        <w:t>January 2007</w:t>
      </w:r>
    </w:p>
    <w:p w14:paraId="27CE63C6" w14:textId="55B03A54" w:rsidR="009544F2" w:rsidRPr="00B23300" w:rsidRDefault="009544F2" w:rsidP="00F779C3">
      <w:pPr>
        <w:pStyle w:val="ListBullet"/>
      </w:pPr>
      <w:r w:rsidRPr="00B23300">
        <w:rPr>
          <w:b/>
        </w:rPr>
        <w:t>EMEA/CHMP/EWP/438/04</w:t>
      </w:r>
      <w:r w:rsidRPr="00B23300">
        <w:t>: Guideline on Clinical Investigation of Medicinal Products for the Treatment of Psoriatic Arthritis. Effective: 5 February 2008</w:t>
      </w:r>
    </w:p>
    <w:p w14:paraId="33D671FB" w14:textId="6CC23CBB" w:rsidR="009544F2" w:rsidRPr="00B23300" w:rsidRDefault="009544F2" w:rsidP="00F779C3">
      <w:pPr>
        <w:pStyle w:val="ListBullet"/>
      </w:pPr>
      <w:r w:rsidRPr="00B23300">
        <w:rPr>
          <w:b/>
        </w:rPr>
        <w:t>CPMP/EWP/4891/03</w:t>
      </w:r>
      <w:r w:rsidRPr="00B23300">
        <w:t>: Guideline on Clinical Investigation of Medicinal Products for the Treatment of Ankylosing Spondylitis. Effective: 23 February 2010</w:t>
      </w:r>
    </w:p>
    <w:p w14:paraId="44DF75DC" w14:textId="7E2EF653" w:rsidR="009544F2" w:rsidRPr="00B23300" w:rsidRDefault="009544F2" w:rsidP="00F779C3">
      <w:pPr>
        <w:pStyle w:val="ListBullet"/>
      </w:pPr>
      <w:r w:rsidRPr="00B23300">
        <w:rPr>
          <w:b/>
        </w:rPr>
        <w:t>CPMP/EWP/2454</w:t>
      </w:r>
      <w:r w:rsidRPr="00B23300">
        <w:t>: Guideline on Clinical Investigation of Medicinal Products indicates for the treatment of Psoriasis. Effective: 28 July 2005</w:t>
      </w:r>
    </w:p>
    <w:p w14:paraId="4BB9644B" w14:textId="29A3F5EC" w:rsidR="009544F2" w:rsidRPr="00B23300" w:rsidRDefault="009544F2" w:rsidP="00F779C3">
      <w:pPr>
        <w:pStyle w:val="ListBullet"/>
      </w:pPr>
      <w:r w:rsidRPr="00B23300">
        <w:rPr>
          <w:b/>
        </w:rPr>
        <w:t>EMEA/CHMP/EWP/239770/2014 Rev 2</w:t>
      </w:r>
      <w:r w:rsidRPr="00B23300">
        <w:t>: Guideline on Clinical Investigation of Medicinal Products for the treatment of juvenile idiopathic arthritis. Effective: 10 November 2016</w:t>
      </w:r>
    </w:p>
    <w:p w14:paraId="22497640" w14:textId="023CEA28" w:rsidR="009544F2" w:rsidRPr="00B23300" w:rsidRDefault="009544F2" w:rsidP="00F779C3">
      <w:pPr>
        <w:pStyle w:val="ListBullet"/>
      </w:pPr>
      <w:r w:rsidRPr="00B23300">
        <w:rPr>
          <w:b/>
        </w:rPr>
        <w:t>CHMP/437/04/Rev 1</w:t>
      </w:r>
      <w:r w:rsidRPr="00B23300">
        <w:t>: Guideline on Similar Biological Medicinal Products. Effective: 25 May 2015</w:t>
      </w:r>
    </w:p>
    <w:p w14:paraId="5D5A9847" w14:textId="77777777" w:rsidR="009544F2" w:rsidRPr="00B23300" w:rsidRDefault="009544F2" w:rsidP="00F779C3">
      <w:pPr>
        <w:pStyle w:val="ListBullet"/>
      </w:pPr>
      <w:r w:rsidRPr="00B23300">
        <w:rPr>
          <w:b/>
        </w:rPr>
        <w:t>EMA/CHMP/BMWP/86289/2010</w:t>
      </w:r>
      <w:r w:rsidRPr="00B23300">
        <w:t>: Guideline on immunogenicity assessment of monoclonal antibodies intended for in vivo clinical use. Effective: 1 June 2014</w:t>
      </w:r>
    </w:p>
    <w:p w14:paraId="5E34D2DE" w14:textId="3F21A016" w:rsidR="008773A6" w:rsidRPr="00B23300" w:rsidRDefault="009544F2" w:rsidP="008773A6">
      <w:pPr>
        <w:pStyle w:val="ListBullet"/>
      </w:pPr>
      <w:r w:rsidRPr="00B23300">
        <w:rPr>
          <w:b/>
        </w:rPr>
        <w:t>EMA/CHMP/BMWP/403543/2010</w:t>
      </w:r>
      <w:r w:rsidRPr="00B23300">
        <w:t>: Guideline on similar biological medicinal products containing monoclonal antibodies - non-clinical and clinical issues. Effective:</w:t>
      </w:r>
      <w:r w:rsidR="007932E1">
        <w:t> </w:t>
      </w:r>
      <w:r w:rsidRPr="00B23300">
        <w:t>17 August 2015</w:t>
      </w:r>
      <w:bookmarkStart w:id="33" w:name="_Toc314842511"/>
    </w:p>
    <w:p w14:paraId="5D166FC1" w14:textId="18390300" w:rsidR="008E7846" w:rsidRPr="00B23300" w:rsidRDefault="008E7846" w:rsidP="008773A6">
      <w:pPr>
        <w:pStyle w:val="Heading3"/>
      </w:pPr>
      <w:bookmarkStart w:id="34" w:name="_Toc66284490"/>
      <w:r w:rsidRPr="00B23300">
        <w:t>Quality</w:t>
      </w:r>
      <w:bookmarkEnd w:id="32"/>
      <w:bookmarkEnd w:id="33"/>
      <w:bookmarkEnd w:id="34"/>
    </w:p>
    <w:p w14:paraId="5D58D18F" w14:textId="2628BF22" w:rsidR="009B113E" w:rsidRPr="00B23300" w:rsidRDefault="0003273D" w:rsidP="00D47A3D">
      <w:proofErr w:type="spellStart"/>
      <w:r>
        <w:t>Etanercept</w:t>
      </w:r>
      <w:proofErr w:type="spellEnd"/>
      <w:r w:rsidR="00B66ABB">
        <w:t xml:space="preserve"> </w:t>
      </w:r>
      <w:r w:rsidR="009B113E" w:rsidRPr="00B23300">
        <w:t xml:space="preserve">is a fully humanised recombinant protein consisting of two soluble p75 TNFR molecules fused to the </w:t>
      </w:r>
      <w:r w:rsidR="00EF5F95" w:rsidRPr="005E6B60">
        <w:t>fragment crystallisable (</w:t>
      </w:r>
      <w:r w:rsidR="009B113E" w:rsidRPr="005E6B60">
        <w:t>Fc</w:t>
      </w:r>
      <w:r w:rsidR="00EF5F95" w:rsidRPr="005E6B60">
        <w:t>)</w:t>
      </w:r>
      <w:r w:rsidR="009B113E" w:rsidRPr="00B23300">
        <w:t xml:space="preserve"> fragment </w:t>
      </w:r>
      <w:r w:rsidR="009B113E" w:rsidRPr="005E6B60">
        <w:t>of human</w:t>
      </w:r>
      <w:r w:rsidR="00EF5F95" w:rsidRPr="005E6B60">
        <w:t xml:space="preserve"> immunoglobulin G</w:t>
      </w:r>
      <w:r w:rsidR="009B113E" w:rsidRPr="005E6B60">
        <w:t xml:space="preserve"> </w:t>
      </w:r>
      <w:r w:rsidR="00EF5F95" w:rsidRPr="005E6B60">
        <w:t>(</w:t>
      </w:r>
      <w:r w:rsidR="009B113E" w:rsidRPr="005E6B60">
        <w:t>IgG</w:t>
      </w:r>
      <w:r w:rsidR="00EF5F95" w:rsidRPr="005E6B60">
        <w:t>)</w:t>
      </w:r>
      <w:r w:rsidR="00EF5F95" w:rsidRPr="00B23300">
        <w:t xml:space="preserve"> </w:t>
      </w:r>
      <w:r w:rsidR="009F16A4">
        <w:t xml:space="preserve">subtype </w:t>
      </w:r>
      <w:r w:rsidR="009B113E" w:rsidRPr="00B23300">
        <w:t>1</w:t>
      </w:r>
      <w:r w:rsidR="003B7991">
        <w:t>.</w:t>
      </w:r>
      <w:r w:rsidR="00C15A94" w:rsidRPr="00B23300">
        <w:t xml:space="preserve"> </w:t>
      </w:r>
      <w:r w:rsidR="003B7991">
        <w:t xml:space="preserve">A schematic presentation of the structure of </w:t>
      </w:r>
      <w:proofErr w:type="spellStart"/>
      <w:r w:rsidR="003B7991">
        <w:t>etanercept</w:t>
      </w:r>
      <w:proofErr w:type="spellEnd"/>
      <w:r w:rsidR="003B7991">
        <w:t xml:space="preserve"> </w:t>
      </w:r>
      <w:proofErr w:type="gramStart"/>
      <w:r w:rsidR="003B7991">
        <w:t>is shown</w:t>
      </w:r>
      <w:proofErr w:type="gramEnd"/>
      <w:r w:rsidR="003B7991">
        <w:t xml:space="preserve"> below in </w:t>
      </w:r>
      <w:r w:rsidR="00C15A94" w:rsidRPr="00B23300">
        <w:fldChar w:fldCharType="begin"/>
      </w:r>
      <w:r w:rsidR="00C15A94" w:rsidRPr="00B23300">
        <w:instrText xml:space="preserve"> REF _Ref57801854 \h </w:instrText>
      </w:r>
      <w:r w:rsidR="00B23300">
        <w:instrText xml:space="preserve"> \* MERGEFORMAT </w:instrText>
      </w:r>
      <w:r w:rsidR="00C15A94" w:rsidRPr="00B23300">
        <w:fldChar w:fldCharType="separate"/>
      </w:r>
      <w:r w:rsidR="00C15A94" w:rsidRPr="00B23300">
        <w:t>Figure 1</w:t>
      </w:r>
      <w:r w:rsidR="00C15A94" w:rsidRPr="00B23300">
        <w:fldChar w:fldCharType="end"/>
      </w:r>
      <w:r w:rsidR="009B113E" w:rsidRPr="00B23300">
        <w:t>. It has an approximate molecular weight of 150</w:t>
      </w:r>
      <w:r w:rsidR="003B7991">
        <w:t> </w:t>
      </w:r>
      <w:proofErr w:type="spellStart"/>
      <w:r w:rsidR="009B113E" w:rsidRPr="00B23300">
        <w:t>kDa</w:t>
      </w:r>
      <w:proofErr w:type="spellEnd"/>
      <w:r w:rsidR="009B113E" w:rsidRPr="00B23300">
        <w:t xml:space="preserve">. The proposed product </w:t>
      </w:r>
      <w:r w:rsidR="003B7991">
        <w:t>(</w:t>
      </w:r>
      <w:proofErr w:type="spellStart"/>
      <w:r w:rsidR="003B7991">
        <w:t>Rymti</w:t>
      </w:r>
      <w:proofErr w:type="spellEnd"/>
      <w:r w:rsidR="003B7991">
        <w:t>/</w:t>
      </w:r>
      <w:proofErr w:type="spellStart"/>
      <w:r w:rsidR="003B7991">
        <w:t>Etera</w:t>
      </w:r>
      <w:proofErr w:type="spellEnd"/>
      <w:r w:rsidR="003B7991">
        <w:t xml:space="preserve">) </w:t>
      </w:r>
      <w:r w:rsidR="009B113E" w:rsidRPr="00B23300">
        <w:t>uses the same amino acid sequence as the European reference</w:t>
      </w:r>
      <w:r w:rsidR="003B7991">
        <w:t xml:space="preserve"> product</w:t>
      </w:r>
      <w:r w:rsidR="009B113E" w:rsidRPr="00B23300">
        <w:t>, Enbrel.</w:t>
      </w:r>
    </w:p>
    <w:p w14:paraId="3C0D4784" w14:textId="31A48659" w:rsidR="00594B06" w:rsidRPr="00B23300" w:rsidRDefault="00F032C2" w:rsidP="009905D0">
      <w:pPr>
        <w:pStyle w:val="FigureTitle"/>
      </w:pPr>
      <w:bookmarkStart w:id="35" w:name="_Ref57801854"/>
      <w:r w:rsidRPr="00B23300">
        <w:t xml:space="preserve">Figure </w:t>
      </w:r>
      <w:fldSimple w:instr=" SEQ Figure \* ARABIC ">
        <w:r w:rsidRPr="00B23300">
          <w:t>1</w:t>
        </w:r>
      </w:fldSimple>
      <w:bookmarkEnd w:id="35"/>
      <w:r w:rsidRPr="00B23300">
        <w:t xml:space="preserve">: </w:t>
      </w:r>
      <w:r w:rsidR="00742630" w:rsidRPr="00B23300">
        <w:t>S</w:t>
      </w:r>
      <w:r w:rsidR="00594B06" w:rsidRPr="00B23300">
        <w:t xml:space="preserve">tructure of </w:t>
      </w:r>
      <w:proofErr w:type="spellStart"/>
      <w:r w:rsidR="00C73D97" w:rsidRPr="00B23300">
        <w:t>e</w:t>
      </w:r>
      <w:r w:rsidR="00742630" w:rsidRPr="00B23300">
        <w:t>tanercept</w:t>
      </w:r>
      <w:proofErr w:type="spellEnd"/>
    </w:p>
    <w:p w14:paraId="33DA1546" w14:textId="001EB131" w:rsidR="00594B06" w:rsidRPr="00B23300" w:rsidRDefault="00594B06" w:rsidP="009B113E">
      <w:r w:rsidRPr="00B23300">
        <w:rPr>
          <w:noProof/>
          <w:lang w:eastAsia="en-AU"/>
        </w:rPr>
        <w:drawing>
          <wp:inline distT="0" distB="0" distL="0" distR="0" wp14:anchorId="34805B46" wp14:editId="30AEDD7B">
            <wp:extent cx="2699308" cy="2288392"/>
            <wp:effectExtent l="0" t="0" r="6350" b="0"/>
            <wp:docPr id="4" name="Picture 4" descr="Structure of etanerce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e 1a. resized chemical struture of Etanercept .PNG"/>
                    <pic:cNvPicPr/>
                  </pic:nvPicPr>
                  <pic:blipFill>
                    <a:blip r:embed="rId14">
                      <a:extLst>
                        <a:ext uri="{28A0092B-C50C-407E-A947-70E740481C1C}">
                          <a14:useLocalDpi xmlns:a14="http://schemas.microsoft.com/office/drawing/2010/main" val="0"/>
                        </a:ext>
                      </a:extLst>
                    </a:blip>
                    <a:stretch>
                      <a:fillRect/>
                    </a:stretch>
                  </pic:blipFill>
                  <pic:spPr>
                    <a:xfrm>
                      <a:off x="0" y="0"/>
                      <a:ext cx="2719748" cy="2305721"/>
                    </a:xfrm>
                    <a:prstGeom prst="rect">
                      <a:avLst/>
                    </a:prstGeom>
                  </pic:spPr>
                </pic:pic>
              </a:graphicData>
            </a:graphic>
          </wp:inline>
        </w:drawing>
      </w:r>
    </w:p>
    <w:p w14:paraId="336C3829" w14:textId="4EB909FC" w:rsidR="009B113E" w:rsidRPr="00B23300" w:rsidRDefault="009B113E" w:rsidP="00D47A3D">
      <w:r w:rsidRPr="00B23300">
        <w:t xml:space="preserve">This product </w:t>
      </w:r>
      <w:proofErr w:type="gramStart"/>
      <w:r w:rsidRPr="00B23300">
        <w:t>is expressed</w:t>
      </w:r>
      <w:proofErr w:type="gramEnd"/>
      <w:r w:rsidRPr="00B23300">
        <w:t xml:space="preserve"> in </w:t>
      </w:r>
      <w:r w:rsidR="00E833B6">
        <w:t>C</w:t>
      </w:r>
      <w:r w:rsidR="00E833B6" w:rsidRPr="005E6B60">
        <w:t>hinese</w:t>
      </w:r>
      <w:r w:rsidRPr="005E6B60">
        <w:t xml:space="preserve"> </w:t>
      </w:r>
      <w:r w:rsidR="00C73D97" w:rsidRPr="005E6B60">
        <w:t xml:space="preserve">hamster ovary </w:t>
      </w:r>
      <w:r w:rsidRPr="005E6B60">
        <w:t>(CHO)</w:t>
      </w:r>
      <w:r w:rsidRPr="00B23300">
        <w:t xml:space="preserve"> cells and produced using a cell culture process. The culture the</w:t>
      </w:r>
      <w:r w:rsidR="00C73D97" w:rsidRPr="00B23300">
        <w:t>n</w:t>
      </w:r>
      <w:r w:rsidRPr="00B23300">
        <w:t xml:space="preserve"> undergoes a series of filtration and chromatography steps. The drug product manufacturing steps include</w:t>
      </w:r>
      <w:r w:rsidR="00C508E7">
        <w:t xml:space="preserve"> drug substance filtration and fil</w:t>
      </w:r>
      <w:r w:rsidR="003B7991">
        <w:t>l</w:t>
      </w:r>
      <w:r w:rsidR="00C508E7">
        <w:t>ing.</w:t>
      </w:r>
    </w:p>
    <w:p w14:paraId="59B3553C" w14:textId="3E7B3471" w:rsidR="009B113E" w:rsidRPr="00B23300" w:rsidRDefault="003B7991" w:rsidP="00D47A3D">
      <w:r>
        <w:t>There are n</w:t>
      </w:r>
      <w:r w:rsidR="00F75DF5" w:rsidRPr="005E6B60">
        <w:t xml:space="preserve">o outstanding issues with </w:t>
      </w:r>
      <w:r w:rsidR="009B113E" w:rsidRPr="005E6B60">
        <w:t>the drug substance and drug product specifications</w:t>
      </w:r>
      <w:r w:rsidR="00F75DF5" w:rsidRPr="00B23300">
        <w:t>.</w:t>
      </w:r>
    </w:p>
    <w:p w14:paraId="3D6E8938" w14:textId="59C1E9A5" w:rsidR="009B113E" w:rsidRPr="00B23300" w:rsidRDefault="00403436" w:rsidP="00D47A3D">
      <w:r w:rsidRPr="00B23300">
        <w:t xml:space="preserve">The fill volume of the </w:t>
      </w:r>
      <w:r w:rsidR="003B7991">
        <w:t>prefilled syringe (</w:t>
      </w:r>
      <w:r w:rsidR="001959EE" w:rsidRPr="00B23300">
        <w:t>PFS</w:t>
      </w:r>
      <w:r w:rsidR="003B7991">
        <w:t>)</w:t>
      </w:r>
      <w:r w:rsidR="009B113E" w:rsidRPr="00B23300">
        <w:t xml:space="preserve"> is 1</w:t>
      </w:r>
      <w:r w:rsidR="003B7991">
        <w:t>.0</w:t>
      </w:r>
      <w:r w:rsidR="009B113E" w:rsidRPr="00B23300">
        <w:t xml:space="preserve"> mL for the 50 mg dose and 0.5 mL for the 25 mg dose</w:t>
      </w:r>
      <w:r w:rsidR="0035029E" w:rsidRPr="00B23300">
        <w:t>.</w:t>
      </w:r>
      <w:r w:rsidR="0042028A" w:rsidRPr="00B23300">
        <w:t xml:space="preserve"> </w:t>
      </w:r>
      <w:r w:rsidR="009B113E" w:rsidRPr="00B23300">
        <w:t>The recommended shelf life the drug product is 24 months stored at 2°C to 8°C. In-use stability data su</w:t>
      </w:r>
      <w:r w:rsidR="00687024" w:rsidRPr="00B23300">
        <w:t>pport a single period of up to four</w:t>
      </w:r>
      <w:r w:rsidR="009B113E" w:rsidRPr="00B23300">
        <w:t xml:space="preserve"> weeks of storage at 25°C.</w:t>
      </w:r>
    </w:p>
    <w:p w14:paraId="1CFA41AB" w14:textId="4503F9BC" w:rsidR="009B113E" w:rsidRPr="00B23300" w:rsidRDefault="009B113E" w:rsidP="00D47A3D">
      <w:proofErr w:type="spellStart"/>
      <w:r w:rsidRPr="00B23300">
        <w:t>Rymti</w:t>
      </w:r>
      <w:proofErr w:type="spellEnd"/>
      <w:r w:rsidR="000A2325">
        <w:t>/</w:t>
      </w:r>
      <w:proofErr w:type="spellStart"/>
      <w:r w:rsidR="00EE683E">
        <w:t>Etera</w:t>
      </w:r>
      <w:proofErr w:type="spellEnd"/>
      <w:r w:rsidRPr="00B23300">
        <w:t xml:space="preserve"> was generally similar to </w:t>
      </w:r>
      <w:r w:rsidR="00EE683E">
        <w:t xml:space="preserve">Australian, EU, and United States (US) sourced </w:t>
      </w:r>
      <w:r w:rsidRPr="00B23300">
        <w:t xml:space="preserve">Enbrel and </w:t>
      </w:r>
      <w:r w:rsidR="00DA1CFC">
        <w:t xml:space="preserve">Enbrel sourced from </w:t>
      </w:r>
      <w:r w:rsidRPr="00B23300">
        <w:t>other geographical origins in a number of quality attributes, including amino acid sequence, higher order structures, binding kinetics with TNF-α and TNF-β, biological activity in neutralisation of TNF-α and TNF-β, degradation profile and stability.</w:t>
      </w:r>
    </w:p>
    <w:p w14:paraId="6E48BBBE" w14:textId="293B0F70" w:rsidR="009B113E" w:rsidRPr="005E6B60" w:rsidRDefault="009B113E" w:rsidP="00D47A3D">
      <w:r w:rsidRPr="005E6B60">
        <w:t xml:space="preserve">A multi-step analytical similarity exercise </w:t>
      </w:r>
      <w:proofErr w:type="gramStart"/>
      <w:r w:rsidRPr="005E6B60">
        <w:t>was conducted</w:t>
      </w:r>
      <w:proofErr w:type="gramEnd"/>
      <w:r w:rsidRPr="005E6B60">
        <w:t xml:space="preserve"> to establish similarity between</w:t>
      </w:r>
      <w:r w:rsidR="00565DA4" w:rsidRPr="005E6B60">
        <w:t xml:space="preserve"> </w:t>
      </w:r>
      <w:proofErr w:type="spellStart"/>
      <w:r w:rsidR="00565DA4" w:rsidRPr="005E6B60">
        <w:t>Rymti</w:t>
      </w:r>
      <w:proofErr w:type="spellEnd"/>
      <w:r w:rsidR="000A2325">
        <w:t>/</w:t>
      </w:r>
      <w:proofErr w:type="spellStart"/>
      <w:r w:rsidR="00DA1CFC">
        <w:t>Etera</w:t>
      </w:r>
      <w:proofErr w:type="spellEnd"/>
      <w:r w:rsidR="00DA1CFC">
        <w:t xml:space="preserve"> </w:t>
      </w:r>
      <w:r w:rsidRPr="005E6B60">
        <w:t>and the Australian registered Enbrel reference product. However, due to the differences in cell line</w:t>
      </w:r>
      <w:r w:rsidR="005B2015">
        <w:t xml:space="preserve"> and</w:t>
      </w:r>
      <w:r w:rsidR="00DA1CFC">
        <w:t xml:space="preserve"> </w:t>
      </w:r>
      <w:r w:rsidRPr="005E6B60">
        <w:t>manufactu</w:t>
      </w:r>
      <w:r w:rsidRPr="00B23300">
        <w:t>ring processes, differences in some physicochemical characteristics and biological activities between the two products were expected</w:t>
      </w:r>
      <w:r w:rsidR="00DE323E" w:rsidRPr="00B23300">
        <w:t>.</w:t>
      </w:r>
      <w:r w:rsidR="003A4788">
        <w:t xml:space="preserve"> </w:t>
      </w:r>
      <w:r w:rsidRPr="005E6B60">
        <w:t>The secondary evaluations of infectious disease safety, container safety, microbiology (sterility) and endotoxin had no outstanding issues and the evaluations raised no objections to the registration on these quality grounds.</w:t>
      </w:r>
    </w:p>
    <w:p w14:paraId="55D6459F" w14:textId="26207EEF" w:rsidR="001D660D" w:rsidRPr="00B23300" w:rsidRDefault="001D660D" w:rsidP="00D47A3D">
      <w:r w:rsidRPr="005E6B60">
        <w:t xml:space="preserve">The quality evaluator has recommended approval of </w:t>
      </w:r>
      <w:proofErr w:type="spellStart"/>
      <w:r w:rsidRPr="005E6B60">
        <w:t>Rym</w:t>
      </w:r>
      <w:r w:rsidR="00BE3FF4">
        <w:t>t</w:t>
      </w:r>
      <w:r w:rsidRPr="005E6B60">
        <w:t>i</w:t>
      </w:r>
      <w:proofErr w:type="spellEnd"/>
      <w:r w:rsidR="00DA1CFC">
        <w:t>/</w:t>
      </w:r>
      <w:proofErr w:type="spellStart"/>
      <w:r w:rsidRPr="005E6B60">
        <w:t>Etera</w:t>
      </w:r>
      <w:proofErr w:type="spellEnd"/>
      <w:r w:rsidRPr="005E6B60">
        <w:t xml:space="preserve"> and proposed some changes to the specific conditions of registration.</w:t>
      </w:r>
    </w:p>
    <w:p w14:paraId="5ED46D7D" w14:textId="77777777" w:rsidR="008E7846" w:rsidRPr="00B23300" w:rsidRDefault="008E7846" w:rsidP="008E7846">
      <w:pPr>
        <w:pStyle w:val="Heading3"/>
      </w:pPr>
      <w:bookmarkStart w:id="36" w:name="_Toc314842512"/>
      <w:bookmarkStart w:id="37" w:name="_Toc66284491"/>
      <w:r w:rsidRPr="00B23300">
        <w:t>Nonclinical</w:t>
      </w:r>
      <w:bookmarkEnd w:id="36"/>
      <w:bookmarkEnd w:id="37"/>
    </w:p>
    <w:p w14:paraId="46791FB2" w14:textId="24A6FC81" w:rsidR="00E8569E" w:rsidRPr="00B23300" w:rsidRDefault="00E8569E" w:rsidP="00D47A3D">
      <w:bookmarkStart w:id="38" w:name="_Toc247691530"/>
      <w:bookmarkStart w:id="39" w:name="_Toc314842513"/>
      <w:r w:rsidRPr="00B23300">
        <w:t>The nonclinical evaluator did not raise any objecti</w:t>
      </w:r>
      <w:r w:rsidR="00300706">
        <w:t>on to approval based on the non</w:t>
      </w:r>
      <w:r w:rsidRPr="00B23300">
        <w:t xml:space="preserve">clinical </w:t>
      </w:r>
      <w:proofErr w:type="gramStart"/>
      <w:r w:rsidRPr="00B23300">
        <w:t>aspects</w:t>
      </w:r>
      <w:r w:rsidR="004A5006" w:rsidRPr="00B23300">
        <w:t>,</w:t>
      </w:r>
      <w:proofErr w:type="gramEnd"/>
      <w:r w:rsidRPr="00B23300">
        <w:t xml:space="preserve"> however this was contingent on the quality evaluator assessment of the comparability studies.</w:t>
      </w:r>
    </w:p>
    <w:p w14:paraId="2FC1C037" w14:textId="6F04D8FA" w:rsidR="00E8569E" w:rsidRPr="00B23300" w:rsidRDefault="00E8569E" w:rsidP="00D47A3D">
      <w:r w:rsidRPr="00B23300">
        <w:t xml:space="preserve">The nonclinical dossier contained comparative studies on pharmacology, </w:t>
      </w:r>
      <w:r w:rsidR="000D05A4">
        <w:t>pharmacokinetics (</w:t>
      </w:r>
      <w:r w:rsidR="004D7527" w:rsidRPr="00B23300">
        <w:t>PK</w:t>
      </w:r>
      <w:r w:rsidR="000D05A4">
        <w:t>)</w:t>
      </w:r>
      <w:r w:rsidRPr="00B23300">
        <w:t xml:space="preserve"> and repeat dose toxicity, conducted from Enbrel sourced internationally (from India, Japan and the EU) with no </w:t>
      </w:r>
      <w:r w:rsidR="0042119B" w:rsidRPr="00B23300">
        <w:t>nonclinical</w:t>
      </w:r>
      <w:r w:rsidRPr="00B23300">
        <w:t xml:space="preserve"> comparability studies between Australian sourced Enbrel and the international sources. The </w:t>
      </w:r>
      <w:r w:rsidR="00ED228C" w:rsidRPr="00B23300">
        <w:t xml:space="preserve">nonclinical </w:t>
      </w:r>
      <w:r w:rsidRPr="00B23300">
        <w:t>evaluator noted the overall consistency of the dossier with the relevant EU guideline.</w:t>
      </w:r>
    </w:p>
    <w:p w14:paraId="36F7BB93" w14:textId="402BA0C3" w:rsidR="00E8569E" w:rsidRPr="00B23300" w:rsidRDefault="00E8569E" w:rsidP="00D47A3D">
      <w:r w:rsidRPr="00B23300">
        <w:t xml:space="preserve">The </w:t>
      </w:r>
      <w:r w:rsidR="004D7527" w:rsidRPr="00B23300">
        <w:t>PKs</w:t>
      </w:r>
      <w:r w:rsidRPr="00B23300">
        <w:t xml:space="preserve"> of Enbrel </w:t>
      </w:r>
      <w:r w:rsidR="00E13FDA" w:rsidRPr="00B23300">
        <w:t xml:space="preserve">and </w:t>
      </w:r>
      <w:proofErr w:type="spellStart"/>
      <w:r w:rsidR="00E13FDA" w:rsidRPr="00B23300">
        <w:t>Rymti</w:t>
      </w:r>
      <w:proofErr w:type="spellEnd"/>
      <w:r w:rsidR="000A2325">
        <w:t>/</w:t>
      </w:r>
      <w:proofErr w:type="spellStart"/>
      <w:r w:rsidR="00E72BF2">
        <w:t>Etera</w:t>
      </w:r>
      <w:proofErr w:type="spellEnd"/>
      <w:r w:rsidR="00E13FDA" w:rsidRPr="00B23300">
        <w:t xml:space="preserve"> were similar in mice.</w:t>
      </w:r>
    </w:p>
    <w:p w14:paraId="58E3B5B7" w14:textId="7E223732" w:rsidR="00E8569E" w:rsidRPr="00B23300" w:rsidRDefault="00E8569E" w:rsidP="00D47A3D">
      <w:r w:rsidRPr="00B23300">
        <w:t xml:space="preserve">The animal studies of efficacy compared </w:t>
      </w:r>
      <w:proofErr w:type="spellStart"/>
      <w:r w:rsidRPr="00B23300">
        <w:t>Rymti</w:t>
      </w:r>
      <w:proofErr w:type="spellEnd"/>
      <w:r w:rsidRPr="00B23300">
        <w:t xml:space="preserve"> and Enbrel in a </w:t>
      </w:r>
      <w:r w:rsidR="000A6317" w:rsidRPr="00B23300">
        <w:t>RA</w:t>
      </w:r>
      <w:r w:rsidRPr="00B23300">
        <w:t xml:space="preserve"> model but not for other indications. The </w:t>
      </w:r>
      <w:r w:rsidR="00ED228C" w:rsidRPr="00B23300">
        <w:t xml:space="preserve">nonclinical </w:t>
      </w:r>
      <w:r w:rsidRPr="00B23300">
        <w:t xml:space="preserve">evaluator noted higher levels of </w:t>
      </w:r>
      <w:r w:rsidR="00E72BF2">
        <w:t>antibody dependent cell-mediated cy</w:t>
      </w:r>
      <w:r w:rsidR="00E9748A">
        <w:t>to</w:t>
      </w:r>
      <w:r w:rsidR="00E72BF2">
        <w:t>toxic (</w:t>
      </w:r>
      <w:r w:rsidRPr="00B23300">
        <w:t>ADCC</w:t>
      </w:r>
      <w:r w:rsidR="00E72BF2">
        <w:t>)</w:t>
      </w:r>
      <w:r w:rsidRPr="00B23300">
        <w:t xml:space="preserve"> activity than Enbrel from other sources, attributed to higher levels of </w:t>
      </w:r>
      <w:proofErr w:type="spellStart"/>
      <w:r w:rsidRPr="00B23300">
        <w:t>afucosylation</w:t>
      </w:r>
      <w:proofErr w:type="spellEnd"/>
      <w:r w:rsidRPr="00B23300">
        <w:t>. However, similar toxicity pr</w:t>
      </w:r>
      <w:r w:rsidR="000A2325">
        <w:t xml:space="preserve">ofiles between Enbrel and </w:t>
      </w:r>
      <w:proofErr w:type="spellStart"/>
      <w:r w:rsidR="000A2325">
        <w:t>Rymti</w:t>
      </w:r>
      <w:proofErr w:type="spellEnd"/>
      <w:r w:rsidR="000A2325">
        <w:t>/</w:t>
      </w:r>
      <w:proofErr w:type="spellStart"/>
      <w:r w:rsidR="00E72BF2">
        <w:t>Etera</w:t>
      </w:r>
      <w:proofErr w:type="spellEnd"/>
      <w:r w:rsidR="00E72BF2">
        <w:t xml:space="preserve"> </w:t>
      </w:r>
      <w:r w:rsidRPr="00B23300">
        <w:t xml:space="preserve">were shown in </w:t>
      </w:r>
      <w:proofErr w:type="gramStart"/>
      <w:r w:rsidRPr="00B23300">
        <w:t>four</w:t>
      </w:r>
      <w:r w:rsidR="003F2E79" w:rsidRPr="00B23300">
        <w:t xml:space="preserve"> </w:t>
      </w:r>
      <w:r w:rsidRPr="00B23300">
        <w:t>week</w:t>
      </w:r>
      <w:proofErr w:type="gramEnd"/>
      <w:r w:rsidRPr="00B23300">
        <w:t xml:space="preserve"> comparative repeat dose toxicity study in monkeys however the groups in the study were small and limited the safety information that could be derived.</w:t>
      </w:r>
    </w:p>
    <w:p w14:paraId="32BF19FA" w14:textId="3B92A3CC" w:rsidR="00E8569E" w:rsidRPr="00B23300" w:rsidRDefault="00E8569E" w:rsidP="00D47A3D">
      <w:r w:rsidRPr="005E6B60">
        <w:t>Anti</w:t>
      </w:r>
      <w:r w:rsidR="005131DE" w:rsidRPr="005E6B60">
        <w:t>-</w:t>
      </w:r>
      <w:r w:rsidRPr="005E6B60">
        <w:t>drug antibodies (ADA)</w:t>
      </w:r>
      <w:r w:rsidR="00D47A3D" w:rsidRPr="00B23300">
        <w:t xml:space="preserve"> </w:t>
      </w:r>
      <w:proofErr w:type="gramStart"/>
      <w:r w:rsidRPr="00B23300">
        <w:t>were detected</w:t>
      </w:r>
      <w:proofErr w:type="gramEnd"/>
      <w:r w:rsidRPr="00B23300">
        <w:t xml:space="preserve"> in animals from low and high dose groups. In low doses ADA were associated with faster clearance.</w:t>
      </w:r>
    </w:p>
    <w:p w14:paraId="68546642" w14:textId="06C5854A" w:rsidR="00E8569E" w:rsidRPr="005E6B60" w:rsidRDefault="00E8569E" w:rsidP="00D47A3D">
      <w:r w:rsidRPr="005E6B60">
        <w:t>Injection site reactions were similar across the treated groups</w:t>
      </w:r>
      <w:r w:rsidR="001361CF" w:rsidRPr="005E6B60">
        <w:t>.</w:t>
      </w:r>
    </w:p>
    <w:p w14:paraId="08E3D509" w14:textId="134DD720" w:rsidR="00E8569E" w:rsidRPr="005E6B60" w:rsidRDefault="00E8569E" w:rsidP="00D47A3D">
      <w:r w:rsidRPr="005E6B60">
        <w:t xml:space="preserve">No specific data </w:t>
      </w:r>
      <w:proofErr w:type="gramStart"/>
      <w:r w:rsidRPr="005E6B60">
        <w:t>were presented</w:t>
      </w:r>
      <w:proofErr w:type="gramEnd"/>
      <w:r w:rsidRPr="005E6B60">
        <w:t xml:space="preserve"> to support the pregnancy category and lactation information in the </w:t>
      </w:r>
      <w:proofErr w:type="spellStart"/>
      <w:r w:rsidRPr="005E6B60">
        <w:t>Rymti</w:t>
      </w:r>
      <w:proofErr w:type="spellEnd"/>
      <w:r w:rsidR="000A2325">
        <w:t>/</w:t>
      </w:r>
      <w:proofErr w:type="spellStart"/>
      <w:r w:rsidR="00E72BF2">
        <w:t>Etera</w:t>
      </w:r>
      <w:proofErr w:type="spellEnd"/>
      <w:r w:rsidRPr="005E6B60">
        <w:t xml:space="preserve"> PI and the sponsor proposed to adopt the information from the Enbrel PI.</w:t>
      </w:r>
    </w:p>
    <w:p w14:paraId="151808DF" w14:textId="277072B1" w:rsidR="00E8569E" w:rsidRPr="005E6B60" w:rsidRDefault="00E8569E" w:rsidP="00D47A3D">
      <w:r w:rsidRPr="005E6B60">
        <w:t xml:space="preserve">Following amendments during the evaluation </w:t>
      </w:r>
      <w:proofErr w:type="gramStart"/>
      <w:r w:rsidRPr="005E6B60">
        <w:t>phase</w:t>
      </w:r>
      <w:proofErr w:type="gramEnd"/>
      <w:r w:rsidRPr="005E6B60">
        <w:t xml:space="preserve"> the nonclinical aspects of the PI were considered acceptable.</w:t>
      </w:r>
    </w:p>
    <w:p w14:paraId="68427F46" w14:textId="0DD6CF71" w:rsidR="008E7846" w:rsidRPr="005E6B60" w:rsidRDefault="008E7846" w:rsidP="008E7846">
      <w:pPr>
        <w:pStyle w:val="Heading3"/>
      </w:pPr>
      <w:bookmarkStart w:id="40" w:name="_Toc66284492"/>
      <w:r w:rsidRPr="005E6B60">
        <w:t>Clinical</w:t>
      </w:r>
      <w:bookmarkEnd w:id="38"/>
      <w:bookmarkEnd w:id="39"/>
      <w:bookmarkEnd w:id="40"/>
    </w:p>
    <w:p w14:paraId="29E2B067" w14:textId="77777777" w:rsidR="006867F4" w:rsidRDefault="00AE00F9" w:rsidP="006867F4">
      <w:pPr>
        <w:pStyle w:val="ListBullet"/>
        <w:numPr>
          <w:ilvl w:val="0"/>
          <w:numId w:val="0"/>
        </w:numPr>
      </w:pPr>
      <w:bookmarkStart w:id="41" w:name="_Toc314842514"/>
      <w:r w:rsidRPr="005E6B60">
        <w:t xml:space="preserve">The clinical dossier </w:t>
      </w:r>
      <w:r w:rsidR="00784623" w:rsidRPr="005E6B60">
        <w:t>consist</w:t>
      </w:r>
      <w:r w:rsidR="00A27EE5" w:rsidRPr="005E6B60">
        <w:t>ed</w:t>
      </w:r>
      <w:r w:rsidR="00784623" w:rsidRPr="005E6B60">
        <w:t xml:space="preserve"> of:</w:t>
      </w:r>
    </w:p>
    <w:p w14:paraId="779AE7DF" w14:textId="374CA782" w:rsidR="003D1964" w:rsidRPr="005E6B60" w:rsidRDefault="00EF5548" w:rsidP="006867F4">
      <w:pPr>
        <w:pStyle w:val="ListBullet"/>
      </w:pPr>
      <w:r>
        <w:t>t</w:t>
      </w:r>
      <w:r w:rsidR="003D1964">
        <w:t xml:space="preserve">wo Phase I </w:t>
      </w:r>
      <w:r w:rsidR="00CE56A9">
        <w:t>studies</w:t>
      </w:r>
      <w:r>
        <w:t>, Study YLB113-001, and Study LBC-14-155; and</w:t>
      </w:r>
    </w:p>
    <w:p w14:paraId="43AE9DFA" w14:textId="42E83B7C" w:rsidR="003D1964" w:rsidRDefault="00EF5548" w:rsidP="006867F4">
      <w:pPr>
        <w:pStyle w:val="ListBullet"/>
      </w:pPr>
      <w:r>
        <w:t>o</w:t>
      </w:r>
      <w:r w:rsidR="003D1964">
        <w:t xml:space="preserve">ne Phase III </w:t>
      </w:r>
      <w:r w:rsidR="00CE56A9">
        <w:t>study</w:t>
      </w:r>
      <w:r>
        <w:t>, Study YLB113-003</w:t>
      </w:r>
    </w:p>
    <w:p w14:paraId="5895D466" w14:textId="77777777" w:rsidR="00AE00F9" w:rsidRPr="00B23300" w:rsidRDefault="00AE00F9" w:rsidP="00D47A3D">
      <w:pPr>
        <w:pStyle w:val="Heading4"/>
      </w:pPr>
      <w:r w:rsidRPr="00B23300">
        <w:t>Pharmacology</w:t>
      </w:r>
    </w:p>
    <w:p w14:paraId="07022553" w14:textId="792D81B1" w:rsidR="00AE00F9" w:rsidRPr="00B23300" w:rsidRDefault="00784623" w:rsidP="00D47A3D">
      <w:r w:rsidRPr="00B23300">
        <w:t xml:space="preserve">Study </w:t>
      </w:r>
      <w:r w:rsidR="00AE00F9" w:rsidRPr="00B23300">
        <w:t xml:space="preserve">YLB113-001 </w:t>
      </w:r>
      <w:proofErr w:type="gramStart"/>
      <w:r w:rsidR="00AE00F9" w:rsidRPr="00B23300">
        <w:t>was conducted</w:t>
      </w:r>
      <w:proofErr w:type="gramEnd"/>
      <w:r w:rsidR="00AE00F9" w:rsidRPr="00B23300">
        <w:t xml:space="preserve"> in 60 Japanese healthy male volunteers and </w:t>
      </w:r>
      <w:r w:rsidRPr="00B23300">
        <w:t>Study</w:t>
      </w:r>
      <w:r w:rsidR="00EF5548">
        <w:t> </w:t>
      </w:r>
      <w:r w:rsidR="00AE00F9" w:rsidRPr="00B23300">
        <w:t>LBC</w:t>
      </w:r>
      <w:r w:rsidR="00EF5548">
        <w:noBreakHyphen/>
      </w:r>
      <w:r w:rsidR="00AE00F9" w:rsidRPr="00B23300">
        <w:t>14-155 in 58 healthy Indian male volunteers. In the Japanese study</w:t>
      </w:r>
      <w:r w:rsidRPr="00B23300">
        <w:t>,</w:t>
      </w:r>
      <w:r w:rsidR="00AE00F9" w:rsidRPr="00B23300">
        <w:t xml:space="preserve"> 58</w:t>
      </w:r>
      <w:r w:rsidR="00EF5548">
        <w:t> </w:t>
      </w:r>
      <w:r w:rsidR="00AE00F9" w:rsidRPr="00B23300">
        <w:t>patients we</w:t>
      </w:r>
      <w:r w:rsidR="00E13FDA" w:rsidRPr="00B23300">
        <w:t>re included in the PK analysis.</w:t>
      </w:r>
    </w:p>
    <w:p w14:paraId="785E9393" w14:textId="2345D69F" w:rsidR="00AE00F9" w:rsidRPr="00B23300" w:rsidRDefault="000A2325" w:rsidP="00D47A3D">
      <w:r>
        <w:t xml:space="preserve">The </w:t>
      </w:r>
      <w:proofErr w:type="spellStart"/>
      <w:r>
        <w:t>Rymti</w:t>
      </w:r>
      <w:proofErr w:type="spellEnd"/>
      <w:r>
        <w:t>/</w:t>
      </w:r>
      <w:proofErr w:type="spellStart"/>
      <w:r w:rsidR="00EF5548">
        <w:t>Etera</w:t>
      </w:r>
      <w:proofErr w:type="spellEnd"/>
      <w:r w:rsidR="00EF5548">
        <w:t xml:space="preserve"> </w:t>
      </w:r>
      <w:r w:rsidR="005E2A78" w:rsidRPr="00B23300">
        <w:t xml:space="preserve">or </w:t>
      </w:r>
      <w:r w:rsidR="00AE00F9" w:rsidRPr="00B23300">
        <w:t xml:space="preserve">Japanese sourced Enbrel ratios for </w:t>
      </w:r>
      <w:r w:rsidR="00677A3F" w:rsidRPr="005E6B60">
        <w:t xml:space="preserve">area under </w:t>
      </w:r>
      <w:r w:rsidR="00EF5548">
        <w:t xml:space="preserve">the </w:t>
      </w:r>
      <w:r w:rsidR="00677A3F" w:rsidRPr="005E6B60">
        <w:t>concentration time curve from time zero to last measurable concentration</w:t>
      </w:r>
      <w:r w:rsidR="00677A3F" w:rsidRPr="00B23300">
        <w:t xml:space="preserve"> (</w:t>
      </w:r>
      <w:proofErr w:type="spellStart"/>
      <w:r w:rsidR="00AE00F9" w:rsidRPr="00B23300">
        <w:t>AUC</w:t>
      </w:r>
      <w:r w:rsidR="00AE00F9" w:rsidRPr="00B23300">
        <w:rPr>
          <w:vertAlign w:val="subscript"/>
        </w:rPr>
        <w:t>t</w:t>
      </w:r>
      <w:proofErr w:type="spellEnd"/>
      <w:r w:rsidR="00677A3F" w:rsidRPr="00B23300">
        <w:t>)</w:t>
      </w:r>
      <w:r w:rsidR="00AE00F9" w:rsidRPr="00B23300">
        <w:t xml:space="preserve"> and</w:t>
      </w:r>
      <w:r w:rsidR="00677A3F" w:rsidRPr="00B23300">
        <w:t xml:space="preserve"> </w:t>
      </w:r>
      <w:r w:rsidR="00677A3F" w:rsidRPr="005E6B60">
        <w:t>maximum serum concentration</w:t>
      </w:r>
      <w:r w:rsidR="00AE00F9" w:rsidRPr="005E6B60">
        <w:t xml:space="preserve"> </w:t>
      </w:r>
      <w:r w:rsidR="00677A3F" w:rsidRPr="005E6B60">
        <w:t>(</w:t>
      </w:r>
      <w:proofErr w:type="spellStart"/>
      <w:r w:rsidR="00AE00F9" w:rsidRPr="005E6B60">
        <w:t>C</w:t>
      </w:r>
      <w:r w:rsidR="00AE00F9" w:rsidRPr="005E6B60">
        <w:rPr>
          <w:vertAlign w:val="subscript"/>
        </w:rPr>
        <w:t>max</w:t>
      </w:r>
      <w:proofErr w:type="spellEnd"/>
      <w:r w:rsidR="00677A3F" w:rsidRPr="005E6B60">
        <w:t>)</w:t>
      </w:r>
      <w:r w:rsidR="00AE00F9" w:rsidRPr="00B23300">
        <w:t xml:space="preserve"> were 1.12 and 1.13, respectively for 25 mg </w:t>
      </w:r>
      <w:r w:rsidR="00EF5548">
        <w:t>subcutaneous (SC)</w:t>
      </w:r>
      <w:r w:rsidR="00AE00F9" w:rsidRPr="00B23300">
        <w:t xml:space="preserve"> dosing. The mean </w:t>
      </w:r>
      <w:proofErr w:type="spellStart"/>
      <w:r w:rsidR="00AE00F9" w:rsidRPr="00B23300">
        <w:t>AUC</w:t>
      </w:r>
      <w:r w:rsidR="00AE00F9" w:rsidRPr="00B23300">
        <w:rPr>
          <w:vertAlign w:val="subscript"/>
        </w:rPr>
        <w:t>t</w:t>
      </w:r>
      <w:proofErr w:type="spellEnd"/>
      <w:r w:rsidR="00AE00F9" w:rsidRPr="00B23300">
        <w:t xml:space="preserve"> values of </w:t>
      </w:r>
      <w:proofErr w:type="spellStart"/>
      <w:r w:rsidR="00AE00F9" w:rsidRPr="00B23300">
        <w:t>Rymti</w:t>
      </w:r>
      <w:proofErr w:type="spellEnd"/>
      <w:r>
        <w:t>/</w:t>
      </w:r>
      <w:proofErr w:type="spellStart"/>
      <w:r w:rsidR="00EF5548">
        <w:t>Etera</w:t>
      </w:r>
      <w:proofErr w:type="spellEnd"/>
      <w:r w:rsidR="00AE00F9" w:rsidRPr="00B23300">
        <w:t xml:space="preserve"> and Enbrel were comparable at 431.28</w:t>
      </w:r>
      <w:r w:rsidR="00EF5548">
        <w:t> </w:t>
      </w:r>
      <w:r w:rsidR="00EC2F62" w:rsidRPr="00B23300">
        <w:t>µ</w:t>
      </w:r>
      <w:proofErr w:type="spellStart"/>
      <w:r w:rsidR="00AE00F9" w:rsidRPr="00B23300">
        <w:t>g·h</w:t>
      </w:r>
      <w:proofErr w:type="spellEnd"/>
      <w:r w:rsidR="00AE00F9" w:rsidRPr="00B23300">
        <w:t xml:space="preserve">/mL and 380.84 </w:t>
      </w:r>
      <w:r w:rsidR="00EC2F62" w:rsidRPr="00B23300">
        <w:t>µ</w:t>
      </w:r>
      <w:proofErr w:type="spellStart"/>
      <w:r w:rsidR="00784623" w:rsidRPr="00B23300">
        <w:t>g</w:t>
      </w:r>
      <w:r w:rsidR="00AE00F9" w:rsidRPr="00B23300">
        <w:t>·h</w:t>
      </w:r>
      <w:proofErr w:type="spellEnd"/>
      <w:r w:rsidR="00AE00F9" w:rsidRPr="00B23300">
        <w:t xml:space="preserve">/mL, respectively. The mean </w:t>
      </w:r>
      <w:proofErr w:type="spellStart"/>
      <w:r w:rsidR="00AE00F9" w:rsidRPr="00B23300">
        <w:t>C</w:t>
      </w:r>
      <w:r w:rsidR="00AE00F9" w:rsidRPr="005E6B60">
        <w:rPr>
          <w:vertAlign w:val="subscript"/>
        </w:rPr>
        <w:t>max</w:t>
      </w:r>
      <w:proofErr w:type="spellEnd"/>
      <w:r w:rsidR="00AE00F9" w:rsidRPr="005E6B60">
        <w:t xml:space="preserve"> values we</w:t>
      </w:r>
      <w:r w:rsidR="009B7D6D" w:rsidRPr="005E6B60">
        <w:t>re also comparable between the two</w:t>
      </w:r>
      <w:r w:rsidR="00AE00F9" w:rsidRPr="005E6B60">
        <w:t xml:space="preserve"> formulations of </w:t>
      </w:r>
      <w:proofErr w:type="spellStart"/>
      <w:r w:rsidR="00AE00F9" w:rsidRPr="005E6B60">
        <w:t>etanercept</w:t>
      </w:r>
      <w:proofErr w:type="spellEnd"/>
      <w:r w:rsidR="00AE00F9" w:rsidRPr="005E6B60">
        <w:t xml:space="preserve"> being 1.966 </w:t>
      </w:r>
      <w:r w:rsidR="00EC2F62" w:rsidRPr="00B23300">
        <w:t>µ</w:t>
      </w:r>
      <w:r w:rsidR="00AE00F9" w:rsidRPr="00B23300">
        <w:t xml:space="preserve">g/mL following </w:t>
      </w:r>
      <w:proofErr w:type="spellStart"/>
      <w:r w:rsidR="00AE00F9" w:rsidRPr="00B23300">
        <w:t>Rymti</w:t>
      </w:r>
      <w:proofErr w:type="spellEnd"/>
      <w:r w:rsidR="00AE00F9" w:rsidRPr="00B23300">
        <w:t xml:space="preserve"> injection and 1.742 </w:t>
      </w:r>
      <w:r w:rsidR="00EC2F62" w:rsidRPr="00B23300">
        <w:t>µ</w:t>
      </w:r>
      <w:r w:rsidR="00AE00F9" w:rsidRPr="00B23300">
        <w:t>g</w:t>
      </w:r>
      <w:r w:rsidR="005E2A78" w:rsidRPr="00B23300">
        <w:t xml:space="preserve">/mL following Enbrel. The </w:t>
      </w:r>
      <w:proofErr w:type="spellStart"/>
      <w:r w:rsidR="005E2A78" w:rsidRPr="00B23300">
        <w:t>Rymti</w:t>
      </w:r>
      <w:proofErr w:type="spellEnd"/>
      <w:r w:rsidR="005E2A78" w:rsidRPr="00B23300">
        <w:t xml:space="preserve"> or </w:t>
      </w:r>
      <w:r w:rsidR="00AE00F9" w:rsidRPr="00B23300">
        <w:t xml:space="preserve">Enbrel ratios for </w:t>
      </w:r>
      <w:proofErr w:type="spellStart"/>
      <w:r w:rsidR="00AE00F9" w:rsidRPr="00B23300">
        <w:t>AUC</w:t>
      </w:r>
      <w:r w:rsidR="00AE00F9" w:rsidRPr="00B23300">
        <w:rPr>
          <w:vertAlign w:val="subscript"/>
        </w:rPr>
        <w:t>t</w:t>
      </w:r>
      <w:proofErr w:type="spellEnd"/>
      <w:r w:rsidR="00AE00F9" w:rsidRPr="00B23300">
        <w:t xml:space="preserve"> and </w:t>
      </w:r>
      <w:proofErr w:type="spellStart"/>
      <w:r w:rsidR="00AE00F9" w:rsidRPr="00B23300">
        <w:t>C</w:t>
      </w:r>
      <w:r w:rsidR="00AE00F9" w:rsidRPr="00B23300">
        <w:rPr>
          <w:vertAlign w:val="subscript"/>
        </w:rPr>
        <w:t>max</w:t>
      </w:r>
      <w:proofErr w:type="spellEnd"/>
      <w:r w:rsidR="00AE00F9" w:rsidRPr="00B23300">
        <w:t xml:space="preserve"> were 1.12 (90% </w:t>
      </w:r>
      <w:r w:rsidR="00677A3F" w:rsidRPr="005E6B60">
        <w:t>confidence interval (</w:t>
      </w:r>
      <w:r w:rsidR="00AE00F9" w:rsidRPr="005E6B60">
        <w:t>CI</w:t>
      </w:r>
      <w:r w:rsidR="00677A3F" w:rsidRPr="005E6B60">
        <w:t>)</w:t>
      </w:r>
      <w:r w:rsidR="00AE00F9" w:rsidRPr="00B23300">
        <w:t xml:space="preserve"> 1.03, 1.21) and 1.13 (90% CI 1.04, 1.22), respectively</w:t>
      </w:r>
      <w:r w:rsidR="001361CF" w:rsidRPr="00B23300">
        <w:t>.</w:t>
      </w:r>
    </w:p>
    <w:p w14:paraId="5F5077F8" w14:textId="2971C87F" w:rsidR="00AE00F9" w:rsidRPr="005E6B60" w:rsidRDefault="000A2325" w:rsidP="00D47A3D">
      <w:r>
        <w:t xml:space="preserve">In the Indian study the </w:t>
      </w:r>
      <w:proofErr w:type="spellStart"/>
      <w:r>
        <w:t>Rymti</w:t>
      </w:r>
      <w:proofErr w:type="spellEnd"/>
      <w:r>
        <w:t>/</w:t>
      </w:r>
      <w:proofErr w:type="spellStart"/>
      <w:r w:rsidR="00EF5548">
        <w:t>Etera</w:t>
      </w:r>
      <w:proofErr w:type="spellEnd"/>
      <w:r w:rsidR="00EF5548">
        <w:t xml:space="preserve"> </w:t>
      </w:r>
      <w:r w:rsidR="005E2A78" w:rsidRPr="00B23300">
        <w:t xml:space="preserve">or </w:t>
      </w:r>
      <w:r w:rsidR="00AE00F9" w:rsidRPr="00B23300">
        <w:t xml:space="preserve">Indian sourced Enbrel reference ratios for </w:t>
      </w:r>
      <w:proofErr w:type="spellStart"/>
      <w:r w:rsidR="00AE00F9" w:rsidRPr="00B23300">
        <w:t>AUC</w:t>
      </w:r>
      <w:r w:rsidR="00AE00F9" w:rsidRPr="00B23300">
        <w:rPr>
          <w:vertAlign w:val="subscript"/>
        </w:rPr>
        <w:t>t</w:t>
      </w:r>
      <w:proofErr w:type="spellEnd"/>
      <w:r w:rsidR="00AE00F9" w:rsidRPr="00B23300">
        <w:t xml:space="preserve"> and </w:t>
      </w:r>
      <w:proofErr w:type="spellStart"/>
      <w:r w:rsidR="00AE00F9" w:rsidRPr="00B23300">
        <w:t>C</w:t>
      </w:r>
      <w:r w:rsidR="00AE00F9" w:rsidRPr="00B23300">
        <w:rPr>
          <w:vertAlign w:val="subscript"/>
        </w:rPr>
        <w:t>max</w:t>
      </w:r>
      <w:proofErr w:type="spellEnd"/>
      <w:r w:rsidR="00AE00F9" w:rsidRPr="00B23300">
        <w:t xml:space="preserve"> in this study we</w:t>
      </w:r>
      <w:r w:rsidR="00E13FDA" w:rsidRPr="005E6B60">
        <w:t>re 1.08 and 1.05, respectively.</w:t>
      </w:r>
    </w:p>
    <w:p w14:paraId="2D1751D1" w14:textId="65ED144B" w:rsidR="00AE00F9" w:rsidRPr="005E6B60" w:rsidRDefault="00AE00F9" w:rsidP="00D47A3D">
      <w:r w:rsidRPr="005E6B60">
        <w:t>The half-life</w:t>
      </w:r>
      <w:r w:rsidR="00EF5548">
        <w:t xml:space="preserve"> (</w:t>
      </w:r>
      <w:r w:rsidR="00EF5548" w:rsidRPr="005E6B60">
        <w:t>T</w:t>
      </w:r>
      <w:r w:rsidR="00EF5548" w:rsidRPr="005E6B60">
        <w:rPr>
          <w:vertAlign w:val="subscript"/>
        </w:rPr>
        <w:t>1/2</w:t>
      </w:r>
      <w:r w:rsidR="00EF5548">
        <w:t xml:space="preserve">) </w:t>
      </w:r>
      <w:r w:rsidRPr="005E6B60">
        <w:t xml:space="preserve">of </w:t>
      </w:r>
      <w:proofErr w:type="spellStart"/>
      <w:r w:rsidRPr="005E6B60">
        <w:t>etanercept</w:t>
      </w:r>
      <w:proofErr w:type="spellEnd"/>
      <w:r w:rsidRPr="005E6B60">
        <w:t xml:space="preserve"> for both products in Japanese patients was 115 </w:t>
      </w:r>
      <w:proofErr w:type="gramStart"/>
      <w:r w:rsidRPr="005E6B60">
        <w:t>minutes and 69</w:t>
      </w:r>
      <w:proofErr w:type="gramEnd"/>
      <w:r w:rsidR="00EF5548">
        <w:t> </w:t>
      </w:r>
      <w:r w:rsidRPr="005E6B60">
        <w:t xml:space="preserve">and 74 minutes for Indian patients Enbrel and </w:t>
      </w:r>
      <w:proofErr w:type="spellStart"/>
      <w:r w:rsidRPr="005E6B60">
        <w:t>Rymti</w:t>
      </w:r>
      <w:proofErr w:type="spellEnd"/>
      <w:r w:rsidRPr="005E6B60">
        <w:t xml:space="preserve">, respectively. The sponsor undertook a population PK analysis approach </w:t>
      </w:r>
      <w:proofErr w:type="gramStart"/>
      <w:r w:rsidRPr="005E6B60">
        <w:t>to further understand</w:t>
      </w:r>
      <w:proofErr w:type="gramEnd"/>
      <w:r w:rsidRPr="005E6B60">
        <w:t xml:space="preserve"> the differences. The concentration</w:t>
      </w:r>
      <w:r w:rsidR="003F2E79" w:rsidRPr="005E6B60">
        <w:t xml:space="preserve"> </w:t>
      </w:r>
      <w:r w:rsidRPr="005E6B60">
        <w:t xml:space="preserve">time profiles and PK parameters of </w:t>
      </w:r>
      <w:proofErr w:type="spellStart"/>
      <w:r w:rsidRPr="005E6B60">
        <w:t>etanercept</w:t>
      </w:r>
      <w:proofErr w:type="spellEnd"/>
      <w:r w:rsidRPr="005E6B60">
        <w:t xml:space="preserve"> </w:t>
      </w:r>
      <w:proofErr w:type="gramStart"/>
      <w:r w:rsidRPr="005E6B60">
        <w:t>were simulated</w:t>
      </w:r>
      <w:proofErr w:type="gramEnd"/>
      <w:r w:rsidRPr="005E6B60">
        <w:t xml:space="preserve"> in Japanese subjects at a dose of 50 mg and for Indian subjects at dose of 25 mg using </w:t>
      </w:r>
      <w:r w:rsidR="00F95134">
        <w:t>derived input parameters and a one</w:t>
      </w:r>
      <w:r w:rsidRPr="005E6B60">
        <w:t xml:space="preserve"> compartmental extravascular PK model. Simulations supported the observed data and revealed the differences in the </w:t>
      </w:r>
      <w:r w:rsidR="00677A3F" w:rsidRPr="005E6B60">
        <w:t>t</w:t>
      </w:r>
      <w:r w:rsidR="00202966" w:rsidRPr="005E6B60">
        <w:t xml:space="preserve">erminal drug </w:t>
      </w:r>
      <w:r w:rsidRPr="005E6B60">
        <w:t>T</w:t>
      </w:r>
      <w:r w:rsidRPr="005E6B60">
        <w:rPr>
          <w:vertAlign w:val="subscript"/>
        </w:rPr>
        <w:t>1/2</w:t>
      </w:r>
      <w:r w:rsidRPr="005E6B60">
        <w:t xml:space="preserve"> and</w:t>
      </w:r>
      <w:r w:rsidR="00677A3F" w:rsidRPr="005E6B60">
        <w:t xml:space="preserve"> area under concentration time curve</w:t>
      </w:r>
      <w:r w:rsidRPr="005E6B60">
        <w:t xml:space="preserve"> </w:t>
      </w:r>
      <w:r w:rsidR="00677A3F" w:rsidRPr="005E6B60">
        <w:t>(</w:t>
      </w:r>
      <w:r w:rsidRPr="005E6B60">
        <w:t>AUC</w:t>
      </w:r>
      <w:r w:rsidR="00677A3F" w:rsidRPr="005E6B60">
        <w:t>)</w:t>
      </w:r>
      <w:r w:rsidR="009B7D6D" w:rsidRPr="00B23300">
        <w:t xml:space="preserve"> of </w:t>
      </w:r>
      <w:proofErr w:type="spellStart"/>
      <w:r w:rsidR="009B7D6D" w:rsidRPr="00B23300">
        <w:t>etanercept</w:t>
      </w:r>
      <w:proofErr w:type="spellEnd"/>
      <w:r w:rsidR="009B7D6D" w:rsidRPr="00B23300">
        <w:t xml:space="preserve"> between the two</w:t>
      </w:r>
      <w:r w:rsidRPr="00B23300">
        <w:t xml:space="preserve"> </w:t>
      </w:r>
      <w:proofErr w:type="gramStart"/>
      <w:r w:rsidRPr="00B23300">
        <w:t>subject</w:t>
      </w:r>
      <w:proofErr w:type="gramEnd"/>
      <w:r w:rsidRPr="00B23300">
        <w:t xml:space="preserve"> populations were due to a difference in the elimination phase of </w:t>
      </w:r>
      <w:proofErr w:type="spellStart"/>
      <w:r w:rsidRPr="00B23300">
        <w:t>etanercept</w:t>
      </w:r>
      <w:proofErr w:type="spellEnd"/>
      <w:r w:rsidRPr="00B23300">
        <w:t>. Japanese subjects have a significant higher T</w:t>
      </w:r>
      <w:r w:rsidRPr="00B23300">
        <w:rPr>
          <w:vertAlign w:val="subscript"/>
        </w:rPr>
        <w:t xml:space="preserve">1/2 </w:t>
      </w:r>
      <w:r w:rsidRPr="00B23300">
        <w:t xml:space="preserve">and AUC of </w:t>
      </w:r>
      <w:proofErr w:type="spellStart"/>
      <w:r w:rsidRPr="00B23300">
        <w:t>etanercept</w:t>
      </w:r>
      <w:proofErr w:type="spellEnd"/>
      <w:r w:rsidRPr="00B23300">
        <w:t xml:space="preserve"> compared to Indian subjects. Historical profiles of Japanese and Indian patients suggest th</w:t>
      </w:r>
      <w:r w:rsidRPr="005E6B60">
        <w:t xml:space="preserve">e Japanese PK profile is more similar to </w:t>
      </w:r>
      <w:r w:rsidR="00EF5548">
        <w:t xml:space="preserve">European </w:t>
      </w:r>
      <w:r w:rsidRPr="005E6B60">
        <w:t>patients and the Indian profile is mor</w:t>
      </w:r>
      <w:r w:rsidR="00202966" w:rsidRPr="005E6B60">
        <w:t xml:space="preserve">e similar to </w:t>
      </w:r>
      <w:r w:rsidR="00EF5548">
        <w:t>American</w:t>
      </w:r>
      <w:r w:rsidRPr="005E6B60">
        <w:t xml:space="preserve"> patients. Simulations based of the mean concentration data for each group produced similar results.</w:t>
      </w:r>
    </w:p>
    <w:p w14:paraId="72AA87E7" w14:textId="77777777" w:rsidR="00AE00F9" w:rsidRPr="005E6B60" w:rsidRDefault="00AE00F9" w:rsidP="00D47A3D">
      <w:r w:rsidRPr="005E6B60">
        <w:t xml:space="preserve">No multi-dose PK studies were conducted but this was justified </w:t>
      </w:r>
      <w:proofErr w:type="gramStart"/>
      <w:r w:rsidRPr="005E6B60">
        <w:t>on the basis of</w:t>
      </w:r>
      <w:proofErr w:type="gramEnd"/>
      <w:r w:rsidRPr="005E6B60">
        <w:t xml:space="preserve"> the linear PK profile of </w:t>
      </w:r>
      <w:proofErr w:type="spellStart"/>
      <w:r w:rsidRPr="005E6B60">
        <w:t>etanercept</w:t>
      </w:r>
      <w:proofErr w:type="spellEnd"/>
      <w:r w:rsidRPr="005E6B60">
        <w:t xml:space="preserve">. From the sponsor’s literature </w:t>
      </w:r>
      <w:proofErr w:type="gramStart"/>
      <w:r w:rsidRPr="005E6B60">
        <w:t>review</w:t>
      </w:r>
      <w:proofErr w:type="gramEnd"/>
      <w:r w:rsidRPr="005E6B60">
        <w:t xml:space="preserve"> there are no major differences across the indications for mean steady state </w:t>
      </w:r>
      <w:proofErr w:type="spellStart"/>
      <w:r w:rsidRPr="005E6B60">
        <w:t>etanercept</w:t>
      </w:r>
      <w:proofErr w:type="spellEnd"/>
      <w:r w:rsidRPr="005E6B60">
        <w:t xml:space="preserve"> concentrations.</w:t>
      </w:r>
    </w:p>
    <w:p w14:paraId="132CA5FA" w14:textId="2416401A" w:rsidR="00AE00F9" w:rsidRPr="00B23300" w:rsidRDefault="000A2325" w:rsidP="00D47A3D">
      <w:proofErr w:type="spellStart"/>
      <w:r>
        <w:t>Rymti</w:t>
      </w:r>
      <w:proofErr w:type="spellEnd"/>
      <w:r>
        <w:t>/</w:t>
      </w:r>
      <w:proofErr w:type="spellStart"/>
      <w:r w:rsidR="00EF5548">
        <w:t>Etera</w:t>
      </w:r>
      <w:proofErr w:type="spellEnd"/>
      <w:r w:rsidR="00EF5548">
        <w:t xml:space="preserve"> </w:t>
      </w:r>
      <w:r w:rsidR="00AE00F9" w:rsidRPr="005E6B60">
        <w:t xml:space="preserve">and Enbrel had similar levels of TNFα inhibition in the Indian pharmacology study. </w:t>
      </w:r>
      <w:r w:rsidR="00A31C79">
        <w:fldChar w:fldCharType="begin"/>
      </w:r>
      <w:r w:rsidR="00A31C79">
        <w:instrText xml:space="preserve"> REF _Ref57801954 \h </w:instrText>
      </w:r>
      <w:r w:rsidR="00A31C79">
        <w:fldChar w:fldCharType="separate"/>
      </w:r>
      <w:r w:rsidR="00A31C79" w:rsidRPr="00B23300">
        <w:t xml:space="preserve">Table </w:t>
      </w:r>
      <w:r w:rsidR="00A31C79">
        <w:rPr>
          <w:noProof/>
        </w:rPr>
        <w:t>3</w:t>
      </w:r>
      <w:r w:rsidR="00A31C79">
        <w:fldChar w:fldCharType="end"/>
      </w:r>
      <w:r w:rsidR="00DB34CF" w:rsidRPr="005E6B60">
        <w:t xml:space="preserve"> </w:t>
      </w:r>
      <w:r w:rsidR="00AE00F9" w:rsidRPr="005E6B60">
        <w:t>below shows a summary of the TNFα inhibition</w:t>
      </w:r>
      <w:r w:rsidR="00AE00F9" w:rsidRPr="00B23300">
        <w:t>.</w:t>
      </w:r>
    </w:p>
    <w:p w14:paraId="32E82171" w14:textId="7DA22220" w:rsidR="00AE00F9" w:rsidRPr="00B23300" w:rsidRDefault="005A4213" w:rsidP="009D64B5">
      <w:pPr>
        <w:pStyle w:val="TableTitle"/>
      </w:pPr>
      <w:bookmarkStart w:id="42" w:name="_Ref57801954"/>
      <w:r w:rsidRPr="00B23300">
        <w:t xml:space="preserve">Table </w:t>
      </w:r>
      <w:fldSimple w:instr=" SEQ Table \* ARABIC ">
        <w:r w:rsidR="00C34A49">
          <w:rPr>
            <w:noProof/>
          </w:rPr>
          <w:t>3</w:t>
        </w:r>
      </w:fldSimple>
      <w:bookmarkEnd w:id="42"/>
      <w:r w:rsidR="00B73652" w:rsidRPr="00B23300">
        <w:t>:</w:t>
      </w:r>
      <w:r w:rsidR="00AE00F9" w:rsidRPr="00B23300">
        <w:t xml:space="preserve"> </w:t>
      </w:r>
      <w:r w:rsidR="007B14C5" w:rsidRPr="00B23300">
        <w:t>Study LBC-14-155</w:t>
      </w:r>
      <w:r w:rsidR="001B42C1">
        <w:t xml:space="preserve"> </w:t>
      </w:r>
      <w:r w:rsidR="00EF5548">
        <w:t>T</w:t>
      </w:r>
      <w:r w:rsidR="00A17632" w:rsidRPr="00B23300">
        <w:t xml:space="preserve">umour necrosis factor inhibition in </w:t>
      </w:r>
      <w:r w:rsidR="00A17632" w:rsidRPr="00B23300">
        <w:rPr>
          <w:i/>
        </w:rPr>
        <w:t xml:space="preserve">in </w:t>
      </w:r>
      <w:r w:rsidR="00AE00F9" w:rsidRPr="00B23300">
        <w:rPr>
          <w:i/>
        </w:rPr>
        <w:t>vitro</w:t>
      </w:r>
      <w:r w:rsidR="006D4F85" w:rsidRPr="00B23300">
        <w:t xml:space="preserve"> system</w:t>
      </w:r>
      <w:proofErr w:type="gramStart"/>
      <w:r w:rsidR="00EF5548">
        <w:t>;</w:t>
      </w:r>
      <w:proofErr w:type="gramEnd"/>
      <w:r w:rsidR="009367C6">
        <w:t xml:space="preserve"> </w:t>
      </w:r>
      <w:r w:rsidR="00AE00F9" w:rsidRPr="00B23300">
        <w:t xml:space="preserve">recovery of </w:t>
      </w:r>
      <w:r w:rsidR="00B103D6" w:rsidRPr="00B23300">
        <w:t xml:space="preserve">tumour necrosis factor </w:t>
      </w:r>
      <w:r w:rsidR="00AE00F9" w:rsidRPr="00B23300">
        <w:t>α</w:t>
      </w:r>
    </w:p>
    <w:p w14:paraId="490722CA" w14:textId="2230B35E" w:rsidR="004E3D11" w:rsidRPr="00B23300" w:rsidRDefault="004E3D11" w:rsidP="00AE00F9">
      <w:pPr>
        <w:keepNext/>
        <w:spacing w:before="0"/>
        <w:rPr>
          <w:sz w:val="19"/>
          <w:szCs w:val="18"/>
        </w:rPr>
      </w:pPr>
      <w:r w:rsidRPr="00B23300">
        <w:rPr>
          <w:noProof/>
          <w:sz w:val="19"/>
          <w:szCs w:val="18"/>
          <w:lang w:eastAsia="en-AU"/>
        </w:rPr>
        <w:drawing>
          <wp:inline distT="0" distB="0" distL="0" distR="0" wp14:anchorId="415DDCFD" wp14:editId="2609C52F">
            <wp:extent cx="5400040" cy="672465"/>
            <wp:effectExtent l="0" t="0" r="0" b="0"/>
            <wp:docPr id="5" name="Picture 5" descr="Study LBC-14-155 Tumour necrosis factor inhibition in in vitro system; recovery of tumour necrosis factor 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able 3a resized TNF inhibition in in-vitro system – recovery of TNFα Study LBC-14-155.png"/>
                    <pic:cNvPicPr/>
                  </pic:nvPicPr>
                  <pic:blipFill>
                    <a:blip r:embed="rId15">
                      <a:extLst>
                        <a:ext uri="{28A0092B-C50C-407E-A947-70E740481C1C}">
                          <a14:useLocalDpi xmlns:a14="http://schemas.microsoft.com/office/drawing/2010/main" val="0"/>
                        </a:ext>
                      </a:extLst>
                    </a:blip>
                    <a:stretch>
                      <a:fillRect/>
                    </a:stretch>
                  </pic:blipFill>
                  <pic:spPr>
                    <a:xfrm>
                      <a:off x="0" y="0"/>
                      <a:ext cx="5400040" cy="672465"/>
                    </a:xfrm>
                    <a:prstGeom prst="rect">
                      <a:avLst/>
                    </a:prstGeom>
                  </pic:spPr>
                </pic:pic>
              </a:graphicData>
            </a:graphic>
          </wp:inline>
        </w:drawing>
      </w:r>
    </w:p>
    <w:p w14:paraId="72F9831F" w14:textId="08B015DF" w:rsidR="00DF49EE" w:rsidRPr="00B23300" w:rsidRDefault="00A84810" w:rsidP="00DA266F">
      <w:pPr>
        <w:pStyle w:val="TableDescription"/>
        <w:spacing w:before="0"/>
      </w:pPr>
      <w:r w:rsidRPr="00B23300">
        <w:t xml:space="preserve">T is </w:t>
      </w:r>
      <w:proofErr w:type="spellStart"/>
      <w:r w:rsidRPr="00B23300">
        <w:t>Rymti</w:t>
      </w:r>
      <w:proofErr w:type="spellEnd"/>
      <w:r w:rsidR="00EF5548">
        <w:t xml:space="preserve">; </w:t>
      </w:r>
      <w:r w:rsidRPr="00B23300">
        <w:t>R is Indian</w:t>
      </w:r>
      <w:r w:rsidR="00EF5548">
        <w:t>-sourced</w:t>
      </w:r>
      <w:r w:rsidRPr="00B23300">
        <w:t xml:space="preserve"> Enbrel</w:t>
      </w:r>
      <w:r w:rsidR="00EF5548">
        <w:t xml:space="preserve">; </w:t>
      </w:r>
      <w:r w:rsidR="004E3D11" w:rsidRPr="00B23300">
        <w:t>N</w:t>
      </w:r>
      <w:r w:rsidR="00571B56" w:rsidRPr="00B23300">
        <w:t xml:space="preserve"> = </w:t>
      </w:r>
      <w:r w:rsidR="00E13FDA" w:rsidRPr="00B23300">
        <w:t>number of observations</w:t>
      </w:r>
      <w:r w:rsidR="00EF5548">
        <w:t xml:space="preserve">; </w:t>
      </w:r>
      <w:r w:rsidR="00DB34CF">
        <w:t>SD = standard deviation; Min = m</w:t>
      </w:r>
      <w:r w:rsidR="00EF5548">
        <w:t>inimum</w:t>
      </w:r>
      <w:r w:rsidR="00DB34CF">
        <w:t>; Max = maximum.</w:t>
      </w:r>
    </w:p>
    <w:p w14:paraId="55355C58" w14:textId="77777777" w:rsidR="001B42C1" w:rsidRDefault="004E3D11" w:rsidP="00DA266F">
      <w:pPr>
        <w:pStyle w:val="TableDescription"/>
        <w:spacing w:before="0"/>
      </w:pPr>
      <w:r w:rsidRPr="00B23300">
        <w:t>*The obtained p-value is statically not significant at 0.05 level of significance</w:t>
      </w:r>
      <w:r w:rsidR="001361CF" w:rsidRPr="00B23300">
        <w:t>.</w:t>
      </w:r>
    </w:p>
    <w:p w14:paraId="567B0294" w14:textId="43A307F0" w:rsidR="00AE00F9" w:rsidRDefault="00AE00F9" w:rsidP="002F56CA">
      <w:pPr>
        <w:pStyle w:val="Heading4"/>
      </w:pPr>
      <w:r w:rsidRPr="005E6B60">
        <w:t>Efficacy</w:t>
      </w:r>
    </w:p>
    <w:p w14:paraId="60745E59" w14:textId="284973D3" w:rsidR="00DB34CF" w:rsidRPr="00DB34CF" w:rsidRDefault="00DB34CF" w:rsidP="00A31C79">
      <w:pPr>
        <w:pStyle w:val="Heading5"/>
      </w:pPr>
      <w:r>
        <w:t>Study YLB113-002</w:t>
      </w:r>
    </w:p>
    <w:p w14:paraId="481ED4B6" w14:textId="1DAE21EA" w:rsidR="00AE00F9" w:rsidRPr="00B23300" w:rsidRDefault="00AE00F9" w:rsidP="00D47A3D">
      <w:r w:rsidRPr="00B23300">
        <w:t>Study YLB113-002 was a multicentre, multinational, double</w:t>
      </w:r>
      <w:r w:rsidR="003F2E79" w:rsidRPr="00B23300">
        <w:t xml:space="preserve"> </w:t>
      </w:r>
      <w:r w:rsidRPr="00B23300">
        <w:t xml:space="preserve">blind, </w:t>
      </w:r>
      <w:proofErr w:type="gramStart"/>
      <w:r w:rsidRPr="00B23300">
        <w:t>randomised,</w:t>
      </w:r>
      <w:proofErr w:type="gramEnd"/>
      <w:r w:rsidRPr="00B23300">
        <w:t xml:space="preserve"> placebo</w:t>
      </w:r>
      <w:r w:rsidR="00E7196D" w:rsidRPr="00B23300">
        <w:t xml:space="preserve"> controlled Phase III</w:t>
      </w:r>
      <w:r w:rsidRPr="00B23300">
        <w:t xml:space="preserve"> study conducted between 2015 and 2017. It included 528 adult patients with at least moderately active RA</w:t>
      </w:r>
      <w:r w:rsidR="007B14C5">
        <w:t>;</w:t>
      </w:r>
      <w:r w:rsidR="00F258FF" w:rsidRPr="00B23300">
        <w:rPr>
          <w:rStyle w:val="FootnoteReference"/>
        </w:rPr>
        <w:footnoteReference w:id="4"/>
      </w:r>
      <w:r w:rsidRPr="00B23300">
        <w:t xml:space="preserve"> and with an i</w:t>
      </w:r>
      <w:r w:rsidR="00031814" w:rsidRPr="00B23300">
        <w:t>nadequate response to at least three</w:t>
      </w:r>
      <w:r w:rsidRPr="00B23300">
        <w:t xml:space="preserve"> mont</w:t>
      </w:r>
      <w:r w:rsidR="003F2E79" w:rsidRPr="00B23300">
        <w:t xml:space="preserve">hs of MTX at an optimum dose (6 to </w:t>
      </w:r>
      <w:r w:rsidRPr="00B23300">
        <w:t>25 mg/week, not exceeding local approved dose recommendations) but on a stable dose</w:t>
      </w:r>
      <w:r w:rsidR="00304062" w:rsidRPr="005E6B60">
        <w:t xml:space="preserve"> for at least six</w:t>
      </w:r>
      <w:r w:rsidRPr="005E6B60">
        <w:t xml:space="preserve"> weeks before screening, and with no prior biological treatment for RA. It was conducte</w:t>
      </w:r>
      <w:r w:rsidRPr="00B23300">
        <w:t>d in three stages, and initial double</w:t>
      </w:r>
      <w:r w:rsidR="003F2E79" w:rsidRPr="00B23300">
        <w:t xml:space="preserve"> </w:t>
      </w:r>
      <w:r w:rsidR="000C2B20" w:rsidRPr="00B23300">
        <w:t xml:space="preserve">blind randomised phase to a </w:t>
      </w:r>
      <w:proofErr w:type="gramStart"/>
      <w:r w:rsidR="000C2B20" w:rsidRPr="00B23300">
        <w:t>24 week</w:t>
      </w:r>
      <w:proofErr w:type="gramEnd"/>
      <w:r w:rsidR="000C2B20" w:rsidRPr="00B23300">
        <w:t xml:space="preserve"> primary endpoint (</w:t>
      </w:r>
      <w:r w:rsidR="00EA2DDA" w:rsidRPr="00B23300">
        <w:t>Stage</w:t>
      </w:r>
      <w:r w:rsidR="000C2B20" w:rsidRPr="00B23300">
        <w:t xml:space="preserve"> A). At the end of </w:t>
      </w:r>
      <w:r w:rsidR="00EA2DDA" w:rsidRPr="00B23300">
        <w:t>Stage</w:t>
      </w:r>
      <w:r w:rsidRPr="00B23300">
        <w:t xml:space="preserve"> A patients coul</w:t>
      </w:r>
      <w:r w:rsidR="003F2E79" w:rsidRPr="00B23300">
        <w:t xml:space="preserve">d either enter a 28 </w:t>
      </w:r>
      <w:r w:rsidRPr="00B23300">
        <w:t>week double bli</w:t>
      </w:r>
      <w:r w:rsidR="000C2B20" w:rsidRPr="00B23300">
        <w:t>nd treatment extension to a 52 w</w:t>
      </w:r>
      <w:r w:rsidRPr="00B23300">
        <w:t>eek endp</w:t>
      </w:r>
      <w:r w:rsidR="000C2B20" w:rsidRPr="00B23300">
        <w:t>oint then four</w:t>
      </w:r>
      <w:r w:rsidR="003F2E79" w:rsidRPr="00B23300">
        <w:t xml:space="preserve"> </w:t>
      </w:r>
      <w:r w:rsidR="000C2B20" w:rsidRPr="00B23300">
        <w:t>week follow-up (</w:t>
      </w:r>
      <w:r w:rsidR="00EA2DDA" w:rsidRPr="00B23300">
        <w:t>Stage</w:t>
      </w:r>
      <w:r w:rsidRPr="00B23300">
        <w:t xml:space="preserve"> B) or </w:t>
      </w:r>
      <w:r w:rsidR="00EA2DDA" w:rsidRPr="00B23300">
        <w:t>Stage</w:t>
      </w:r>
      <w:r w:rsidRPr="00B23300">
        <w:t xml:space="preserve"> C in which patients switched from </w:t>
      </w:r>
      <w:proofErr w:type="spellStart"/>
      <w:r w:rsidRPr="00B23300">
        <w:t>Rymti</w:t>
      </w:r>
      <w:proofErr w:type="spellEnd"/>
      <w:r w:rsidRPr="00B23300">
        <w:t xml:space="preserve"> </w:t>
      </w:r>
      <w:r w:rsidR="00E13FDA" w:rsidRPr="00B23300">
        <w:t xml:space="preserve">to Enbrel, or Enbrel to </w:t>
      </w:r>
      <w:proofErr w:type="spellStart"/>
      <w:r w:rsidR="00E13FDA" w:rsidRPr="00B23300">
        <w:t>Rymti</w:t>
      </w:r>
      <w:proofErr w:type="spellEnd"/>
      <w:r w:rsidR="00E13FDA" w:rsidRPr="00B23300">
        <w:t>.</w:t>
      </w:r>
    </w:p>
    <w:p w14:paraId="7CB278B0" w14:textId="2B941591" w:rsidR="00AE00F9" w:rsidRPr="005E6B60" w:rsidRDefault="000C2B20" w:rsidP="00D47A3D">
      <w:r w:rsidRPr="00B23300">
        <w:t xml:space="preserve">Patients were eligible for </w:t>
      </w:r>
      <w:r w:rsidR="00EA2DDA" w:rsidRPr="00B23300">
        <w:t>Stage</w:t>
      </w:r>
      <w:r w:rsidRPr="00B23300">
        <w:t xml:space="preserve"> B of </w:t>
      </w:r>
      <w:r w:rsidR="00EA2DDA" w:rsidRPr="00B23300">
        <w:t>Study</w:t>
      </w:r>
      <w:r w:rsidR="00AE00F9" w:rsidRPr="00B23300">
        <w:t xml:space="preserve"> YLB113-002 if t</w:t>
      </w:r>
      <w:r w:rsidRPr="00B23300">
        <w:t xml:space="preserve">hey had completed </w:t>
      </w:r>
      <w:r w:rsidR="00EA2DDA" w:rsidRPr="00B23300">
        <w:t>Stage</w:t>
      </w:r>
      <w:r w:rsidR="00AE00F9" w:rsidRPr="00B23300">
        <w:t xml:space="preserve"> A without treatment related Grade 3 or higher</w:t>
      </w:r>
      <w:r w:rsidR="004657F3" w:rsidRPr="00B23300">
        <w:t xml:space="preserve"> </w:t>
      </w:r>
      <w:r w:rsidR="004657F3" w:rsidRPr="005E6B60">
        <w:t>treatment related</w:t>
      </w:r>
      <w:r w:rsidR="004657F3" w:rsidRPr="00B23300">
        <w:t xml:space="preserve"> </w:t>
      </w:r>
      <w:r w:rsidR="00AE00F9" w:rsidRPr="005E6B60">
        <w:t>adverse events (TRAE)</w:t>
      </w:r>
      <w:r w:rsidR="00AE00F9" w:rsidRPr="00B23300">
        <w:t xml:space="preserve"> and could tolerate the study medication. Patients were eligible for </w:t>
      </w:r>
      <w:r w:rsidR="00EA2DDA" w:rsidRPr="00B23300">
        <w:t>Stage</w:t>
      </w:r>
      <w:r w:rsidRPr="00B23300">
        <w:t xml:space="preserve"> C of </w:t>
      </w:r>
      <w:r w:rsidR="00EA2DDA" w:rsidRPr="00B23300">
        <w:t>Study</w:t>
      </w:r>
      <w:r w:rsidR="00DB34CF">
        <w:t> </w:t>
      </w:r>
      <w:r w:rsidR="00AE00F9" w:rsidRPr="00B23300">
        <w:t>YLB113-002 if they had a reduction in ba</w:t>
      </w:r>
      <w:r w:rsidR="00EA2DDA" w:rsidRPr="00B23300">
        <w:t xml:space="preserve">seline </w:t>
      </w:r>
      <w:r w:rsidR="00DB34CF" w:rsidRPr="005E6B60">
        <w:t xml:space="preserve">Disease Activity Score </w:t>
      </w:r>
      <w:r w:rsidR="00B61CDB" w:rsidRPr="005E6B60">
        <w:t>(</w:t>
      </w:r>
      <w:r w:rsidR="00EA2DDA" w:rsidRPr="005E6B60">
        <w:t>DAS</w:t>
      </w:r>
      <w:r w:rsidR="00B61CDB" w:rsidRPr="005E6B60">
        <w:t>)</w:t>
      </w:r>
      <w:r w:rsidR="00EA2DDA" w:rsidRPr="00B23300">
        <w:t xml:space="preserve"> 28</w:t>
      </w:r>
      <w:r w:rsidR="004D153E" w:rsidRPr="00B23300">
        <w:t>;</w:t>
      </w:r>
      <w:r w:rsidR="004D153E" w:rsidRPr="00B23300">
        <w:rPr>
          <w:rStyle w:val="FootnoteReference"/>
        </w:rPr>
        <w:footnoteReference w:id="5"/>
      </w:r>
      <w:r w:rsidR="00EA2DDA" w:rsidRPr="00B23300">
        <w:t xml:space="preserve"> score of ≥</w:t>
      </w:r>
      <w:r w:rsidR="00063E64" w:rsidRPr="00B23300">
        <w:t xml:space="preserve"> </w:t>
      </w:r>
      <w:r w:rsidR="00EA2DDA" w:rsidRPr="00B23300">
        <w:t>0.6 at Week 12 and/or W</w:t>
      </w:r>
      <w:r w:rsidR="00AE00F9" w:rsidRPr="00B23300">
        <w:t xml:space="preserve">eek 24, had completed </w:t>
      </w:r>
      <w:r w:rsidR="00EA2DDA" w:rsidRPr="00B23300">
        <w:t>Stage</w:t>
      </w:r>
      <w:r w:rsidR="00AE00F9" w:rsidRPr="00B23300">
        <w:t xml:space="preserve"> A, and could tolerat</w:t>
      </w:r>
      <w:r w:rsidR="00AE00F9" w:rsidRPr="00431339">
        <w:t xml:space="preserve">e the study treatment in </w:t>
      </w:r>
      <w:r w:rsidR="00EA2DDA" w:rsidRPr="00431339">
        <w:t>Stage</w:t>
      </w:r>
      <w:r w:rsidR="00AE00F9" w:rsidRPr="00431339">
        <w:t xml:space="preserve"> A without </w:t>
      </w:r>
      <w:r w:rsidR="00AE00F9" w:rsidRPr="005E6B60">
        <w:t>serious adverse events (</w:t>
      </w:r>
      <w:proofErr w:type="gramStart"/>
      <w:r w:rsidR="00AE00F9" w:rsidRPr="005E6B60">
        <w:t>SAE)</w:t>
      </w:r>
      <w:r w:rsidR="00AE00F9" w:rsidRPr="00B23300">
        <w:t xml:space="preserve"> or unresolv</w:t>
      </w:r>
      <w:r w:rsidRPr="00B23300">
        <w:t>ed Grade 3</w:t>
      </w:r>
      <w:proofErr w:type="gramEnd"/>
      <w:r w:rsidRPr="00B23300">
        <w:t xml:space="preserve"> or higher TRAEs. In </w:t>
      </w:r>
      <w:r w:rsidR="00EA2DDA" w:rsidRPr="00B23300">
        <w:t>Stage</w:t>
      </w:r>
      <w:r w:rsidR="00AE00F9" w:rsidRPr="00B23300">
        <w:t xml:space="preserve"> C, subjects crossed over to the other </w:t>
      </w:r>
      <w:proofErr w:type="spellStart"/>
      <w:r w:rsidR="00AE00F9" w:rsidRPr="00B23300">
        <w:t>etanercept</w:t>
      </w:r>
      <w:proofErr w:type="spellEnd"/>
      <w:r w:rsidR="00AE00F9" w:rsidRPr="00B23300">
        <w:t xml:space="preserve"> treatment arm. Patients </w:t>
      </w:r>
      <w:proofErr w:type="gramStart"/>
      <w:r w:rsidR="00AE00F9" w:rsidRPr="00B23300">
        <w:t>whose</w:t>
      </w:r>
      <w:proofErr w:type="gramEnd"/>
      <w:r w:rsidR="00AE00F9" w:rsidRPr="00B23300">
        <w:t xml:space="preserve"> DAS28 score had either </w:t>
      </w:r>
      <w:r w:rsidR="00107E74" w:rsidRPr="005E6B60">
        <w:t>not improved sufficiently from B</w:t>
      </w:r>
      <w:r w:rsidR="00AE00F9" w:rsidRPr="005E6B60">
        <w:t>aseline or those inclined to</w:t>
      </w:r>
      <w:r w:rsidRPr="005E6B60">
        <w:t xml:space="preserve"> participate in </w:t>
      </w:r>
      <w:r w:rsidR="00EA2DDA" w:rsidRPr="005E6B60">
        <w:t>Stage</w:t>
      </w:r>
      <w:r w:rsidR="00AE00F9" w:rsidRPr="005E6B60">
        <w:t xml:space="preserve"> B (despite DAS28 improvement), were encouraged to continue in </w:t>
      </w:r>
      <w:r w:rsidR="00EA2DDA" w:rsidRPr="005E6B60">
        <w:t>Stage</w:t>
      </w:r>
      <w:r w:rsidR="00AE00F9" w:rsidRPr="005E6B60">
        <w:t xml:space="preserve"> B of the trial. </w:t>
      </w:r>
      <w:r w:rsidR="00EA2DDA" w:rsidRPr="005E6B60">
        <w:t>Stage</w:t>
      </w:r>
      <w:r w:rsidR="00AE00F9" w:rsidRPr="005E6B60">
        <w:t xml:space="preserve"> C was a later amendment to the initial study design that contributed delays the sponsor considers may have affected the numbers in this part of the study.</w:t>
      </w:r>
    </w:p>
    <w:p w14:paraId="046C426A" w14:textId="77777777" w:rsidR="00AE00F9" w:rsidRPr="005E6B60" w:rsidRDefault="00AE00F9" w:rsidP="00D47A3D">
      <w:r w:rsidRPr="005E6B60">
        <w:t xml:space="preserve">Exclusion criteria were numerous and </w:t>
      </w:r>
      <w:proofErr w:type="gramStart"/>
      <w:r w:rsidRPr="005E6B60">
        <w:t>were divided</w:t>
      </w:r>
      <w:proofErr w:type="gramEnd"/>
      <w:r w:rsidRPr="005E6B60">
        <w:t xml:space="preserve"> into four main categories:</w:t>
      </w:r>
    </w:p>
    <w:p w14:paraId="483C8A83" w14:textId="11005F75" w:rsidR="00AE00F9" w:rsidRPr="005E6B60" w:rsidRDefault="00DB34CF" w:rsidP="00D47A3D">
      <w:pPr>
        <w:pStyle w:val="ListBullet"/>
      </w:pPr>
      <w:r>
        <w:t>r</w:t>
      </w:r>
      <w:r w:rsidR="00AE00F9" w:rsidRPr="005E6B60">
        <w:t>eceipt of prohibited therapies for RA including any convention</w:t>
      </w:r>
      <w:r w:rsidR="009B7D6D" w:rsidRPr="005E6B60">
        <w:t>al DMARD other than MTX within two</w:t>
      </w:r>
      <w:r w:rsidR="00AE00F9" w:rsidRPr="005E6B60">
        <w:t xml:space="preserve"> week</w:t>
      </w:r>
      <w:r w:rsidR="0073783C" w:rsidRPr="005E6B60">
        <w:t>s of randomisation or at least five</w:t>
      </w:r>
      <w:r w:rsidR="00AE00F9" w:rsidRPr="005E6B60">
        <w:t xml:space="preserve"> drug </w:t>
      </w:r>
      <w:r w:rsidRPr="005E6B60">
        <w:t>T</w:t>
      </w:r>
      <w:r w:rsidRPr="005E6B60">
        <w:rPr>
          <w:vertAlign w:val="subscript"/>
        </w:rPr>
        <w:t>1/2</w:t>
      </w:r>
      <w:r w:rsidRPr="005E6B60" w:rsidDel="00DB34CF">
        <w:t xml:space="preserve"> </w:t>
      </w:r>
      <w:r w:rsidR="00AE00F9" w:rsidRPr="005E6B60">
        <w:t>(whichever is grea</w:t>
      </w:r>
      <w:r w:rsidR="00304062" w:rsidRPr="005E6B60">
        <w:t>ter), alkylating agents within six</w:t>
      </w:r>
      <w:r w:rsidR="00AE00F9" w:rsidRPr="005E6B60">
        <w:t xml:space="preserve"> months of randomisation, and systemic or intra-a</w:t>
      </w:r>
      <w:r w:rsidR="009B7D6D" w:rsidRPr="005E6B60">
        <w:t>rticular glucocorticoid within two</w:t>
      </w:r>
      <w:r w:rsidR="00AE00F9" w:rsidRPr="005E6B60">
        <w:t xml:space="preserve"> weeks of scree</w:t>
      </w:r>
      <w:r w:rsidR="00E13FDA" w:rsidRPr="005E6B60">
        <w:t>ning;</w:t>
      </w:r>
    </w:p>
    <w:p w14:paraId="559AB1A9" w14:textId="744F4871" w:rsidR="00AE00F9" w:rsidRPr="00B23300" w:rsidRDefault="00DB34CF" w:rsidP="00D47A3D">
      <w:pPr>
        <w:pStyle w:val="ListBullet"/>
      </w:pPr>
      <w:r>
        <w:t>i</w:t>
      </w:r>
      <w:r w:rsidR="00AE00F9" w:rsidRPr="005E6B60">
        <w:t>ncreased risk of significant infection, including active tuberculosis (TB)</w:t>
      </w:r>
      <w:r w:rsidR="00AE00F9" w:rsidRPr="00B23300">
        <w:t xml:space="preserve"> or latent TB; history of chronic or recurrent infection and receipt of live or live attenuated vacci</w:t>
      </w:r>
      <w:r w:rsidR="00687024" w:rsidRPr="00B23300">
        <w:t>ne within four</w:t>
      </w:r>
      <w:r w:rsidR="00E13FDA" w:rsidRPr="00B23300">
        <w:t xml:space="preserve"> weeks of screening;</w:t>
      </w:r>
    </w:p>
    <w:p w14:paraId="2A9E73B7" w14:textId="7415153E" w:rsidR="00AE00F9" w:rsidRPr="005E6B60" w:rsidRDefault="00DB34CF" w:rsidP="001D692E">
      <w:pPr>
        <w:pStyle w:val="ListBullet"/>
      </w:pPr>
      <w:r>
        <w:t>s</w:t>
      </w:r>
      <w:r w:rsidR="00AE00F9" w:rsidRPr="005E6B60">
        <w:t>ignificant laboratory abnormalities at screening including serum transaminases &gt;</w:t>
      </w:r>
      <w:r>
        <w:t> </w:t>
      </w:r>
      <w:r w:rsidR="00031814" w:rsidRPr="005E6B60">
        <w:t>three</w:t>
      </w:r>
      <w:r w:rsidR="00AE00F9" w:rsidRPr="005E6B60">
        <w:t xml:space="preserve"> x </w:t>
      </w:r>
      <w:r w:rsidR="001D692E" w:rsidRPr="005E6B60">
        <w:t>upper limit of normal (</w:t>
      </w:r>
      <w:r w:rsidR="00AE00F9" w:rsidRPr="005E6B60">
        <w:t>ULN</w:t>
      </w:r>
      <w:r w:rsidR="001D692E" w:rsidRPr="005E6B60">
        <w:t>)</w:t>
      </w:r>
      <w:r w:rsidR="00AE00F9" w:rsidRPr="005E6B60">
        <w:t>,</w:t>
      </w:r>
      <w:r w:rsidR="00AE00F9" w:rsidRPr="00B23300">
        <w:t xml:space="preserve"> serum total bilirubin &gt;</w:t>
      </w:r>
      <w:r w:rsidR="00E01921" w:rsidRPr="00B23300">
        <w:t xml:space="preserve"> </w:t>
      </w:r>
      <w:r w:rsidR="00083D16" w:rsidRPr="00B23300">
        <w:t>two</w:t>
      </w:r>
      <w:r w:rsidR="00AE00F9" w:rsidRPr="00B23300">
        <w:t xml:space="preserve"> x ULN, serum creatinine &gt;</w:t>
      </w:r>
      <w:r w:rsidR="00E01921" w:rsidRPr="00B23300">
        <w:t xml:space="preserve"> </w:t>
      </w:r>
      <w:r w:rsidR="00AE00F9" w:rsidRPr="00B23300">
        <w:t>2 mg/</w:t>
      </w:r>
      <w:proofErr w:type="spellStart"/>
      <w:r w:rsidR="00AE00F9" w:rsidRPr="00B23300">
        <w:t>dL</w:t>
      </w:r>
      <w:proofErr w:type="spellEnd"/>
      <w:r w:rsidR="00AE00F9" w:rsidRPr="00B23300">
        <w:t>, total white blood cell count &lt;</w:t>
      </w:r>
      <w:r w:rsidR="00E01921" w:rsidRPr="00B23300">
        <w:t xml:space="preserve"> </w:t>
      </w:r>
      <w:r w:rsidR="00AE00F9" w:rsidRPr="00431339">
        <w:t>3.5 x 10</w:t>
      </w:r>
      <w:r w:rsidR="00AE00F9" w:rsidRPr="00431339">
        <w:rPr>
          <w:vertAlign w:val="superscript"/>
        </w:rPr>
        <w:t>9</w:t>
      </w:r>
      <w:r w:rsidR="00AE00F9" w:rsidRPr="00431339">
        <w:t>/L, lymphocyte count &lt;</w:t>
      </w:r>
      <w:r>
        <w:t> </w:t>
      </w:r>
      <w:r w:rsidR="00AE00F9" w:rsidRPr="005E6B60">
        <w:t>1.0 x 10</w:t>
      </w:r>
      <w:r w:rsidR="00AE00F9" w:rsidRPr="005E6B60">
        <w:rPr>
          <w:vertAlign w:val="superscript"/>
        </w:rPr>
        <w:t>9</w:t>
      </w:r>
      <w:r w:rsidR="00AE00F9" w:rsidRPr="005E6B60">
        <w:t>/L, platelet count &lt;</w:t>
      </w:r>
      <w:r w:rsidR="00E01921" w:rsidRPr="005E6B60">
        <w:t xml:space="preserve"> </w:t>
      </w:r>
      <w:r w:rsidR="00AE00F9" w:rsidRPr="005E6B60">
        <w:t>125 x 10</w:t>
      </w:r>
      <w:r w:rsidR="00AE00F9" w:rsidRPr="005E6B60">
        <w:rPr>
          <w:vertAlign w:val="superscript"/>
        </w:rPr>
        <w:t>9</w:t>
      </w:r>
      <w:r w:rsidR="00AE00F9" w:rsidRPr="005E6B60">
        <w:t>/L and haemoglobin &lt;</w:t>
      </w:r>
      <w:r w:rsidR="00E01921" w:rsidRPr="005E6B60">
        <w:t xml:space="preserve"> </w:t>
      </w:r>
      <w:r w:rsidR="00E13FDA" w:rsidRPr="005E6B60">
        <w:t>8.0 g/</w:t>
      </w:r>
      <w:proofErr w:type="spellStart"/>
      <w:r w:rsidR="00E13FDA" w:rsidRPr="005E6B60">
        <w:t>dL</w:t>
      </w:r>
      <w:proofErr w:type="spellEnd"/>
      <w:r w:rsidR="00E13FDA" w:rsidRPr="005E6B60">
        <w:t>; and</w:t>
      </w:r>
    </w:p>
    <w:p w14:paraId="1BCA0CB9" w14:textId="540D6F40" w:rsidR="00AE00F9" w:rsidRPr="005E6B60" w:rsidRDefault="00DB34CF" w:rsidP="001D692E">
      <w:pPr>
        <w:pStyle w:val="ListBullet"/>
      </w:pPr>
      <w:proofErr w:type="gramStart"/>
      <w:r>
        <w:t>c</w:t>
      </w:r>
      <w:r w:rsidR="00AE00F9" w:rsidRPr="005E6B60">
        <w:t xml:space="preserve">o-morbidities that increased the patient’s </w:t>
      </w:r>
      <w:r w:rsidR="00EC51EB" w:rsidRPr="005E6B60">
        <w:t xml:space="preserve">risk when taking </w:t>
      </w:r>
      <w:proofErr w:type="spellStart"/>
      <w:r w:rsidR="00EC51EB" w:rsidRPr="005E6B60">
        <w:t>etanercept</w:t>
      </w:r>
      <w:proofErr w:type="spellEnd"/>
      <w:r w:rsidR="00EC51EB" w:rsidRPr="005E6B60">
        <w:t>, for example,</w:t>
      </w:r>
      <w:r w:rsidR="00AE00F9" w:rsidRPr="005E6B60">
        <w:t xml:space="preserve"> current or prior history of lymphoproliferative disease or clinically significant malignancy (except excised and cured squamous cell carcinoma of the uterine cervix and non-melanoma skin cancers), latex allergy history, </w:t>
      </w:r>
      <w:r w:rsidR="001D692E" w:rsidRPr="005E6B60">
        <w:t>New York Heart Association (</w:t>
      </w:r>
      <w:r w:rsidR="00AE00F9" w:rsidRPr="005E6B60">
        <w:t>NYHA</w:t>
      </w:r>
      <w:r w:rsidR="001D692E" w:rsidRPr="005E6B60">
        <w:t>)</w:t>
      </w:r>
      <w:r w:rsidR="00AE00F9" w:rsidRPr="00B23300">
        <w:t xml:space="preserve"> Class III or IV congestive cardiac failure</w:t>
      </w:r>
      <w:r w:rsidR="007B14C5">
        <w:t>;</w:t>
      </w:r>
      <w:r w:rsidR="003B19DC" w:rsidRPr="00B23300">
        <w:rPr>
          <w:rStyle w:val="FootnoteReference"/>
        </w:rPr>
        <w:footnoteReference w:id="6"/>
      </w:r>
      <w:r w:rsidR="00AE00F9" w:rsidRPr="00B23300">
        <w:t xml:space="preserve"> uncontrolled diabetes mellitus or hype</w:t>
      </w:r>
      <w:r w:rsidR="00083D16" w:rsidRPr="00B23300">
        <w:t>rtension, substance abuse in ≤ two</w:t>
      </w:r>
      <w:r w:rsidR="00AE00F9" w:rsidRPr="00B23300">
        <w:t xml:space="preserve"> years, any history of demyelinating disor</w:t>
      </w:r>
      <w:r w:rsidR="001B3586" w:rsidRPr="00B23300">
        <w:t>ders; pregnancy and lactation.</w:t>
      </w:r>
      <w:proofErr w:type="gramEnd"/>
    </w:p>
    <w:p w14:paraId="6B493D21" w14:textId="0F65B2B4" w:rsidR="00AE00F9" w:rsidRPr="00B23300" w:rsidRDefault="00AE00F9" w:rsidP="00D47A3D">
      <w:r w:rsidRPr="00B23300">
        <w:t>Study medication (</w:t>
      </w:r>
      <w:proofErr w:type="spellStart"/>
      <w:r w:rsidRPr="00B23300">
        <w:t>Rymti</w:t>
      </w:r>
      <w:proofErr w:type="spellEnd"/>
      <w:r w:rsidR="000A2325">
        <w:t>/</w:t>
      </w:r>
      <w:proofErr w:type="spellStart"/>
      <w:r w:rsidR="00DB34CF">
        <w:t>Etera</w:t>
      </w:r>
      <w:proofErr w:type="spellEnd"/>
      <w:r w:rsidRPr="00B23300">
        <w:t xml:space="preserve"> or Enbrel) </w:t>
      </w:r>
      <w:proofErr w:type="gramStart"/>
      <w:r w:rsidRPr="00B23300">
        <w:t>was administered</w:t>
      </w:r>
      <w:proofErr w:type="gramEnd"/>
      <w:r w:rsidRPr="00B23300">
        <w:t xml:space="preserve"> as a onc</w:t>
      </w:r>
      <w:r w:rsidR="00FF595B" w:rsidRPr="00B23300">
        <w:t>e weekly 50 mg subcutaneous</w:t>
      </w:r>
      <w:r w:rsidRPr="00B23300">
        <w:t xml:space="preserve"> injection into the thigh or abdominal wall. Up to </w:t>
      </w:r>
      <w:r w:rsidR="00EA2DDA" w:rsidRPr="00B23300">
        <w:t>Week</w:t>
      </w:r>
      <w:r w:rsidRPr="00B23300">
        <w:t xml:space="preserve"> 52, patients continued </w:t>
      </w:r>
      <w:r w:rsidR="00DB34CF">
        <w:t xml:space="preserve">on </w:t>
      </w:r>
      <w:r w:rsidRPr="00B23300">
        <w:t xml:space="preserve">a </w:t>
      </w:r>
      <w:r w:rsidR="00304062" w:rsidRPr="00B23300">
        <w:t xml:space="preserve">stable background dose of MTX </w:t>
      </w:r>
      <w:r w:rsidR="00DB34CF">
        <w:t>6</w:t>
      </w:r>
      <w:r w:rsidR="00DB34CF" w:rsidRPr="00B23300">
        <w:t xml:space="preserve"> </w:t>
      </w:r>
      <w:r w:rsidR="003F2E79" w:rsidRPr="00B23300">
        <w:t xml:space="preserve">to </w:t>
      </w:r>
      <w:r w:rsidRPr="00B23300">
        <w:t xml:space="preserve">25 mg/week. Folic acid therapy </w:t>
      </w:r>
      <w:proofErr w:type="gramStart"/>
      <w:r w:rsidRPr="00B23300">
        <w:t>was recommended</w:t>
      </w:r>
      <w:proofErr w:type="gramEnd"/>
      <w:r w:rsidRPr="00B23300">
        <w:t>. Oral glucocorticoids (≤</w:t>
      </w:r>
      <w:r w:rsidR="00CD7D52" w:rsidRPr="00B23300">
        <w:t xml:space="preserve"> </w:t>
      </w:r>
      <w:r w:rsidRPr="00B23300">
        <w:t xml:space="preserve">10 mg prednisone per day or equivalent) and single agent NSAIDs </w:t>
      </w:r>
      <w:proofErr w:type="gramStart"/>
      <w:r w:rsidRPr="00B23300">
        <w:t>were allowed</w:t>
      </w:r>
      <w:proofErr w:type="gramEnd"/>
      <w:r w:rsidRPr="00B23300">
        <w:t xml:space="preserve"> if th</w:t>
      </w:r>
      <w:r w:rsidR="009B7D6D" w:rsidRPr="00B23300">
        <w:t>e dose was stable for at least two</w:t>
      </w:r>
      <w:r w:rsidRPr="00B23300">
        <w:t xml:space="preserve"> weeks before screening and was stable through the active treatment period. Dose reductions of background therapies </w:t>
      </w:r>
      <w:proofErr w:type="gramStart"/>
      <w:r w:rsidRPr="00B23300">
        <w:t>were allowed</w:t>
      </w:r>
      <w:proofErr w:type="gramEnd"/>
      <w:r w:rsidRPr="00B23300">
        <w:t xml:space="preserve"> for safety concerns or for NSAIDs and corticosteroids for improvement in RA disease activity. Doses of steroids and NSAIDs </w:t>
      </w:r>
      <w:proofErr w:type="gramStart"/>
      <w:r w:rsidRPr="00B23300">
        <w:t>were discontinued</w:t>
      </w:r>
      <w:proofErr w:type="gramEnd"/>
      <w:r w:rsidRPr="00B23300">
        <w:t xml:space="preserve"> 24 hours prior to joint evaluations.</w:t>
      </w:r>
    </w:p>
    <w:p w14:paraId="15BC6ABF" w14:textId="218191B0" w:rsidR="00AE00F9" w:rsidRPr="005E6B60" w:rsidRDefault="00AE00F9" w:rsidP="00D47A3D">
      <w:r w:rsidRPr="00B23300">
        <w:t>The fixed</w:t>
      </w:r>
      <w:r w:rsidR="003F2E79" w:rsidRPr="00B23300">
        <w:t xml:space="preserve"> </w:t>
      </w:r>
      <w:r w:rsidRPr="00B23300">
        <w:t xml:space="preserve">effects meta-analysis of three studies of Enbrel </w:t>
      </w:r>
      <w:r w:rsidR="00EC51EB" w:rsidRPr="00B23300">
        <w:t>versus</w:t>
      </w:r>
      <w:r w:rsidRPr="00B23300">
        <w:t xml:space="preserve"> placebo estimated a risk difference of 40.4% with a 95% CI of 31% to 50%. To preserve ≥</w:t>
      </w:r>
      <w:r w:rsidR="00D84E4D" w:rsidRPr="00B23300">
        <w:t xml:space="preserve"> 50% of the Enbrel effect over </w:t>
      </w:r>
      <w:r w:rsidRPr="00B23300">
        <w:t xml:space="preserve">placebo, an equivalence limit of 15% was set for the primary analysis. </w:t>
      </w:r>
      <w:proofErr w:type="gramStart"/>
      <w:r w:rsidRPr="00B23300">
        <w:t xml:space="preserve">Assuming an </w:t>
      </w:r>
      <w:r w:rsidR="004B7B61" w:rsidRPr="005E6B60">
        <w:t xml:space="preserve">American College of Rheumatology </w:t>
      </w:r>
      <w:r w:rsidR="002E3316" w:rsidRPr="005E6B60">
        <w:t>(</w:t>
      </w:r>
      <w:r w:rsidRPr="005E6B60">
        <w:t>ACR</w:t>
      </w:r>
      <w:r w:rsidR="002E3316" w:rsidRPr="005E6B60">
        <w:t>)</w:t>
      </w:r>
      <w:r w:rsidR="00F51D65" w:rsidRPr="00B23300">
        <w:t xml:space="preserve"> </w:t>
      </w:r>
      <w:r w:rsidRPr="00B23300">
        <w:t>20</w:t>
      </w:r>
      <w:r w:rsidR="00E0292E" w:rsidRPr="00B23300">
        <w:t>;</w:t>
      </w:r>
      <w:bookmarkStart w:id="43" w:name="_Ref58920205"/>
      <w:r w:rsidR="00E0292E" w:rsidRPr="00B23300">
        <w:rPr>
          <w:rStyle w:val="FootnoteReference"/>
        </w:rPr>
        <w:footnoteReference w:id="7"/>
      </w:r>
      <w:bookmarkEnd w:id="43"/>
      <w:r w:rsidRPr="00B23300">
        <w:t xml:space="preserve"> response rate of 70% with </w:t>
      </w:r>
      <w:proofErr w:type="spellStart"/>
      <w:r w:rsidRPr="00B23300">
        <w:t>etanercept</w:t>
      </w:r>
      <w:proofErr w:type="spellEnd"/>
      <w:r w:rsidRPr="00B23300">
        <w:t xml:space="preserve"> plus MTX from published studies with </w:t>
      </w:r>
      <w:r w:rsidR="009B7D6D" w:rsidRPr="00B23300">
        <w:t>the 15%, equivalence margin, a two</w:t>
      </w:r>
      <w:r w:rsidR="003F2E79" w:rsidRPr="00B23300">
        <w:t xml:space="preserve"> </w:t>
      </w:r>
      <w:r w:rsidRPr="00B23300">
        <w:t>sided statistical significance level of 5% and a power of 80%, the sponsor calculated it required a sample size of 392 allocated in a 1:1 randomisation ratio</w:t>
      </w:r>
      <w:r w:rsidRPr="005E6B60">
        <w:t xml:space="preserve"> (196 per treatment) to test the therapeutic equivalence of </w:t>
      </w:r>
      <w:proofErr w:type="spellStart"/>
      <w:r w:rsidRPr="005E6B60">
        <w:t>Rymti</w:t>
      </w:r>
      <w:proofErr w:type="spellEnd"/>
      <w:r w:rsidR="000A2325">
        <w:t>/</w:t>
      </w:r>
      <w:proofErr w:type="spellStart"/>
      <w:r w:rsidR="00DB34CF">
        <w:t>Etera</w:t>
      </w:r>
      <w:proofErr w:type="spellEnd"/>
      <w:r w:rsidRPr="005E6B60">
        <w:t xml:space="preserve"> and Enbrel.</w:t>
      </w:r>
      <w:proofErr w:type="gramEnd"/>
    </w:p>
    <w:p w14:paraId="7857D3E3" w14:textId="317097F2" w:rsidR="00AE00F9" w:rsidRPr="005E6B60" w:rsidRDefault="00AE00F9" w:rsidP="00D47A3D">
      <w:r w:rsidRPr="00B23300">
        <w:t xml:space="preserve">Of the 874 patients screen, 528 were randomised into </w:t>
      </w:r>
      <w:r w:rsidR="00EA2DDA" w:rsidRPr="00B23300">
        <w:t>Stage</w:t>
      </w:r>
      <w:r w:rsidRPr="00B23300">
        <w:t xml:space="preserve"> A (266 to </w:t>
      </w:r>
      <w:proofErr w:type="spellStart"/>
      <w:r w:rsidRPr="00B23300">
        <w:t>Rymti</w:t>
      </w:r>
      <w:proofErr w:type="spellEnd"/>
      <w:r w:rsidRPr="00B23300">
        <w:t xml:space="preserve">, 262 to Enbrel). The </w:t>
      </w:r>
      <w:r w:rsidRPr="005E6B60">
        <w:t>full analysis set</w:t>
      </w:r>
      <w:r w:rsidR="0001086D" w:rsidRPr="005E6B60">
        <w:t xml:space="preserve"> (FAS)</w:t>
      </w:r>
      <w:r w:rsidRPr="00B23300">
        <w:t xml:space="preserve"> comprised 517 patients who received at least one dose of study medication. From the 497 patients who competed </w:t>
      </w:r>
      <w:r w:rsidR="00EA2DDA" w:rsidRPr="00B23300">
        <w:t>Stage</w:t>
      </w:r>
      <w:r w:rsidRPr="00B23300">
        <w:t xml:space="preserve"> A (247 </w:t>
      </w:r>
      <w:proofErr w:type="spellStart"/>
      <w:r w:rsidRPr="00B23300">
        <w:t>Rymti</w:t>
      </w:r>
      <w:proofErr w:type="spellEnd"/>
      <w:r w:rsidRPr="00B23300">
        <w:t xml:space="preserve">, 250 Enbrel), 471 entered </w:t>
      </w:r>
      <w:r w:rsidR="00EA2DDA" w:rsidRPr="00B23300">
        <w:t>Stage</w:t>
      </w:r>
      <w:r w:rsidRPr="00B23300">
        <w:t xml:space="preserve"> B (236 </w:t>
      </w:r>
      <w:proofErr w:type="spellStart"/>
      <w:r w:rsidRPr="00B23300">
        <w:t>Rymti</w:t>
      </w:r>
      <w:proofErr w:type="spellEnd"/>
      <w:r w:rsidRPr="00B23300">
        <w:t xml:space="preserve">, 235 Enbrel); 454 completed </w:t>
      </w:r>
      <w:r w:rsidR="00EA2DDA" w:rsidRPr="00B23300">
        <w:t>Stage</w:t>
      </w:r>
      <w:r w:rsidRPr="00B23300">
        <w:t xml:space="preserve"> B (227 </w:t>
      </w:r>
      <w:proofErr w:type="spellStart"/>
      <w:r w:rsidRPr="00B23300">
        <w:t>Rymti</w:t>
      </w:r>
      <w:proofErr w:type="spellEnd"/>
      <w:r w:rsidRPr="00B23300">
        <w:t xml:space="preserve">, 227 Enbrel); 18 entered </w:t>
      </w:r>
      <w:r w:rsidR="00EA2DDA" w:rsidRPr="005E6B60">
        <w:t>Stage</w:t>
      </w:r>
      <w:r w:rsidR="00B20DC2" w:rsidRPr="005E6B60">
        <w:t xml:space="preserve"> C (eight</w:t>
      </w:r>
      <w:r w:rsidRPr="005E6B60">
        <w:t xml:space="preserve"> s</w:t>
      </w:r>
      <w:r w:rsidR="00B20DC2" w:rsidRPr="005E6B60">
        <w:t xml:space="preserve">witched from </w:t>
      </w:r>
      <w:proofErr w:type="spellStart"/>
      <w:r w:rsidR="00B20DC2" w:rsidRPr="005E6B60">
        <w:t>Rymti</w:t>
      </w:r>
      <w:proofErr w:type="spellEnd"/>
      <w:r w:rsidR="00B20DC2" w:rsidRPr="005E6B60">
        <w:t xml:space="preserve"> to Enbrel, ten</w:t>
      </w:r>
      <w:r w:rsidRPr="005E6B60">
        <w:t xml:space="preserve"> from Enbrel to </w:t>
      </w:r>
      <w:proofErr w:type="spellStart"/>
      <w:r w:rsidRPr="005E6B60">
        <w:t>Rymti</w:t>
      </w:r>
      <w:proofErr w:type="spellEnd"/>
      <w:r w:rsidRPr="005E6B60">
        <w:t>)</w:t>
      </w:r>
      <w:proofErr w:type="gramStart"/>
      <w:r w:rsidRPr="005E6B60">
        <w:t>;</w:t>
      </w:r>
      <w:proofErr w:type="gramEnd"/>
      <w:r w:rsidRPr="005E6B60">
        <w:t xml:space="preserve"> and 17 patients completed </w:t>
      </w:r>
      <w:r w:rsidR="00EA2DDA" w:rsidRPr="005E6B60">
        <w:t>Stage</w:t>
      </w:r>
      <w:r w:rsidRPr="005E6B60">
        <w:t xml:space="preserve"> C.</w:t>
      </w:r>
    </w:p>
    <w:p w14:paraId="5C6895A3" w14:textId="73171F81" w:rsidR="00AE00F9" w:rsidRPr="005E6B60" w:rsidRDefault="00EA2DDA" w:rsidP="006E50B0">
      <w:pPr>
        <w:pStyle w:val="Heading6"/>
      </w:pPr>
      <w:r w:rsidRPr="005E6B60">
        <w:t>Stage</w:t>
      </w:r>
      <w:r w:rsidR="00AE00F9" w:rsidRPr="005E6B60">
        <w:t xml:space="preserve"> A</w:t>
      </w:r>
    </w:p>
    <w:p w14:paraId="334176E4" w14:textId="17AE8FB9" w:rsidR="00AE00F9" w:rsidRPr="005E6B60" w:rsidRDefault="00AE00F9" w:rsidP="00D47A3D">
      <w:r w:rsidRPr="005E6B60">
        <w:t xml:space="preserve">The median ages of enrolled subjects in the </w:t>
      </w:r>
      <w:proofErr w:type="spellStart"/>
      <w:r w:rsidRPr="005E6B60">
        <w:t>Rymti</w:t>
      </w:r>
      <w:proofErr w:type="spellEnd"/>
      <w:r w:rsidR="00F86F8B">
        <w:t>/</w:t>
      </w:r>
      <w:proofErr w:type="spellStart"/>
      <w:r w:rsidR="00F86F8B">
        <w:t>Etera</w:t>
      </w:r>
      <w:proofErr w:type="spellEnd"/>
      <w:r w:rsidRPr="005E6B60">
        <w:t xml:space="preserve"> group and Enbrel </w:t>
      </w:r>
      <w:r w:rsidR="003F2E79" w:rsidRPr="005E6B60">
        <w:t>groups were 53 years (range</w:t>
      </w:r>
      <w:r w:rsidR="008773A6" w:rsidRPr="005E6B60">
        <w:t>d</w:t>
      </w:r>
      <w:r w:rsidR="002A09F2" w:rsidRPr="005E6B60">
        <w:t xml:space="preserve"> from</w:t>
      </w:r>
      <w:r w:rsidR="003F2E79" w:rsidRPr="005E6B60">
        <w:t xml:space="preserve"> 22 to </w:t>
      </w:r>
      <w:r w:rsidRPr="005E6B60">
        <w:t>75</w:t>
      </w:r>
      <w:r w:rsidR="003F2E79" w:rsidRPr="005E6B60">
        <w:t xml:space="preserve"> years) and 54 years (range</w:t>
      </w:r>
      <w:r w:rsidR="008773A6" w:rsidRPr="005E6B60">
        <w:t>d</w:t>
      </w:r>
      <w:r w:rsidR="002A09F2" w:rsidRPr="005E6B60">
        <w:t xml:space="preserve"> from</w:t>
      </w:r>
      <w:r w:rsidR="003F2E79" w:rsidRPr="005E6B60">
        <w:t xml:space="preserve"> 18 to </w:t>
      </w:r>
      <w:r w:rsidRPr="005E6B60">
        <w:t>74 years), respectively. About 16% were aged between 65 an</w:t>
      </w:r>
      <w:r w:rsidRPr="00B23300">
        <w:t xml:space="preserve">d 84 years. Most were female: (76.0% in the </w:t>
      </w:r>
      <w:proofErr w:type="spellStart"/>
      <w:r w:rsidRPr="00B23300">
        <w:t>Rymti</w:t>
      </w:r>
      <w:proofErr w:type="spellEnd"/>
      <w:r w:rsidRPr="00B23300">
        <w:t xml:space="preserve"> group and 79.9% in the Enbrel group). The mean baseline </w:t>
      </w:r>
      <w:r w:rsidR="00BF64D0" w:rsidRPr="005E6B60">
        <w:t>body mass index (</w:t>
      </w:r>
      <w:r w:rsidRPr="005E6B60">
        <w:t>BMI</w:t>
      </w:r>
      <w:r w:rsidR="00BF64D0" w:rsidRPr="005E6B60">
        <w:t>)</w:t>
      </w:r>
      <w:r w:rsidRPr="00B23300">
        <w:t xml:space="preserve"> was 24.8 kg/m</w:t>
      </w:r>
      <w:r w:rsidRPr="00B23300">
        <w:rPr>
          <w:vertAlign w:val="superscript"/>
        </w:rPr>
        <w:t>2</w:t>
      </w:r>
      <w:r w:rsidRPr="00B23300">
        <w:t xml:space="preserve"> in the </w:t>
      </w:r>
      <w:proofErr w:type="spellStart"/>
      <w:r w:rsidRPr="00B23300">
        <w:t>Rymti</w:t>
      </w:r>
      <w:proofErr w:type="spellEnd"/>
      <w:r w:rsidRPr="00B23300">
        <w:t xml:space="preserve"> group and 25.0 kg/m</w:t>
      </w:r>
      <w:r w:rsidRPr="00B23300">
        <w:rPr>
          <w:vertAlign w:val="superscript"/>
        </w:rPr>
        <w:t>2</w:t>
      </w:r>
      <w:r w:rsidRPr="00B23300">
        <w:t xml:space="preserve"> in the Enbrel group. Of the 517 patients 260 (50.3%) were recruited in Japan, 225 (43.5%) in</w:t>
      </w:r>
      <w:r w:rsidR="00E13FDA" w:rsidRPr="005E6B60">
        <w:t xml:space="preserve"> Europe and 32 (6.2%) in India.</w:t>
      </w:r>
    </w:p>
    <w:p w14:paraId="717AD926" w14:textId="3EA88B58" w:rsidR="00AE00F9" w:rsidRPr="00B23300" w:rsidRDefault="00AE00F9" w:rsidP="00D47A3D">
      <w:r w:rsidRPr="005E6B60">
        <w:t>The mean (median) duration of RA prior to study inclusion was 6.3 (4.1</w:t>
      </w:r>
      <w:r w:rsidR="000A2325">
        <w:t xml:space="preserve">) years in the </w:t>
      </w:r>
      <w:proofErr w:type="spellStart"/>
      <w:r w:rsidR="000A2325">
        <w:t>Rymti</w:t>
      </w:r>
      <w:proofErr w:type="spellEnd"/>
      <w:r w:rsidR="000A2325">
        <w:t>/</w:t>
      </w:r>
      <w:proofErr w:type="spellStart"/>
      <w:r w:rsidR="00F86F8B">
        <w:t>Etera</w:t>
      </w:r>
      <w:proofErr w:type="spellEnd"/>
      <w:r w:rsidR="00F86F8B">
        <w:t xml:space="preserve"> </w:t>
      </w:r>
      <w:r w:rsidRPr="00B23300">
        <w:t xml:space="preserve">group and 6.1 (3.6) years in the Enbrel arm. About 70% were </w:t>
      </w:r>
      <w:r w:rsidR="00CD7D52" w:rsidRPr="00B23300">
        <w:t xml:space="preserve">rheumatoid factor </w:t>
      </w:r>
      <w:r w:rsidRPr="00B23300">
        <w:t>seropositive and about 73% had anti</w:t>
      </w:r>
      <w:r w:rsidRPr="005E6B60">
        <w:t>-</w:t>
      </w:r>
      <w:r w:rsidR="00413240" w:rsidRPr="005E6B60">
        <w:t xml:space="preserve">cyclic </w:t>
      </w:r>
      <w:proofErr w:type="spellStart"/>
      <w:r w:rsidR="00413240" w:rsidRPr="005E6B60">
        <w:t>citrullinated</w:t>
      </w:r>
      <w:proofErr w:type="spellEnd"/>
      <w:r w:rsidR="00413240" w:rsidRPr="005E6B60">
        <w:t xml:space="preserve"> peptide (</w:t>
      </w:r>
      <w:r w:rsidRPr="005E6B60">
        <w:t>CCP</w:t>
      </w:r>
      <w:r w:rsidR="00413240" w:rsidRPr="005E6B60">
        <w:t>)</w:t>
      </w:r>
      <w:r w:rsidR="00E13FDA" w:rsidRPr="00B23300">
        <w:t xml:space="preserve"> antibodies.</w:t>
      </w:r>
    </w:p>
    <w:p w14:paraId="10E97C38" w14:textId="1100420D" w:rsidR="00AE00F9" w:rsidRPr="00B23300" w:rsidRDefault="009B7D6D" w:rsidP="00D47A3D">
      <w:r w:rsidRPr="00B23300">
        <w:t>The two</w:t>
      </w:r>
      <w:r w:rsidR="00AE00F9" w:rsidRPr="00B23300">
        <w:t xml:space="preserve"> groups </w:t>
      </w:r>
      <w:proofErr w:type="gramStart"/>
      <w:r w:rsidR="00AE00F9" w:rsidRPr="00B23300">
        <w:t>were well matched</w:t>
      </w:r>
      <w:proofErr w:type="gramEnd"/>
      <w:r w:rsidR="00AE00F9" w:rsidRPr="00B23300">
        <w:t xml:space="preserve"> for baseline RA disease activity. The mean swollen joint counts (maximum of 66) </w:t>
      </w:r>
      <w:r w:rsidR="000A2325">
        <w:t xml:space="preserve">were 13.3 and 14.2 in the </w:t>
      </w:r>
      <w:proofErr w:type="spellStart"/>
      <w:r w:rsidR="000A2325">
        <w:t>Rymti</w:t>
      </w:r>
      <w:proofErr w:type="spellEnd"/>
      <w:r w:rsidR="000A2325">
        <w:t>/</w:t>
      </w:r>
      <w:proofErr w:type="spellStart"/>
      <w:r w:rsidR="00F86F8B">
        <w:t>Etera</w:t>
      </w:r>
      <w:proofErr w:type="spellEnd"/>
      <w:r w:rsidR="00F86F8B">
        <w:t xml:space="preserve"> </w:t>
      </w:r>
      <w:r w:rsidR="00AE00F9" w:rsidRPr="00B23300">
        <w:t>and En</w:t>
      </w:r>
      <w:r w:rsidR="00AE00F9" w:rsidRPr="005E6B60">
        <w:t xml:space="preserve">brel treatment groups, respectively; and the mean tender joint counts (maximum of 68) were 18.1 and 18.9 in the </w:t>
      </w:r>
      <w:proofErr w:type="spellStart"/>
      <w:r w:rsidR="00AE00F9" w:rsidRPr="005E6B60">
        <w:t>Rymti</w:t>
      </w:r>
      <w:proofErr w:type="spellEnd"/>
      <w:r w:rsidR="00AE00F9" w:rsidRPr="005E6B60">
        <w:t xml:space="preserve"> and Enbrel arms, respectively. The baseline mean </w:t>
      </w:r>
      <w:r w:rsidR="00372C66" w:rsidRPr="005E6B60">
        <w:t>health assessment questionnaire disability index (</w:t>
      </w:r>
      <w:r w:rsidR="00AE00F9" w:rsidRPr="005E6B60">
        <w:t>HAQ-DI</w:t>
      </w:r>
      <w:r w:rsidR="00372C66" w:rsidRPr="005E6B60">
        <w:t>)</w:t>
      </w:r>
      <w:r w:rsidR="00AE00F9" w:rsidRPr="00B23300">
        <w:t xml:space="preserve"> scores were 1.06 and 1.13 in the </w:t>
      </w:r>
      <w:proofErr w:type="spellStart"/>
      <w:r w:rsidR="00AE00F9" w:rsidRPr="00B23300">
        <w:t>Rymti</w:t>
      </w:r>
      <w:proofErr w:type="spellEnd"/>
      <w:r w:rsidR="00AE00F9" w:rsidRPr="00B23300">
        <w:t xml:space="preserve"> and Enb</w:t>
      </w:r>
      <w:r w:rsidR="00E13FDA" w:rsidRPr="00B23300">
        <w:t>rel treatment groups.</w:t>
      </w:r>
    </w:p>
    <w:p w14:paraId="42C1570F" w14:textId="7EF1777A" w:rsidR="00AE00F9" w:rsidRPr="005E6B60" w:rsidRDefault="00AE00F9" w:rsidP="00D47A3D">
      <w:r w:rsidRPr="005E6B60">
        <w:t xml:space="preserve">All enrolled patients received low dose MTX weekly as a prior DMARD that </w:t>
      </w:r>
      <w:proofErr w:type="gramStart"/>
      <w:r w:rsidRPr="005E6B60">
        <w:t>was co</w:t>
      </w:r>
      <w:r w:rsidR="003F2E79" w:rsidRPr="005E6B60">
        <w:t>ntinued</w:t>
      </w:r>
      <w:proofErr w:type="gramEnd"/>
      <w:r w:rsidR="003F2E79" w:rsidRPr="005E6B60">
        <w:t xml:space="preserve"> during the trial. MTX 6 to </w:t>
      </w:r>
      <w:r w:rsidRPr="005E6B60">
        <w:t xml:space="preserve">10 mg weekly </w:t>
      </w:r>
      <w:proofErr w:type="gramStart"/>
      <w:r w:rsidRPr="005E6B60">
        <w:t>was received</w:t>
      </w:r>
      <w:proofErr w:type="gramEnd"/>
      <w:r w:rsidRPr="005E6B60">
        <w:t xml:space="preserve"> in 60.5% of the </w:t>
      </w:r>
      <w:proofErr w:type="spellStart"/>
      <w:r w:rsidRPr="005E6B60">
        <w:t>Rymti</w:t>
      </w:r>
      <w:proofErr w:type="spellEnd"/>
      <w:r w:rsidRPr="005E6B60">
        <w:t xml:space="preserve"> group and 55.1% of the Enbrel group, and 29.7% of the </w:t>
      </w:r>
      <w:proofErr w:type="spellStart"/>
      <w:r w:rsidRPr="005E6B60">
        <w:t>Rymti</w:t>
      </w:r>
      <w:proofErr w:type="spellEnd"/>
      <w:r w:rsidRPr="005E6B60">
        <w:t xml:space="preserve"> group and 31.5% of the Enbrel group received ≥ 15 mg MTX weekly with</w:t>
      </w:r>
      <w:r w:rsidR="00F43619" w:rsidRPr="005E6B60">
        <w:t xml:space="preserve"> a median weekly dose of 10 mg a</w:t>
      </w:r>
      <w:r w:rsidRPr="005E6B60">
        <w:t xml:space="preserve">bout 95% took their MTX orally. About 60% also </w:t>
      </w:r>
      <w:r w:rsidR="00E0506F" w:rsidRPr="005E6B60">
        <w:t>took folic acid. About 8% took one</w:t>
      </w:r>
      <w:r w:rsidRPr="005E6B60">
        <w:t xml:space="preserve"> additional prior conventional </w:t>
      </w:r>
      <w:proofErr w:type="gramStart"/>
      <w:r w:rsidRPr="005E6B60">
        <w:t>DMARD and 3.3% had taken ≥</w:t>
      </w:r>
      <w:r w:rsidR="00F43619" w:rsidRPr="005E6B60">
        <w:t xml:space="preserve"> </w:t>
      </w:r>
      <w:r w:rsidR="00083D16" w:rsidRPr="005E6B60">
        <w:t>two</w:t>
      </w:r>
      <w:r w:rsidRPr="005E6B60">
        <w:t xml:space="preserve"> or more, with sulfasalazine</w:t>
      </w:r>
      <w:proofErr w:type="gramEnd"/>
      <w:r w:rsidRPr="005E6B60">
        <w:t xml:space="preserve"> and </w:t>
      </w:r>
      <w:proofErr w:type="spellStart"/>
      <w:r w:rsidRPr="005E6B60">
        <w:t>leflunomide</w:t>
      </w:r>
      <w:proofErr w:type="spellEnd"/>
      <w:r w:rsidRPr="005E6B60">
        <w:t xml:space="preserve"> were the most frequently used non-MTX DMARDs. Around 44% of the </w:t>
      </w:r>
      <w:proofErr w:type="spellStart"/>
      <w:r w:rsidRPr="005E6B60">
        <w:t>Rymti</w:t>
      </w:r>
      <w:proofErr w:type="spellEnd"/>
      <w:r w:rsidRPr="005E6B60">
        <w:t xml:space="preserve"> group and 40.2% in the Enbrel group took a median daily dose of 4</w:t>
      </w:r>
      <w:r w:rsidR="002268E0" w:rsidRPr="005E6B60">
        <w:t xml:space="preserve"> </w:t>
      </w:r>
      <w:r w:rsidRPr="005E6B60">
        <w:t xml:space="preserve">mg dose prednisone at baseline, and about 62% were taking stable NSAID at </w:t>
      </w:r>
      <w:r w:rsidR="00E83CB1" w:rsidRPr="005E6B60">
        <w:t>B</w:t>
      </w:r>
      <w:r w:rsidR="00E13FDA" w:rsidRPr="005E6B60">
        <w:t>aseline.</w:t>
      </w:r>
    </w:p>
    <w:p w14:paraId="0E35BB56" w14:textId="5531AD4C" w:rsidR="00AE00F9" w:rsidRPr="005E6B60" w:rsidRDefault="00AE00F9" w:rsidP="00D47A3D">
      <w:r w:rsidRPr="005E6B60">
        <w:t xml:space="preserve">The study protocol allowed for discretion in selection of the serum inflammatory marker. Serum CRP </w:t>
      </w:r>
      <w:proofErr w:type="gramStart"/>
      <w:r w:rsidRPr="005E6B60">
        <w:t>was selected</w:t>
      </w:r>
      <w:proofErr w:type="gramEnd"/>
      <w:r w:rsidRPr="005E6B60">
        <w:t xml:space="preserve"> for 36.9% and </w:t>
      </w:r>
      <w:r w:rsidR="00397F63" w:rsidRPr="005E6B60">
        <w:t>erythrocyte sedimentation ratio (</w:t>
      </w:r>
      <w:r w:rsidRPr="005E6B60">
        <w:t>ESR</w:t>
      </w:r>
      <w:r w:rsidR="00397F63" w:rsidRPr="005E6B60">
        <w:t>)</w:t>
      </w:r>
      <w:r w:rsidRPr="00B23300">
        <w:t xml:space="preserve"> was used for 63.1%. Mean baseline CRP values were 1.299 mg/</w:t>
      </w:r>
      <w:proofErr w:type="spellStart"/>
      <w:r w:rsidRPr="00B23300">
        <w:t>dL</w:t>
      </w:r>
      <w:proofErr w:type="spellEnd"/>
      <w:r w:rsidRPr="00B23300">
        <w:t xml:space="preserve"> in the </w:t>
      </w:r>
      <w:proofErr w:type="spellStart"/>
      <w:r w:rsidRPr="00B23300">
        <w:t>Rymti</w:t>
      </w:r>
      <w:proofErr w:type="spellEnd"/>
      <w:r w:rsidRPr="00B23300">
        <w:t xml:space="preserve"> group </w:t>
      </w:r>
      <w:r w:rsidR="00EC51EB" w:rsidRPr="00B23300">
        <w:t>versus</w:t>
      </w:r>
      <w:r w:rsidRPr="00B23300">
        <w:t xml:space="preserve"> 1.015</w:t>
      </w:r>
      <w:r w:rsidR="0090108A">
        <w:t> </w:t>
      </w:r>
      <w:r w:rsidRPr="00B23300">
        <w:t>mg/</w:t>
      </w:r>
      <w:proofErr w:type="spellStart"/>
      <w:r w:rsidRPr="00B23300">
        <w:t>dL</w:t>
      </w:r>
      <w:proofErr w:type="spellEnd"/>
      <w:r w:rsidRPr="00B23300">
        <w:t xml:space="preserve"> in the Enbrel group. Mean baseline ESR was 35.5 mm/hr in the </w:t>
      </w:r>
      <w:proofErr w:type="spellStart"/>
      <w:r w:rsidRPr="00B23300">
        <w:t>Rymti</w:t>
      </w:r>
      <w:proofErr w:type="spellEnd"/>
      <w:r w:rsidRPr="00B23300">
        <w:t xml:space="preserve"> group </w:t>
      </w:r>
      <w:r w:rsidR="00EC51EB" w:rsidRPr="005E6B60">
        <w:t xml:space="preserve">versus </w:t>
      </w:r>
      <w:r w:rsidRPr="005E6B60">
        <w:t xml:space="preserve">32.8 mm/hr in the Enbrel group. The mean DAS28-CRP score was 5.191 in the </w:t>
      </w:r>
      <w:proofErr w:type="spellStart"/>
      <w:r w:rsidRPr="005E6B60">
        <w:t>Rymti</w:t>
      </w:r>
      <w:proofErr w:type="spellEnd"/>
      <w:r w:rsidRPr="005E6B60">
        <w:t xml:space="preserve"> group and 5.237 in the Enbrel group, and the mean DAS28-ESR score was 6.108 in the </w:t>
      </w:r>
      <w:proofErr w:type="spellStart"/>
      <w:r w:rsidRPr="005E6B60">
        <w:t>Rymti</w:t>
      </w:r>
      <w:proofErr w:type="spellEnd"/>
      <w:r w:rsidRPr="005E6B60">
        <w:t xml:space="preserve"> group and 6.057 in the Enbrel group.</w:t>
      </w:r>
    </w:p>
    <w:p w14:paraId="3E608066" w14:textId="1FCEB155" w:rsidR="00AE00F9" w:rsidRPr="00B23300" w:rsidRDefault="00AE00F9" w:rsidP="00D47A3D">
      <w:r w:rsidRPr="005E6B60">
        <w:t xml:space="preserve">Early discontinuations </w:t>
      </w:r>
      <w:r w:rsidR="00EA2DDA" w:rsidRPr="005E6B60">
        <w:t>Stage</w:t>
      </w:r>
      <w:r w:rsidRPr="005E6B60">
        <w:t xml:space="preserve"> A occurred for 17 (6.4%) </w:t>
      </w:r>
      <w:proofErr w:type="spellStart"/>
      <w:r w:rsidR="00B20DC2" w:rsidRPr="005E6B60">
        <w:t>Rymti</w:t>
      </w:r>
      <w:proofErr w:type="spellEnd"/>
      <w:r w:rsidR="00B20DC2" w:rsidRPr="005E6B60">
        <w:t xml:space="preserve"> and ten</w:t>
      </w:r>
      <w:r w:rsidRPr="00B23300">
        <w:t xml:space="preserve"> (3.8%) Enbrel patients most commonly due to consent withdrawal in the </w:t>
      </w:r>
      <w:proofErr w:type="spellStart"/>
      <w:r w:rsidRPr="00B23300">
        <w:t>Rymti</w:t>
      </w:r>
      <w:proofErr w:type="spellEnd"/>
      <w:r w:rsidRPr="00B23300">
        <w:t xml:space="preserve"> group and </w:t>
      </w:r>
      <w:r w:rsidR="000859B0" w:rsidRPr="00B23300">
        <w:t xml:space="preserve">adverse event </w:t>
      </w:r>
      <w:r w:rsidR="000859B0" w:rsidRPr="005E6B60">
        <w:t>(</w:t>
      </w:r>
      <w:r w:rsidRPr="005E6B60">
        <w:t>AE</w:t>
      </w:r>
      <w:r w:rsidR="000859B0" w:rsidRPr="005E6B60">
        <w:t>)</w:t>
      </w:r>
      <w:r w:rsidRPr="005E6B60">
        <w:t xml:space="preserve"> in the Enbrel group. </w:t>
      </w:r>
      <w:proofErr w:type="gramStart"/>
      <w:r w:rsidRPr="005E6B60">
        <w:t>33</w:t>
      </w:r>
      <w:proofErr w:type="gramEnd"/>
      <w:r w:rsidRPr="005E6B60">
        <w:t xml:space="preserve"> major protocol deviations were reported in the FAS cohort of 517 subjects with 10.2</w:t>
      </w:r>
      <w:r w:rsidRPr="00B23300">
        <w:t xml:space="preserve">% of the </w:t>
      </w:r>
      <w:proofErr w:type="spellStart"/>
      <w:r w:rsidRPr="00B23300">
        <w:t>Rymti</w:t>
      </w:r>
      <w:proofErr w:type="spellEnd"/>
      <w:r w:rsidRPr="00B23300">
        <w:t xml:space="preserve"> group and 9.2% of the Enbrel group excluded from the per protocol analysis due to major protocol deviations. Most were eligibility criteria breaches (3.4% </w:t>
      </w:r>
      <w:proofErr w:type="spellStart"/>
      <w:r w:rsidRPr="00B23300">
        <w:t>Rymti</w:t>
      </w:r>
      <w:proofErr w:type="spellEnd"/>
      <w:r w:rsidRPr="00B23300">
        <w:t xml:space="preserve"> and 2.4% Enbrel), significant medication compliance issues (3.0% </w:t>
      </w:r>
      <w:proofErr w:type="spellStart"/>
      <w:r w:rsidRPr="00B23300">
        <w:t>Rymti</w:t>
      </w:r>
      <w:proofErr w:type="spellEnd"/>
      <w:r w:rsidRPr="00B23300">
        <w:t xml:space="preserve"> and 0.8% Enbrel) and use of prohibited medication</w:t>
      </w:r>
      <w:r w:rsidR="00E13FDA" w:rsidRPr="00B23300">
        <w:t xml:space="preserve">s (1.9% </w:t>
      </w:r>
      <w:proofErr w:type="spellStart"/>
      <w:r w:rsidR="00E13FDA" w:rsidRPr="00B23300">
        <w:t>Rymti</w:t>
      </w:r>
      <w:proofErr w:type="spellEnd"/>
      <w:r w:rsidR="00E13FDA" w:rsidRPr="00B23300">
        <w:t xml:space="preserve"> and 1.2% Enbrel).</w:t>
      </w:r>
    </w:p>
    <w:p w14:paraId="172A9EB3" w14:textId="5070C9CD" w:rsidR="00AE00F9" w:rsidRPr="00B23300" w:rsidRDefault="00AE00F9" w:rsidP="00D47A3D">
      <w:r w:rsidRPr="00B23300">
        <w:t xml:space="preserve">The primary endpoint was ACR20 response at </w:t>
      </w:r>
      <w:r w:rsidR="00EA2DDA" w:rsidRPr="00B23300">
        <w:t>Week</w:t>
      </w:r>
      <w:r w:rsidRPr="00B23300">
        <w:t xml:space="preserve"> 24</w:t>
      </w:r>
      <w:r w:rsidR="0090108A">
        <w:t xml:space="preserve">. Results for the primary endpoint </w:t>
      </w:r>
      <w:proofErr w:type="gramStart"/>
      <w:r w:rsidR="0090108A">
        <w:t>are shown</w:t>
      </w:r>
      <w:proofErr w:type="gramEnd"/>
      <w:r w:rsidR="0090108A">
        <w:t xml:space="preserve"> in </w:t>
      </w:r>
      <w:r w:rsidR="00A31C79">
        <w:fldChar w:fldCharType="begin"/>
      </w:r>
      <w:r w:rsidR="00A31C79">
        <w:instrText xml:space="preserve"> REF _Ref57802004 \h </w:instrText>
      </w:r>
      <w:r w:rsidR="00A31C79">
        <w:fldChar w:fldCharType="separate"/>
      </w:r>
      <w:r w:rsidR="00A31C79" w:rsidRPr="00B23300">
        <w:t xml:space="preserve">Table </w:t>
      </w:r>
      <w:r w:rsidR="00A31C79">
        <w:rPr>
          <w:noProof/>
        </w:rPr>
        <w:t>4</w:t>
      </w:r>
      <w:r w:rsidR="00A31C79">
        <w:fldChar w:fldCharType="end"/>
      </w:r>
      <w:r w:rsidR="0090108A">
        <w:t xml:space="preserve">, </w:t>
      </w:r>
      <w:r w:rsidRPr="00B23300">
        <w:t>below</w:t>
      </w:r>
      <w:r w:rsidR="0090108A">
        <w:t>.</w:t>
      </w:r>
    </w:p>
    <w:p w14:paraId="5917041B" w14:textId="0A7B924C" w:rsidR="00AE00F9" w:rsidRPr="00B23300" w:rsidRDefault="005A4213" w:rsidP="00AB2D08">
      <w:pPr>
        <w:pStyle w:val="TableTitle"/>
      </w:pPr>
      <w:bookmarkStart w:id="44" w:name="_Ref57802004"/>
      <w:r w:rsidRPr="00B23300">
        <w:t xml:space="preserve">Table </w:t>
      </w:r>
      <w:fldSimple w:instr=" SEQ Table \* ARABIC ">
        <w:r w:rsidR="00C34A49">
          <w:rPr>
            <w:noProof/>
          </w:rPr>
          <w:t>4</w:t>
        </w:r>
      </w:fldSimple>
      <w:bookmarkEnd w:id="44"/>
      <w:r w:rsidR="00B73652" w:rsidRPr="00B23300">
        <w:t>:</w:t>
      </w:r>
      <w:r w:rsidR="00343769" w:rsidRPr="00B23300">
        <w:t xml:space="preserve"> </w:t>
      </w:r>
      <w:r w:rsidR="0090108A">
        <w:t xml:space="preserve">Study YLB113-002 </w:t>
      </w:r>
      <w:r w:rsidR="002A09F2" w:rsidRPr="00B23300">
        <w:t xml:space="preserve">Stage A </w:t>
      </w:r>
      <w:r w:rsidR="00360EDF" w:rsidRPr="00B23300">
        <w:t>p</w:t>
      </w:r>
      <w:r w:rsidR="00343769" w:rsidRPr="00B23300">
        <w:t>rimary endpoint</w:t>
      </w:r>
    </w:p>
    <w:p w14:paraId="751E4CE0" w14:textId="393CE753" w:rsidR="004E3D11" w:rsidRPr="00B23300" w:rsidRDefault="004E3D11" w:rsidP="00DA266F">
      <w:r w:rsidRPr="00B23300">
        <w:rPr>
          <w:noProof/>
          <w:lang w:eastAsia="en-AU"/>
        </w:rPr>
        <w:drawing>
          <wp:inline distT="0" distB="0" distL="0" distR="0" wp14:anchorId="402F8AD1" wp14:editId="3576CC95">
            <wp:extent cx="5400040" cy="2186305"/>
            <wp:effectExtent l="0" t="0" r="0" b="4445"/>
            <wp:docPr id="6" name="Picture 6" descr="Study YLB113-002 Stage A primary end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able 4s resized Primary endpoint Stage A.png"/>
                    <pic:cNvPicPr/>
                  </pic:nvPicPr>
                  <pic:blipFill>
                    <a:blip r:embed="rId16">
                      <a:extLst>
                        <a:ext uri="{28A0092B-C50C-407E-A947-70E740481C1C}">
                          <a14:useLocalDpi xmlns:a14="http://schemas.microsoft.com/office/drawing/2010/main" val="0"/>
                        </a:ext>
                      </a:extLst>
                    </a:blip>
                    <a:stretch>
                      <a:fillRect/>
                    </a:stretch>
                  </pic:blipFill>
                  <pic:spPr>
                    <a:xfrm>
                      <a:off x="0" y="0"/>
                      <a:ext cx="5400040" cy="2186305"/>
                    </a:xfrm>
                    <a:prstGeom prst="rect">
                      <a:avLst/>
                    </a:prstGeom>
                  </pic:spPr>
                </pic:pic>
              </a:graphicData>
            </a:graphic>
          </wp:inline>
        </w:drawing>
      </w:r>
    </w:p>
    <w:p w14:paraId="4C99EA50" w14:textId="1DC418E5" w:rsidR="0090108A" w:rsidRDefault="000A2325" w:rsidP="00DA266F">
      <w:pPr>
        <w:pStyle w:val="TableDescription"/>
        <w:spacing w:before="0"/>
      </w:pPr>
      <w:proofErr w:type="spellStart"/>
      <w:r>
        <w:t>Etanercept</w:t>
      </w:r>
      <w:proofErr w:type="spellEnd"/>
      <w:r>
        <w:t xml:space="preserve"> Lupin = </w:t>
      </w:r>
      <w:proofErr w:type="spellStart"/>
      <w:r>
        <w:t>Rymti</w:t>
      </w:r>
      <w:proofErr w:type="spellEnd"/>
      <w:r>
        <w:t>/</w:t>
      </w:r>
      <w:proofErr w:type="spellStart"/>
      <w:r w:rsidR="0090108A">
        <w:t>Etera</w:t>
      </w:r>
      <w:proofErr w:type="spellEnd"/>
      <w:r w:rsidR="0090108A">
        <w:t xml:space="preserve">; </w:t>
      </w:r>
      <w:r w:rsidR="0090108A" w:rsidRPr="005E6B60">
        <w:t>N = number of subjects in the analysis set with ACR20 results non-missing</w:t>
      </w:r>
      <w:r w:rsidR="0090108A">
        <w:t xml:space="preserve">; </w:t>
      </w:r>
      <w:r w:rsidR="0090108A" w:rsidRPr="005E6B60">
        <w:t>PPS = per protocol set</w:t>
      </w:r>
    </w:p>
    <w:p w14:paraId="708323E8" w14:textId="549754B8" w:rsidR="004E3D11" w:rsidRPr="00B23300" w:rsidRDefault="004E3D11" w:rsidP="00DA266F">
      <w:pPr>
        <w:pStyle w:val="TableDescription"/>
        <w:spacing w:before="0"/>
      </w:pPr>
      <w:r w:rsidRPr="00B23300">
        <w:t xml:space="preserve">*95% confidence internal for the estimated difference in proportions </w:t>
      </w:r>
      <w:proofErr w:type="gramStart"/>
      <w:r w:rsidRPr="00B23300">
        <w:t>is produced</w:t>
      </w:r>
      <w:proofErr w:type="gramEnd"/>
      <w:r w:rsidRPr="00B23300">
        <w:t xml:space="preserve"> using the binominal regression model</w:t>
      </w:r>
      <w:r w:rsidR="001361CF" w:rsidRPr="00B23300">
        <w:t>.</w:t>
      </w:r>
    </w:p>
    <w:p w14:paraId="6579146B" w14:textId="3DEC000E" w:rsidR="004E3D11" w:rsidRPr="00B23300" w:rsidRDefault="004E3D11" w:rsidP="00DA266F">
      <w:pPr>
        <w:pStyle w:val="TableDescription"/>
        <w:spacing w:before="0"/>
      </w:pPr>
      <w:r w:rsidRPr="00B23300">
        <w:t xml:space="preserve">Missing data </w:t>
      </w:r>
      <w:proofErr w:type="gramStart"/>
      <w:r w:rsidRPr="00B23300">
        <w:t>have been imputed</w:t>
      </w:r>
      <w:proofErr w:type="gramEnd"/>
      <w:r w:rsidRPr="00B23300">
        <w:t xml:space="preserve"> according to </w:t>
      </w:r>
      <w:r w:rsidR="000360FE" w:rsidRPr="005E6B60">
        <w:t>non-responder imputation (</w:t>
      </w:r>
      <w:r w:rsidRPr="005E6B60">
        <w:t>NRI</w:t>
      </w:r>
      <w:r w:rsidR="000360FE" w:rsidRPr="005E6B60">
        <w:t>)</w:t>
      </w:r>
      <w:r w:rsidRPr="00B23300">
        <w:t xml:space="preserve"> and/or</w:t>
      </w:r>
      <w:r w:rsidR="00A75C14" w:rsidRPr="00B23300">
        <w:t xml:space="preserve"> </w:t>
      </w:r>
      <w:r w:rsidR="00A75C14" w:rsidRPr="005E6B60">
        <w:t>multiple imputation</w:t>
      </w:r>
      <w:r w:rsidRPr="005E6B60">
        <w:t xml:space="preserve"> </w:t>
      </w:r>
      <w:r w:rsidR="00A75C14" w:rsidRPr="005E6B60">
        <w:t>(</w:t>
      </w:r>
      <w:r w:rsidRPr="005E6B60">
        <w:t>MI</w:t>
      </w:r>
      <w:r w:rsidR="00A75C14" w:rsidRPr="005E6B60">
        <w:t>)</w:t>
      </w:r>
      <w:r w:rsidR="001361CF" w:rsidRPr="00B23300">
        <w:t>.</w:t>
      </w:r>
    </w:p>
    <w:p w14:paraId="5F52C6B7" w14:textId="4D7B2EEA" w:rsidR="00AE00F9" w:rsidRPr="00B23300" w:rsidRDefault="00AE00F9" w:rsidP="00D47A3D">
      <w:r w:rsidRPr="005E6B60">
        <w:t xml:space="preserve">The rates of ACR20 response at </w:t>
      </w:r>
      <w:r w:rsidR="00EA2DDA" w:rsidRPr="005E6B60">
        <w:t>Week</w:t>
      </w:r>
      <w:r w:rsidR="009B7D6D" w:rsidRPr="005E6B60">
        <w:t xml:space="preserve"> 24 were similar between the two</w:t>
      </w:r>
      <w:r w:rsidRPr="005E6B60">
        <w:t xml:space="preserve"> treatment groups for age (&lt;</w:t>
      </w:r>
      <w:r w:rsidR="00E01921" w:rsidRPr="005E6B60">
        <w:t xml:space="preserve"> </w:t>
      </w:r>
      <w:r w:rsidRPr="005E6B60">
        <w:t>65 years versus &gt;</w:t>
      </w:r>
      <w:r w:rsidR="00E01921" w:rsidRPr="005E6B60">
        <w:t xml:space="preserve"> </w:t>
      </w:r>
      <w:r w:rsidRPr="005E6B60">
        <w:t>65 years), gender and with a lower baseline level of disease activity (DAS28 score &lt;</w:t>
      </w:r>
      <w:r w:rsidR="00E01921" w:rsidRPr="005E6B60">
        <w:t xml:space="preserve"> </w:t>
      </w:r>
      <w:r w:rsidRPr="005E6B60">
        <w:t>5.1)</w:t>
      </w:r>
      <w:r w:rsidR="0005268E" w:rsidRPr="005E6B60">
        <w:t xml:space="preserve"> (</w:t>
      </w:r>
      <w:r w:rsidR="0090108A">
        <w:t xml:space="preserve">see </w:t>
      </w:r>
      <w:r w:rsidR="0005268E" w:rsidRPr="00B23300">
        <w:fldChar w:fldCharType="begin"/>
      </w:r>
      <w:r w:rsidR="0005268E" w:rsidRPr="00B23300">
        <w:instrText xml:space="preserve"> REF _Ref57802538 \h </w:instrText>
      </w:r>
      <w:r w:rsidR="00B23300">
        <w:instrText xml:space="preserve"> \* MERGEFORMAT </w:instrText>
      </w:r>
      <w:r w:rsidR="0005268E" w:rsidRPr="00B23300">
        <w:fldChar w:fldCharType="separate"/>
      </w:r>
      <w:r w:rsidR="0005268E" w:rsidRPr="00B23300">
        <w:t xml:space="preserve">Table </w:t>
      </w:r>
      <w:r w:rsidR="0005268E" w:rsidRPr="00B23300">
        <w:rPr>
          <w:noProof/>
        </w:rPr>
        <w:t>5</w:t>
      </w:r>
      <w:r w:rsidR="0005268E" w:rsidRPr="00B23300">
        <w:fldChar w:fldCharType="end"/>
      </w:r>
      <w:r w:rsidR="0090108A">
        <w:t>, below</w:t>
      </w:r>
      <w:r w:rsidR="0005268E" w:rsidRPr="00B23300">
        <w:t>)</w:t>
      </w:r>
      <w:r w:rsidRPr="00B23300">
        <w:t>. However, in patients w</w:t>
      </w:r>
      <w:r w:rsidR="00E83CB1" w:rsidRPr="00B23300">
        <w:t>ith higher disease activity at B</w:t>
      </w:r>
      <w:r w:rsidRPr="00B23300">
        <w:t>aseline (DAS28 score &gt;</w:t>
      </w:r>
      <w:r w:rsidR="00E01921" w:rsidRPr="00B23300">
        <w:t xml:space="preserve"> </w:t>
      </w:r>
      <w:r w:rsidRPr="00B23300">
        <w:t xml:space="preserve">5.1), the Enbrel group had a higher numerical ACR20 response rate at 88.0% compared with 79.0% in the </w:t>
      </w:r>
      <w:proofErr w:type="spellStart"/>
      <w:r w:rsidRPr="00B23300">
        <w:t>Rymti</w:t>
      </w:r>
      <w:proofErr w:type="spellEnd"/>
      <w:r w:rsidRPr="00B23300">
        <w:t xml:space="preserve"> group. Across the geographic regions there was considerable heterogeneity in the rates of ACR20 response (in particular, significantly lower in Indian subjects, especially with Enbrel</w:t>
      </w:r>
      <w:r w:rsidR="00E13FDA" w:rsidRPr="00B23300">
        <w:t xml:space="preserve"> therapy), but overall similar.</w:t>
      </w:r>
    </w:p>
    <w:p w14:paraId="059E51FF" w14:textId="77777777" w:rsidR="00AE00F9" w:rsidRPr="00B23300" w:rsidRDefault="00AE00F9" w:rsidP="00D47A3D">
      <w:r w:rsidRPr="00B23300">
        <w:t>The secondary efficacy endpoints included:</w:t>
      </w:r>
    </w:p>
    <w:p w14:paraId="25BC4C40" w14:textId="03EDC009" w:rsidR="00AE00F9" w:rsidRPr="00B23300" w:rsidRDefault="00AE00F9" w:rsidP="006867F4">
      <w:pPr>
        <w:pStyle w:val="ListBullet"/>
      </w:pPr>
      <w:r w:rsidRPr="00B23300">
        <w:t xml:space="preserve">ACR20 response rates at </w:t>
      </w:r>
      <w:r w:rsidR="00EA2DDA" w:rsidRPr="00B23300">
        <w:t>Week</w:t>
      </w:r>
      <w:r w:rsidRPr="00B23300">
        <w:t>s 4, 8, and 12,</w:t>
      </w:r>
    </w:p>
    <w:p w14:paraId="43C5F7F6" w14:textId="5D1905B2" w:rsidR="00AE00F9" w:rsidRPr="00B23300" w:rsidRDefault="00AE00F9" w:rsidP="006867F4">
      <w:pPr>
        <w:pStyle w:val="ListBullet"/>
      </w:pPr>
      <w:r w:rsidRPr="00B23300">
        <w:t>ACR50</w:t>
      </w:r>
      <w:r w:rsidR="00C17BF6" w:rsidRPr="00B23300">
        <w:t>;</w:t>
      </w:r>
      <w:r w:rsidR="004D153E" w:rsidRPr="00B23300">
        <w:rPr>
          <w:vertAlign w:val="superscript"/>
        </w:rPr>
        <w:fldChar w:fldCharType="begin"/>
      </w:r>
      <w:r w:rsidR="004D153E" w:rsidRPr="00E90D1F">
        <w:rPr>
          <w:vertAlign w:val="superscript"/>
        </w:rPr>
        <w:instrText xml:space="preserve"> NOTEREF _Ref58920205 \h  \* MERGEFORMAT </w:instrText>
      </w:r>
      <w:r w:rsidR="004D153E" w:rsidRPr="00B23300">
        <w:rPr>
          <w:vertAlign w:val="superscript"/>
        </w:rPr>
      </w:r>
      <w:r w:rsidR="004D153E" w:rsidRPr="00B23300">
        <w:rPr>
          <w:vertAlign w:val="superscript"/>
        </w:rPr>
        <w:fldChar w:fldCharType="separate"/>
      </w:r>
      <w:r w:rsidR="004D153E" w:rsidRPr="00E90D1F">
        <w:rPr>
          <w:vertAlign w:val="superscript"/>
        </w:rPr>
        <w:t>7</w:t>
      </w:r>
      <w:r w:rsidR="004D153E" w:rsidRPr="00B23300">
        <w:rPr>
          <w:vertAlign w:val="superscript"/>
        </w:rPr>
        <w:fldChar w:fldCharType="end"/>
      </w:r>
      <w:r w:rsidRPr="00B23300">
        <w:t xml:space="preserve"> and ACR70</w:t>
      </w:r>
      <w:r w:rsidR="00C17BF6" w:rsidRPr="00B23300">
        <w:t>;</w:t>
      </w:r>
      <w:r w:rsidR="004D153E" w:rsidRPr="00B23300">
        <w:rPr>
          <w:vertAlign w:val="superscript"/>
        </w:rPr>
        <w:fldChar w:fldCharType="begin"/>
      </w:r>
      <w:r w:rsidR="004D153E" w:rsidRPr="00E90D1F">
        <w:rPr>
          <w:vertAlign w:val="superscript"/>
        </w:rPr>
        <w:instrText xml:space="preserve"> NOTEREF _Ref58920205 \h  \* MERGEFORMAT </w:instrText>
      </w:r>
      <w:r w:rsidR="004D153E" w:rsidRPr="00B23300">
        <w:rPr>
          <w:vertAlign w:val="superscript"/>
        </w:rPr>
      </w:r>
      <w:r w:rsidR="004D153E" w:rsidRPr="00B23300">
        <w:rPr>
          <w:vertAlign w:val="superscript"/>
        </w:rPr>
        <w:fldChar w:fldCharType="separate"/>
      </w:r>
      <w:r w:rsidR="004D153E" w:rsidRPr="00E90D1F">
        <w:rPr>
          <w:vertAlign w:val="superscript"/>
        </w:rPr>
        <w:t>7</w:t>
      </w:r>
      <w:r w:rsidR="004D153E" w:rsidRPr="00B23300">
        <w:rPr>
          <w:vertAlign w:val="superscript"/>
        </w:rPr>
        <w:fldChar w:fldCharType="end"/>
      </w:r>
      <w:r w:rsidRPr="00B23300">
        <w:t xml:space="preserve"> response rates at </w:t>
      </w:r>
      <w:r w:rsidR="00EA2DDA" w:rsidRPr="00B23300">
        <w:t>Week</w:t>
      </w:r>
      <w:r w:rsidRPr="00B23300">
        <w:t>s 4, 8, 12 and 24,</w:t>
      </w:r>
    </w:p>
    <w:p w14:paraId="1CC66180" w14:textId="7560FEF7" w:rsidR="00AE00F9" w:rsidRPr="005E6B60" w:rsidRDefault="00AF2D45" w:rsidP="006867F4">
      <w:pPr>
        <w:pStyle w:val="ListBullet"/>
      </w:pPr>
      <w:proofErr w:type="gramStart"/>
      <w:r>
        <w:t>i</w:t>
      </w:r>
      <w:r w:rsidR="00AE00F9" w:rsidRPr="00B23300">
        <w:t>m</w:t>
      </w:r>
      <w:r w:rsidR="00E83CB1" w:rsidRPr="00B23300">
        <w:t>provement</w:t>
      </w:r>
      <w:proofErr w:type="gramEnd"/>
      <w:r w:rsidR="00E83CB1" w:rsidRPr="00B23300">
        <w:t xml:space="preserve"> (</w:t>
      </w:r>
      <w:r w:rsidR="00DB7E16" w:rsidRPr="005E6B60">
        <w:t>least square (</w:t>
      </w:r>
      <w:r w:rsidR="00E83CB1" w:rsidRPr="005E6B60">
        <w:t>LS</w:t>
      </w:r>
      <w:r w:rsidR="00DB7E16" w:rsidRPr="005E6B60">
        <w:t>)</w:t>
      </w:r>
      <w:r w:rsidR="00E83CB1" w:rsidRPr="00B23300">
        <w:t xml:space="preserve"> mean change from B</w:t>
      </w:r>
      <w:r w:rsidR="00AE00F9" w:rsidRPr="00B23300">
        <w:t xml:space="preserve">aseline) in DAS28 score at </w:t>
      </w:r>
      <w:r w:rsidR="00EA2DDA" w:rsidRPr="00B23300">
        <w:t>Week</w:t>
      </w:r>
      <w:r w:rsidR="00E13FDA" w:rsidRPr="00B23300">
        <w:t>s 4, 8, 12 and 24.</w:t>
      </w:r>
    </w:p>
    <w:p w14:paraId="019729C5" w14:textId="0E3FF16D" w:rsidR="00AE00F9" w:rsidRPr="00B23300" w:rsidRDefault="00E369A0" w:rsidP="00D47A3D">
      <w:r w:rsidRPr="005E6B60">
        <w:t xml:space="preserve">European </w:t>
      </w:r>
      <w:r w:rsidR="00C164BC" w:rsidRPr="005E6B60">
        <w:t xml:space="preserve">League </w:t>
      </w:r>
      <w:proofErr w:type="gramStart"/>
      <w:r w:rsidR="00C164BC" w:rsidRPr="005E6B60">
        <w:t>Against</w:t>
      </w:r>
      <w:proofErr w:type="gramEnd"/>
      <w:r w:rsidR="00C164BC" w:rsidRPr="005E6B60">
        <w:t xml:space="preserve"> Rheumatism </w:t>
      </w:r>
      <w:r w:rsidRPr="005E6B60">
        <w:t>(</w:t>
      </w:r>
      <w:r w:rsidR="00AE00F9" w:rsidRPr="005E6B60">
        <w:t>EULAR</w:t>
      </w:r>
      <w:r w:rsidRPr="005E6B60">
        <w:t>)</w:t>
      </w:r>
      <w:r w:rsidR="00AE00F9" w:rsidRPr="00B23300">
        <w:t xml:space="preserve"> and DAS28 response rates at </w:t>
      </w:r>
      <w:r w:rsidR="00EA2DDA" w:rsidRPr="00B23300">
        <w:t>Week</w:t>
      </w:r>
      <w:r w:rsidR="00AE00F9" w:rsidRPr="00B23300">
        <w:t xml:space="preserve">s 4, 8, 12 and 24 were also reported as exploratory outcomes of </w:t>
      </w:r>
      <w:r w:rsidR="00EA2DDA" w:rsidRPr="00B23300">
        <w:t>Stage</w:t>
      </w:r>
      <w:r w:rsidR="00AE00F9" w:rsidRPr="00B23300">
        <w:t xml:space="preserve"> A. ACR-N at </w:t>
      </w:r>
      <w:r w:rsidR="00EA2DDA" w:rsidRPr="00B23300">
        <w:t>Week</w:t>
      </w:r>
      <w:r w:rsidR="00AE00F9" w:rsidRPr="00B23300">
        <w:t xml:space="preserve"> 24 was requested by the </w:t>
      </w:r>
      <w:r w:rsidRPr="005E6B60">
        <w:t>European Medicines Agency (</w:t>
      </w:r>
      <w:r w:rsidR="00AE00F9" w:rsidRPr="005E6B60">
        <w:t>EMA</w:t>
      </w:r>
      <w:r w:rsidRPr="005E6B60">
        <w:t>)</w:t>
      </w:r>
      <w:r w:rsidR="00E13FDA" w:rsidRPr="00B23300">
        <w:t xml:space="preserve"> as a post-hoc analysis.</w:t>
      </w:r>
    </w:p>
    <w:p w14:paraId="1F2A1BDF" w14:textId="4C922C9B" w:rsidR="00AE00F9" w:rsidRPr="005E6B60" w:rsidRDefault="00AE00F9" w:rsidP="00D47A3D">
      <w:r w:rsidRPr="00B23300">
        <w:t xml:space="preserve">The rates of ACR20 response at </w:t>
      </w:r>
      <w:r w:rsidR="00EA2DDA" w:rsidRPr="00B23300">
        <w:t>Week</w:t>
      </w:r>
      <w:r w:rsidRPr="00B23300">
        <w:t>s 4, 8 and 12 in the FAS (summarised below). The ACR20 increased over time in both treatment groups with no significant differen</w:t>
      </w:r>
      <w:r w:rsidRPr="005E6B60">
        <w:t xml:space="preserve">ces observed between the groups. The majority of clinical response </w:t>
      </w:r>
      <w:proofErr w:type="gramStart"/>
      <w:r w:rsidRPr="005E6B60">
        <w:t>was seen</w:t>
      </w:r>
      <w:proofErr w:type="gramEnd"/>
      <w:r w:rsidRPr="005E6B60">
        <w:t xml:space="preserve"> at 12 weeks of therapy, sma</w:t>
      </w:r>
      <w:r w:rsidR="003F2E79" w:rsidRPr="005E6B60">
        <w:t xml:space="preserve">ll incremental improvement (3.7 to </w:t>
      </w:r>
      <w:r w:rsidRPr="005E6B60">
        <w:t>5.8%) in ACR20 thereafter to</w:t>
      </w:r>
      <w:r w:rsidR="001B3586" w:rsidRPr="005E6B60">
        <w:t xml:space="preserve"> 24 weeks.</w:t>
      </w:r>
    </w:p>
    <w:p w14:paraId="429D9015" w14:textId="1D2B6BC6" w:rsidR="00AE00F9" w:rsidRPr="00B23300" w:rsidRDefault="005A4213" w:rsidP="00AB2D08">
      <w:pPr>
        <w:pStyle w:val="TableTitle"/>
      </w:pPr>
      <w:bookmarkStart w:id="45" w:name="_Ref57802538"/>
      <w:r w:rsidRPr="005E6B60">
        <w:t xml:space="preserve">Table </w:t>
      </w:r>
      <w:fldSimple w:instr=" SEQ Table \* ARABIC ">
        <w:r w:rsidR="00C34A49">
          <w:rPr>
            <w:noProof/>
          </w:rPr>
          <w:t>5</w:t>
        </w:r>
      </w:fldSimple>
      <w:bookmarkEnd w:id="45"/>
      <w:r w:rsidR="00B73652" w:rsidRPr="00B23300">
        <w:t>:</w:t>
      </w:r>
      <w:r w:rsidR="00AE00F9" w:rsidRPr="00B23300">
        <w:t xml:space="preserve"> </w:t>
      </w:r>
      <w:r w:rsidR="0090108A" w:rsidRPr="00B23300">
        <w:t xml:space="preserve">Study YLB113-002 </w:t>
      </w:r>
      <w:r w:rsidR="009318DD" w:rsidRPr="00B23300">
        <w:t xml:space="preserve">American College of Rheumatology </w:t>
      </w:r>
      <w:r w:rsidR="00AE00F9" w:rsidRPr="00B23300">
        <w:t xml:space="preserve">20 </w:t>
      </w:r>
      <w:r w:rsidR="004B7B61" w:rsidRPr="00B23300">
        <w:t xml:space="preserve">response rate by visit during </w:t>
      </w:r>
      <w:r w:rsidR="00EA2DDA" w:rsidRPr="00B23300">
        <w:t>Stage</w:t>
      </w:r>
      <w:r w:rsidR="004B7B61" w:rsidRPr="00B23300">
        <w:t xml:space="preserve"> </w:t>
      </w:r>
      <w:proofErr w:type="gramStart"/>
      <w:r w:rsidR="004B7B61" w:rsidRPr="00B23300">
        <w:t>A</w:t>
      </w:r>
      <w:proofErr w:type="gramEnd"/>
      <w:r w:rsidR="004B7B61" w:rsidRPr="00B23300">
        <w:t xml:space="preserve"> </w:t>
      </w:r>
      <w:r w:rsidR="00AE00F9" w:rsidRPr="00B23300">
        <w:t>(</w:t>
      </w:r>
      <w:r w:rsidR="00437D84" w:rsidRPr="00B23300">
        <w:t>full analysis set</w:t>
      </w:r>
      <w:r w:rsidR="00AE00F9" w:rsidRPr="00B23300">
        <w:t>)</w:t>
      </w:r>
    </w:p>
    <w:p w14:paraId="7DF95137" w14:textId="2002F89C" w:rsidR="004E3D11" w:rsidRPr="00B23300" w:rsidRDefault="004E3D11" w:rsidP="00DA266F">
      <w:r w:rsidRPr="00B23300">
        <w:rPr>
          <w:noProof/>
          <w:lang w:eastAsia="en-AU"/>
        </w:rPr>
        <w:drawing>
          <wp:inline distT="0" distB="0" distL="0" distR="0" wp14:anchorId="619FD835" wp14:editId="09485B8B">
            <wp:extent cx="5400040" cy="1702435"/>
            <wp:effectExtent l="0" t="0" r="0" b="0"/>
            <wp:docPr id="7" name="Picture 7" descr="Study YLB113-002 American College of Rheumatology 20 response rate by visit during Stage A (full analysis 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able 5s resized ACR20 Response Rate by Visit during Stage A of Study YLB113-002 (FAS).png"/>
                    <pic:cNvPicPr/>
                  </pic:nvPicPr>
                  <pic:blipFill>
                    <a:blip r:embed="rId17">
                      <a:extLst>
                        <a:ext uri="{28A0092B-C50C-407E-A947-70E740481C1C}">
                          <a14:useLocalDpi xmlns:a14="http://schemas.microsoft.com/office/drawing/2010/main" val="0"/>
                        </a:ext>
                      </a:extLst>
                    </a:blip>
                    <a:stretch>
                      <a:fillRect/>
                    </a:stretch>
                  </pic:blipFill>
                  <pic:spPr>
                    <a:xfrm>
                      <a:off x="0" y="0"/>
                      <a:ext cx="5400040" cy="1702435"/>
                    </a:xfrm>
                    <a:prstGeom prst="rect">
                      <a:avLst/>
                    </a:prstGeom>
                  </pic:spPr>
                </pic:pic>
              </a:graphicData>
            </a:graphic>
          </wp:inline>
        </w:drawing>
      </w:r>
    </w:p>
    <w:p w14:paraId="2D0849E5" w14:textId="38725A07" w:rsidR="004E3D11" w:rsidRPr="00B23300" w:rsidRDefault="004E3D11" w:rsidP="00DA266F">
      <w:pPr>
        <w:pStyle w:val="TableDescription"/>
        <w:spacing w:before="0"/>
      </w:pPr>
      <w:r w:rsidRPr="00B23300">
        <w:t>The</w:t>
      </w:r>
      <w:r w:rsidR="00761CCC" w:rsidRPr="00B23300">
        <w:t xml:space="preserve"> adjusted proportions</w:t>
      </w:r>
      <w:r w:rsidRPr="00B23300">
        <w:t xml:space="preserve"> of subjects with ACR20 response in each treatment group at each visit (week) are estimated using bino</w:t>
      </w:r>
      <w:r w:rsidR="00761CCC" w:rsidRPr="00B23300">
        <w:t>mial reg</w:t>
      </w:r>
      <w:r w:rsidR="00E13FDA" w:rsidRPr="00B23300">
        <w:t>ression.</w:t>
      </w:r>
    </w:p>
    <w:p w14:paraId="70C02342" w14:textId="73E6FB39" w:rsidR="004E3D11" w:rsidRPr="00B23300" w:rsidRDefault="004E3D11" w:rsidP="00DA266F">
      <w:pPr>
        <w:pStyle w:val="TableDescription"/>
        <w:spacing w:before="0"/>
      </w:pPr>
      <w:r w:rsidRPr="00B23300">
        <w:t xml:space="preserve">The difference in </w:t>
      </w:r>
      <w:r w:rsidR="00761CCC" w:rsidRPr="00B23300">
        <w:t>proportions</w:t>
      </w:r>
      <w:r w:rsidRPr="00B23300">
        <w:t xml:space="preserve"> is calculated as the difference between th</w:t>
      </w:r>
      <w:r w:rsidR="00761CCC" w:rsidRPr="00B23300">
        <w:t>e</w:t>
      </w:r>
      <w:r w:rsidRPr="00B23300">
        <w:t xml:space="preserve"> </w:t>
      </w:r>
      <w:r w:rsidR="00761CCC" w:rsidRPr="00B23300">
        <w:t>probabilities</w:t>
      </w:r>
      <w:r w:rsidRPr="00B23300">
        <w:t xml:space="preserve"> predicted by the model for both treatment groups on the original scale at each particular visit (week) </w:t>
      </w:r>
      <w:r w:rsidR="00761CCC" w:rsidRPr="00B23300">
        <w:t>(</w:t>
      </w:r>
      <w:r w:rsidRPr="00B23300">
        <w:t>E (response to treatment at each visit (week))</w:t>
      </w:r>
      <w:r w:rsidR="00761CCC" w:rsidRPr="00B23300">
        <w:t xml:space="preserve"> </w:t>
      </w:r>
      <w:r w:rsidRPr="00B23300">
        <w:t>=</w:t>
      </w:r>
      <w:r w:rsidR="00761CCC" w:rsidRPr="00B23300">
        <w:t xml:space="preserve"> </w:t>
      </w:r>
      <w:r w:rsidRPr="00B23300">
        <w:t>treatment +</w:t>
      </w:r>
      <w:r w:rsidR="00761CCC" w:rsidRPr="00B23300">
        <w:t xml:space="preserve"> </w:t>
      </w:r>
      <w:r w:rsidRPr="00B23300">
        <w:t>baseline DAS28 stratum + a</w:t>
      </w:r>
      <w:r w:rsidR="00761CCC" w:rsidRPr="00B23300">
        <w:t>g</w:t>
      </w:r>
      <w:r w:rsidRPr="00B23300">
        <w:t>e + region)</w:t>
      </w:r>
      <w:r w:rsidR="001361CF" w:rsidRPr="00B23300">
        <w:t>.</w:t>
      </w:r>
    </w:p>
    <w:p w14:paraId="7D1BD432" w14:textId="2C51796E" w:rsidR="004E3D11" w:rsidRPr="00B23300" w:rsidRDefault="004E3D11" w:rsidP="00DA266F">
      <w:pPr>
        <w:pStyle w:val="TableDescription"/>
        <w:spacing w:before="0"/>
      </w:pPr>
      <w:r w:rsidRPr="00B23300">
        <w:t>The 95% confidence interval for the estimated differen</w:t>
      </w:r>
      <w:r w:rsidR="00761CCC" w:rsidRPr="00B23300">
        <w:t>ce</w:t>
      </w:r>
      <w:r w:rsidRPr="00B23300">
        <w:t xml:space="preserve"> in proportions </w:t>
      </w:r>
      <w:proofErr w:type="gramStart"/>
      <w:r w:rsidRPr="00B23300">
        <w:t>is produced</w:t>
      </w:r>
      <w:proofErr w:type="gramEnd"/>
      <w:r w:rsidRPr="00B23300">
        <w:t xml:space="preserve"> using the binominal </w:t>
      </w:r>
      <w:r w:rsidR="00761CCC" w:rsidRPr="00B23300">
        <w:t>regression</w:t>
      </w:r>
      <w:r w:rsidR="00E13FDA" w:rsidRPr="00B23300">
        <w:t xml:space="preserve"> model.</w:t>
      </w:r>
    </w:p>
    <w:p w14:paraId="21986C1D" w14:textId="2B8A36FD" w:rsidR="004E3D11" w:rsidRPr="00B23300" w:rsidRDefault="004E3D11" w:rsidP="00DA266F">
      <w:pPr>
        <w:pStyle w:val="TableDescription"/>
        <w:spacing w:before="0"/>
      </w:pPr>
      <w:r w:rsidRPr="00B23300">
        <w:t xml:space="preserve">Missing data </w:t>
      </w:r>
      <w:proofErr w:type="gramStart"/>
      <w:r w:rsidRPr="00B23300">
        <w:t>have been imputed</w:t>
      </w:r>
      <w:proofErr w:type="gramEnd"/>
      <w:r w:rsidRPr="00B23300">
        <w:t xml:space="preserve"> according to NRI and/or MI</w:t>
      </w:r>
      <w:r w:rsidR="001361CF" w:rsidRPr="00B23300">
        <w:t>.</w:t>
      </w:r>
    </w:p>
    <w:p w14:paraId="41D59642" w14:textId="0ABFE7CD" w:rsidR="004E3D11" w:rsidRPr="00B23300" w:rsidRDefault="004E3D11" w:rsidP="00DA266F">
      <w:pPr>
        <w:pStyle w:val="TableDescription"/>
        <w:spacing w:before="0"/>
      </w:pPr>
      <w:r w:rsidRPr="00B23300">
        <w:t>N</w:t>
      </w:r>
      <w:r w:rsidR="00560C1E" w:rsidRPr="00B23300">
        <w:t xml:space="preserve"> </w:t>
      </w:r>
      <w:r w:rsidRPr="00B23300">
        <w:t>=</w:t>
      </w:r>
      <w:r w:rsidR="00560C1E" w:rsidRPr="00B23300">
        <w:t xml:space="preserve"> </w:t>
      </w:r>
      <w:r w:rsidRPr="00B23300">
        <w:t xml:space="preserve">Number of subjects in the </w:t>
      </w:r>
      <w:r w:rsidR="00761CCC" w:rsidRPr="00B23300">
        <w:t>analysis</w:t>
      </w:r>
      <w:r w:rsidRPr="00B23300">
        <w:t xml:space="preserve"> set </w:t>
      </w:r>
      <w:r w:rsidR="00761CCC" w:rsidRPr="00B23300">
        <w:t>with</w:t>
      </w:r>
      <w:r w:rsidRPr="00B23300">
        <w:t xml:space="preserve"> ACR20 results non-</w:t>
      </w:r>
      <w:r w:rsidR="00761CCC" w:rsidRPr="00B23300">
        <w:t>m</w:t>
      </w:r>
      <w:r w:rsidR="00E13FDA" w:rsidRPr="00B23300">
        <w:t>issing.</w:t>
      </w:r>
    </w:p>
    <w:p w14:paraId="2C164E51" w14:textId="2C9F73B8" w:rsidR="004E3D11" w:rsidRPr="00B23300" w:rsidRDefault="00761CCC" w:rsidP="00DA266F">
      <w:pPr>
        <w:pStyle w:val="TableDescription"/>
        <w:spacing w:before="0"/>
      </w:pPr>
      <w:r w:rsidRPr="00B23300">
        <w:t>Protocol</w:t>
      </w:r>
      <w:r w:rsidR="004E3D11" w:rsidRPr="00B23300">
        <w:t xml:space="preserve"> </w:t>
      </w:r>
      <w:r w:rsidR="00463C6E" w:rsidRPr="00B23300">
        <w:t>defined margins: (</w:t>
      </w:r>
      <w:r w:rsidRPr="00B23300">
        <w:t>-</w:t>
      </w:r>
      <w:r w:rsidR="00571B56" w:rsidRPr="00B23300">
        <w:t xml:space="preserve"> </w:t>
      </w:r>
      <w:r w:rsidRPr="00B23300">
        <w:t>15.0% +</w:t>
      </w:r>
      <w:r w:rsidR="00463C6E" w:rsidRPr="00B23300">
        <w:t xml:space="preserve"> 15.0</w:t>
      </w:r>
      <w:r w:rsidRPr="00B23300">
        <w:t>%</w:t>
      </w:r>
      <w:r w:rsidR="00463C6E" w:rsidRPr="00B23300">
        <w:t>)</w:t>
      </w:r>
      <w:r w:rsidRPr="00B23300">
        <w:t xml:space="preserve"> for </w:t>
      </w:r>
      <w:r w:rsidR="00EA2DDA" w:rsidRPr="00B23300">
        <w:t>Week</w:t>
      </w:r>
      <w:r w:rsidR="00E13FDA" w:rsidRPr="00B23300">
        <w:t xml:space="preserve"> 24 95% confidence interval.</w:t>
      </w:r>
    </w:p>
    <w:p w14:paraId="5056236E" w14:textId="38D46104" w:rsidR="00761CCC" w:rsidRPr="00B23300" w:rsidRDefault="00761CCC" w:rsidP="00DA266F">
      <w:pPr>
        <w:pStyle w:val="TableDescription"/>
        <w:spacing w:before="0"/>
      </w:pPr>
      <w:r w:rsidRPr="00B23300">
        <w:t xml:space="preserve">For subject </w:t>
      </w:r>
      <w:r w:rsidR="004376D0" w:rsidRPr="00B23300">
        <w:t xml:space="preserve">[information redacted] </w:t>
      </w:r>
      <w:r w:rsidRPr="00B23300">
        <w:t xml:space="preserve">has </w:t>
      </w:r>
      <w:r w:rsidR="009666E8" w:rsidRPr="00B23300">
        <w:t>Day</w:t>
      </w:r>
      <w:r w:rsidRPr="00B23300">
        <w:t xml:space="preserve"> </w:t>
      </w:r>
      <w:r w:rsidR="00E0506F" w:rsidRPr="00B23300">
        <w:t>1</w:t>
      </w:r>
      <w:r w:rsidRPr="00B23300">
        <w:t xml:space="preserve"> pre-treatment missing components and thus, the baseline value is imputed using multiple imputation.</w:t>
      </w:r>
    </w:p>
    <w:p w14:paraId="62905BFD" w14:textId="010C3628" w:rsidR="00AE00F9" w:rsidRPr="00B23300" w:rsidRDefault="00AE00F9" w:rsidP="00D47A3D">
      <w:r w:rsidRPr="00B23300">
        <w:t xml:space="preserve">The ACR50 and ACR70 response rates at </w:t>
      </w:r>
      <w:r w:rsidR="00EA2DDA" w:rsidRPr="00B23300">
        <w:t>Week</w:t>
      </w:r>
      <w:r w:rsidRPr="00B23300">
        <w:t xml:space="preserve">s 4, 8 and 12 were similar for both treatment groups but the </w:t>
      </w:r>
      <w:r w:rsidR="00EA2DDA" w:rsidRPr="00B23300">
        <w:t>Week</w:t>
      </w:r>
      <w:r w:rsidRPr="00B23300">
        <w:t xml:space="preserve"> 24 ACR50 response rate was 56.3% in the </w:t>
      </w:r>
      <w:proofErr w:type="spellStart"/>
      <w:r w:rsidRPr="00B23300">
        <w:t>Rymti</w:t>
      </w:r>
      <w:proofErr w:type="spellEnd"/>
      <w:r w:rsidRPr="00B23300">
        <w:t xml:space="preserve"> group compared to 67.1% in the Enbrel group (treat</w:t>
      </w:r>
      <w:r w:rsidR="00106BE6" w:rsidRPr="00B23300">
        <w:t>m</w:t>
      </w:r>
      <w:r w:rsidR="00574064">
        <w:t>ent difference -10.7%, 95% CI (</w:t>
      </w:r>
      <w:r w:rsidR="00574064">
        <w:noBreakHyphen/>
      </w:r>
      <w:r w:rsidR="00106BE6" w:rsidRPr="00B23300">
        <w:t xml:space="preserve">18.9%, </w:t>
      </w:r>
      <w:r w:rsidR="0090108A">
        <w:noBreakHyphen/>
      </w:r>
      <w:r w:rsidR="00106BE6" w:rsidRPr="00B23300">
        <w:t>2.6%)</w:t>
      </w:r>
      <w:r w:rsidRPr="00B23300">
        <w:t xml:space="preserve">). The </w:t>
      </w:r>
      <w:r w:rsidR="00EA2DDA" w:rsidRPr="00B23300">
        <w:t>Week</w:t>
      </w:r>
      <w:r w:rsidRPr="00B23300">
        <w:t xml:space="preserve"> 24 ACR70 response rates were arou</w:t>
      </w:r>
      <w:r w:rsidR="00E13FDA" w:rsidRPr="00B23300">
        <w:t>nd 35% in each treatment group.</w:t>
      </w:r>
    </w:p>
    <w:p w14:paraId="5725D60C" w14:textId="5B435B67" w:rsidR="00AE00F9" w:rsidRPr="00B23300" w:rsidRDefault="00AE00F9" w:rsidP="00D47A3D">
      <w:r w:rsidRPr="00B23300">
        <w:t>The DAS28 score used either ESR or CRP, with the results pooled. At Week 24 the LS means were -2.43 (95% CI -2.616, -2.239) and -2.48 (-2.668, -2.286), difference 0.05 (</w:t>
      </w:r>
      <w:r w:rsidR="0090108A">
        <w:noBreakHyphen/>
      </w:r>
      <w:r w:rsidRPr="00B23300">
        <w:t xml:space="preserve">0.129, 0.228). In this DAS28 ESR subgroup, the LS mean change from </w:t>
      </w:r>
      <w:r w:rsidR="00E83CB1" w:rsidRPr="00B23300">
        <w:t>B</w:t>
      </w:r>
      <w:r w:rsidRPr="00B23300">
        <w:t xml:space="preserve">aseline to </w:t>
      </w:r>
      <w:r w:rsidR="00EA2DDA" w:rsidRPr="00B23300">
        <w:t>Week</w:t>
      </w:r>
      <w:r w:rsidRPr="00B23300">
        <w:t xml:space="preserve"> 24 was -2.63 in the </w:t>
      </w:r>
      <w:proofErr w:type="spellStart"/>
      <w:r w:rsidRPr="00B23300">
        <w:t>Rymti</w:t>
      </w:r>
      <w:proofErr w:type="spellEnd"/>
      <w:r w:rsidRPr="00B23300">
        <w:t xml:space="preserve"> group (n</w:t>
      </w:r>
      <w:r w:rsidR="00560C1E" w:rsidRPr="00B23300">
        <w:t xml:space="preserve"> </w:t>
      </w:r>
      <w:r w:rsidRPr="00B23300">
        <w:t>=</w:t>
      </w:r>
      <w:r w:rsidR="00560C1E" w:rsidRPr="00B23300">
        <w:t xml:space="preserve"> </w:t>
      </w:r>
      <w:r w:rsidRPr="00B23300">
        <w:t>161) and -2.62 in the Enbrel group (n</w:t>
      </w:r>
      <w:r w:rsidR="00560C1E" w:rsidRPr="00B23300">
        <w:t xml:space="preserve"> </w:t>
      </w:r>
      <w:r w:rsidRPr="00B23300">
        <w:t>=</w:t>
      </w:r>
      <w:r w:rsidR="00560C1E" w:rsidRPr="00B23300">
        <w:t xml:space="preserve"> </w:t>
      </w:r>
      <w:r w:rsidRPr="00B23300">
        <w:t>165), with a treatment difference of -0.01 (95% CI -0.230, 0.214). For DAS2</w:t>
      </w:r>
      <w:r w:rsidR="00E83CB1" w:rsidRPr="00B23300">
        <w:t>8 CRP, the LS mean change from B</w:t>
      </w:r>
      <w:r w:rsidRPr="00B23300">
        <w:t xml:space="preserve">aseline to </w:t>
      </w:r>
      <w:r w:rsidR="00EA2DDA" w:rsidRPr="00B23300">
        <w:t>Week</w:t>
      </w:r>
      <w:r w:rsidRPr="00B23300">
        <w:t xml:space="preserve"> 24 was -2.18 in the </w:t>
      </w:r>
      <w:proofErr w:type="spellStart"/>
      <w:r w:rsidRPr="00B23300">
        <w:t>Rymti</w:t>
      </w:r>
      <w:proofErr w:type="spellEnd"/>
      <w:r w:rsidRPr="00B23300">
        <w:t xml:space="preserve"> group (n</w:t>
      </w:r>
      <w:r w:rsidR="00560C1E" w:rsidRPr="00B23300">
        <w:t xml:space="preserve"> </w:t>
      </w:r>
      <w:r w:rsidRPr="00B23300">
        <w:t>=</w:t>
      </w:r>
      <w:r w:rsidR="00560C1E" w:rsidRPr="00B23300">
        <w:t xml:space="preserve"> </w:t>
      </w:r>
      <w:r w:rsidRPr="00B23300">
        <w:t>102) and -2.25 in the Enbrel group (n</w:t>
      </w:r>
      <w:r w:rsidR="00560C1E" w:rsidRPr="00B23300">
        <w:t xml:space="preserve"> </w:t>
      </w:r>
      <w:r w:rsidRPr="00B23300">
        <w:t>=</w:t>
      </w:r>
      <w:r w:rsidR="00560C1E" w:rsidRPr="00B23300">
        <w:t xml:space="preserve"> </w:t>
      </w:r>
      <w:r w:rsidRPr="00B23300">
        <w:t>89) with a treatment difference o</w:t>
      </w:r>
      <w:r w:rsidR="001B3586" w:rsidRPr="00B23300">
        <w:t>f 0.07 (95% CI -0.216, 0.365).</w:t>
      </w:r>
    </w:p>
    <w:p w14:paraId="61915BBB" w14:textId="6C47654B" w:rsidR="00AE00F9" w:rsidRPr="00B23300" w:rsidRDefault="00AE00F9" w:rsidP="00D47A3D">
      <w:r w:rsidRPr="00B23300">
        <w:t xml:space="preserve">EULAR Responses (good, moderate and no response) based on pooled DAS28 responses at </w:t>
      </w:r>
      <w:r w:rsidR="00EA2DDA" w:rsidRPr="00B23300">
        <w:t>Week</w:t>
      </w:r>
      <w:r w:rsidRPr="00B23300">
        <w:t xml:space="preserve">s 4, 8, 12 and 24 were similar between the groups. At </w:t>
      </w:r>
      <w:r w:rsidR="00EA2DDA" w:rsidRPr="00B23300">
        <w:t>Week</w:t>
      </w:r>
      <w:r w:rsidR="00333EE4" w:rsidRPr="00B23300">
        <w:t xml:space="preserve"> 24, 39.5% (104 over </w:t>
      </w:r>
      <w:r w:rsidRPr="00B23300">
        <w:t xml:space="preserve">263) of subjects in the </w:t>
      </w:r>
      <w:proofErr w:type="spellStart"/>
      <w:r w:rsidRPr="00B23300">
        <w:t>Rymti</w:t>
      </w:r>
      <w:proofErr w:type="spellEnd"/>
      <w:r w:rsidRPr="00B23300">
        <w:t xml:space="preserve"> group and 38.6% (98</w:t>
      </w:r>
      <w:r w:rsidR="00333EE4" w:rsidRPr="00B23300">
        <w:t xml:space="preserve"> over </w:t>
      </w:r>
      <w:r w:rsidRPr="00B23300">
        <w:t xml:space="preserve">254) of patients in the Enbrel group reached clinical remission. At </w:t>
      </w:r>
      <w:r w:rsidR="00EA2DDA" w:rsidRPr="00B23300">
        <w:t>Week</w:t>
      </w:r>
      <w:r w:rsidRPr="00B23300">
        <w:t xml:space="preserve"> 24, low disease activity </w:t>
      </w:r>
      <w:proofErr w:type="gramStart"/>
      <w:r w:rsidRPr="00B23300">
        <w:t>was recorded</w:t>
      </w:r>
      <w:proofErr w:type="gramEnd"/>
      <w:r w:rsidRPr="00B23300">
        <w:t xml:space="preserve"> in a slightly lower proportion of subj</w:t>
      </w:r>
      <w:r w:rsidR="00106BE6" w:rsidRPr="00B23300">
        <w:t xml:space="preserve">ects in the </w:t>
      </w:r>
      <w:proofErr w:type="spellStart"/>
      <w:r w:rsidR="00106BE6" w:rsidRPr="00B23300">
        <w:t>Rymti</w:t>
      </w:r>
      <w:proofErr w:type="spellEnd"/>
      <w:r w:rsidR="00106BE6" w:rsidRPr="00B23300">
        <w:t xml:space="preserve"> group (15.2% (</w:t>
      </w:r>
      <w:r w:rsidRPr="00B23300">
        <w:t>40</w:t>
      </w:r>
      <w:r w:rsidR="00333EE4" w:rsidRPr="00B23300">
        <w:t xml:space="preserve"> over </w:t>
      </w:r>
      <w:r w:rsidRPr="00B23300">
        <w:t>263</w:t>
      </w:r>
      <w:r w:rsidR="00106BE6" w:rsidRPr="00B23300">
        <w:t>)</w:t>
      </w:r>
      <w:r w:rsidRPr="00B23300">
        <w:t xml:space="preserve"> of subjects in the </w:t>
      </w:r>
      <w:proofErr w:type="spellStart"/>
      <w:r w:rsidRPr="00B23300">
        <w:t>Rymti</w:t>
      </w:r>
      <w:proofErr w:type="spellEnd"/>
      <w:r w:rsidRPr="00B23300">
        <w:t xml:space="preserve"> group versus 20.1% </w:t>
      </w:r>
      <w:r w:rsidR="00106BE6" w:rsidRPr="00B23300">
        <w:t>(</w:t>
      </w:r>
      <w:r w:rsidRPr="00B23300">
        <w:t>51</w:t>
      </w:r>
      <w:r w:rsidR="00333EE4" w:rsidRPr="00B23300">
        <w:t xml:space="preserve"> over </w:t>
      </w:r>
      <w:r w:rsidRPr="00B23300">
        <w:t>254</w:t>
      </w:r>
      <w:r w:rsidR="00106BE6" w:rsidRPr="00B23300">
        <w:t>)</w:t>
      </w:r>
      <w:r w:rsidRPr="00B23300">
        <w:t xml:space="preserve"> of patients in the Enbrel group).</w:t>
      </w:r>
    </w:p>
    <w:p w14:paraId="2078F8D1" w14:textId="73C12829" w:rsidR="00AE00F9" w:rsidRPr="00B23300" w:rsidRDefault="00AE00F9" w:rsidP="00D47A3D">
      <w:r w:rsidRPr="00B23300">
        <w:t xml:space="preserve">At </w:t>
      </w:r>
      <w:r w:rsidR="00EA2DDA" w:rsidRPr="00B23300">
        <w:t>Week</w:t>
      </w:r>
      <w:r w:rsidRPr="00B23300">
        <w:t xml:space="preserve"> 24 t</w:t>
      </w:r>
      <w:r w:rsidR="00E83CB1" w:rsidRPr="00B23300">
        <w:t>he mean percentage change from B</w:t>
      </w:r>
      <w:r w:rsidRPr="00B23300">
        <w:t xml:space="preserve">aseline in ACR-N (using ESR) was -60.1 (95% CI -64.1, -56.1) with </w:t>
      </w:r>
      <w:proofErr w:type="spellStart"/>
      <w:r w:rsidRPr="00B23300">
        <w:t>Rymti</w:t>
      </w:r>
      <w:proofErr w:type="spellEnd"/>
      <w:r w:rsidRPr="00B23300">
        <w:t xml:space="preserve"> and -59.9 (95% CI -63.7, -56.1) with Enbrel. The mean percentage cha</w:t>
      </w:r>
      <w:r w:rsidR="00E83CB1" w:rsidRPr="00B23300">
        <w:t>nge from B</w:t>
      </w:r>
      <w:r w:rsidRPr="00B23300">
        <w:t xml:space="preserve">aseline to </w:t>
      </w:r>
      <w:r w:rsidR="00EA2DDA" w:rsidRPr="00B23300">
        <w:t>Week</w:t>
      </w:r>
      <w:r w:rsidRPr="00B23300">
        <w:t xml:space="preserve"> 24 in ACR-N</w:t>
      </w:r>
      <w:r w:rsidR="00A37739">
        <w:t xml:space="preserve"> (using CRP) was -61.4 (95% CI </w:t>
      </w:r>
      <w:r w:rsidR="00A37739">
        <w:noBreakHyphen/>
      </w:r>
      <w:r w:rsidRPr="00B23300">
        <w:t xml:space="preserve">67.6, -55.2) with </w:t>
      </w:r>
      <w:proofErr w:type="spellStart"/>
      <w:r w:rsidRPr="00B23300">
        <w:t>Rymti</w:t>
      </w:r>
      <w:proofErr w:type="spellEnd"/>
      <w:r w:rsidRPr="00B23300">
        <w:t xml:space="preserve"> and -62.6 (95% CI -69.0, -56.3) with. Similar results were observed in the per protocol population.</w:t>
      </w:r>
    </w:p>
    <w:p w14:paraId="5BEE2245" w14:textId="34F186A1" w:rsidR="00AE00F9" w:rsidRPr="00B23300" w:rsidRDefault="00EA2DDA" w:rsidP="009F6809">
      <w:pPr>
        <w:pStyle w:val="Heading6"/>
      </w:pPr>
      <w:r w:rsidRPr="00B23300">
        <w:t>Stage</w:t>
      </w:r>
      <w:r w:rsidR="00AE00F9" w:rsidRPr="00B23300">
        <w:t xml:space="preserve"> B</w:t>
      </w:r>
    </w:p>
    <w:p w14:paraId="59A5A1AF" w14:textId="21BC9B61" w:rsidR="00AE00F9" w:rsidRPr="00B23300" w:rsidRDefault="00AE00F9" w:rsidP="00D47A3D">
      <w:r w:rsidRPr="00B23300">
        <w:t xml:space="preserve">Patients in </w:t>
      </w:r>
      <w:r w:rsidR="00EA2DDA" w:rsidRPr="00B23300">
        <w:t>Stage</w:t>
      </w:r>
      <w:r w:rsidRPr="00B23300">
        <w:t xml:space="preserve"> B continued their assigned treatment from </w:t>
      </w:r>
      <w:r w:rsidR="00EA2DDA" w:rsidRPr="00B23300">
        <w:t>Stage</w:t>
      </w:r>
      <w:r w:rsidRPr="00B23300">
        <w:t xml:space="preserve"> A.</w:t>
      </w:r>
    </w:p>
    <w:p w14:paraId="423890A3" w14:textId="2AACF614" w:rsidR="00AE00F9" w:rsidRPr="00B23300" w:rsidRDefault="00AE00F9" w:rsidP="00D47A3D">
      <w:r w:rsidRPr="00B23300">
        <w:t xml:space="preserve">The baseline characteristics for this part of the study were similar to </w:t>
      </w:r>
      <w:r w:rsidR="00EA2DDA" w:rsidRPr="00B23300">
        <w:t>Stage</w:t>
      </w:r>
      <w:r w:rsidRPr="00B23300">
        <w:t xml:space="preserve"> A. Six major protocol deviations in this part of the study included 0.9% in each treatment group with inadequate compliance with study medication and 0.9% of the </w:t>
      </w:r>
      <w:proofErr w:type="spellStart"/>
      <w:r w:rsidRPr="00B23300">
        <w:t>Rymti</w:t>
      </w:r>
      <w:proofErr w:type="spellEnd"/>
      <w:r w:rsidRPr="00B23300">
        <w:t xml:space="preserve"> group using prohibited medications that may have influenced efficacy outcomes. Early discontinuation </w:t>
      </w:r>
      <w:r w:rsidR="00B20DC2" w:rsidRPr="00B23300">
        <w:t xml:space="preserve">occurred in nine (3.4%) </w:t>
      </w:r>
      <w:proofErr w:type="spellStart"/>
      <w:r w:rsidR="00B20DC2" w:rsidRPr="00B23300">
        <w:t>Rymti</w:t>
      </w:r>
      <w:proofErr w:type="spellEnd"/>
      <w:r w:rsidR="00B20DC2" w:rsidRPr="00B23300">
        <w:t xml:space="preserve"> and eight</w:t>
      </w:r>
      <w:r w:rsidRPr="00B23300">
        <w:t xml:space="preserve"> (3.1%) Enbrel most commonly due to consent withdr</w:t>
      </w:r>
      <w:r w:rsidR="00031814" w:rsidRPr="00B23300">
        <w:t>awal three</w:t>
      </w:r>
      <w:r w:rsidRPr="00B23300">
        <w:t xml:space="preserve"> (1.1%) in the </w:t>
      </w:r>
      <w:proofErr w:type="spellStart"/>
      <w:r w:rsidRPr="00B23300">
        <w:t>Rymti</w:t>
      </w:r>
      <w:proofErr w:type="spellEnd"/>
      <w:r w:rsidRPr="00B23300">
        <w:t xml:space="preserve"> group and due to equal numbers of AEs 4 (1.5%) in each group.</w:t>
      </w:r>
    </w:p>
    <w:p w14:paraId="0F11A3CC" w14:textId="5275EAB0" w:rsidR="00AE00F9" w:rsidRPr="00B23300" w:rsidRDefault="00AE00F9" w:rsidP="00D47A3D">
      <w:r w:rsidRPr="00B23300">
        <w:t xml:space="preserve">The efficacy outcomes for </w:t>
      </w:r>
      <w:r w:rsidR="00EA2DDA" w:rsidRPr="00B23300">
        <w:t>Stage</w:t>
      </w:r>
      <w:r w:rsidRPr="00B23300">
        <w:t xml:space="preserve"> B of the trial </w:t>
      </w:r>
      <w:proofErr w:type="gramStart"/>
      <w:r w:rsidRPr="00B23300">
        <w:t>were stated</w:t>
      </w:r>
      <w:proofErr w:type="gramEnd"/>
      <w:r w:rsidRPr="00B23300">
        <w:t xml:space="preserve"> to have been collected, but were not included in the study report but a summary was provided in response to questions, and are summarised in </w:t>
      </w:r>
      <w:r w:rsidR="0005268E" w:rsidRPr="00B23300">
        <w:fldChar w:fldCharType="begin"/>
      </w:r>
      <w:r w:rsidR="0005268E" w:rsidRPr="00B23300">
        <w:instrText xml:space="preserve"> REF _Ref57802581 \h </w:instrText>
      </w:r>
      <w:r w:rsidR="00B23300">
        <w:instrText xml:space="preserve"> \* MERGEFORMAT </w:instrText>
      </w:r>
      <w:r w:rsidR="0005268E" w:rsidRPr="00B23300">
        <w:fldChar w:fldCharType="separate"/>
      </w:r>
      <w:r w:rsidR="0005268E" w:rsidRPr="00B23300">
        <w:t xml:space="preserve">Table </w:t>
      </w:r>
      <w:r w:rsidR="0005268E" w:rsidRPr="00B23300">
        <w:rPr>
          <w:noProof/>
        </w:rPr>
        <w:t>6</w:t>
      </w:r>
      <w:r w:rsidR="0005268E" w:rsidRPr="00B23300">
        <w:fldChar w:fldCharType="end"/>
      </w:r>
      <w:r w:rsidRPr="00B23300">
        <w:t>.</w:t>
      </w:r>
    </w:p>
    <w:p w14:paraId="32C56FC6" w14:textId="5609139F" w:rsidR="00AE00F9" w:rsidRPr="00B23300" w:rsidRDefault="005A4213" w:rsidP="00AB2D08">
      <w:pPr>
        <w:pStyle w:val="TableTitle"/>
      </w:pPr>
      <w:bookmarkStart w:id="46" w:name="_Ref57802581"/>
      <w:r w:rsidRPr="00B23300">
        <w:t xml:space="preserve">Table </w:t>
      </w:r>
      <w:fldSimple w:instr=" SEQ Table \* ARABIC ">
        <w:r w:rsidR="00C34A49">
          <w:rPr>
            <w:noProof/>
          </w:rPr>
          <w:t>6</w:t>
        </w:r>
      </w:fldSimple>
      <w:bookmarkEnd w:id="46"/>
      <w:r w:rsidR="00B73652" w:rsidRPr="00B23300">
        <w:t>:</w:t>
      </w:r>
      <w:r w:rsidR="00AE00F9" w:rsidRPr="00B23300">
        <w:t xml:space="preserve"> </w:t>
      </w:r>
      <w:r w:rsidR="00863B5E">
        <w:t xml:space="preserve">Study YLB113-002 (Stage B) </w:t>
      </w:r>
      <w:r w:rsidR="00437D84" w:rsidRPr="00B23300">
        <w:t>American College of Rheumatology r</w:t>
      </w:r>
      <w:r w:rsidR="00AE00F9" w:rsidRPr="00B23300">
        <w:t>espon</w:t>
      </w:r>
      <w:r w:rsidR="00437D84" w:rsidRPr="00B23300">
        <w:t>se</w:t>
      </w:r>
      <w:r w:rsidR="00863B5E">
        <w:t>s</w:t>
      </w:r>
    </w:p>
    <w:p w14:paraId="2B3082C5" w14:textId="73474E89" w:rsidR="003811A6" w:rsidRPr="00B23300" w:rsidRDefault="003811A6" w:rsidP="00DA266F">
      <w:r w:rsidRPr="00B23300">
        <w:rPr>
          <w:noProof/>
          <w:lang w:eastAsia="en-AU"/>
        </w:rPr>
        <w:drawing>
          <wp:inline distT="0" distB="0" distL="0" distR="0" wp14:anchorId="119CD43C" wp14:editId="5512F8FB">
            <wp:extent cx="5400040" cy="3825875"/>
            <wp:effectExtent l="0" t="0" r="0" b="3175"/>
            <wp:docPr id="8" name="Picture 8" descr="Study YLB113-002 (Stage B) American College of Rheumatology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able 6a resized ACR Response Stage B.png"/>
                    <pic:cNvPicPr/>
                  </pic:nvPicPr>
                  <pic:blipFill>
                    <a:blip r:embed="rId18">
                      <a:extLst>
                        <a:ext uri="{28A0092B-C50C-407E-A947-70E740481C1C}">
                          <a14:useLocalDpi xmlns:a14="http://schemas.microsoft.com/office/drawing/2010/main" val="0"/>
                        </a:ext>
                      </a:extLst>
                    </a:blip>
                    <a:stretch>
                      <a:fillRect/>
                    </a:stretch>
                  </pic:blipFill>
                  <pic:spPr>
                    <a:xfrm>
                      <a:off x="0" y="0"/>
                      <a:ext cx="5400040" cy="3825875"/>
                    </a:xfrm>
                    <a:prstGeom prst="rect">
                      <a:avLst/>
                    </a:prstGeom>
                  </pic:spPr>
                </pic:pic>
              </a:graphicData>
            </a:graphic>
          </wp:inline>
        </w:drawing>
      </w:r>
    </w:p>
    <w:p w14:paraId="38BF6158" w14:textId="10B93E67" w:rsidR="00AE00F9" w:rsidRPr="00B23300" w:rsidRDefault="00BE0149" w:rsidP="00127D9A">
      <w:r w:rsidRPr="00B23300">
        <w:t>The DAS28 s</w:t>
      </w:r>
      <w:r w:rsidR="00AE00F9" w:rsidRPr="00B23300">
        <w:t xml:space="preserve">cores were also summarised in </w:t>
      </w:r>
      <w:r w:rsidR="0005268E" w:rsidRPr="00B23300">
        <w:fldChar w:fldCharType="begin"/>
      </w:r>
      <w:r w:rsidR="0005268E" w:rsidRPr="00B23300">
        <w:instrText xml:space="preserve"> REF _Ref57802603 \h </w:instrText>
      </w:r>
      <w:r w:rsidR="00B23300">
        <w:instrText xml:space="preserve"> \* MERGEFORMAT </w:instrText>
      </w:r>
      <w:r w:rsidR="0005268E" w:rsidRPr="00B23300">
        <w:fldChar w:fldCharType="separate"/>
      </w:r>
      <w:r w:rsidR="0005268E" w:rsidRPr="00B23300">
        <w:t xml:space="preserve">Table </w:t>
      </w:r>
      <w:r w:rsidR="0005268E" w:rsidRPr="00B23300">
        <w:rPr>
          <w:noProof/>
        </w:rPr>
        <w:t>7</w:t>
      </w:r>
      <w:r w:rsidR="0005268E" w:rsidRPr="00B23300">
        <w:fldChar w:fldCharType="end"/>
      </w:r>
      <w:r w:rsidR="00AE00F9" w:rsidRPr="00B23300">
        <w:t>.</w:t>
      </w:r>
    </w:p>
    <w:p w14:paraId="5F7B933E" w14:textId="6F89D577" w:rsidR="003811A6" w:rsidRPr="00B23300" w:rsidRDefault="005A4213" w:rsidP="00AB2D08">
      <w:pPr>
        <w:pStyle w:val="TableTitle"/>
        <w:rPr>
          <w:lang w:eastAsia="ja-JP"/>
        </w:rPr>
      </w:pPr>
      <w:bookmarkStart w:id="47" w:name="_Ref57802603"/>
      <w:r w:rsidRPr="00B23300">
        <w:t xml:space="preserve">Table </w:t>
      </w:r>
      <w:fldSimple w:instr=" SEQ Table \* ARABIC ">
        <w:r w:rsidR="00C34A49">
          <w:rPr>
            <w:noProof/>
          </w:rPr>
          <w:t>7</w:t>
        </w:r>
      </w:fldSimple>
      <w:bookmarkEnd w:id="47"/>
      <w:r w:rsidR="00B73652" w:rsidRPr="00B23300">
        <w:t>:</w:t>
      </w:r>
      <w:r w:rsidR="00AE00F9" w:rsidRPr="00B23300">
        <w:t xml:space="preserve"> </w:t>
      </w:r>
      <w:r w:rsidR="00863B5E">
        <w:t xml:space="preserve">Study YLB113-002 (Stage B) </w:t>
      </w:r>
      <w:r w:rsidR="00437D84" w:rsidRPr="00B23300">
        <w:rPr>
          <w:lang w:eastAsia="ja-JP"/>
        </w:rPr>
        <w:t>Mean c</w:t>
      </w:r>
      <w:r w:rsidR="00E83CB1" w:rsidRPr="00B23300">
        <w:rPr>
          <w:lang w:eastAsia="ja-JP"/>
        </w:rPr>
        <w:t>hange from B</w:t>
      </w:r>
      <w:r w:rsidR="00AE00F9" w:rsidRPr="00B23300">
        <w:rPr>
          <w:lang w:eastAsia="ja-JP"/>
        </w:rPr>
        <w:t xml:space="preserve">aseline in </w:t>
      </w:r>
      <w:r w:rsidR="00863B5E">
        <w:rPr>
          <w:lang w:eastAsia="ja-JP"/>
        </w:rPr>
        <w:t>D</w:t>
      </w:r>
      <w:r w:rsidR="00437D84" w:rsidRPr="00B23300">
        <w:rPr>
          <w:lang w:eastAsia="ja-JP"/>
        </w:rPr>
        <w:t xml:space="preserve">isease </w:t>
      </w:r>
      <w:r w:rsidR="00863B5E">
        <w:rPr>
          <w:lang w:eastAsia="ja-JP"/>
        </w:rPr>
        <w:t>A</w:t>
      </w:r>
      <w:r w:rsidR="00437D84" w:rsidRPr="00B23300">
        <w:rPr>
          <w:lang w:eastAsia="ja-JP"/>
        </w:rPr>
        <w:t>ctivity</w:t>
      </w:r>
      <w:r w:rsidR="00863B5E">
        <w:rPr>
          <w:lang w:eastAsia="ja-JP"/>
        </w:rPr>
        <w:t xml:space="preserve"> Score</w:t>
      </w:r>
      <w:r w:rsidR="00437D84" w:rsidRPr="00B23300">
        <w:rPr>
          <w:lang w:eastAsia="ja-JP"/>
        </w:rPr>
        <w:t xml:space="preserve"> 28 </w:t>
      </w:r>
      <w:r w:rsidR="00863B5E">
        <w:rPr>
          <w:lang w:eastAsia="ja-JP"/>
        </w:rPr>
        <w:t>results</w:t>
      </w:r>
    </w:p>
    <w:p w14:paraId="210647DC" w14:textId="7ABC91D1" w:rsidR="00AE00F9" w:rsidRPr="00B23300" w:rsidRDefault="003811A6" w:rsidP="00DA266F">
      <w:r w:rsidRPr="00B23300">
        <w:rPr>
          <w:noProof/>
          <w:lang w:eastAsia="en-AU"/>
        </w:rPr>
        <w:drawing>
          <wp:inline distT="0" distB="0" distL="0" distR="0" wp14:anchorId="2F32FED4" wp14:editId="28BFC4B5">
            <wp:extent cx="5429250" cy="2511603"/>
            <wp:effectExtent l="0" t="0" r="0" b="3175"/>
            <wp:docPr id="10" name="Picture 10" descr="Study YLB113-002 (Stage B) Mean change from Baseline in Disease Activity Score 28 resul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Table 7a resized Mean Change from baseline in DAS28 Score in Stage B.png"/>
                    <pic:cNvPicPr/>
                  </pic:nvPicPr>
                  <pic:blipFill>
                    <a:blip r:embed="rId19">
                      <a:extLst>
                        <a:ext uri="{28A0092B-C50C-407E-A947-70E740481C1C}">
                          <a14:useLocalDpi xmlns:a14="http://schemas.microsoft.com/office/drawing/2010/main" val="0"/>
                        </a:ext>
                      </a:extLst>
                    </a:blip>
                    <a:stretch>
                      <a:fillRect/>
                    </a:stretch>
                  </pic:blipFill>
                  <pic:spPr>
                    <a:xfrm>
                      <a:off x="0" y="0"/>
                      <a:ext cx="5447891" cy="2520227"/>
                    </a:xfrm>
                    <a:prstGeom prst="rect">
                      <a:avLst/>
                    </a:prstGeom>
                  </pic:spPr>
                </pic:pic>
              </a:graphicData>
            </a:graphic>
          </wp:inline>
        </w:drawing>
      </w:r>
      <w:r w:rsidR="00AE00F9" w:rsidRPr="00B23300">
        <w:rPr>
          <w:lang w:eastAsia="ja-JP"/>
        </w:rPr>
        <w:t xml:space="preserve"> </w:t>
      </w:r>
    </w:p>
    <w:p w14:paraId="2167B87C" w14:textId="5A73CE0E" w:rsidR="00AE00F9" w:rsidRPr="00B23300" w:rsidRDefault="00EA2DDA" w:rsidP="00BF4618">
      <w:pPr>
        <w:pStyle w:val="Heading6"/>
      </w:pPr>
      <w:r w:rsidRPr="00B23300">
        <w:t>Stage</w:t>
      </w:r>
      <w:r w:rsidR="00AE00F9" w:rsidRPr="00B23300">
        <w:t xml:space="preserve"> C</w:t>
      </w:r>
    </w:p>
    <w:p w14:paraId="231D2DDD" w14:textId="35D0D19D" w:rsidR="00AE00F9" w:rsidRPr="00B23300" w:rsidRDefault="00CD1123" w:rsidP="00127D9A">
      <w:r>
        <w:t>Eighteen</w:t>
      </w:r>
      <w:r w:rsidR="00B20DC2" w:rsidRPr="00B23300">
        <w:t xml:space="preserve"> European based subjects (eight switched to Enbrel, ten</w:t>
      </w:r>
      <w:r w:rsidR="00AE00F9" w:rsidRPr="00B23300">
        <w:t xml:space="preserve"> switched to </w:t>
      </w:r>
      <w:proofErr w:type="spellStart"/>
      <w:r w:rsidR="00AE00F9" w:rsidRPr="00B23300">
        <w:t>Rymti</w:t>
      </w:r>
      <w:proofErr w:type="spellEnd"/>
      <w:r w:rsidR="00AE00F9" w:rsidRPr="00B23300">
        <w:t xml:space="preserve">) with a median age of 55 years entered </w:t>
      </w:r>
      <w:r w:rsidR="00EA2DDA" w:rsidRPr="00B23300">
        <w:t>Stage</w:t>
      </w:r>
      <w:r w:rsidR="00304062" w:rsidRPr="00B23300">
        <w:t xml:space="preserve"> C of the trial. There were seven</w:t>
      </w:r>
      <w:r w:rsidR="00AE00F9" w:rsidRPr="00B23300">
        <w:t xml:space="preserve"> female subjects in each treatment group with a mean BMI of 25.7 kg/m</w:t>
      </w:r>
      <w:r w:rsidR="00AE00F9" w:rsidRPr="00B23300">
        <w:rPr>
          <w:vertAlign w:val="superscript"/>
        </w:rPr>
        <w:t>2</w:t>
      </w:r>
      <w:r w:rsidR="00AE00F9" w:rsidRPr="00B23300">
        <w:t xml:space="preserve"> (mean weight of 72.8 kg). One patient in the switching </w:t>
      </w:r>
      <w:r w:rsidR="00EA2DDA" w:rsidRPr="00B23300">
        <w:t>Stage</w:t>
      </w:r>
      <w:r w:rsidR="00AE00F9" w:rsidRPr="00B23300">
        <w:t xml:space="preserve"> C discontinued because</w:t>
      </w:r>
      <w:r w:rsidR="00571B56" w:rsidRPr="00B23300">
        <w:t xml:space="preserve"> of an RA exacerbation (Enbrel-</w:t>
      </w:r>
      <w:proofErr w:type="spellStart"/>
      <w:r w:rsidR="00AE00F9" w:rsidRPr="00B23300">
        <w:t>Rymti</w:t>
      </w:r>
      <w:proofErr w:type="spellEnd"/>
      <w:r w:rsidR="00AE00F9" w:rsidRPr="00B23300">
        <w:t xml:space="preserve"> group). One major protocol deviation </w:t>
      </w:r>
      <w:proofErr w:type="gramStart"/>
      <w:r w:rsidR="00AE00F9" w:rsidRPr="00B23300">
        <w:t>was recorded</w:t>
      </w:r>
      <w:proofErr w:type="gramEnd"/>
      <w:r w:rsidR="00AE00F9" w:rsidRPr="00B23300">
        <w:t xml:space="preserve"> in a subject treated with </w:t>
      </w:r>
      <w:proofErr w:type="spellStart"/>
      <w:r w:rsidR="00AE00F9" w:rsidRPr="00B23300">
        <w:t>Rymti</w:t>
      </w:r>
      <w:proofErr w:type="spellEnd"/>
      <w:r w:rsidR="00AE00F9" w:rsidRPr="00B23300">
        <w:t xml:space="preserve"> related to inadequate compliance with injectable study medication.</w:t>
      </w:r>
    </w:p>
    <w:p w14:paraId="31752F55" w14:textId="0D705A62" w:rsidR="00AE00F9" w:rsidRPr="00B23300" w:rsidRDefault="00AE00F9" w:rsidP="00127D9A">
      <w:r w:rsidRPr="00B23300">
        <w:t xml:space="preserve">The ACR20 response rate at </w:t>
      </w:r>
      <w:r w:rsidR="00EA2DDA" w:rsidRPr="00B23300">
        <w:t>Week</w:t>
      </w:r>
      <w:r w:rsidR="00333EE4" w:rsidRPr="00B23300">
        <w:t xml:space="preserve"> 36, 44 and 52 was 57.9%, 67.5% and </w:t>
      </w:r>
      <w:r w:rsidRPr="00B23300">
        <w:t>69.0% in t</w:t>
      </w:r>
      <w:r w:rsidR="00333EE4" w:rsidRPr="00B23300">
        <w:t xml:space="preserve">he </w:t>
      </w:r>
      <w:proofErr w:type="spellStart"/>
      <w:r w:rsidR="00333EE4" w:rsidRPr="00B23300">
        <w:t>Rymti</w:t>
      </w:r>
      <w:proofErr w:type="spellEnd"/>
      <w:r w:rsidR="00333EE4" w:rsidRPr="00B23300">
        <w:t xml:space="preserve"> group (n</w:t>
      </w:r>
      <w:r w:rsidR="00560C1E" w:rsidRPr="00B23300">
        <w:t xml:space="preserve"> </w:t>
      </w:r>
      <w:r w:rsidR="00333EE4" w:rsidRPr="00B23300">
        <w:t>=</w:t>
      </w:r>
      <w:r w:rsidR="00560C1E" w:rsidRPr="00B23300">
        <w:t xml:space="preserve"> </w:t>
      </w:r>
      <w:r w:rsidR="00333EE4" w:rsidRPr="00B23300">
        <w:t xml:space="preserve">10) and 65.1%, 90.7% and </w:t>
      </w:r>
      <w:r w:rsidRPr="00B23300">
        <w:t>63.7% in the Enbrel arm (n</w:t>
      </w:r>
      <w:r w:rsidR="00560C1E" w:rsidRPr="00B23300">
        <w:t xml:space="preserve"> </w:t>
      </w:r>
      <w:r w:rsidRPr="00B23300">
        <w:t>=</w:t>
      </w:r>
      <w:r w:rsidR="00560C1E" w:rsidRPr="00B23300">
        <w:t xml:space="preserve"> </w:t>
      </w:r>
      <w:r w:rsidRPr="00B23300">
        <w:t xml:space="preserve">8), at </w:t>
      </w:r>
      <w:r w:rsidR="00EA2DDA" w:rsidRPr="00B23300">
        <w:t>Week</w:t>
      </w:r>
      <w:r w:rsidRPr="00B23300">
        <w:t xml:space="preserve"> 44 was in the </w:t>
      </w:r>
      <w:proofErr w:type="spellStart"/>
      <w:r w:rsidRPr="00B23300">
        <w:t>Rymti</w:t>
      </w:r>
      <w:proofErr w:type="spellEnd"/>
      <w:r w:rsidRPr="00B23300">
        <w:t xml:space="preserve"> group (n</w:t>
      </w:r>
      <w:r w:rsidR="00560C1E" w:rsidRPr="00B23300">
        <w:t xml:space="preserve"> </w:t>
      </w:r>
      <w:r w:rsidRPr="00B23300">
        <w:t>=</w:t>
      </w:r>
      <w:r w:rsidR="00560C1E" w:rsidRPr="00B23300">
        <w:t xml:space="preserve"> </w:t>
      </w:r>
      <w:r w:rsidRPr="00B23300">
        <w:t>10) and in the Enbrel arm (n</w:t>
      </w:r>
      <w:r w:rsidR="00560C1E" w:rsidRPr="00B23300">
        <w:t xml:space="preserve"> </w:t>
      </w:r>
      <w:r w:rsidRPr="00B23300">
        <w:t>=</w:t>
      </w:r>
      <w:r w:rsidR="00560C1E" w:rsidRPr="00B23300">
        <w:t xml:space="preserve"> </w:t>
      </w:r>
      <w:r w:rsidRPr="00B23300">
        <w:t xml:space="preserve">8). The ACR50 responses at </w:t>
      </w:r>
      <w:r w:rsidR="00EA2DDA" w:rsidRPr="00B23300">
        <w:t>Week</w:t>
      </w:r>
      <w:r w:rsidRPr="00B23300">
        <w:t xml:space="preserve">s 36 and 44 were both 20.6% in the </w:t>
      </w:r>
      <w:proofErr w:type="spellStart"/>
      <w:r w:rsidRPr="00B23300">
        <w:t>Rymti</w:t>
      </w:r>
      <w:proofErr w:type="spellEnd"/>
      <w:r w:rsidRPr="00B23300">
        <w:t xml:space="preserve"> group </w:t>
      </w:r>
      <w:r w:rsidR="00EC51EB" w:rsidRPr="00B23300">
        <w:t xml:space="preserve">versus </w:t>
      </w:r>
      <w:r w:rsidRPr="00B23300">
        <w:t xml:space="preserve">36.7% in the Enbrel arm, and at </w:t>
      </w:r>
      <w:r w:rsidR="00EA2DDA" w:rsidRPr="00B23300">
        <w:t>Week</w:t>
      </w:r>
      <w:r w:rsidRPr="00B23300">
        <w:t xml:space="preserve"> 52 was 47.1% in both treatment groups. The ACR70 responses at </w:t>
      </w:r>
      <w:r w:rsidR="00EA2DDA" w:rsidRPr="00B23300">
        <w:t>Week</w:t>
      </w:r>
      <w:r w:rsidRPr="00B23300">
        <w:t xml:space="preserve">s 36 and 44 were both 4.8% in the </w:t>
      </w:r>
      <w:proofErr w:type="spellStart"/>
      <w:r w:rsidRPr="00B23300">
        <w:t>Rymti</w:t>
      </w:r>
      <w:proofErr w:type="spellEnd"/>
      <w:r w:rsidRPr="00B23300">
        <w:t xml:space="preserve"> group and 19.0% in the Enbrel arm, and at </w:t>
      </w:r>
      <w:r w:rsidR="00EA2DDA" w:rsidRPr="00B23300">
        <w:t>Week</w:t>
      </w:r>
      <w:r w:rsidRPr="00B23300">
        <w:t xml:space="preserve"> 52 was 5.0% in the </w:t>
      </w:r>
      <w:proofErr w:type="spellStart"/>
      <w:r w:rsidRPr="00B23300">
        <w:t>Rymti</w:t>
      </w:r>
      <w:proofErr w:type="spellEnd"/>
      <w:r w:rsidRPr="00B23300">
        <w:t xml:space="preserve"> group and 19.3% in the Enbrel arm.</w:t>
      </w:r>
    </w:p>
    <w:p w14:paraId="77A5A49F" w14:textId="3A03D092" w:rsidR="00AE00F9" w:rsidRPr="00B23300" w:rsidRDefault="00AE00F9" w:rsidP="00127D9A">
      <w:r w:rsidRPr="00B23300">
        <w:t>All 18 subjects contributed data to both DAS28 (ESR and CRP) score calculations.</w:t>
      </w:r>
      <w:r w:rsidR="00E83CB1" w:rsidRPr="00B23300">
        <w:t xml:space="preserve"> The LS mean improvements from B</w:t>
      </w:r>
      <w:r w:rsidRPr="00B23300">
        <w:t xml:space="preserve">aseline for DAS28 scores at </w:t>
      </w:r>
      <w:r w:rsidR="00EA2DDA" w:rsidRPr="00B23300">
        <w:t>Week</w:t>
      </w:r>
      <w:r w:rsidRPr="00B23300">
        <w:t xml:space="preserve">s 36, 44 and 52 ranged from -2.2 to -2.8 in the </w:t>
      </w:r>
      <w:proofErr w:type="spellStart"/>
      <w:r w:rsidRPr="00B23300">
        <w:t>Rymti</w:t>
      </w:r>
      <w:proofErr w:type="spellEnd"/>
      <w:r w:rsidRPr="00B23300">
        <w:t xml:space="preserve"> group and -2.5 to -2.6 in the Enbrel arm. At </w:t>
      </w:r>
      <w:r w:rsidR="00EA2DDA" w:rsidRPr="00B23300">
        <w:t>Week</w:t>
      </w:r>
      <w:r w:rsidR="00E83CB1" w:rsidRPr="00B23300">
        <w:t xml:space="preserve"> 52, LS mean improvements from B</w:t>
      </w:r>
      <w:r w:rsidRPr="00B23300">
        <w:t xml:space="preserve">aseline in DAS28 score using ESR were -2.9 for </w:t>
      </w:r>
      <w:proofErr w:type="spellStart"/>
      <w:r w:rsidRPr="00B23300">
        <w:t>Rymti</w:t>
      </w:r>
      <w:proofErr w:type="spellEnd"/>
      <w:r w:rsidRPr="00B23300">
        <w:t xml:space="preserve"> and -2.7 for </w:t>
      </w:r>
      <w:proofErr w:type="gramStart"/>
      <w:r w:rsidRPr="00B23300">
        <w:t>Enbrel, and using CRP -2.0</w:t>
      </w:r>
      <w:proofErr w:type="gramEnd"/>
      <w:r w:rsidRPr="00B23300">
        <w:t xml:space="preserve"> for </w:t>
      </w:r>
      <w:proofErr w:type="spellStart"/>
      <w:r w:rsidRPr="00B23300">
        <w:t>Rymti</w:t>
      </w:r>
      <w:proofErr w:type="spellEnd"/>
      <w:r w:rsidRPr="00B23300">
        <w:t xml:space="preserve"> and -1.6 for Enbrel. At </w:t>
      </w:r>
      <w:r w:rsidR="00EA2DDA" w:rsidRPr="00B23300">
        <w:t>Week</w:t>
      </w:r>
      <w:r w:rsidRPr="00B23300">
        <w:t xml:space="preserve"> 52 using t</w:t>
      </w:r>
      <w:r w:rsidR="00E83CB1" w:rsidRPr="00B23300">
        <w:t>he mean percentage change from B</w:t>
      </w:r>
      <w:r w:rsidRPr="00B23300">
        <w:t xml:space="preserve">aseline in ACR-N (using ESR) was -70.5 (95% CI -119, -22.1) with </w:t>
      </w:r>
      <w:proofErr w:type="spellStart"/>
      <w:r w:rsidRPr="00B23300">
        <w:t>Rymti</w:t>
      </w:r>
      <w:proofErr w:type="spellEnd"/>
      <w:r w:rsidRPr="00B23300">
        <w:t xml:space="preserve"> and -48.2 (95</w:t>
      </w:r>
      <w:r w:rsidR="00E13FDA" w:rsidRPr="00B23300">
        <w:t>% CI -85.7, -10.7) with Enbrel.</w:t>
      </w:r>
    </w:p>
    <w:p w14:paraId="28A95250" w14:textId="77777777" w:rsidR="00AE00F9" w:rsidRPr="00B23300" w:rsidRDefault="00AE00F9" w:rsidP="00127D9A">
      <w:pPr>
        <w:pStyle w:val="Heading5"/>
        <w:rPr>
          <w:lang w:eastAsia="ja-JP"/>
        </w:rPr>
      </w:pPr>
      <w:r w:rsidRPr="00B23300">
        <w:rPr>
          <w:lang w:eastAsia="ja-JP"/>
        </w:rPr>
        <w:t>Impact of anti-drug antibodies on efficacy</w:t>
      </w:r>
    </w:p>
    <w:p w14:paraId="02C785EE" w14:textId="5F3DB6A0" w:rsidR="00AE00F9" w:rsidRPr="00B23300" w:rsidRDefault="00AE00F9" w:rsidP="00127D9A">
      <w:r w:rsidRPr="00B23300">
        <w:t xml:space="preserve">The incidence of positive </w:t>
      </w:r>
      <w:r w:rsidR="00863B5E">
        <w:t>ADA</w:t>
      </w:r>
      <w:r w:rsidRPr="00B23300">
        <w:t xml:space="preserve"> in Study YLB113-002 was very low in both treatment groups precluding a meaningful assessment.</w:t>
      </w:r>
    </w:p>
    <w:p w14:paraId="3B69BE26" w14:textId="77777777" w:rsidR="00AE00F9" w:rsidRPr="00B23300" w:rsidRDefault="00AE00F9" w:rsidP="00127D9A">
      <w:pPr>
        <w:pStyle w:val="Heading4"/>
      </w:pPr>
      <w:r w:rsidRPr="00B23300">
        <w:t>Safety</w:t>
      </w:r>
    </w:p>
    <w:p w14:paraId="62B0849B" w14:textId="0EF4480B" w:rsidR="00AE00F9" w:rsidRPr="00B23300" w:rsidRDefault="00AE00F9" w:rsidP="00127D9A">
      <w:r w:rsidRPr="00B23300">
        <w:t xml:space="preserve">Most of the safety data is from </w:t>
      </w:r>
      <w:r w:rsidR="00EA2DDA" w:rsidRPr="00B23300">
        <w:t>Study</w:t>
      </w:r>
      <w:r w:rsidR="00E13FDA" w:rsidRPr="00B23300">
        <w:t xml:space="preserve"> YLB113-002.</w:t>
      </w:r>
    </w:p>
    <w:p w14:paraId="28DC261F" w14:textId="3617AEC7" w:rsidR="00AE00F9" w:rsidRPr="005E6B60" w:rsidRDefault="00AE00F9" w:rsidP="00127D9A">
      <w:r w:rsidRPr="00B23300">
        <w:t xml:space="preserve">From </w:t>
      </w:r>
      <w:r w:rsidR="00EA2DDA" w:rsidRPr="00B23300">
        <w:t>Stage</w:t>
      </w:r>
      <w:r w:rsidRPr="00B23300">
        <w:t xml:space="preserve"> A, the safety dataset is from 517 of 528 randomised patients (263 in the </w:t>
      </w:r>
      <w:proofErr w:type="spellStart"/>
      <w:r w:rsidRPr="00B23300">
        <w:t>Rymti</w:t>
      </w:r>
      <w:proofErr w:type="spellEnd"/>
      <w:r w:rsidRPr="00B23300">
        <w:t xml:space="preserve"> group and 254 subjects in the Enbrel arm). Two patients from each treatment group) did not receive study treatment so were excluded from t</w:t>
      </w:r>
      <w:r w:rsidR="00031814" w:rsidRPr="00B23300">
        <w:t>he safety set. Seven subjects (three</w:t>
      </w:r>
      <w:r w:rsidR="00687024" w:rsidRPr="00B23300">
        <w:t xml:space="preserve"> in the </w:t>
      </w:r>
      <w:proofErr w:type="spellStart"/>
      <w:r w:rsidR="00687024" w:rsidRPr="00B23300">
        <w:t>Rymti</w:t>
      </w:r>
      <w:proofErr w:type="spellEnd"/>
      <w:r w:rsidR="00687024" w:rsidRPr="00B23300">
        <w:t xml:space="preserve"> group and four</w:t>
      </w:r>
      <w:r w:rsidRPr="00B23300">
        <w:t xml:space="preserve"> in the Enbrel arm) </w:t>
      </w:r>
      <w:proofErr w:type="gramStart"/>
      <w:r w:rsidRPr="00B23300">
        <w:t>were excluded</w:t>
      </w:r>
      <w:proofErr w:type="gramEnd"/>
      <w:r w:rsidRPr="00B23300">
        <w:t xml:space="preserve"> because </w:t>
      </w:r>
      <w:r w:rsidRPr="005E6B60">
        <w:t>of</w:t>
      </w:r>
      <w:r w:rsidR="00CA0E6B" w:rsidRPr="005E6B60">
        <w:t xml:space="preserve"> </w:t>
      </w:r>
      <w:r w:rsidR="00863B5E">
        <w:t>G</w:t>
      </w:r>
      <w:r w:rsidR="00CA0E6B" w:rsidRPr="005E6B60">
        <w:t xml:space="preserve">ood </w:t>
      </w:r>
      <w:r w:rsidR="00863B5E">
        <w:t>C</w:t>
      </w:r>
      <w:r w:rsidR="00CA0E6B" w:rsidRPr="005E6B60">
        <w:t xml:space="preserve">linical </w:t>
      </w:r>
      <w:r w:rsidR="00863B5E">
        <w:t>P</w:t>
      </w:r>
      <w:r w:rsidR="00CA0E6B" w:rsidRPr="005E6B60">
        <w:t>ractice (</w:t>
      </w:r>
      <w:r w:rsidRPr="005E6B60">
        <w:t>GCP</w:t>
      </w:r>
      <w:r w:rsidR="00CA0E6B" w:rsidRPr="00B23300">
        <w:t>)</w:t>
      </w:r>
      <w:r w:rsidRPr="00B23300">
        <w:t xml:space="preserve"> violations. The mean duration of exposure was 22.8 weeks in the </w:t>
      </w:r>
      <w:proofErr w:type="spellStart"/>
      <w:r w:rsidRPr="00B23300">
        <w:t>Rymti</w:t>
      </w:r>
      <w:proofErr w:type="spellEnd"/>
      <w:r w:rsidRPr="00B23300">
        <w:t xml:space="preserve"> group and 23.1 week</w:t>
      </w:r>
      <w:r w:rsidR="00E0506F" w:rsidRPr="00B23300">
        <w:t xml:space="preserve">s in the Enbrel group (range: </w:t>
      </w:r>
      <w:r w:rsidR="0037576A">
        <w:t>1</w:t>
      </w:r>
      <w:r w:rsidR="00A7469C" w:rsidRPr="00B23300">
        <w:t xml:space="preserve"> to </w:t>
      </w:r>
      <w:r w:rsidRPr="00B23300">
        <w:t xml:space="preserve">24 weeks for each). Most continuing subjects </w:t>
      </w:r>
      <w:r w:rsidR="00A7469C" w:rsidRPr="005E6B60">
        <w:t xml:space="preserve">(93.9 to </w:t>
      </w:r>
      <w:r w:rsidRPr="005E6B60">
        <w:t xml:space="preserve">95.3%) received all doses of study treatment up to 24 weeks with similar cumulative exposures in both treatment arms. Drug compliance was 97% for </w:t>
      </w:r>
      <w:proofErr w:type="spellStart"/>
      <w:r w:rsidRPr="005E6B60">
        <w:t>Rymti</w:t>
      </w:r>
      <w:proofErr w:type="spellEnd"/>
      <w:r w:rsidRPr="005E6B60">
        <w:t xml:space="preserve"> and 99.2% for Enbrel.</w:t>
      </w:r>
    </w:p>
    <w:p w14:paraId="20AF37C0" w14:textId="36492874" w:rsidR="00AE00F9" w:rsidRPr="00B23300" w:rsidRDefault="00AE00F9" w:rsidP="00127D9A">
      <w:r w:rsidRPr="005E6B60">
        <w:t xml:space="preserve">The overall incidence and number of treatment emergent </w:t>
      </w:r>
      <w:r w:rsidR="00CA0E6B" w:rsidRPr="005E6B60">
        <w:t>adverse events</w:t>
      </w:r>
      <w:r w:rsidRPr="005E6B60">
        <w:t xml:space="preserve"> (TEAE)</w:t>
      </w:r>
      <w:r w:rsidRPr="00B23300">
        <w:t xml:space="preserve"> up to </w:t>
      </w:r>
      <w:r w:rsidR="00EA2DDA" w:rsidRPr="00B23300">
        <w:t>Week</w:t>
      </w:r>
      <w:r w:rsidRPr="00B23300">
        <w:t xml:space="preserve"> 24 was higher in the Enbrel arm (65.7% </w:t>
      </w:r>
      <w:r w:rsidR="00106BE6" w:rsidRPr="00B23300">
        <w:t>(</w:t>
      </w:r>
      <w:r w:rsidRPr="00B23300">
        <w:t>167</w:t>
      </w:r>
      <w:r w:rsidR="00333EE4" w:rsidRPr="00431339">
        <w:t xml:space="preserve"> over </w:t>
      </w:r>
      <w:r w:rsidRPr="005E6B60">
        <w:t>254</w:t>
      </w:r>
      <w:r w:rsidR="00106BE6" w:rsidRPr="005E6B60">
        <w:t>)</w:t>
      </w:r>
      <w:r w:rsidRPr="005E6B60">
        <w:t xml:space="preserve"> reported </w:t>
      </w:r>
      <w:proofErr w:type="gramStart"/>
      <w:r w:rsidRPr="005E6B60">
        <w:t>a total of 794</w:t>
      </w:r>
      <w:proofErr w:type="gramEnd"/>
      <w:r w:rsidRPr="005E6B60">
        <w:t xml:space="preserve"> AE</w:t>
      </w:r>
      <w:r w:rsidR="00CC13F9">
        <w:t>s</w:t>
      </w:r>
      <w:r w:rsidRPr="005E6B60">
        <w:t xml:space="preserve"> compared to the </w:t>
      </w:r>
      <w:proofErr w:type="spellStart"/>
      <w:r w:rsidRPr="005E6B60">
        <w:t>Rymti</w:t>
      </w:r>
      <w:proofErr w:type="spellEnd"/>
      <w:r w:rsidRPr="005E6B60">
        <w:t xml:space="preserve"> group (55.5% </w:t>
      </w:r>
      <w:r w:rsidR="00106BE6" w:rsidRPr="005E6B60">
        <w:t>(</w:t>
      </w:r>
      <w:r w:rsidRPr="005E6B60">
        <w:t>146</w:t>
      </w:r>
      <w:r w:rsidR="00333EE4" w:rsidRPr="005E6B60">
        <w:t xml:space="preserve"> over </w:t>
      </w:r>
      <w:r w:rsidRPr="005E6B60">
        <w:t>263</w:t>
      </w:r>
      <w:r w:rsidR="00106BE6" w:rsidRPr="005E6B60">
        <w:t>)</w:t>
      </w:r>
      <w:r w:rsidRPr="005E6B60">
        <w:t xml:space="preserve"> reported a total of 364 AEs). The incidence of TEAEs was 865 per 1000 </w:t>
      </w:r>
      <w:r w:rsidR="00CA0E6B" w:rsidRPr="005E6B60">
        <w:t>patient years (</w:t>
      </w:r>
      <w:r w:rsidRPr="005E6B60">
        <w:t>PY</w:t>
      </w:r>
      <w:r w:rsidR="00CA0E6B" w:rsidRPr="00B23300">
        <w:t>)</w:t>
      </w:r>
      <w:r w:rsidRPr="00B23300">
        <w:t xml:space="preserve"> (193.07 PY of exposure) in the Enbrel group and 726.5 per 1000 PY in the </w:t>
      </w:r>
      <w:proofErr w:type="spellStart"/>
      <w:r w:rsidRPr="00B23300">
        <w:t>Rymti</w:t>
      </w:r>
      <w:proofErr w:type="spellEnd"/>
      <w:r w:rsidR="00E13FDA" w:rsidRPr="00B23300">
        <w:t xml:space="preserve"> group (200.95 PY of exposure).</w:t>
      </w:r>
    </w:p>
    <w:p w14:paraId="7CFA74F9" w14:textId="4058B91E" w:rsidR="00AE00F9" w:rsidRPr="00B23300" w:rsidRDefault="00AE00F9" w:rsidP="00127D9A">
      <w:r w:rsidRPr="005E6B60">
        <w:t>Most TEAEs in both groups were of mild or moderate severity with the m</w:t>
      </w:r>
      <w:r w:rsidR="00031814" w:rsidRPr="005E6B60">
        <w:t>ain difference being an almost three</w:t>
      </w:r>
      <w:r w:rsidR="00A7469C" w:rsidRPr="005E6B60">
        <w:t xml:space="preserve"> </w:t>
      </w:r>
      <w:r w:rsidRPr="005E6B60">
        <w:t xml:space="preserve">fold increased incidence of general disorders and administration site conditions in the Enbrel (31.1% </w:t>
      </w:r>
      <w:r w:rsidR="00106BE6" w:rsidRPr="005E6B60">
        <w:t>(</w:t>
      </w:r>
      <w:r w:rsidRPr="005E6B60">
        <w:t>79</w:t>
      </w:r>
      <w:r w:rsidR="00333EE4" w:rsidRPr="005E6B60">
        <w:t xml:space="preserve"> over </w:t>
      </w:r>
      <w:r w:rsidRPr="005E6B60">
        <w:t>254</w:t>
      </w:r>
      <w:r w:rsidR="00106BE6" w:rsidRPr="005E6B60">
        <w:t>)</w:t>
      </w:r>
      <w:r w:rsidRPr="005E6B60">
        <w:t xml:space="preserve">, total of 465 AEs) versus </w:t>
      </w:r>
      <w:proofErr w:type="spellStart"/>
      <w:r w:rsidRPr="005E6B60">
        <w:t>Rymti</w:t>
      </w:r>
      <w:proofErr w:type="spellEnd"/>
      <w:r w:rsidRPr="005E6B60">
        <w:t xml:space="preserve"> group (11% </w:t>
      </w:r>
      <w:r w:rsidR="00106BE6" w:rsidRPr="005E6B60">
        <w:t>(</w:t>
      </w:r>
      <w:r w:rsidRPr="005E6B60">
        <w:t>29</w:t>
      </w:r>
      <w:r w:rsidR="00333EE4" w:rsidRPr="005E6B60">
        <w:t xml:space="preserve"> over </w:t>
      </w:r>
      <w:r w:rsidRPr="005E6B60">
        <w:t>263</w:t>
      </w:r>
      <w:r w:rsidR="00106BE6" w:rsidRPr="005E6B60">
        <w:t>)</w:t>
      </w:r>
      <w:r w:rsidRPr="005E6B60">
        <w:t>, total of 79 AEs). Other A</w:t>
      </w:r>
      <w:r w:rsidR="000F183E" w:rsidRPr="005E6B60">
        <w:t>Es</w:t>
      </w:r>
      <w:r w:rsidRPr="005E6B60">
        <w:t xml:space="preserve"> by </w:t>
      </w:r>
      <w:r w:rsidR="00863B5E">
        <w:t>S</w:t>
      </w:r>
      <w:r w:rsidR="00117B5B" w:rsidRPr="005E6B60">
        <w:t xml:space="preserve">ystem </w:t>
      </w:r>
      <w:r w:rsidR="00863B5E">
        <w:t>O</w:t>
      </w:r>
      <w:r w:rsidR="00117B5B" w:rsidRPr="005E6B60">
        <w:t xml:space="preserve">rgan </w:t>
      </w:r>
      <w:r w:rsidR="00863B5E">
        <w:t>C</w:t>
      </w:r>
      <w:r w:rsidR="00117B5B" w:rsidRPr="005E6B60">
        <w:t>lass (</w:t>
      </w:r>
      <w:r w:rsidRPr="005E6B60">
        <w:t>SOC</w:t>
      </w:r>
      <w:r w:rsidR="00117B5B" w:rsidRPr="00B23300">
        <w:t>)</w:t>
      </w:r>
      <w:r w:rsidRPr="00B23300">
        <w:t xml:space="preserve"> reported in ≥ 5% included for the </w:t>
      </w:r>
      <w:proofErr w:type="spellStart"/>
      <w:r w:rsidRPr="00B23300">
        <w:t>Rymti</w:t>
      </w:r>
      <w:proofErr w:type="spellEnd"/>
      <w:r w:rsidR="00E13FDA" w:rsidRPr="00B23300">
        <w:t xml:space="preserve"> and Enbrel arms, respectively:</w:t>
      </w:r>
    </w:p>
    <w:p w14:paraId="2F666573" w14:textId="3B62AFC3" w:rsidR="00AE00F9" w:rsidRPr="005E6B60" w:rsidRDefault="00863B5E" w:rsidP="00127D9A">
      <w:pPr>
        <w:pStyle w:val="ListBullet"/>
        <w:rPr>
          <w:lang w:eastAsia="ja-JP"/>
        </w:rPr>
      </w:pPr>
      <w:r>
        <w:rPr>
          <w:lang w:eastAsia="ja-JP"/>
        </w:rPr>
        <w:t>I</w:t>
      </w:r>
      <w:r w:rsidR="006D4F85" w:rsidRPr="005E6B60">
        <w:rPr>
          <w:lang w:eastAsia="ja-JP"/>
        </w:rPr>
        <w:t xml:space="preserve">nfections and </w:t>
      </w:r>
      <w:r>
        <w:rPr>
          <w:lang w:eastAsia="ja-JP"/>
        </w:rPr>
        <w:t>I</w:t>
      </w:r>
      <w:r w:rsidR="006D4F85" w:rsidRPr="005E6B60">
        <w:rPr>
          <w:lang w:eastAsia="ja-JP"/>
        </w:rPr>
        <w:t>nfestations</w:t>
      </w:r>
      <w:r>
        <w:rPr>
          <w:lang w:eastAsia="ja-JP"/>
        </w:rPr>
        <w:t>:</w:t>
      </w:r>
      <w:r w:rsidR="00AE00F9" w:rsidRPr="005E6B60">
        <w:rPr>
          <w:lang w:eastAsia="ja-JP"/>
        </w:rPr>
        <w:t xml:space="preserve"> 24.0% (63</w:t>
      </w:r>
      <w:r w:rsidR="00333EE4" w:rsidRPr="005E6B60">
        <w:rPr>
          <w:lang w:eastAsia="ja-JP"/>
        </w:rPr>
        <w:t xml:space="preserve"> over </w:t>
      </w:r>
      <w:r w:rsidR="00AE00F9" w:rsidRPr="005E6B60">
        <w:rPr>
          <w:lang w:eastAsia="ja-JP"/>
        </w:rPr>
        <w:t xml:space="preserve">263) </w:t>
      </w:r>
      <w:r w:rsidR="00EC51EB" w:rsidRPr="005E6B60">
        <w:t xml:space="preserve">versus </w:t>
      </w:r>
      <w:r w:rsidR="00AE00F9" w:rsidRPr="005E6B60">
        <w:rPr>
          <w:lang w:eastAsia="ja-JP"/>
        </w:rPr>
        <w:t>27.2% (69</w:t>
      </w:r>
      <w:r w:rsidR="00333EE4" w:rsidRPr="005E6B60">
        <w:rPr>
          <w:lang w:eastAsia="ja-JP"/>
        </w:rPr>
        <w:t xml:space="preserve"> over </w:t>
      </w:r>
      <w:r w:rsidR="00E13FDA" w:rsidRPr="005E6B60">
        <w:rPr>
          <w:lang w:eastAsia="ja-JP"/>
        </w:rPr>
        <w:t>254)</w:t>
      </w:r>
    </w:p>
    <w:p w14:paraId="064EC353" w14:textId="44490849" w:rsidR="00AE00F9" w:rsidRPr="005E6B60" w:rsidRDefault="00863B5E" w:rsidP="00127D9A">
      <w:pPr>
        <w:pStyle w:val="ListBullet"/>
        <w:rPr>
          <w:lang w:eastAsia="ja-JP"/>
        </w:rPr>
      </w:pPr>
      <w:r>
        <w:rPr>
          <w:lang w:eastAsia="ja-JP"/>
        </w:rPr>
        <w:t>G</w:t>
      </w:r>
      <w:r w:rsidR="006D4F85" w:rsidRPr="005E6B60">
        <w:rPr>
          <w:lang w:eastAsia="ja-JP"/>
        </w:rPr>
        <w:t xml:space="preserve">astrointestinal </w:t>
      </w:r>
      <w:r>
        <w:rPr>
          <w:lang w:eastAsia="ja-JP"/>
        </w:rPr>
        <w:t>D</w:t>
      </w:r>
      <w:r w:rsidR="006D4F85" w:rsidRPr="005E6B60">
        <w:rPr>
          <w:lang w:eastAsia="ja-JP"/>
        </w:rPr>
        <w:t>isorders</w:t>
      </w:r>
      <w:r>
        <w:rPr>
          <w:lang w:eastAsia="ja-JP"/>
        </w:rPr>
        <w:t>:</w:t>
      </w:r>
      <w:r w:rsidR="00AE00F9" w:rsidRPr="005E6B60">
        <w:rPr>
          <w:lang w:eastAsia="ja-JP"/>
        </w:rPr>
        <w:t xml:space="preserve"> 9.5% (25</w:t>
      </w:r>
      <w:r w:rsidR="00333EE4" w:rsidRPr="005E6B60">
        <w:rPr>
          <w:lang w:eastAsia="ja-JP"/>
        </w:rPr>
        <w:t xml:space="preserve"> over </w:t>
      </w:r>
      <w:r w:rsidR="00AE00F9" w:rsidRPr="005E6B60">
        <w:rPr>
          <w:lang w:eastAsia="ja-JP"/>
        </w:rPr>
        <w:t xml:space="preserve">263) </w:t>
      </w:r>
      <w:r w:rsidR="00EC51EB" w:rsidRPr="005E6B60">
        <w:t xml:space="preserve">versus </w:t>
      </w:r>
      <w:r w:rsidR="00AE00F9" w:rsidRPr="005E6B60">
        <w:rPr>
          <w:lang w:eastAsia="ja-JP"/>
        </w:rPr>
        <w:t>10.2% (26</w:t>
      </w:r>
      <w:r w:rsidR="00333EE4" w:rsidRPr="005E6B60">
        <w:rPr>
          <w:lang w:eastAsia="ja-JP"/>
        </w:rPr>
        <w:t xml:space="preserve"> over </w:t>
      </w:r>
      <w:r w:rsidR="00E13FDA" w:rsidRPr="005E6B60">
        <w:rPr>
          <w:lang w:eastAsia="ja-JP"/>
        </w:rPr>
        <w:t>254)</w:t>
      </w:r>
    </w:p>
    <w:p w14:paraId="16A7F2C3" w14:textId="446337BB" w:rsidR="00AE00F9" w:rsidRPr="005E6B60" w:rsidRDefault="00863B5E" w:rsidP="00127D9A">
      <w:pPr>
        <w:pStyle w:val="ListBullet"/>
        <w:rPr>
          <w:lang w:eastAsia="ja-JP"/>
        </w:rPr>
      </w:pPr>
      <w:r>
        <w:rPr>
          <w:lang w:eastAsia="ja-JP"/>
        </w:rPr>
        <w:t>M</w:t>
      </w:r>
      <w:r w:rsidR="00AE00F9" w:rsidRPr="005E6B60">
        <w:rPr>
          <w:lang w:eastAsia="ja-JP"/>
        </w:rPr>
        <w:t xml:space="preserve">usculoskeletal and </w:t>
      </w:r>
      <w:r>
        <w:rPr>
          <w:lang w:eastAsia="ja-JP"/>
        </w:rPr>
        <w:t>C</w:t>
      </w:r>
      <w:r w:rsidR="00AE00F9" w:rsidRPr="005E6B60">
        <w:rPr>
          <w:lang w:eastAsia="ja-JP"/>
        </w:rPr>
        <w:t>onnective tissue disorders</w:t>
      </w:r>
      <w:r>
        <w:rPr>
          <w:lang w:eastAsia="ja-JP"/>
        </w:rPr>
        <w:t>:</w:t>
      </w:r>
      <w:r w:rsidR="00AE00F9" w:rsidRPr="005E6B60">
        <w:rPr>
          <w:lang w:eastAsia="ja-JP"/>
        </w:rPr>
        <w:t xml:space="preserve"> 8.0% (21</w:t>
      </w:r>
      <w:r w:rsidR="00333EE4" w:rsidRPr="005E6B60">
        <w:rPr>
          <w:lang w:eastAsia="ja-JP"/>
        </w:rPr>
        <w:t xml:space="preserve"> over </w:t>
      </w:r>
      <w:r w:rsidR="00AE00F9" w:rsidRPr="005E6B60">
        <w:rPr>
          <w:lang w:eastAsia="ja-JP"/>
        </w:rPr>
        <w:t xml:space="preserve">263) </w:t>
      </w:r>
      <w:r w:rsidR="00EC51EB" w:rsidRPr="005E6B60">
        <w:t xml:space="preserve">versus </w:t>
      </w:r>
      <w:r w:rsidR="00AE00F9" w:rsidRPr="005E6B60">
        <w:rPr>
          <w:lang w:eastAsia="ja-JP"/>
        </w:rPr>
        <w:t>10.6% (27</w:t>
      </w:r>
      <w:r w:rsidR="00333EE4" w:rsidRPr="005E6B60">
        <w:rPr>
          <w:lang w:eastAsia="ja-JP"/>
        </w:rPr>
        <w:t xml:space="preserve"> over </w:t>
      </w:r>
      <w:r w:rsidR="00E13FDA" w:rsidRPr="005E6B60">
        <w:rPr>
          <w:lang w:eastAsia="ja-JP"/>
        </w:rPr>
        <w:t>254)</w:t>
      </w:r>
    </w:p>
    <w:p w14:paraId="4418F1BD" w14:textId="464686C4" w:rsidR="00AE00F9" w:rsidRPr="005E6B60" w:rsidRDefault="00863B5E" w:rsidP="00127D9A">
      <w:pPr>
        <w:pStyle w:val="ListBullet"/>
        <w:rPr>
          <w:lang w:eastAsia="ja-JP"/>
        </w:rPr>
      </w:pPr>
      <w:r>
        <w:rPr>
          <w:lang w:eastAsia="ja-JP"/>
        </w:rPr>
        <w:t>S</w:t>
      </w:r>
      <w:r w:rsidRPr="005E6B60">
        <w:rPr>
          <w:lang w:eastAsia="ja-JP"/>
        </w:rPr>
        <w:t xml:space="preserve">kin </w:t>
      </w:r>
      <w:r w:rsidR="00AE00F9" w:rsidRPr="005E6B60">
        <w:rPr>
          <w:lang w:eastAsia="ja-JP"/>
        </w:rPr>
        <w:t xml:space="preserve">and </w:t>
      </w:r>
      <w:r>
        <w:rPr>
          <w:lang w:eastAsia="ja-JP"/>
        </w:rPr>
        <w:t>S</w:t>
      </w:r>
      <w:r w:rsidR="00AE00F9" w:rsidRPr="005E6B60">
        <w:rPr>
          <w:lang w:eastAsia="ja-JP"/>
        </w:rPr>
        <w:t xml:space="preserve">ubcutaneous </w:t>
      </w:r>
      <w:r>
        <w:rPr>
          <w:lang w:eastAsia="ja-JP"/>
        </w:rPr>
        <w:t>T</w:t>
      </w:r>
      <w:r w:rsidR="00AE00F9" w:rsidRPr="005E6B60">
        <w:rPr>
          <w:lang w:eastAsia="ja-JP"/>
        </w:rPr>
        <w:t xml:space="preserve">issue </w:t>
      </w:r>
      <w:r>
        <w:rPr>
          <w:lang w:eastAsia="ja-JP"/>
        </w:rPr>
        <w:t>D</w:t>
      </w:r>
      <w:r w:rsidR="00AE00F9" w:rsidRPr="005E6B60">
        <w:rPr>
          <w:lang w:eastAsia="ja-JP"/>
        </w:rPr>
        <w:t>isorders</w:t>
      </w:r>
      <w:r>
        <w:rPr>
          <w:lang w:eastAsia="ja-JP"/>
        </w:rPr>
        <w:t>:</w:t>
      </w:r>
      <w:r w:rsidR="00AE00F9" w:rsidRPr="005E6B60">
        <w:rPr>
          <w:lang w:eastAsia="ja-JP"/>
        </w:rPr>
        <w:t xml:space="preserve"> 7.6% (20</w:t>
      </w:r>
      <w:r w:rsidR="00333EE4" w:rsidRPr="005E6B60">
        <w:rPr>
          <w:lang w:eastAsia="ja-JP"/>
        </w:rPr>
        <w:t xml:space="preserve"> over </w:t>
      </w:r>
      <w:r w:rsidR="00AE00F9" w:rsidRPr="005E6B60">
        <w:rPr>
          <w:lang w:eastAsia="ja-JP"/>
        </w:rPr>
        <w:t xml:space="preserve">263) </w:t>
      </w:r>
      <w:r w:rsidR="00EC51EB" w:rsidRPr="005E6B60">
        <w:t xml:space="preserve">versus </w:t>
      </w:r>
      <w:r w:rsidR="00AE00F9" w:rsidRPr="005E6B60">
        <w:rPr>
          <w:lang w:eastAsia="ja-JP"/>
        </w:rPr>
        <w:t>8.3% (21</w:t>
      </w:r>
      <w:r w:rsidR="00333EE4" w:rsidRPr="005E6B60">
        <w:rPr>
          <w:lang w:eastAsia="ja-JP"/>
        </w:rPr>
        <w:t xml:space="preserve"> over </w:t>
      </w:r>
      <w:r w:rsidR="001361CF" w:rsidRPr="005E6B60">
        <w:rPr>
          <w:lang w:eastAsia="ja-JP"/>
        </w:rPr>
        <w:t>254)</w:t>
      </w:r>
    </w:p>
    <w:p w14:paraId="0BFEC3C5" w14:textId="3413BCA0" w:rsidR="00AE00F9" w:rsidRPr="005E6B60" w:rsidRDefault="00863B5E" w:rsidP="00127D9A">
      <w:pPr>
        <w:pStyle w:val="ListBullet"/>
        <w:rPr>
          <w:lang w:eastAsia="ja-JP"/>
        </w:rPr>
      </w:pPr>
      <w:r>
        <w:rPr>
          <w:lang w:eastAsia="ja-JP"/>
        </w:rPr>
        <w:t>I</w:t>
      </w:r>
      <w:r w:rsidR="00AE00F9" w:rsidRPr="005E6B60">
        <w:rPr>
          <w:lang w:eastAsia="ja-JP"/>
        </w:rPr>
        <w:t xml:space="preserve">njury, </w:t>
      </w:r>
      <w:r>
        <w:rPr>
          <w:lang w:eastAsia="ja-JP"/>
        </w:rPr>
        <w:t>P</w:t>
      </w:r>
      <w:r w:rsidR="00AE00F9" w:rsidRPr="005E6B60">
        <w:rPr>
          <w:lang w:eastAsia="ja-JP"/>
        </w:rPr>
        <w:t xml:space="preserve">oisoning and </w:t>
      </w:r>
      <w:r>
        <w:rPr>
          <w:lang w:eastAsia="ja-JP"/>
        </w:rPr>
        <w:t>P</w:t>
      </w:r>
      <w:r w:rsidR="00AE00F9" w:rsidRPr="005E6B60">
        <w:rPr>
          <w:lang w:eastAsia="ja-JP"/>
        </w:rPr>
        <w:t xml:space="preserve">rocedure </w:t>
      </w:r>
      <w:r>
        <w:rPr>
          <w:lang w:eastAsia="ja-JP"/>
        </w:rPr>
        <w:t>C</w:t>
      </w:r>
      <w:r w:rsidR="00AE00F9" w:rsidRPr="005E6B60">
        <w:rPr>
          <w:lang w:eastAsia="ja-JP"/>
        </w:rPr>
        <w:t>omplications</w:t>
      </w:r>
      <w:r>
        <w:rPr>
          <w:lang w:eastAsia="ja-JP"/>
        </w:rPr>
        <w:t>:</w:t>
      </w:r>
      <w:r w:rsidR="00AE00F9" w:rsidRPr="005E6B60">
        <w:rPr>
          <w:lang w:eastAsia="ja-JP"/>
        </w:rPr>
        <w:t xml:space="preserve"> 6.5% (17</w:t>
      </w:r>
      <w:r w:rsidR="00333EE4" w:rsidRPr="005E6B60">
        <w:rPr>
          <w:lang w:eastAsia="ja-JP"/>
        </w:rPr>
        <w:t xml:space="preserve"> over </w:t>
      </w:r>
      <w:r w:rsidR="00AE00F9" w:rsidRPr="005E6B60">
        <w:rPr>
          <w:lang w:eastAsia="ja-JP"/>
        </w:rPr>
        <w:t xml:space="preserve">263) </w:t>
      </w:r>
      <w:r w:rsidR="00EC51EB" w:rsidRPr="005E6B60">
        <w:t xml:space="preserve">versus </w:t>
      </w:r>
      <w:r w:rsidR="00AE00F9" w:rsidRPr="005E6B60">
        <w:rPr>
          <w:lang w:eastAsia="ja-JP"/>
        </w:rPr>
        <w:t>6.3% (16</w:t>
      </w:r>
      <w:r w:rsidR="00333EE4" w:rsidRPr="005E6B60">
        <w:rPr>
          <w:lang w:eastAsia="ja-JP"/>
        </w:rPr>
        <w:t xml:space="preserve"> over </w:t>
      </w:r>
      <w:r w:rsidR="00E13FDA" w:rsidRPr="005E6B60">
        <w:rPr>
          <w:lang w:eastAsia="ja-JP"/>
        </w:rPr>
        <w:t>254)</w:t>
      </w:r>
    </w:p>
    <w:p w14:paraId="47A90374" w14:textId="7323AB6D" w:rsidR="00AE00F9" w:rsidRPr="005E6B60" w:rsidRDefault="00863B5E" w:rsidP="00127D9A">
      <w:pPr>
        <w:pStyle w:val="ListBullet"/>
        <w:rPr>
          <w:lang w:eastAsia="ja-JP"/>
        </w:rPr>
      </w:pPr>
      <w:r>
        <w:rPr>
          <w:lang w:eastAsia="ja-JP"/>
        </w:rPr>
        <w:t>R</w:t>
      </w:r>
      <w:r w:rsidR="00AE00F9" w:rsidRPr="005E6B60">
        <w:rPr>
          <w:lang w:eastAsia="ja-JP"/>
        </w:rPr>
        <w:t xml:space="preserve">espiratory, </w:t>
      </w:r>
      <w:r>
        <w:rPr>
          <w:lang w:eastAsia="ja-JP"/>
        </w:rPr>
        <w:t>T</w:t>
      </w:r>
      <w:r w:rsidR="00AE00F9" w:rsidRPr="005E6B60">
        <w:rPr>
          <w:lang w:eastAsia="ja-JP"/>
        </w:rPr>
        <w:t xml:space="preserve">horacic and </w:t>
      </w:r>
      <w:r>
        <w:rPr>
          <w:lang w:eastAsia="ja-JP"/>
        </w:rPr>
        <w:t>M</w:t>
      </w:r>
      <w:r w:rsidR="00AE00F9" w:rsidRPr="005E6B60">
        <w:rPr>
          <w:lang w:eastAsia="ja-JP"/>
        </w:rPr>
        <w:t xml:space="preserve">ediastinal </w:t>
      </w:r>
      <w:r>
        <w:rPr>
          <w:lang w:eastAsia="ja-JP"/>
        </w:rPr>
        <w:t>D</w:t>
      </w:r>
      <w:r w:rsidR="00AE00F9" w:rsidRPr="005E6B60">
        <w:rPr>
          <w:lang w:eastAsia="ja-JP"/>
        </w:rPr>
        <w:t>isorders</w:t>
      </w:r>
      <w:r>
        <w:rPr>
          <w:lang w:eastAsia="ja-JP"/>
        </w:rPr>
        <w:t>:</w:t>
      </w:r>
      <w:r w:rsidR="00AE00F9" w:rsidRPr="005E6B60">
        <w:rPr>
          <w:lang w:eastAsia="ja-JP"/>
        </w:rPr>
        <w:t xml:space="preserve"> 6.5% (17</w:t>
      </w:r>
      <w:r w:rsidR="00333EE4" w:rsidRPr="005E6B60">
        <w:rPr>
          <w:lang w:eastAsia="ja-JP"/>
        </w:rPr>
        <w:t xml:space="preserve"> over </w:t>
      </w:r>
      <w:r w:rsidR="00AE00F9" w:rsidRPr="005E6B60">
        <w:rPr>
          <w:lang w:eastAsia="ja-JP"/>
        </w:rPr>
        <w:t xml:space="preserve">263) </w:t>
      </w:r>
      <w:r w:rsidR="00EC51EB" w:rsidRPr="005E6B60">
        <w:t xml:space="preserve">versus </w:t>
      </w:r>
      <w:r w:rsidR="00AE00F9" w:rsidRPr="005E6B60">
        <w:rPr>
          <w:lang w:eastAsia="ja-JP"/>
        </w:rPr>
        <w:t>4.7% (12</w:t>
      </w:r>
      <w:r w:rsidR="00333EE4" w:rsidRPr="005E6B60">
        <w:rPr>
          <w:lang w:eastAsia="ja-JP"/>
        </w:rPr>
        <w:t xml:space="preserve"> over </w:t>
      </w:r>
      <w:r w:rsidR="00E13FDA" w:rsidRPr="005E6B60">
        <w:rPr>
          <w:lang w:eastAsia="ja-JP"/>
        </w:rPr>
        <w:t>254)</w:t>
      </w:r>
    </w:p>
    <w:p w14:paraId="39F65D65" w14:textId="22F920A7" w:rsidR="00AE00F9" w:rsidRPr="005E6B60" w:rsidRDefault="00863B5E" w:rsidP="00127D9A">
      <w:pPr>
        <w:pStyle w:val="ListBullet"/>
        <w:rPr>
          <w:lang w:eastAsia="ja-JP"/>
        </w:rPr>
      </w:pPr>
      <w:r>
        <w:rPr>
          <w:lang w:eastAsia="ja-JP"/>
        </w:rPr>
        <w:t>N</w:t>
      </w:r>
      <w:r w:rsidR="00AE00F9" w:rsidRPr="005E6B60">
        <w:rPr>
          <w:lang w:eastAsia="ja-JP"/>
        </w:rPr>
        <w:t>e</w:t>
      </w:r>
      <w:r w:rsidR="00304062" w:rsidRPr="005E6B60">
        <w:rPr>
          <w:lang w:eastAsia="ja-JP"/>
        </w:rPr>
        <w:t xml:space="preserve">rvous </w:t>
      </w:r>
      <w:r>
        <w:rPr>
          <w:lang w:eastAsia="ja-JP"/>
        </w:rPr>
        <w:t>S</w:t>
      </w:r>
      <w:r w:rsidR="00304062" w:rsidRPr="005E6B60">
        <w:rPr>
          <w:lang w:eastAsia="ja-JP"/>
        </w:rPr>
        <w:t xml:space="preserve">ystem </w:t>
      </w:r>
      <w:r>
        <w:rPr>
          <w:lang w:eastAsia="ja-JP"/>
        </w:rPr>
        <w:t>D</w:t>
      </w:r>
      <w:r w:rsidR="00304062" w:rsidRPr="005E6B60">
        <w:rPr>
          <w:lang w:eastAsia="ja-JP"/>
        </w:rPr>
        <w:t>isorders</w:t>
      </w:r>
      <w:r>
        <w:rPr>
          <w:lang w:eastAsia="ja-JP"/>
        </w:rPr>
        <w:t>:</w:t>
      </w:r>
      <w:r w:rsidR="00304062" w:rsidRPr="005E6B60">
        <w:rPr>
          <w:lang w:eastAsia="ja-JP"/>
        </w:rPr>
        <w:t xml:space="preserve"> 2.7% (seven</w:t>
      </w:r>
      <w:r w:rsidR="00333EE4" w:rsidRPr="005E6B60">
        <w:rPr>
          <w:lang w:eastAsia="ja-JP"/>
        </w:rPr>
        <w:t xml:space="preserve"> over </w:t>
      </w:r>
      <w:r w:rsidR="00AE00F9" w:rsidRPr="005E6B60">
        <w:rPr>
          <w:lang w:eastAsia="ja-JP"/>
        </w:rPr>
        <w:t xml:space="preserve">263) </w:t>
      </w:r>
      <w:r w:rsidR="00EC51EB" w:rsidRPr="005E6B60">
        <w:t xml:space="preserve">versus </w:t>
      </w:r>
      <w:r w:rsidR="00AE00F9" w:rsidRPr="005E6B60">
        <w:rPr>
          <w:lang w:eastAsia="ja-JP"/>
        </w:rPr>
        <w:t>6.7% (17</w:t>
      </w:r>
      <w:r w:rsidR="00333EE4" w:rsidRPr="005E6B60">
        <w:rPr>
          <w:lang w:eastAsia="ja-JP"/>
        </w:rPr>
        <w:t xml:space="preserve"> over </w:t>
      </w:r>
      <w:r w:rsidR="001361CF" w:rsidRPr="005E6B60">
        <w:rPr>
          <w:lang w:eastAsia="ja-JP"/>
        </w:rPr>
        <w:t>254)</w:t>
      </w:r>
      <w:r w:rsidR="00D52B57" w:rsidRPr="005E6B60">
        <w:rPr>
          <w:lang w:eastAsia="ja-JP"/>
        </w:rPr>
        <w:t>.</w:t>
      </w:r>
    </w:p>
    <w:p w14:paraId="3B69C6E1" w14:textId="37362036" w:rsidR="00AE00F9" w:rsidRPr="00B23300" w:rsidRDefault="00AE00F9" w:rsidP="00127D9A">
      <w:r w:rsidRPr="00B23300">
        <w:t xml:space="preserve">The most frequently occurring AE at the </w:t>
      </w:r>
      <w:r w:rsidR="00863B5E">
        <w:t>P</w:t>
      </w:r>
      <w:r w:rsidR="00117B5B" w:rsidRPr="00B23300">
        <w:t xml:space="preserve">referred </w:t>
      </w:r>
      <w:r w:rsidR="00863B5E">
        <w:t>T</w:t>
      </w:r>
      <w:r w:rsidR="00117B5B" w:rsidRPr="00B23300">
        <w:t>erm (</w:t>
      </w:r>
      <w:r w:rsidRPr="00B23300">
        <w:t>PT</w:t>
      </w:r>
      <w:r w:rsidR="00117B5B" w:rsidRPr="00B23300">
        <w:t>)</w:t>
      </w:r>
      <w:r w:rsidRPr="00B23300">
        <w:t xml:space="preserve"> level was </w:t>
      </w:r>
      <w:proofErr w:type="spellStart"/>
      <w:r w:rsidR="00863B5E">
        <w:t>N</w:t>
      </w:r>
      <w:r w:rsidRPr="00B23300">
        <w:t>asopharyngitis</w:t>
      </w:r>
      <w:proofErr w:type="spellEnd"/>
      <w:r w:rsidRPr="00B23300">
        <w:t xml:space="preserve">, (11.4% of subjects </w:t>
      </w:r>
      <w:r w:rsidR="00106BE6" w:rsidRPr="00B23300">
        <w:t>(</w:t>
      </w:r>
      <w:r w:rsidRPr="00B23300">
        <w:t>30</w:t>
      </w:r>
      <w:r w:rsidR="00333EE4" w:rsidRPr="00B23300">
        <w:t xml:space="preserve"> over </w:t>
      </w:r>
      <w:r w:rsidRPr="00B23300">
        <w:t>263</w:t>
      </w:r>
      <w:r w:rsidR="00106BE6" w:rsidRPr="00B23300">
        <w:t>)</w:t>
      </w:r>
      <w:r w:rsidRPr="00B23300">
        <w:t xml:space="preserve"> </w:t>
      </w:r>
      <w:r w:rsidR="00EC51EB" w:rsidRPr="00B23300">
        <w:t xml:space="preserve">versus </w:t>
      </w:r>
      <w:r w:rsidRPr="00B23300">
        <w:t xml:space="preserve">9.8% </w:t>
      </w:r>
      <w:r w:rsidR="00106BE6" w:rsidRPr="00B23300">
        <w:t>(</w:t>
      </w:r>
      <w:r w:rsidRPr="00B23300">
        <w:t>25</w:t>
      </w:r>
      <w:r w:rsidR="00333EE4" w:rsidRPr="00B23300">
        <w:t xml:space="preserve"> over </w:t>
      </w:r>
      <w:r w:rsidRPr="00B23300">
        <w:t>254</w:t>
      </w:r>
      <w:r w:rsidR="00106BE6" w:rsidRPr="00B23300">
        <w:t>)</w:t>
      </w:r>
      <w:r w:rsidRPr="00B23300">
        <w:t xml:space="preserve"> in the </w:t>
      </w:r>
      <w:proofErr w:type="spellStart"/>
      <w:r w:rsidRPr="00B23300">
        <w:t>Rymti</w:t>
      </w:r>
      <w:proofErr w:type="spellEnd"/>
      <w:r w:rsidRPr="00B23300">
        <w:t xml:space="preserve"> </w:t>
      </w:r>
      <w:r w:rsidR="00EC51EB" w:rsidRPr="00B23300">
        <w:t xml:space="preserve">versus </w:t>
      </w:r>
      <w:r w:rsidRPr="00B23300">
        <w:t>Enbrel groups.</w:t>
      </w:r>
    </w:p>
    <w:p w14:paraId="63FF81C0" w14:textId="4B1E3647" w:rsidR="00AE00F9" w:rsidRPr="00B23300" w:rsidRDefault="00AE00F9" w:rsidP="00127D9A">
      <w:r w:rsidRPr="00B23300">
        <w:t xml:space="preserve">Injection site reactions (ISRs) </w:t>
      </w:r>
      <w:proofErr w:type="gramStart"/>
      <w:r w:rsidRPr="00B23300">
        <w:t>were reported</w:t>
      </w:r>
      <w:proofErr w:type="gramEnd"/>
      <w:r w:rsidRPr="00B23300">
        <w:t xml:space="preserve"> in 3.8% </w:t>
      </w:r>
      <w:r w:rsidR="00EC51EB" w:rsidRPr="00B23300">
        <w:t xml:space="preserve">versus </w:t>
      </w:r>
      <w:r w:rsidRPr="00B23300">
        <w:t xml:space="preserve">13.8% in the </w:t>
      </w:r>
      <w:proofErr w:type="spellStart"/>
      <w:r w:rsidRPr="00B23300">
        <w:t>Rymti</w:t>
      </w:r>
      <w:proofErr w:type="spellEnd"/>
      <w:r w:rsidRPr="00B23300">
        <w:t xml:space="preserve"> </w:t>
      </w:r>
      <w:r w:rsidR="00EC51EB" w:rsidRPr="00B23300">
        <w:t xml:space="preserve">versus </w:t>
      </w:r>
      <w:r w:rsidRPr="00B23300">
        <w:t xml:space="preserve">Enbrel groups. Injection site erythema </w:t>
      </w:r>
      <w:proofErr w:type="gramStart"/>
      <w:r w:rsidRPr="00B23300">
        <w:t>was reported</w:t>
      </w:r>
      <w:proofErr w:type="gramEnd"/>
      <w:r w:rsidRPr="00B23300">
        <w:t xml:space="preserve"> in 1.9% </w:t>
      </w:r>
      <w:r w:rsidR="00EC51EB" w:rsidRPr="00B23300">
        <w:t xml:space="preserve">versus </w:t>
      </w:r>
      <w:r w:rsidRPr="00B23300">
        <w:t xml:space="preserve">9.8% in the </w:t>
      </w:r>
      <w:proofErr w:type="spellStart"/>
      <w:r w:rsidRPr="00B23300">
        <w:t>Rymti</w:t>
      </w:r>
      <w:proofErr w:type="spellEnd"/>
      <w:r w:rsidRPr="00B23300">
        <w:t xml:space="preserve"> </w:t>
      </w:r>
      <w:r w:rsidR="00EC51EB" w:rsidRPr="00B23300">
        <w:t xml:space="preserve">versus </w:t>
      </w:r>
      <w:r w:rsidR="00686599">
        <w:t xml:space="preserve">Enbrel groups. </w:t>
      </w:r>
      <w:r w:rsidRPr="00B23300">
        <w:t xml:space="preserve">Other ISR descriptor proportions </w:t>
      </w:r>
      <w:proofErr w:type="gramStart"/>
      <w:r w:rsidRPr="00B23300">
        <w:t>were:</w:t>
      </w:r>
      <w:proofErr w:type="gramEnd"/>
      <w:r w:rsidRPr="00B23300">
        <w:t xml:space="preserve"> </w:t>
      </w:r>
      <w:r w:rsidR="00717ED8">
        <w:t>I</w:t>
      </w:r>
      <w:r w:rsidRPr="00B23300">
        <w:t xml:space="preserve">njection site pruritus (1.1% </w:t>
      </w:r>
      <w:r w:rsidR="00EC51EB" w:rsidRPr="00B23300">
        <w:t xml:space="preserve">versus </w:t>
      </w:r>
      <w:r w:rsidRPr="00B23300">
        <w:t xml:space="preserve">3.1%), </w:t>
      </w:r>
      <w:r w:rsidR="00717ED8">
        <w:t>and I</w:t>
      </w:r>
      <w:r w:rsidRPr="00B23300">
        <w:t xml:space="preserve">njection site bruising (1.1% </w:t>
      </w:r>
      <w:r w:rsidR="00EC51EB" w:rsidRPr="00B23300">
        <w:t xml:space="preserve">versus </w:t>
      </w:r>
      <w:r w:rsidRPr="00B23300">
        <w:t>1.2%).</w:t>
      </w:r>
    </w:p>
    <w:p w14:paraId="5C217EB0" w14:textId="43DC21B8" w:rsidR="00AE00F9" w:rsidRPr="00B23300" w:rsidRDefault="00AE00F9" w:rsidP="00127D9A">
      <w:proofErr w:type="gramStart"/>
      <w:r w:rsidRPr="00B23300">
        <w:t>The other common types of AEs by PT occurred at a</w:t>
      </w:r>
      <w:r w:rsidR="009B7D6D" w:rsidRPr="00B23300">
        <w:t xml:space="preserve"> similar frequency between the two</w:t>
      </w:r>
      <w:r w:rsidRPr="00B23300">
        <w:t xml:space="preserve"> groups (</w:t>
      </w:r>
      <w:proofErr w:type="spellStart"/>
      <w:r w:rsidRPr="00B23300">
        <w:t>Rymti</w:t>
      </w:r>
      <w:proofErr w:type="spellEnd"/>
      <w:r w:rsidRPr="00B23300">
        <w:t xml:space="preserve"> </w:t>
      </w:r>
      <w:r w:rsidR="00EC51EB" w:rsidRPr="00B23300">
        <w:t xml:space="preserve">versus </w:t>
      </w:r>
      <w:r w:rsidRPr="00B23300">
        <w:t>Enbrel) and included:</w:t>
      </w:r>
      <w:r w:rsidR="00A7469C" w:rsidRPr="00B23300">
        <w:t xml:space="preserve"> </w:t>
      </w:r>
      <w:r w:rsidR="00717ED8">
        <w:t>A</w:t>
      </w:r>
      <w:r w:rsidR="00A7469C" w:rsidRPr="00B23300">
        <w:t xml:space="preserve">bnormal hepatic function (2.4 to 4.2%), </w:t>
      </w:r>
      <w:r w:rsidR="00717ED8">
        <w:t>P</w:t>
      </w:r>
      <w:r w:rsidR="00A7469C" w:rsidRPr="00B23300">
        <w:t xml:space="preserve">haryngitis (1.9 to 2.0%), </w:t>
      </w:r>
      <w:r w:rsidR="00717ED8">
        <w:t>B</w:t>
      </w:r>
      <w:r w:rsidR="00A7469C" w:rsidRPr="00B23300">
        <w:t xml:space="preserve">ronchitis (1.2 to </w:t>
      </w:r>
      <w:r w:rsidRPr="00B23300">
        <w:t xml:space="preserve">1.5%), </w:t>
      </w:r>
      <w:r w:rsidR="00717ED8">
        <w:t>U</w:t>
      </w:r>
      <w:r w:rsidRPr="00B23300">
        <w:t>pper r</w:t>
      </w:r>
      <w:r w:rsidR="00A7469C" w:rsidRPr="00B23300">
        <w:t xml:space="preserve">espiratory tract infection (1.5 to </w:t>
      </w:r>
      <w:r w:rsidRPr="00B23300">
        <w:t xml:space="preserve">2.0%), </w:t>
      </w:r>
      <w:r w:rsidR="000A6317" w:rsidRPr="00B23300">
        <w:t>R</w:t>
      </w:r>
      <w:r w:rsidR="00717ED8">
        <w:t>heumatoid arthritis</w:t>
      </w:r>
      <w:r w:rsidR="00A7469C" w:rsidRPr="00B23300">
        <w:t xml:space="preserve"> flare (1.9 to 2.8%), </w:t>
      </w:r>
      <w:r w:rsidR="00717ED8">
        <w:t>B</w:t>
      </w:r>
      <w:r w:rsidR="00A7469C" w:rsidRPr="00B23300">
        <w:t xml:space="preserve">ack pain (1.1 to 3.1%), </w:t>
      </w:r>
      <w:r w:rsidR="00717ED8">
        <w:t>H</w:t>
      </w:r>
      <w:r w:rsidR="00A7469C" w:rsidRPr="00B23300">
        <w:t xml:space="preserve">eadache (1.1 to </w:t>
      </w:r>
      <w:r w:rsidRPr="00B23300">
        <w:t xml:space="preserve">3.5%) and </w:t>
      </w:r>
      <w:r w:rsidR="00717ED8">
        <w:t>N</w:t>
      </w:r>
      <w:r w:rsidRPr="00B23300">
        <w:t>ausea (1.6</w:t>
      </w:r>
      <w:r w:rsidR="00A7469C" w:rsidRPr="00B23300">
        <w:t xml:space="preserve"> to </w:t>
      </w:r>
      <w:r w:rsidR="00E13FDA" w:rsidRPr="00B23300">
        <w:t>1.9%).</w:t>
      </w:r>
      <w:proofErr w:type="gramEnd"/>
    </w:p>
    <w:p w14:paraId="0C05FAE9" w14:textId="111ADEE5" w:rsidR="00AE00F9" w:rsidRPr="00B23300" w:rsidRDefault="00AE00F9" w:rsidP="00127D9A">
      <w:r w:rsidRPr="00B23300">
        <w:t xml:space="preserve">In </w:t>
      </w:r>
      <w:r w:rsidR="00EA2DDA" w:rsidRPr="00B23300">
        <w:t>Stage</w:t>
      </w:r>
      <w:r w:rsidRPr="00B23300">
        <w:t xml:space="preserve"> B, TEAEs occurred in 52.8% </w:t>
      </w:r>
      <w:r w:rsidR="00106BE6" w:rsidRPr="00B23300">
        <w:t>(</w:t>
      </w:r>
      <w:r w:rsidRPr="00B23300">
        <w:t>124</w:t>
      </w:r>
      <w:r w:rsidR="00333EE4" w:rsidRPr="00B23300">
        <w:t xml:space="preserve"> over </w:t>
      </w:r>
      <w:r w:rsidRPr="00B23300">
        <w:t>235</w:t>
      </w:r>
      <w:r w:rsidR="00106BE6" w:rsidRPr="00B23300">
        <w:t>)</w:t>
      </w:r>
      <w:r w:rsidRPr="00B23300">
        <w:t xml:space="preserve"> </w:t>
      </w:r>
      <w:r w:rsidR="00EC51EB" w:rsidRPr="00B23300">
        <w:t xml:space="preserve">versus </w:t>
      </w:r>
      <w:r w:rsidRPr="00B23300">
        <w:t xml:space="preserve">63.3% </w:t>
      </w:r>
      <w:r w:rsidR="00106BE6" w:rsidRPr="00B23300">
        <w:t>(</w:t>
      </w:r>
      <w:r w:rsidRPr="00B23300">
        <w:t>145</w:t>
      </w:r>
      <w:r w:rsidR="00333EE4" w:rsidRPr="00B23300">
        <w:t xml:space="preserve"> over </w:t>
      </w:r>
      <w:r w:rsidRPr="00B23300">
        <w:t>229</w:t>
      </w:r>
      <w:r w:rsidR="00106BE6" w:rsidRPr="00B23300">
        <w:t>)</w:t>
      </w:r>
      <w:r w:rsidRPr="00B23300">
        <w:t xml:space="preserve"> in the </w:t>
      </w:r>
      <w:proofErr w:type="spellStart"/>
      <w:r w:rsidRPr="00B23300">
        <w:t>Rymti</w:t>
      </w:r>
      <w:proofErr w:type="spellEnd"/>
      <w:r w:rsidRPr="00B23300">
        <w:t xml:space="preserve"> </w:t>
      </w:r>
      <w:r w:rsidR="00EC51EB" w:rsidRPr="00B23300">
        <w:t xml:space="preserve">versus </w:t>
      </w:r>
      <w:r w:rsidRPr="00B23300">
        <w:t>Enbrel groups but the exposure</w:t>
      </w:r>
      <w:r w:rsidR="00A7469C" w:rsidRPr="00B23300">
        <w:t xml:space="preserve"> </w:t>
      </w:r>
      <w:r w:rsidRPr="00B23300">
        <w:t xml:space="preserve">adjusted incidence for AEs was 812.54 per 1000 PY (152.63 PY of exposure) in the </w:t>
      </w:r>
      <w:proofErr w:type="spellStart"/>
      <w:r w:rsidRPr="00B23300">
        <w:t>Rymti</w:t>
      </w:r>
      <w:proofErr w:type="spellEnd"/>
      <w:r w:rsidRPr="00B23300">
        <w:t xml:space="preserve"> group </w:t>
      </w:r>
      <w:r w:rsidR="00EC51EB" w:rsidRPr="00B23300">
        <w:t xml:space="preserve">versus </w:t>
      </w:r>
      <w:r w:rsidRPr="00B23300">
        <w:t>658.6 per 1000 PY (220.15 PY of</w:t>
      </w:r>
      <w:r w:rsidR="00E13FDA" w:rsidRPr="00B23300">
        <w:t xml:space="preserve"> exposure) in the Enbrel group.</w:t>
      </w:r>
    </w:p>
    <w:p w14:paraId="5C776F5F" w14:textId="1BDDF303" w:rsidR="00AE00F9" w:rsidRPr="00B23300" w:rsidRDefault="00AE00F9" w:rsidP="00127D9A">
      <w:r w:rsidRPr="00B23300">
        <w:t>The most frequently recorded TEAE by SOC was infections and infestations a higher frequency and exposure</w:t>
      </w:r>
      <w:r w:rsidR="00A7469C" w:rsidRPr="00B23300">
        <w:t xml:space="preserve"> </w:t>
      </w:r>
      <w:r w:rsidRPr="00B23300">
        <w:t xml:space="preserve">adjusted incidence of 25.5% </w:t>
      </w:r>
      <w:r w:rsidR="00106BE6" w:rsidRPr="00B23300">
        <w:t>(</w:t>
      </w:r>
      <w:r w:rsidRPr="00B23300">
        <w:t>60</w:t>
      </w:r>
      <w:r w:rsidR="00333EE4" w:rsidRPr="00B23300">
        <w:t xml:space="preserve"> over </w:t>
      </w:r>
      <w:r w:rsidRPr="00B23300">
        <w:t>235</w:t>
      </w:r>
      <w:r w:rsidR="00106BE6" w:rsidRPr="00B23300">
        <w:t>)</w:t>
      </w:r>
      <w:r w:rsidRPr="00B23300">
        <w:t xml:space="preserve">, </w:t>
      </w:r>
      <w:proofErr w:type="gramStart"/>
      <w:r w:rsidRPr="00B23300">
        <w:t>total of 76</w:t>
      </w:r>
      <w:proofErr w:type="gramEnd"/>
      <w:r w:rsidRPr="00B23300">
        <w:t xml:space="preserve"> AEs, rate of 365.1 per 1000 PY) </w:t>
      </w:r>
      <w:r w:rsidR="00EC51EB" w:rsidRPr="00B23300">
        <w:t>versus</w:t>
      </w:r>
      <w:r w:rsidRPr="00B23300">
        <w:t xml:space="preserve"> 35.4% </w:t>
      </w:r>
      <w:r w:rsidR="00106BE6" w:rsidRPr="00B23300">
        <w:t>(</w:t>
      </w:r>
      <w:r w:rsidRPr="00B23300">
        <w:t>81</w:t>
      </w:r>
      <w:r w:rsidR="00333EE4" w:rsidRPr="00B23300">
        <w:t xml:space="preserve"> over </w:t>
      </w:r>
      <w:r w:rsidRPr="00B23300">
        <w:t>229</w:t>
      </w:r>
      <w:r w:rsidR="00106BE6" w:rsidRPr="00B23300">
        <w:t>)</w:t>
      </w:r>
      <w:r w:rsidRPr="00B23300">
        <w:t xml:space="preserve"> of subjects reported a total of 118 AEs at rate of 573.2 per 1000 PY of exposure) for </w:t>
      </w:r>
      <w:proofErr w:type="spellStart"/>
      <w:r w:rsidRPr="00B23300">
        <w:t>Rymti</w:t>
      </w:r>
      <w:proofErr w:type="spellEnd"/>
      <w:r w:rsidRPr="00B23300">
        <w:t xml:space="preserve"> </w:t>
      </w:r>
      <w:r w:rsidR="00EC51EB" w:rsidRPr="00B23300">
        <w:t>versus</w:t>
      </w:r>
      <w:r w:rsidRPr="00B23300">
        <w:t xml:space="preserve"> Enbrel. The most frequent infection was </w:t>
      </w:r>
      <w:proofErr w:type="spellStart"/>
      <w:r w:rsidR="00717ED8">
        <w:t>N</w:t>
      </w:r>
      <w:r w:rsidRPr="00B23300">
        <w:t>asopharyngitis</w:t>
      </w:r>
      <w:proofErr w:type="spellEnd"/>
      <w:r w:rsidRPr="00B23300">
        <w:t xml:space="preserve">, (14.9% </w:t>
      </w:r>
      <w:r w:rsidR="00106BE6" w:rsidRPr="00B23300">
        <w:t>(</w:t>
      </w:r>
      <w:r w:rsidRPr="00B23300">
        <w:t>35</w:t>
      </w:r>
      <w:r w:rsidR="00333EE4" w:rsidRPr="00B23300">
        <w:t xml:space="preserve"> over </w:t>
      </w:r>
      <w:r w:rsidRPr="00B23300">
        <w:t>235</w:t>
      </w:r>
      <w:r w:rsidR="00106BE6" w:rsidRPr="00B23300">
        <w:t>)</w:t>
      </w:r>
      <w:r w:rsidRPr="00B23300">
        <w:t xml:space="preserve"> of subjects reported </w:t>
      </w:r>
      <w:proofErr w:type="gramStart"/>
      <w:r w:rsidRPr="00B23300">
        <w:t>a total of 42</w:t>
      </w:r>
      <w:proofErr w:type="gramEnd"/>
      <w:r w:rsidR="00717ED8">
        <w:t> </w:t>
      </w:r>
      <w:r w:rsidRPr="00B23300">
        <w:t xml:space="preserve">AEs at a rate of 248 per 1000 PY of exposure) </w:t>
      </w:r>
      <w:r w:rsidR="00EC51EB" w:rsidRPr="00B23300">
        <w:t>versus</w:t>
      </w:r>
      <w:r w:rsidRPr="00B23300">
        <w:t xml:space="preserve"> 19.2% (44</w:t>
      </w:r>
      <w:r w:rsidR="00333EE4" w:rsidRPr="00B23300">
        <w:t xml:space="preserve"> over </w:t>
      </w:r>
      <w:r w:rsidRPr="00B23300">
        <w:t xml:space="preserve">229) of subjects in the Enbrel group (total of 55 AEs at rate of 362.4 per 1000 PY of exposure) for </w:t>
      </w:r>
      <w:proofErr w:type="spellStart"/>
      <w:r w:rsidRPr="00B23300">
        <w:t>Rymti</w:t>
      </w:r>
      <w:proofErr w:type="spellEnd"/>
      <w:r w:rsidRPr="00B23300">
        <w:t xml:space="preserve"> </w:t>
      </w:r>
      <w:r w:rsidR="00EC51EB" w:rsidRPr="00B23300">
        <w:t>versus</w:t>
      </w:r>
      <w:r w:rsidRPr="00B23300">
        <w:t xml:space="preserve"> </w:t>
      </w:r>
      <w:r w:rsidR="009B7D6D" w:rsidRPr="00B23300">
        <w:t xml:space="preserve">Enbrel. A more than a </w:t>
      </w:r>
      <w:proofErr w:type="spellStart"/>
      <w:r w:rsidR="009B7D6D" w:rsidRPr="00B23300">
        <w:t>two</w:t>
      </w:r>
      <w:r w:rsidR="00A7469C" w:rsidRPr="00B23300">
        <w:t xml:space="preserve"> </w:t>
      </w:r>
      <w:r w:rsidRPr="00B23300">
        <w:t>fold</w:t>
      </w:r>
      <w:proofErr w:type="spellEnd"/>
      <w:r w:rsidRPr="00B23300">
        <w:t xml:space="preserve"> increased rate of administration site AEs occurred with Enbrel </w:t>
      </w:r>
      <w:r w:rsidR="00106BE6" w:rsidRPr="00B23300">
        <w:t>(</w:t>
      </w:r>
      <w:r w:rsidRPr="00B23300">
        <w:t xml:space="preserve">6.4% </w:t>
      </w:r>
      <w:r w:rsidR="00106BE6" w:rsidRPr="00B23300">
        <w:t>(</w:t>
      </w:r>
      <w:r w:rsidRPr="00B23300">
        <w:t>15</w:t>
      </w:r>
      <w:r w:rsidR="00333EE4" w:rsidRPr="00B23300">
        <w:t xml:space="preserve"> over </w:t>
      </w:r>
      <w:r w:rsidRPr="00B23300">
        <w:t>235</w:t>
      </w:r>
      <w:r w:rsidR="00106BE6" w:rsidRPr="00B23300">
        <w:t>)</w:t>
      </w:r>
      <w:r w:rsidRPr="00B23300">
        <w:t xml:space="preserve">, 109.5 per 1000 PY) </w:t>
      </w:r>
      <w:r w:rsidR="00EC51EB" w:rsidRPr="00B23300">
        <w:t>versus</w:t>
      </w:r>
      <w:r w:rsidRPr="00B23300">
        <w:t xml:space="preserve"> 14.8% </w:t>
      </w:r>
      <w:r w:rsidR="00106BE6" w:rsidRPr="00B23300">
        <w:t>(</w:t>
      </w:r>
      <w:r w:rsidRPr="00B23300">
        <w:t>34</w:t>
      </w:r>
      <w:r w:rsidR="00333EE4" w:rsidRPr="00B23300">
        <w:t xml:space="preserve"> over </w:t>
      </w:r>
      <w:r w:rsidRPr="00B23300">
        <w:t>229</w:t>
      </w:r>
      <w:r w:rsidR="00106BE6" w:rsidRPr="00B23300">
        <w:t>)</w:t>
      </w:r>
      <w:r w:rsidRPr="00B23300">
        <w:t xml:space="preserve">, 321 per 1000 PY) for </w:t>
      </w:r>
      <w:proofErr w:type="spellStart"/>
      <w:r w:rsidRPr="00B23300">
        <w:t>Rymti</w:t>
      </w:r>
      <w:proofErr w:type="spellEnd"/>
      <w:r w:rsidRPr="00B23300">
        <w:t xml:space="preserve"> </w:t>
      </w:r>
      <w:r w:rsidR="00EC51EB" w:rsidRPr="00B23300">
        <w:t>versus</w:t>
      </w:r>
      <w:r w:rsidRPr="00B23300">
        <w:t xml:space="preserve"> Enbrel</w:t>
      </w:r>
      <w:r w:rsidR="00106BE6" w:rsidRPr="00B23300">
        <w:t>)</w:t>
      </w:r>
      <w:r w:rsidRPr="00B23300">
        <w:t xml:space="preserve">. The largest difference was for ISRs, 1.3% </w:t>
      </w:r>
      <w:r w:rsidR="00106BE6" w:rsidRPr="00B23300">
        <w:t>(</w:t>
      </w:r>
      <w:r w:rsidR="00717ED8">
        <w:t>3</w:t>
      </w:r>
      <w:r w:rsidR="00717ED8" w:rsidRPr="00B23300">
        <w:t xml:space="preserve"> </w:t>
      </w:r>
      <w:r w:rsidR="00333EE4" w:rsidRPr="00B23300">
        <w:t xml:space="preserve">over </w:t>
      </w:r>
      <w:r w:rsidRPr="00B23300">
        <w:t>235</w:t>
      </w:r>
      <w:r w:rsidR="00106BE6" w:rsidRPr="00B23300">
        <w:t>)</w:t>
      </w:r>
      <w:r w:rsidRPr="00B23300">
        <w:t xml:space="preserve">, 23.1 per 1000 PY </w:t>
      </w:r>
      <w:r w:rsidR="00EC51EB" w:rsidRPr="00B23300">
        <w:t>versus</w:t>
      </w:r>
      <w:r w:rsidRPr="00B23300">
        <w:t xml:space="preserve"> 7.4% </w:t>
      </w:r>
      <w:r w:rsidR="00106BE6" w:rsidRPr="00B23300">
        <w:t>(</w:t>
      </w:r>
      <w:r w:rsidRPr="00B23300">
        <w:t>17</w:t>
      </w:r>
      <w:r w:rsidR="00333EE4" w:rsidRPr="00B23300">
        <w:t xml:space="preserve"> over </w:t>
      </w:r>
      <w:r w:rsidRPr="00B23300">
        <w:t>229</w:t>
      </w:r>
      <w:r w:rsidR="00106BE6" w:rsidRPr="00B23300">
        <w:t>)</w:t>
      </w:r>
      <w:r w:rsidRPr="00B23300">
        <w:t>,</w:t>
      </w:r>
      <w:r w:rsidR="006933ED" w:rsidRPr="00B23300">
        <w:t xml:space="preserve"> </w:t>
      </w:r>
      <w:proofErr w:type="gramStart"/>
      <w:r w:rsidRPr="00B23300">
        <w:t>180.8</w:t>
      </w:r>
      <w:proofErr w:type="gramEnd"/>
      <w:r w:rsidRPr="00B23300">
        <w:t xml:space="preserve"> per 1000 PY for </w:t>
      </w:r>
      <w:proofErr w:type="spellStart"/>
      <w:r w:rsidRPr="00B23300">
        <w:t>Rymti</w:t>
      </w:r>
      <w:proofErr w:type="spellEnd"/>
      <w:r w:rsidRPr="00B23300">
        <w:t xml:space="preserve"> </w:t>
      </w:r>
      <w:r w:rsidR="00EC51EB" w:rsidRPr="00B23300">
        <w:t>versus</w:t>
      </w:r>
      <w:r w:rsidRPr="00B23300">
        <w:t xml:space="preserve"> Enbrel. Injection site erythema (0% </w:t>
      </w:r>
      <w:r w:rsidR="00EC51EB" w:rsidRPr="00B23300">
        <w:t>versus</w:t>
      </w:r>
      <w:r w:rsidRPr="00B23300">
        <w:t xml:space="preserve"> 4.4% </w:t>
      </w:r>
      <w:r w:rsidR="00106BE6" w:rsidRPr="00B23300">
        <w:t>(</w:t>
      </w:r>
      <w:r w:rsidR="00717ED8">
        <w:t>10</w:t>
      </w:r>
      <w:r w:rsidR="00717ED8" w:rsidRPr="00B23300">
        <w:t xml:space="preserve"> </w:t>
      </w:r>
      <w:r w:rsidR="00333EE4" w:rsidRPr="00B23300">
        <w:t xml:space="preserve">over </w:t>
      </w:r>
      <w:r w:rsidRPr="00B23300">
        <w:t>229</w:t>
      </w:r>
      <w:r w:rsidR="00106BE6" w:rsidRPr="00B23300">
        <w:t>)</w:t>
      </w:r>
      <w:r w:rsidRPr="00B23300">
        <w:t xml:space="preserve"> 103.7 per 1000 PY for </w:t>
      </w:r>
      <w:proofErr w:type="spellStart"/>
      <w:r w:rsidRPr="00B23300">
        <w:t>Rymti</w:t>
      </w:r>
      <w:proofErr w:type="spellEnd"/>
      <w:r w:rsidRPr="00B23300">
        <w:t xml:space="preserve"> </w:t>
      </w:r>
      <w:r w:rsidR="00EC51EB" w:rsidRPr="00B23300">
        <w:t>versus</w:t>
      </w:r>
      <w:r w:rsidRPr="00B23300">
        <w:t xml:space="preserve"> Enbrel. Injection</w:t>
      </w:r>
      <w:r w:rsidR="0073783C" w:rsidRPr="00B23300">
        <w:t xml:space="preserve"> site bruising </w:t>
      </w:r>
      <w:proofErr w:type="gramStart"/>
      <w:r w:rsidR="0073783C" w:rsidRPr="00B23300">
        <w:t>was reported</w:t>
      </w:r>
      <w:proofErr w:type="gramEnd"/>
      <w:r w:rsidR="0073783C" w:rsidRPr="00B23300">
        <w:t xml:space="preserve"> in five</w:t>
      </w:r>
      <w:r w:rsidRPr="00B23300">
        <w:t xml:space="preserve"> </w:t>
      </w:r>
      <w:r w:rsidR="00EC51EB" w:rsidRPr="00B23300">
        <w:t>versus</w:t>
      </w:r>
      <w:r w:rsidRPr="00B23300">
        <w:t xml:space="preserve"> </w:t>
      </w:r>
      <w:r w:rsidR="00E0506F" w:rsidRPr="00B23300">
        <w:t>one</w:t>
      </w:r>
      <w:r w:rsidRPr="00B23300">
        <w:t xml:space="preserve"> patients for </w:t>
      </w:r>
      <w:proofErr w:type="spellStart"/>
      <w:r w:rsidRPr="00B23300">
        <w:t>Rymti</w:t>
      </w:r>
      <w:proofErr w:type="spellEnd"/>
      <w:r w:rsidRPr="00B23300">
        <w:t xml:space="preserve"> </w:t>
      </w:r>
      <w:r w:rsidR="00EC51EB" w:rsidRPr="00B23300">
        <w:t>versus</w:t>
      </w:r>
      <w:r w:rsidRPr="00B23300">
        <w:t xml:space="preserve"> Enbrel.</w:t>
      </w:r>
    </w:p>
    <w:p w14:paraId="6CF86839" w14:textId="72A6B3F5" w:rsidR="00AE00F9" w:rsidRPr="00B23300" w:rsidRDefault="00AE00F9" w:rsidP="00127D9A">
      <w:r w:rsidRPr="00B23300">
        <w:t xml:space="preserve">In </w:t>
      </w:r>
      <w:r w:rsidR="00EA2DDA" w:rsidRPr="00B23300">
        <w:t>Stage</w:t>
      </w:r>
      <w:r w:rsidRPr="00B23300">
        <w:t xml:space="preserve"> C, the overall incidence and number of treatment emergent AEs was similar in the treatment groups: TEAEs in 30% </w:t>
      </w:r>
      <w:r w:rsidR="00EC51EB" w:rsidRPr="00B23300">
        <w:t>versus</w:t>
      </w:r>
      <w:r w:rsidRPr="00B23300">
        <w:t xml:space="preserve"> 37.5% in the </w:t>
      </w:r>
      <w:proofErr w:type="spellStart"/>
      <w:r w:rsidRPr="00B23300">
        <w:t>Rymti</w:t>
      </w:r>
      <w:proofErr w:type="spellEnd"/>
      <w:r w:rsidRPr="00B23300">
        <w:t xml:space="preserve"> switch group </w:t>
      </w:r>
      <w:r w:rsidR="00EC51EB" w:rsidRPr="00B23300">
        <w:t>versus</w:t>
      </w:r>
      <w:r w:rsidRPr="00B23300">
        <w:t xml:space="preserve"> the Enbrel crossover arm. In the </w:t>
      </w:r>
      <w:proofErr w:type="spellStart"/>
      <w:r w:rsidRPr="00B23300">
        <w:t>Rymti</w:t>
      </w:r>
      <w:proofErr w:type="spellEnd"/>
      <w:r w:rsidRPr="00B23300">
        <w:t xml:space="preserve"> treatment group</w:t>
      </w:r>
      <w:r w:rsidR="00717ED8">
        <w:t>, for</w:t>
      </w:r>
      <w:r w:rsidRPr="00B23300">
        <w:t xml:space="preserve"> </w:t>
      </w:r>
      <w:r w:rsidR="00717ED8">
        <w:t>I</w:t>
      </w:r>
      <w:r w:rsidRPr="00B23300">
        <w:t xml:space="preserve">nfections there were single reports of respiratory tract infection, urinary tract infection, </w:t>
      </w:r>
      <w:proofErr w:type="spellStart"/>
      <w:r w:rsidRPr="00B23300">
        <w:t>neutrop</w:t>
      </w:r>
      <w:r w:rsidR="00717ED8">
        <w:t>a</w:t>
      </w:r>
      <w:r w:rsidRPr="00B23300">
        <w:t>enia</w:t>
      </w:r>
      <w:proofErr w:type="spellEnd"/>
      <w:r w:rsidRPr="00B23300">
        <w:t xml:space="preserve"> (in </w:t>
      </w:r>
      <w:r w:rsidR="00E0506F" w:rsidRPr="00B23300">
        <w:t>one</w:t>
      </w:r>
      <w:r w:rsidRPr="00B23300">
        <w:t xml:space="preserve"> patient with infection) and </w:t>
      </w:r>
      <w:proofErr w:type="gramStart"/>
      <w:r w:rsidRPr="00B23300">
        <w:t>first</w:t>
      </w:r>
      <w:r w:rsidR="00A7469C" w:rsidRPr="00B23300">
        <w:t xml:space="preserve"> </w:t>
      </w:r>
      <w:r w:rsidRPr="00B23300">
        <w:t>degree</w:t>
      </w:r>
      <w:proofErr w:type="gramEnd"/>
      <w:r w:rsidRPr="00B23300">
        <w:t xml:space="preserve"> atrioventricular heart block. In the Enbrel crossover treatment group, there were single reports of leukopenia with neutropenia, RA exacerbation and injection s</w:t>
      </w:r>
      <w:r w:rsidR="00E13FDA" w:rsidRPr="00B23300">
        <w:t>ite erythema and no infections.</w:t>
      </w:r>
    </w:p>
    <w:p w14:paraId="10C3554F" w14:textId="6DD0EBEB" w:rsidR="00AE00F9" w:rsidRPr="00B23300" w:rsidRDefault="00AE00F9" w:rsidP="00127D9A">
      <w:r w:rsidRPr="00B23300">
        <w:t xml:space="preserve">In Study YLB113-001, TEAEs occurred in 10.2% </w:t>
      </w:r>
      <w:r w:rsidR="00106BE6" w:rsidRPr="00B23300">
        <w:t>(</w:t>
      </w:r>
      <w:r w:rsidR="00A51D9A">
        <w:t>6</w:t>
      </w:r>
      <w:r w:rsidR="00333EE4" w:rsidRPr="00B23300">
        <w:t xml:space="preserve"> over </w:t>
      </w:r>
      <w:r w:rsidRPr="00B23300">
        <w:t>59</w:t>
      </w:r>
      <w:r w:rsidR="00106BE6" w:rsidRPr="00B23300">
        <w:t>)</w:t>
      </w:r>
      <w:r w:rsidRPr="00B23300">
        <w:t xml:space="preserve"> </w:t>
      </w:r>
      <w:r w:rsidR="00EC51EB" w:rsidRPr="00B23300">
        <w:t>versus</w:t>
      </w:r>
      <w:r w:rsidRPr="00B23300">
        <w:t xml:space="preserve"> 20.0% </w:t>
      </w:r>
      <w:r w:rsidR="00106BE6" w:rsidRPr="00B23300">
        <w:t>(</w:t>
      </w:r>
      <w:r w:rsidRPr="00B23300">
        <w:t>12</w:t>
      </w:r>
      <w:r w:rsidR="00333EE4" w:rsidRPr="00B23300">
        <w:t xml:space="preserve"> over </w:t>
      </w:r>
      <w:r w:rsidRPr="00B23300">
        <w:t>60</w:t>
      </w:r>
      <w:r w:rsidR="00106BE6" w:rsidRPr="00B23300">
        <w:t>)</w:t>
      </w:r>
      <w:r w:rsidRPr="00B23300">
        <w:t xml:space="preserve"> </w:t>
      </w:r>
      <w:proofErr w:type="spellStart"/>
      <w:r w:rsidRPr="00B23300">
        <w:t>Rymti</w:t>
      </w:r>
      <w:proofErr w:type="spellEnd"/>
      <w:r w:rsidRPr="00B23300">
        <w:t xml:space="preserve"> </w:t>
      </w:r>
      <w:r w:rsidR="00EC51EB" w:rsidRPr="00B23300">
        <w:t>versus</w:t>
      </w:r>
      <w:r w:rsidRPr="00B23300">
        <w:t xml:space="preserve"> Enbrel. In the Enbrel </w:t>
      </w:r>
      <w:proofErr w:type="gramStart"/>
      <w:r w:rsidRPr="00B23300">
        <w:t>group</w:t>
      </w:r>
      <w:proofErr w:type="gramEnd"/>
      <w:r w:rsidRPr="00B23300">
        <w:t xml:space="preserve"> one subject had Grade </w:t>
      </w:r>
      <w:r w:rsidR="00E0506F" w:rsidRPr="00B23300">
        <w:t>1</w:t>
      </w:r>
      <w:r w:rsidRPr="00B23300">
        <w:t xml:space="preserve"> injection site haematoma </w:t>
      </w:r>
      <w:r w:rsidR="009B7D6D" w:rsidRPr="00B23300">
        <w:t xml:space="preserve">and </w:t>
      </w:r>
      <w:r w:rsidR="00687024" w:rsidRPr="00B23300">
        <w:t>four</w:t>
      </w:r>
      <w:r w:rsidR="009B7D6D" w:rsidRPr="00B23300">
        <w:t xml:space="preserve"> subjects had infections (two</w:t>
      </w:r>
      <w:r w:rsidRPr="00B23300">
        <w:t xml:space="preserve"> cases of herpes simplex, </w:t>
      </w:r>
      <w:r w:rsidR="00E0506F" w:rsidRPr="00B23300">
        <w:t>one</w:t>
      </w:r>
      <w:r w:rsidRPr="00B23300">
        <w:t xml:space="preserve"> case of sinusitis and </w:t>
      </w:r>
      <w:r w:rsidR="00E0506F" w:rsidRPr="005E6B60">
        <w:t>one</w:t>
      </w:r>
      <w:r w:rsidRPr="005E6B60">
        <w:t xml:space="preserve"> case of gonorrhoeal urethrit</w:t>
      </w:r>
      <w:r w:rsidR="00117B5B" w:rsidRPr="005E6B60">
        <w:t>is). In</w:t>
      </w:r>
      <w:r w:rsidRPr="005E6B60">
        <w:t xml:space="preserve"> the </w:t>
      </w:r>
      <w:proofErr w:type="spellStart"/>
      <w:r w:rsidRPr="005E6B60">
        <w:t>Rymti</w:t>
      </w:r>
      <w:proofErr w:type="spellEnd"/>
      <w:r w:rsidRPr="005E6B60">
        <w:t xml:space="preserve"> group</w:t>
      </w:r>
      <w:r w:rsidR="00E0506F" w:rsidRPr="005E6B60">
        <w:t xml:space="preserve"> one</w:t>
      </w:r>
      <w:r w:rsidRPr="005E6B60">
        <w:t xml:space="preserve"> </w:t>
      </w:r>
      <w:proofErr w:type="gramStart"/>
      <w:r w:rsidRPr="005E6B60">
        <w:t>subject</w:t>
      </w:r>
      <w:proofErr w:type="gramEnd"/>
      <w:r w:rsidRPr="005E6B60">
        <w:t xml:space="preserve"> each ha</w:t>
      </w:r>
      <w:r w:rsidR="00E13FDA" w:rsidRPr="005E6B60">
        <w:t>d sore throat and forearm rash.</w:t>
      </w:r>
    </w:p>
    <w:p w14:paraId="30AC8241" w14:textId="65C5F7FA" w:rsidR="00AE00F9" w:rsidRPr="00B23300" w:rsidRDefault="00AE00F9" w:rsidP="00127D9A">
      <w:proofErr w:type="gramStart"/>
      <w:r w:rsidRPr="00B23300">
        <w:t>A total of 14</w:t>
      </w:r>
      <w:proofErr w:type="gramEnd"/>
      <w:r w:rsidRPr="00B23300">
        <w:t xml:space="preserve"> AEs (in 11 subjects) were</w:t>
      </w:r>
      <w:r w:rsidR="00031814" w:rsidRPr="00B23300">
        <w:t xml:space="preserve"> recorded in Study LBC-14-155, three</w:t>
      </w:r>
      <w:r w:rsidRPr="00B23300">
        <w:t xml:space="preserve"> of which occurred during the study and 11 during </w:t>
      </w:r>
      <w:r w:rsidR="00031814" w:rsidRPr="00B23300">
        <w:t>the post-study evaluation. The three AEs (in three</w:t>
      </w:r>
      <w:r w:rsidRPr="00B23300">
        <w:t xml:space="preserve"> separate subjects) during the study were all related to multiple injuries </w:t>
      </w:r>
      <w:proofErr w:type="gramStart"/>
      <w:r w:rsidRPr="00B23300">
        <w:t>as a consequence</w:t>
      </w:r>
      <w:proofErr w:type="gramEnd"/>
      <w:r w:rsidRPr="00B23300">
        <w:t xml:space="preserve"> of various types of accidents and were unrelated to st</w:t>
      </w:r>
      <w:r w:rsidR="00304062" w:rsidRPr="00B23300">
        <w:t>udy medication. Of the 14 AEs, six</w:t>
      </w:r>
      <w:r w:rsidRPr="00B23300">
        <w:t xml:space="preserve"> </w:t>
      </w:r>
      <w:proofErr w:type="gramStart"/>
      <w:r w:rsidRPr="00B23300">
        <w:t>were reported</w:t>
      </w:r>
      <w:proofErr w:type="gramEnd"/>
      <w:r w:rsidR="00B20DC2" w:rsidRPr="00B23300">
        <w:t xml:space="preserve"> following </w:t>
      </w:r>
      <w:proofErr w:type="spellStart"/>
      <w:r w:rsidR="00B20DC2" w:rsidRPr="00B23300">
        <w:t>Rymti</w:t>
      </w:r>
      <w:proofErr w:type="spellEnd"/>
      <w:r w:rsidR="00B20DC2" w:rsidRPr="00B23300">
        <w:t xml:space="preserve"> injection and eight</w:t>
      </w:r>
      <w:r w:rsidRPr="00B23300">
        <w:t xml:space="preserve"> were recorded following Enbrel injection and were laboratory </w:t>
      </w:r>
      <w:r w:rsidR="00E13FDA" w:rsidRPr="00B23300">
        <w:t>abnormalities of mild severity.</w:t>
      </w:r>
    </w:p>
    <w:p w14:paraId="650DC72F" w14:textId="285D28B6" w:rsidR="00AE00F9" w:rsidRPr="00B23300" w:rsidRDefault="008F3B72" w:rsidP="00BD1EEC">
      <w:pPr>
        <w:pStyle w:val="Heading5"/>
        <w:rPr>
          <w:rFonts w:eastAsia="MS ??"/>
        </w:rPr>
      </w:pPr>
      <w:r w:rsidRPr="00B23300">
        <w:rPr>
          <w:rFonts w:eastAsia="MS ??"/>
        </w:rPr>
        <w:t>Treatment related adverse events</w:t>
      </w:r>
    </w:p>
    <w:p w14:paraId="5C9F5287" w14:textId="3658DAA2" w:rsidR="00AE00F9" w:rsidRPr="00B23300" w:rsidRDefault="00AE00F9" w:rsidP="00127D9A">
      <w:r w:rsidRPr="00B23300">
        <w:t xml:space="preserve">In Study YBL113-002 </w:t>
      </w:r>
      <w:r w:rsidR="00EA2DDA" w:rsidRPr="00B23300">
        <w:t>Stage</w:t>
      </w:r>
      <w:r w:rsidRPr="00B23300">
        <w:t xml:space="preserve"> </w:t>
      </w:r>
      <w:proofErr w:type="gramStart"/>
      <w:r w:rsidRPr="00B23300">
        <w:t>A</w:t>
      </w:r>
      <w:proofErr w:type="gramEnd"/>
      <w:r w:rsidRPr="00B23300">
        <w:t xml:space="preserve"> TRAEs occurred in 14.8% </w:t>
      </w:r>
      <w:r w:rsidR="00EC51EB" w:rsidRPr="00B23300">
        <w:t>versus</w:t>
      </w:r>
      <w:r w:rsidRPr="00B23300">
        <w:t xml:space="preserve"> 12.2% for </w:t>
      </w:r>
      <w:proofErr w:type="spellStart"/>
      <w:r w:rsidRPr="00B23300">
        <w:t>Rymti</w:t>
      </w:r>
      <w:proofErr w:type="spellEnd"/>
      <w:r w:rsidRPr="00B23300">
        <w:t xml:space="preserve"> </w:t>
      </w:r>
      <w:r w:rsidR="00EC51EB" w:rsidRPr="00B23300">
        <w:t>versus</w:t>
      </w:r>
      <w:r w:rsidRPr="00B23300">
        <w:t xml:space="preserve"> Enbrel. Most TRAEs in both groups were generally similar between the treatment arms and of either mild or moderate severity, however various types of administration site AEs occurred in 6.8% (</w:t>
      </w:r>
      <w:r w:rsidR="00106BE6" w:rsidRPr="00B23300">
        <w:t>(</w:t>
      </w:r>
      <w:r w:rsidRPr="00B23300">
        <w:t>18</w:t>
      </w:r>
      <w:r w:rsidR="00333EE4" w:rsidRPr="00B23300">
        <w:t xml:space="preserve"> over </w:t>
      </w:r>
      <w:r w:rsidRPr="00B23300">
        <w:t>263</w:t>
      </w:r>
      <w:r w:rsidR="00106BE6" w:rsidRPr="00B23300">
        <w:t>)</w:t>
      </w:r>
      <w:r w:rsidRPr="00B23300">
        <w:t xml:space="preserve">, </w:t>
      </w:r>
      <w:proofErr w:type="gramStart"/>
      <w:r w:rsidRPr="00B23300">
        <w:t>a total of 62</w:t>
      </w:r>
      <w:proofErr w:type="gramEnd"/>
      <w:r w:rsidRPr="00B23300">
        <w:t xml:space="preserve"> AEs) </w:t>
      </w:r>
      <w:r w:rsidR="00EC51EB" w:rsidRPr="00B23300">
        <w:t>versus</w:t>
      </w:r>
      <w:r w:rsidRPr="00B23300">
        <w:t xml:space="preserve"> 21.7% (</w:t>
      </w:r>
      <w:r w:rsidR="00106BE6" w:rsidRPr="00B23300">
        <w:t>(</w:t>
      </w:r>
      <w:r w:rsidRPr="00B23300">
        <w:t>55</w:t>
      </w:r>
      <w:r w:rsidR="00333EE4" w:rsidRPr="00B23300">
        <w:t xml:space="preserve"> over </w:t>
      </w:r>
      <w:r w:rsidRPr="00B23300">
        <w:t>254</w:t>
      </w:r>
      <w:r w:rsidR="00106BE6" w:rsidRPr="00B23300">
        <w:t>)</w:t>
      </w:r>
      <w:r w:rsidRPr="00B23300">
        <w:t xml:space="preserve">, a total of 379 AEs) for </w:t>
      </w:r>
      <w:proofErr w:type="spellStart"/>
      <w:r w:rsidRPr="00B23300">
        <w:t>Rymti</w:t>
      </w:r>
      <w:proofErr w:type="spellEnd"/>
      <w:r w:rsidRPr="00B23300">
        <w:t xml:space="preserve"> </w:t>
      </w:r>
      <w:r w:rsidR="00EC51EB" w:rsidRPr="00B23300">
        <w:t>versus</w:t>
      </w:r>
      <w:r w:rsidR="00E13FDA" w:rsidRPr="00B23300">
        <w:t xml:space="preserve"> Enbrel.</w:t>
      </w:r>
    </w:p>
    <w:p w14:paraId="672DF9EE" w14:textId="3CE02BB1" w:rsidR="00AE00F9" w:rsidRPr="00B23300" w:rsidRDefault="00AE00F9" w:rsidP="00127D9A">
      <w:r w:rsidRPr="00B23300">
        <w:t xml:space="preserve">In </w:t>
      </w:r>
      <w:r w:rsidR="00EA2DDA" w:rsidRPr="00B23300">
        <w:t>Stage</w:t>
      </w:r>
      <w:r w:rsidRPr="00B23300">
        <w:t xml:space="preserve"> B, TRAEs occurred in 2.6% </w:t>
      </w:r>
      <w:r w:rsidR="00EC51EB" w:rsidRPr="00B23300">
        <w:t>versus</w:t>
      </w:r>
      <w:r w:rsidRPr="00B23300">
        <w:t xml:space="preserve"> 13.5% for </w:t>
      </w:r>
      <w:proofErr w:type="spellStart"/>
      <w:r w:rsidRPr="00B23300">
        <w:t>Rymti</w:t>
      </w:r>
      <w:proofErr w:type="spellEnd"/>
      <w:r w:rsidRPr="00B23300">
        <w:t xml:space="preserve"> </w:t>
      </w:r>
      <w:r w:rsidR="00EC51EB" w:rsidRPr="00B23300">
        <w:t>versus</w:t>
      </w:r>
      <w:r w:rsidRPr="00B23300">
        <w:t xml:space="preserve"> Enbrel. Most TRAEs in both groups </w:t>
      </w:r>
      <w:proofErr w:type="gramStart"/>
      <w:r w:rsidRPr="00B23300">
        <w:t>were assessed</w:t>
      </w:r>
      <w:proofErr w:type="gramEnd"/>
      <w:r w:rsidRPr="00B23300">
        <w:t xml:space="preserve"> as being of either mild or moderate severity with no disce</w:t>
      </w:r>
      <w:r w:rsidR="009B7D6D" w:rsidRPr="00B23300">
        <w:t>rnible differences between the two</w:t>
      </w:r>
      <w:r w:rsidRPr="00B23300">
        <w:t xml:space="preserve"> treatment a</w:t>
      </w:r>
      <w:r w:rsidR="009B7D6D" w:rsidRPr="00B23300">
        <w:t>rms apart from the approximate two</w:t>
      </w:r>
      <w:r w:rsidR="00A7469C" w:rsidRPr="00B23300">
        <w:t xml:space="preserve"> </w:t>
      </w:r>
      <w:r w:rsidRPr="00B23300">
        <w:t>fold increased incidence of various types of ISRs in the Enbrel arm. Treatment related infections of various types were also common in both treatment groups at an equal and approx</w:t>
      </w:r>
      <w:r w:rsidR="001B3586" w:rsidRPr="00B23300">
        <w:t>imate incidence of 4%.</w:t>
      </w:r>
    </w:p>
    <w:p w14:paraId="69DA0716" w14:textId="0B499C7F" w:rsidR="00AE00F9" w:rsidRPr="00B23300" w:rsidRDefault="00AE00F9" w:rsidP="00127D9A">
      <w:r w:rsidRPr="00B23300">
        <w:t xml:space="preserve">In </w:t>
      </w:r>
      <w:r w:rsidR="00EA2DDA" w:rsidRPr="00B23300">
        <w:t>Stage</w:t>
      </w:r>
      <w:r w:rsidR="00E0506F" w:rsidRPr="00B23300">
        <w:t xml:space="preserve"> C, one</w:t>
      </w:r>
      <w:r w:rsidRPr="00B23300">
        <w:t xml:space="preserve"> patient in ea</w:t>
      </w:r>
      <w:r w:rsidR="009B7D6D" w:rsidRPr="00B23300">
        <w:t>ch treatment group experienced two</w:t>
      </w:r>
      <w:r w:rsidRPr="00B23300">
        <w:t xml:space="preserve"> AEs that </w:t>
      </w:r>
      <w:proofErr w:type="gramStart"/>
      <w:r w:rsidRPr="00B23300">
        <w:t>were considered to be possibly related</w:t>
      </w:r>
      <w:proofErr w:type="gramEnd"/>
      <w:r w:rsidRPr="00B23300">
        <w:t xml:space="preserve"> to study medication. A </w:t>
      </w:r>
      <w:proofErr w:type="spellStart"/>
      <w:r w:rsidRPr="00B23300">
        <w:t>Rymti</w:t>
      </w:r>
      <w:proofErr w:type="spellEnd"/>
      <w:r w:rsidRPr="00B23300">
        <w:t xml:space="preserve"> treated subject recorded leukopenia and neutropenia. A subject treated with Enbrel reported injection site erythema and </w:t>
      </w:r>
      <w:proofErr w:type="spellStart"/>
      <w:r w:rsidRPr="00B23300">
        <w:t>neutrop</w:t>
      </w:r>
      <w:r w:rsidR="005F6D3B">
        <w:t>a</w:t>
      </w:r>
      <w:r w:rsidRPr="00B23300">
        <w:t>enia</w:t>
      </w:r>
      <w:proofErr w:type="spellEnd"/>
      <w:r w:rsidRPr="00B23300">
        <w:t>.</w:t>
      </w:r>
    </w:p>
    <w:p w14:paraId="6C4EB8D9" w14:textId="12A88E21" w:rsidR="00AE00F9" w:rsidRPr="00B23300" w:rsidRDefault="00AE00F9" w:rsidP="00127D9A">
      <w:r w:rsidRPr="00B23300">
        <w:t xml:space="preserve">In Study YLB113-001, 8.5% </w:t>
      </w:r>
      <w:r w:rsidR="00EC51EB" w:rsidRPr="00B23300">
        <w:t>versus</w:t>
      </w:r>
      <w:r w:rsidRPr="00B23300">
        <w:t xml:space="preserve"> 15% of </w:t>
      </w:r>
      <w:proofErr w:type="spellStart"/>
      <w:r w:rsidRPr="00B23300">
        <w:t>Rymti</w:t>
      </w:r>
      <w:proofErr w:type="spellEnd"/>
      <w:r w:rsidRPr="00B23300">
        <w:t xml:space="preserve"> </w:t>
      </w:r>
      <w:r w:rsidR="00EC51EB" w:rsidRPr="00B23300">
        <w:t>versus</w:t>
      </w:r>
      <w:r w:rsidRPr="00B23300">
        <w:t xml:space="preserve"> Enbrel were TRAEs. The </w:t>
      </w:r>
      <w:proofErr w:type="spellStart"/>
      <w:r w:rsidRPr="00B23300">
        <w:t>Rymti</w:t>
      </w:r>
      <w:proofErr w:type="spellEnd"/>
      <w:r w:rsidRPr="00B23300">
        <w:t xml:space="preserve"> TRAEs were sore throat, skin eruption, gingival pain, oral paraesthesia, increased blood triglycerides and increased serum </w:t>
      </w:r>
      <w:r w:rsidR="009B5FF0" w:rsidRPr="005E6B60">
        <w:t xml:space="preserve">gamma </w:t>
      </w:r>
      <w:proofErr w:type="spellStart"/>
      <w:r w:rsidR="009B5FF0" w:rsidRPr="005E6B60">
        <w:t>glutamyl</w:t>
      </w:r>
      <w:proofErr w:type="spellEnd"/>
      <w:r w:rsidR="009B5FF0" w:rsidRPr="005E6B60">
        <w:t xml:space="preserve"> </w:t>
      </w:r>
      <w:proofErr w:type="spellStart"/>
      <w:r w:rsidR="009B5FF0" w:rsidRPr="005E6B60">
        <w:t>transpeptidase</w:t>
      </w:r>
      <w:proofErr w:type="spellEnd"/>
      <w:r w:rsidR="009B5FF0" w:rsidRPr="005E6B60">
        <w:t xml:space="preserve"> (GGT).</w:t>
      </w:r>
      <w:r w:rsidRPr="00B23300">
        <w:t xml:space="preserve"> The E</w:t>
      </w:r>
      <w:r w:rsidR="00A51D9A">
        <w:t>nbrel TRAEs were four</w:t>
      </w:r>
      <w:r w:rsidR="00E0506F" w:rsidRPr="00B23300">
        <w:t xml:space="preserve"> infections, one</w:t>
      </w:r>
      <w:r w:rsidR="00031814" w:rsidRPr="00B23300">
        <w:t xml:space="preserve"> ISR, enteritis, three</w:t>
      </w:r>
      <w:r w:rsidRPr="00B23300">
        <w:t xml:space="preserve"> minor blood abnormalities (abnormal liver function, increased serum GGT and raised s</w:t>
      </w:r>
      <w:r w:rsidR="00E0506F" w:rsidRPr="005E6B60">
        <w:t xml:space="preserve">erum urate) and </w:t>
      </w:r>
      <w:proofErr w:type="gramStart"/>
      <w:r w:rsidR="00E0506F" w:rsidRPr="005E6B60">
        <w:t>one</w:t>
      </w:r>
      <w:proofErr w:type="gramEnd"/>
      <w:r w:rsidRPr="005E6B60">
        <w:t xml:space="preserve"> case of sore throat. In Study </w:t>
      </w:r>
      <w:proofErr w:type="gramStart"/>
      <w:r w:rsidR="00083D16" w:rsidRPr="005E6B60">
        <w:t>LBC-14-155</w:t>
      </w:r>
      <w:proofErr w:type="gramEnd"/>
      <w:r w:rsidR="00083D16" w:rsidRPr="005E6B60">
        <w:t xml:space="preserve"> two</w:t>
      </w:r>
      <w:r w:rsidR="009B7D6D" w:rsidRPr="005E6B60">
        <w:t xml:space="preserve"> subjects recorded two</w:t>
      </w:r>
      <w:r w:rsidRPr="005E6B60">
        <w:t xml:space="preserve"> TRAEs of increased serum transaminases (</w:t>
      </w:r>
      <w:r w:rsidR="009B5FF0" w:rsidRPr="005E6B60">
        <w:t>aspartate aminotransferase (</w:t>
      </w:r>
      <w:r w:rsidRPr="005E6B60">
        <w:t>AST</w:t>
      </w:r>
      <w:r w:rsidR="009B5FF0" w:rsidRPr="005E6B60">
        <w:t>)</w:t>
      </w:r>
      <w:r w:rsidRPr="005E6B60">
        <w:t xml:space="preserve"> and </w:t>
      </w:r>
      <w:r w:rsidR="009B5FF0" w:rsidRPr="005E6B60">
        <w:t>alanine aminotransferase (</w:t>
      </w:r>
      <w:r w:rsidRPr="005E6B60">
        <w:t>ALT</w:t>
      </w:r>
      <w:r w:rsidR="009B5FF0" w:rsidRPr="005E6B60">
        <w:t>)</w:t>
      </w:r>
      <w:r w:rsidRPr="005E6B60">
        <w:t>).</w:t>
      </w:r>
      <w:r w:rsidRPr="00B23300">
        <w:t xml:space="preserve"> One resolved without sequelae, wi</w:t>
      </w:r>
      <w:r w:rsidR="001B3586" w:rsidRPr="00B23300">
        <w:t>th the other outcome unknown.</w:t>
      </w:r>
    </w:p>
    <w:p w14:paraId="23163F37" w14:textId="0EBD75FD" w:rsidR="00AE00F9" w:rsidRPr="005E6B60" w:rsidRDefault="00AE00F9" w:rsidP="00127D9A">
      <w:r w:rsidRPr="005E6B60">
        <w:t>No deaths occurred d</w:t>
      </w:r>
      <w:r w:rsidR="00E13FDA" w:rsidRPr="005E6B60">
        <w:t xml:space="preserve">uring any of the </w:t>
      </w:r>
      <w:proofErr w:type="spellStart"/>
      <w:r w:rsidR="00E13FDA" w:rsidRPr="005E6B60">
        <w:t>Rymti</w:t>
      </w:r>
      <w:proofErr w:type="spellEnd"/>
      <w:r w:rsidR="00E13FDA" w:rsidRPr="005E6B60">
        <w:t xml:space="preserve"> studies.</w:t>
      </w:r>
    </w:p>
    <w:p w14:paraId="2783E77D" w14:textId="2ACE6A3C" w:rsidR="00AE00F9" w:rsidRPr="005E6B60" w:rsidRDefault="008F3B72" w:rsidP="00BD1EEC">
      <w:pPr>
        <w:pStyle w:val="Heading5"/>
      </w:pPr>
      <w:r w:rsidRPr="005E6B60">
        <w:t>Serious adverse events</w:t>
      </w:r>
    </w:p>
    <w:p w14:paraId="0A547D55" w14:textId="043052F0" w:rsidR="00AE00F9" w:rsidRPr="005E6B60" w:rsidRDefault="005F6D3B" w:rsidP="00127D9A">
      <w:r>
        <w:t xml:space="preserve">In </w:t>
      </w:r>
      <w:r w:rsidR="00EA2DDA" w:rsidRPr="005E6B60">
        <w:t>Stage</w:t>
      </w:r>
      <w:r w:rsidR="00AE00F9" w:rsidRPr="005E6B60">
        <w:t xml:space="preserve"> </w:t>
      </w:r>
      <w:proofErr w:type="gramStart"/>
      <w:r w:rsidR="00AE00F9" w:rsidRPr="005E6B60">
        <w:t>A</w:t>
      </w:r>
      <w:proofErr w:type="gramEnd"/>
      <w:r w:rsidR="00AE00F9" w:rsidRPr="005E6B60">
        <w:t xml:space="preserve"> of Study YLB113-002A</w:t>
      </w:r>
      <w:r>
        <w:t>,</w:t>
      </w:r>
      <w:r w:rsidR="00AE00F9" w:rsidRPr="005E6B60">
        <w:t xml:space="preserve"> 13 SAEs were reported in 12 subjects (2.3% of 517) up to </w:t>
      </w:r>
      <w:r w:rsidR="00EA2DDA" w:rsidRPr="005E6B60">
        <w:t>Week</w:t>
      </w:r>
      <w:r w:rsidR="00B20DC2" w:rsidRPr="005E6B60">
        <w:t xml:space="preserve"> 24</w:t>
      </w:r>
      <w:r>
        <w:t>;</w:t>
      </w:r>
      <w:r w:rsidR="00B20DC2" w:rsidRPr="005E6B60">
        <w:t xml:space="preserve"> eight</w:t>
      </w:r>
      <w:r w:rsidR="00AE00F9" w:rsidRPr="005E6B60">
        <w:t xml:space="preserve"> (3.0% of 263, 48.5 per 1000 PY) subjects reported </w:t>
      </w:r>
      <w:r w:rsidR="00B20DC2" w:rsidRPr="005E6B60">
        <w:t>nine</w:t>
      </w:r>
      <w:r w:rsidR="00687024" w:rsidRPr="005E6B60">
        <w:t xml:space="preserve"> SAEs in the </w:t>
      </w:r>
      <w:proofErr w:type="spellStart"/>
      <w:r w:rsidR="00687024" w:rsidRPr="005E6B60">
        <w:t>Rymti</w:t>
      </w:r>
      <w:proofErr w:type="spellEnd"/>
      <w:r w:rsidR="00687024" w:rsidRPr="005E6B60">
        <w:t xml:space="preserve"> group, and four</w:t>
      </w:r>
      <w:r w:rsidR="00AE00F9" w:rsidRPr="005E6B60">
        <w:t xml:space="preserve"> (1.6% of 254, 25.1 per 1000 PY) subjects reported </w:t>
      </w:r>
      <w:r w:rsidR="00687024" w:rsidRPr="005E6B60">
        <w:t>four</w:t>
      </w:r>
      <w:r w:rsidR="00AE00F9" w:rsidRPr="005E6B60">
        <w:t xml:space="preserve"> SAEs in the Enbrel arm.</w:t>
      </w:r>
      <w:r w:rsidR="00083D16" w:rsidRPr="005E6B60">
        <w:t xml:space="preserve"> The most frequently SAE (in ≥ two</w:t>
      </w:r>
      <w:r w:rsidR="00AE00F9" w:rsidRPr="005E6B60">
        <w:t xml:space="preserve"> patients in either treatment group) by SOC was </w:t>
      </w:r>
      <w:r>
        <w:t>I</w:t>
      </w:r>
      <w:r w:rsidR="00AE00F9" w:rsidRPr="005E6B60">
        <w:t>nfec</w:t>
      </w:r>
      <w:r w:rsidR="00031814" w:rsidRPr="005E6B60">
        <w:t>tion (three</w:t>
      </w:r>
      <w:r w:rsidR="00A7469C" w:rsidRPr="005E6B60">
        <w:t xml:space="preserve"> SAEs in </w:t>
      </w:r>
      <w:r w:rsidR="00031814" w:rsidRPr="005E6B60">
        <w:t>three</w:t>
      </w:r>
      <w:r w:rsidR="00A7469C" w:rsidRPr="005E6B60">
        <w:t xml:space="preserve"> subjects </w:t>
      </w:r>
      <w:r w:rsidR="00106BE6" w:rsidRPr="005E6B60">
        <w:t>(</w:t>
      </w:r>
      <w:r w:rsidR="00A7469C" w:rsidRPr="005E6B60">
        <w:t xml:space="preserve">1.1 to </w:t>
      </w:r>
      <w:r w:rsidR="00AE00F9" w:rsidRPr="005E6B60">
        <w:t>1.2%</w:t>
      </w:r>
      <w:r w:rsidR="00106BE6" w:rsidRPr="005E6B60">
        <w:t>)</w:t>
      </w:r>
      <w:r w:rsidR="00031814" w:rsidRPr="005E6B60">
        <w:t xml:space="preserve"> in each treatment group). The three</w:t>
      </w:r>
      <w:r w:rsidR="00AE00F9" w:rsidRPr="005E6B60">
        <w:t xml:space="preserve"> infectious SAEs in the </w:t>
      </w:r>
      <w:proofErr w:type="spellStart"/>
      <w:r w:rsidR="00AE00F9" w:rsidRPr="005E6B60">
        <w:t>Rym</w:t>
      </w:r>
      <w:r w:rsidR="00E0506F" w:rsidRPr="005E6B60">
        <w:t>ti</w:t>
      </w:r>
      <w:proofErr w:type="spellEnd"/>
      <w:r w:rsidR="00E0506F" w:rsidRPr="005E6B60">
        <w:t xml:space="preserve"> group were one</w:t>
      </w:r>
      <w:r w:rsidR="00AE00F9" w:rsidRPr="005E6B60">
        <w:t xml:space="preserve"> each of </w:t>
      </w:r>
      <w:r w:rsidR="00AE00F9" w:rsidRPr="00577F4C">
        <w:rPr>
          <w:i/>
        </w:rPr>
        <w:t xml:space="preserve">Pneumocystis </w:t>
      </w:r>
      <w:proofErr w:type="spellStart"/>
      <w:r w:rsidR="00AE00F9" w:rsidRPr="00577F4C">
        <w:rPr>
          <w:i/>
        </w:rPr>
        <w:t>jirovecii</w:t>
      </w:r>
      <w:proofErr w:type="spellEnd"/>
      <w:r w:rsidR="00AE00F9" w:rsidRPr="005E6B60">
        <w:t xml:space="preserve"> pneumonia, pneumonia and </w:t>
      </w:r>
      <w:r w:rsidRPr="00577F4C">
        <w:rPr>
          <w:i/>
        </w:rPr>
        <w:t>Escherichia coli</w:t>
      </w:r>
      <w:r w:rsidRPr="005F6D3B">
        <w:t xml:space="preserve"> </w:t>
      </w:r>
      <w:r w:rsidR="00031814" w:rsidRPr="005E6B60">
        <w:t>urinary tract infection. The three</w:t>
      </w:r>
      <w:r w:rsidR="00AE00F9" w:rsidRPr="005E6B60">
        <w:t xml:space="preserve"> infectious SAEs in the Enbrel arm were</w:t>
      </w:r>
      <w:r w:rsidR="00B50FC7" w:rsidRPr="005E6B60">
        <w:t xml:space="preserve"> </w:t>
      </w:r>
      <w:r w:rsidR="009B7D6D" w:rsidRPr="005E6B60">
        <w:t>two</w:t>
      </w:r>
      <w:r w:rsidR="00E0506F" w:rsidRPr="005E6B60">
        <w:t xml:space="preserve"> cases of pneumonia and one</w:t>
      </w:r>
      <w:r w:rsidR="00AE00F9" w:rsidRPr="005E6B60">
        <w:t xml:space="preserve"> case of </w:t>
      </w:r>
      <w:r w:rsidR="00AE00F9" w:rsidRPr="00577F4C">
        <w:rPr>
          <w:i/>
        </w:rPr>
        <w:t xml:space="preserve">Pneumocystis </w:t>
      </w:r>
      <w:proofErr w:type="spellStart"/>
      <w:r w:rsidR="00AE00F9" w:rsidRPr="00577F4C">
        <w:rPr>
          <w:i/>
        </w:rPr>
        <w:t>jirovecii</w:t>
      </w:r>
      <w:proofErr w:type="spellEnd"/>
      <w:r w:rsidR="00AE00F9" w:rsidRPr="005E6B60">
        <w:t xml:space="preserve"> pneumonia. A case of lobular breast carcinoma in situ </w:t>
      </w:r>
      <w:proofErr w:type="gramStart"/>
      <w:r w:rsidR="00AE00F9" w:rsidRPr="005E6B60">
        <w:t>was reported</w:t>
      </w:r>
      <w:proofErr w:type="gramEnd"/>
      <w:r w:rsidR="00AE00F9" w:rsidRPr="005E6B60">
        <w:t xml:space="preserve"> in the </w:t>
      </w:r>
      <w:proofErr w:type="spellStart"/>
      <w:r w:rsidR="00AE00F9" w:rsidRPr="005E6B60">
        <w:t>Rymti</w:t>
      </w:r>
      <w:proofErr w:type="spellEnd"/>
      <w:r w:rsidR="00AE00F9" w:rsidRPr="005E6B60">
        <w:t xml:space="preserve"> group. The other SAEs in the </w:t>
      </w:r>
      <w:proofErr w:type="spellStart"/>
      <w:r w:rsidR="00AE00F9" w:rsidRPr="005E6B60">
        <w:t>Rymti</w:t>
      </w:r>
      <w:proofErr w:type="spellEnd"/>
      <w:r w:rsidR="00AE00F9" w:rsidRPr="005E6B60">
        <w:t xml:space="preserve"> group included single reports of ankle fracture, adult onset Still’s disease, uterine polyp, interstitial lung disease and pleurisy. The non-infectious SAE recorded in the Enbrel arm was gastritis. Four of the SAEs reported in the </w:t>
      </w:r>
      <w:proofErr w:type="spellStart"/>
      <w:r w:rsidR="00031814" w:rsidRPr="005E6B60">
        <w:t>Rymti</w:t>
      </w:r>
      <w:proofErr w:type="spellEnd"/>
      <w:r w:rsidR="00031814" w:rsidRPr="005E6B60">
        <w:t xml:space="preserve"> group (three</w:t>
      </w:r>
      <w:r w:rsidR="00E0506F" w:rsidRPr="005E6B60">
        <w:t xml:space="preserve"> infections plus one</w:t>
      </w:r>
      <w:r w:rsidR="00AE00F9" w:rsidRPr="005E6B60">
        <w:t xml:space="preserve"> case of ad</w:t>
      </w:r>
      <w:r w:rsidR="00E0506F" w:rsidRPr="005E6B60">
        <w:t>ult onset Still’s disease) and one</w:t>
      </w:r>
      <w:r w:rsidR="00AE00F9" w:rsidRPr="005E6B60">
        <w:t xml:space="preserve"> of the SAEs in the Enbrel arm (pneumonia) </w:t>
      </w:r>
      <w:proofErr w:type="gramStart"/>
      <w:r w:rsidR="00AE00F9" w:rsidRPr="005E6B60">
        <w:t>were considered</w:t>
      </w:r>
      <w:proofErr w:type="gramEnd"/>
      <w:r w:rsidR="00AE00F9" w:rsidRPr="005E6B60">
        <w:t xml:space="preserve"> treatment related.</w:t>
      </w:r>
    </w:p>
    <w:p w14:paraId="6658CDF7" w14:textId="3F1D91DD" w:rsidR="00AE00F9" w:rsidRPr="005E6B60" w:rsidRDefault="00AE00F9" w:rsidP="00127D9A">
      <w:r w:rsidRPr="005E6B60">
        <w:t xml:space="preserve">In </w:t>
      </w:r>
      <w:r w:rsidR="00EA2DDA" w:rsidRPr="005E6B60">
        <w:t>Stage</w:t>
      </w:r>
      <w:r w:rsidRPr="005E6B60">
        <w:t xml:space="preserve"> B, </w:t>
      </w:r>
      <w:proofErr w:type="gramStart"/>
      <w:r w:rsidRPr="005E6B60">
        <w:t>a total of 13</w:t>
      </w:r>
      <w:proofErr w:type="gramEnd"/>
      <w:r w:rsidRPr="005E6B60">
        <w:t xml:space="preserve"> SAEs were reported in 13 subjects (</w:t>
      </w:r>
      <w:r w:rsidR="00B20DC2" w:rsidRPr="005E6B60">
        <w:t>2.8% of 464): eight</w:t>
      </w:r>
      <w:r w:rsidRPr="005E6B60">
        <w:t xml:space="preserve"> (3.4% of 235) patients reported 11 SAEs (1120.4 per 10</w:t>
      </w:r>
      <w:r w:rsidR="0073783C" w:rsidRPr="005E6B60">
        <w:t xml:space="preserve">00 PY) in the </w:t>
      </w:r>
      <w:proofErr w:type="spellStart"/>
      <w:r w:rsidR="0073783C" w:rsidRPr="005E6B60">
        <w:t>Rymti</w:t>
      </w:r>
      <w:proofErr w:type="spellEnd"/>
      <w:r w:rsidR="0073783C" w:rsidRPr="005E6B60">
        <w:t xml:space="preserve"> group, and five</w:t>
      </w:r>
      <w:r w:rsidRPr="005E6B60">
        <w:t xml:space="preserve"> (</w:t>
      </w:r>
      <w:r w:rsidR="0073783C" w:rsidRPr="005E6B60">
        <w:t>2.2% of 229) patients reported five</w:t>
      </w:r>
      <w:r w:rsidRPr="005E6B60">
        <w:t xml:space="preserve"> SAEs (1644.7 </w:t>
      </w:r>
      <w:r w:rsidR="00E13FDA" w:rsidRPr="005E6B60">
        <w:t>per 1000 PY) in the Enbrel arm.</w:t>
      </w:r>
    </w:p>
    <w:p w14:paraId="77E25D63" w14:textId="354F5965" w:rsidR="00AE00F9" w:rsidRPr="005E6B60" w:rsidRDefault="00AE00F9" w:rsidP="00127D9A">
      <w:r w:rsidRPr="005E6B60">
        <w:t>By SOC, the most frequent SAE affecting ≥</w:t>
      </w:r>
      <w:r w:rsidR="00B50FC7" w:rsidRPr="005E6B60">
        <w:t xml:space="preserve"> </w:t>
      </w:r>
      <w:r w:rsidR="00083D16" w:rsidRPr="005E6B60">
        <w:t>two</w:t>
      </w:r>
      <w:r w:rsidRPr="005E6B60">
        <w:t xml:space="preserve"> patients in either treatment </w:t>
      </w:r>
      <w:r w:rsidR="009B7D6D" w:rsidRPr="005E6B60">
        <w:t xml:space="preserve">group was </w:t>
      </w:r>
      <w:r w:rsidR="005F6D3B">
        <w:t>I</w:t>
      </w:r>
      <w:r w:rsidR="005F6D3B" w:rsidRPr="005E6B60">
        <w:t xml:space="preserve">nfection </w:t>
      </w:r>
      <w:r w:rsidR="00031814" w:rsidRPr="005E6B60">
        <w:t>(</w:t>
      </w:r>
      <w:proofErr w:type="gramStart"/>
      <w:r w:rsidR="00031814" w:rsidRPr="005E6B60">
        <w:t>three</w:t>
      </w:r>
      <w:proofErr w:type="gramEnd"/>
      <w:r w:rsidR="009B7D6D" w:rsidRPr="005E6B60">
        <w:t xml:space="preserve"> SAEs in two</w:t>
      </w:r>
      <w:r w:rsidRPr="005E6B60">
        <w:t xml:space="preserve"> subjects </w:t>
      </w:r>
      <w:r w:rsidR="00106BE6" w:rsidRPr="005E6B60">
        <w:t>(</w:t>
      </w:r>
      <w:r w:rsidRPr="005E6B60">
        <w:t>0.9%</w:t>
      </w:r>
      <w:r w:rsidR="00106BE6" w:rsidRPr="005E6B60">
        <w:t>)</w:t>
      </w:r>
      <w:r w:rsidRPr="005E6B60">
        <w:t xml:space="preserve"> in</w:t>
      </w:r>
      <w:r w:rsidR="009B7D6D" w:rsidRPr="005E6B60">
        <w:t xml:space="preserve"> the </w:t>
      </w:r>
      <w:proofErr w:type="spellStart"/>
      <w:r w:rsidR="009B7D6D" w:rsidRPr="005E6B60">
        <w:t>Rymti</w:t>
      </w:r>
      <w:proofErr w:type="spellEnd"/>
      <w:r w:rsidR="009B7D6D" w:rsidRPr="005E6B60">
        <w:t xml:space="preserve"> group and two SAEs in two</w:t>
      </w:r>
      <w:r w:rsidRPr="005E6B60">
        <w:t xml:space="preserve"> subjects </w:t>
      </w:r>
      <w:r w:rsidR="00106BE6" w:rsidRPr="005E6B60">
        <w:t>(</w:t>
      </w:r>
      <w:r w:rsidRPr="005E6B60">
        <w:t>0.9%</w:t>
      </w:r>
      <w:r w:rsidR="00106BE6" w:rsidRPr="005E6B60">
        <w:t>)</w:t>
      </w:r>
      <w:r w:rsidRPr="005E6B60">
        <w:t xml:space="preserve"> in the Enbrel group).</w:t>
      </w:r>
      <w:r w:rsidR="00E0506F" w:rsidRPr="005E6B60">
        <w:t xml:space="preserve"> In the </w:t>
      </w:r>
      <w:proofErr w:type="spellStart"/>
      <w:r w:rsidR="00E0506F" w:rsidRPr="005E6B60">
        <w:t>Rymti</w:t>
      </w:r>
      <w:proofErr w:type="spellEnd"/>
      <w:r w:rsidR="00E0506F" w:rsidRPr="005E6B60">
        <w:t xml:space="preserve"> </w:t>
      </w:r>
      <w:proofErr w:type="gramStart"/>
      <w:r w:rsidR="00E0506F" w:rsidRPr="005E6B60">
        <w:t>group</w:t>
      </w:r>
      <w:proofErr w:type="gramEnd"/>
      <w:r w:rsidR="00E0506F" w:rsidRPr="005E6B60">
        <w:t xml:space="preserve"> these were one</w:t>
      </w:r>
      <w:r w:rsidRPr="005E6B60">
        <w:t xml:space="preserve"> case each of bacterial pneumonia, rhinitis and sinusitis, a</w:t>
      </w:r>
      <w:r w:rsidR="00E0506F" w:rsidRPr="005E6B60">
        <w:t>nd in the Enbrel arm there was one</w:t>
      </w:r>
      <w:r w:rsidRPr="005E6B60">
        <w:t xml:space="preserve"> case each of herpes zoster infection and renal abscess. One patient in the </w:t>
      </w:r>
      <w:proofErr w:type="spellStart"/>
      <w:r w:rsidRPr="005E6B60">
        <w:t>Rymti</w:t>
      </w:r>
      <w:proofErr w:type="spellEnd"/>
      <w:r w:rsidRPr="005E6B60">
        <w:t xml:space="preserve"> group recorded pancreatic carcinoma w</w:t>
      </w:r>
      <w:r w:rsidR="00031814" w:rsidRPr="005E6B60">
        <w:t>ith liver and lung metastases (three</w:t>
      </w:r>
      <w:r w:rsidRPr="005E6B60">
        <w:t xml:space="preserve"> SAEs in total) and one patient in the </w:t>
      </w:r>
      <w:proofErr w:type="spellStart"/>
      <w:r w:rsidRPr="005E6B60">
        <w:t>Rymti</w:t>
      </w:r>
      <w:proofErr w:type="spellEnd"/>
      <w:r w:rsidRPr="005E6B60">
        <w:t xml:space="preserve"> group developed uterine cancer. The other types of SAEs recorded in the </w:t>
      </w:r>
      <w:proofErr w:type="spellStart"/>
      <w:r w:rsidRPr="005E6B60">
        <w:t>Rymti</w:t>
      </w:r>
      <w:proofErr w:type="spellEnd"/>
      <w:r w:rsidRPr="005E6B60">
        <w:t xml:space="preserve"> group included single reports of deep vein thrombosis, positional vertigo, headache, interstitial lung disease and pleural cyst. The other SAEs recorded in the Enbrel arm were sixth cranial nerve paresis and angina pectoris. Four of the SAEs reported in the </w:t>
      </w:r>
      <w:proofErr w:type="spellStart"/>
      <w:r w:rsidR="00031814" w:rsidRPr="005E6B60">
        <w:t>Rymti</w:t>
      </w:r>
      <w:proofErr w:type="spellEnd"/>
      <w:r w:rsidR="00031814" w:rsidRPr="005E6B60">
        <w:t xml:space="preserve"> group (three</w:t>
      </w:r>
      <w:r w:rsidR="00E0506F" w:rsidRPr="005E6B60">
        <w:t xml:space="preserve"> infections plus one</w:t>
      </w:r>
      <w:r w:rsidRPr="005E6B60">
        <w:t xml:space="preserve"> case of </w:t>
      </w:r>
      <w:r w:rsidR="00E0506F" w:rsidRPr="005E6B60">
        <w:t>interstitial lung disease) and one</w:t>
      </w:r>
      <w:r w:rsidRPr="005E6B60">
        <w:t xml:space="preserve"> of the SAEs (herpes zoster infection) in the Enbrel arm in </w:t>
      </w:r>
      <w:r w:rsidR="00EA2DDA" w:rsidRPr="005E6B60">
        <w:t>Stage</w:t>
      </w:r>
      <w:r w:rsidRPr="005E6B60">
        <w:t xml:space="preserve"> B were cons</w:t>
      </w:r>
      <w:r w:rsidR="00E13FDA" w:rsidRPr="005E6B60">
        <w:t xml:space="preserve">idered </w:t>
      </w:r>
      <w:proofErr w:type="gramStart"/>
      <w:r w:rsidR="00E13FDA" w:rsidRPr="005E6B60">
        <w:t>to be treatment</w:t>
      </w:r>
      <w:proofErr w:type="gramEnd"/>
      <w:r w:rsidR="00E13FDA" w:rsidRPr="005E6B60">
        <w:t xml:space="preserve"> related.</w:t>
      </w:r>
    </w:p>
    <w:p w14:paraId="422584F1" w14:textId="40D26DF1" w:rsidR="00AE00F9" w:rsidRPr="005E6B60" w:rsidRDefault="00AE00F9" w:rsidP="00127D9A">
      <w:r w:rsidRPr="005E6B60">
        <w:t xml:space="preserve">No treatment emergent SAEs </w:t>
      </w:r>
      <w:proofErr w:type="gramStart"/>
      <w:r w:rsidRPr="005E6B60">
        <w:t>were reported</w:t>
      </w:r>
      <w:proofErr w:type="gramEnd"/>
      <w:r w:rsidRPr="005E6B60">
        <w:t xml:space="preserve"> during </w:t>
      </w:r>
      <w:r w:rsidR="00EA2DDA" w:rsidRPr="005E6B60">
        <w:t>Stage</w:t>
      </w:r>
      <w:r w:rsidR="00E13FDA" w:rsidRPr="005E6B60">
        <w:t xml:space="preserve"> C of the trial.</w:t>
      </w:r>
    </w:p>
    <w:p w14:paraId="3469F3A2" w14:textId="77777777" w:rsidR="00AE00F9" w:rsidRPr="005E6B60" w:rsidRDefault="00AE00F9" w:rsidP="00127D9A">
      <w:r w:rsidRPr="005E6B60">
        <w:t xml:space="preserve">The SAE in the Study YLB113-001 </w:t>
      </w:r>
      <w:proofErr w:type="gramStart"/>
      <w:r w:rsidRPr="005E6B60">
        <w:t>was not considered to be related</w:t>
      </w:r>
      <w:proofErr w:type="gramEnd"/>
      <w:r w:rsidRPr="005E6B60">
        <w:t xml:space="preserve"> to study medication based on prior history. No SAEs </w:t>
      </w:r>
      <w:proofErr w:type="gramStart"/>
      <w:r w:rsidRPr="005E6B60">
        <w:t>were reported</w:t>
      </w:r>
      <w:proofErr w:type="gramEnd"/>
      <w:r w:rsidRPr="005E6B60">
        <w:t xml:space="preserve"> in Study LBC-14-155.</w:t>
      </w:r>
    </w:p>
    <w:p w14:paraId="5FB45EC6" w14:textId="77777777" w:rsidR="00AE00F9" w:rsidRPr="005E6B60" w:rsidRDefault="00AE00F9" w:rsidP="00BD1EEC">
      <w:pPr>
        <w:pStyle w:val="Heading6"/>
      </w:pPr>
      <w:bookmarkStart w:id="48" w:name="_Toc241374325"/>
      <w:bookmarkStart w:id="49" w:name="_Ref272333477"/>
      <w:bookmarkStart w:id="50" w:name="_Toc272414667"/>
      <w:bookmarkStart w:id="51" w:name="_Toc290888531"/>
      <w:bookmarkStart w:id="52" w:name="_Toc416353747"/>
      <w:bookmarkStart w:id="53" w:name="_Toc421005290"/>
      <w:bookmarkStart w:id="54" w:name="_Toc432079167"/>
      <w:bookmarkStart w:id="55" w:name="_Toc432080740"/>
      <w:r w:rsidRPr="005E6B60">
        <w:t>Discontinuations due to adverse events</w:t>
      </w:r>
      <w:bookmarkEnd w:id="48"/>
      <w:bookmarkEnd w:id="49"/>
      <w:bookmarkEnd w:id="50"/>
      <w:bookmarkEnd w:id="51"/>
      <w:bookmarkEnd w:id="52"/>
      <w:bookmarkEnd w:id="53"/>
      <w:bookmarkEnd w:id="54"/>
      <w:bookmarkEnd w:id="55"/>
    </w:p>
    <w:p w14:paraId="25A4B25D" w14:textId="587D1CCA" w:rsidR="00AE00F9" w:rsidRPr="005E6B60" w:rsidRDefault="00AE00F9" w:rsidP="00127D9A">
      <w:r w:rsidRPr="005E6B60">
        <w:t xml:space="preserve">In </w:t>
      </w:r>
      <w:r w:rsidR="00EA2DDA" w:rsidRPr="005E6B60">
        <w:t>Stage</w:t>
      </w:r>
      <w:r w:rsidRPr="005E6B60">
        <w:t xml:space="preserve"> </w:t>
      </w:r>
      <w:proofErr w:type="gramStart"/>
      <w:r w:rsidRPr="005E6B60">
        <w:t>A</w:t>
      </w:r>
      <w:proofErr w:type="gramEnd"/>
      <w:r w:rsidRPr="005E6B60">
        <w:t xml:space="preserve"> of Study YLB113-002 up to </w:t>
      </w:r>
      <w:r w:rsidR="00EA2DDA" w:rsidRPr="005E6B60">
        <w:t>Week</w:t>
      </w:r>
      <w:r w:rsidR="00304062" w:rsidRPr="005E6B60">
        <w:t xml:space="preserve"> 24, seven</w:t>
      </w:r>
      <w:r w:rsidRPr="005E6B60">
        <w:t xml:space="preserve"> AEs led to treatment discontin</w:t>
      </w:r>
      <w:r w:rsidR="009B7D6D" w:rsidRPr="005E6B60">
        <w:t>uation in 1.4% of 517patients: two AEs in two</w:t>
      </w:r>
      <w:r w:rsidRPr="005E6B60">
        <w:t xml:space="preserve"> (0.8% of 263) s</w:t>
      </w:r>
      <w:r w:rsidR="0073783C" w:rsidRPr="005E6B60">
        <w:t xml:space="preserve">ubjects in the </w:t>
      </w:r>
      <w:proofErr w:type="spellStart"/>
      <w:r w:rsidR="0073783C" w:rsidRPr="005E6B60">
        <w:t>Rymti</w:t>
      </w:r>
      <w:proofErr w:type="spellEnd"/>
      <w:r w:rsidR="0073783C" w:rsidRPr="005E6B60">
        <w:t xml:space="preserve"> group and five AEs in five</w:t>
      </w:r>
      <w:r w:rsidRPr="005E6B60">
        <w:t xml:space="preserve"> (2.0% of 25</w:t>
      </w:r>
      <w:r w:rsidR="009B7D6D" w:rsidRPr="005E6B60">
        <w:t>4) patients. In the Enbrel arm two</w:t>
      </w:r>
      <w:r w:rsidRPr="005E6B60">
        <w:t xml:space="preserve"> discontinuations were </w:t>
      </w:r>
      <w:r w:rsidR="009B7D6D" w:rsidRPr="005E6B60">
        <w:t>due to ISR, two</w:t>
      </w:r>
      <w:r w:rsidRPr="005E6B60">
        <w:t xml:space="preserve"> were due to skin rash and </w:t>
      </w:r>
      <w:proofErr w:type="spellStart"/>
      <w:r w:rsidRPr="005E6B60">
        <w:t>urticaria</w:t>
      </w:r>
      <w:proofErr w:type="spellEnd"/>
      <w:r w:rsidRPr="005E6B60">
        <w:t xml:space="preserve"> (treatment related) and the other was </w:t>
      </w:r>
      <w:r w:rsidR="009B7D6D" w:rsidRPr="005E6B60">
        <w:t>an ovarian cyst (unrelated</w:t>
      </w:r>
      <w:r w:rsidR="00B371D5">
        <w:t>).</w:t>
      </w:r>
      <w:r w:rsidR="009B7D6D" w:rsidRPr="005E6B60">
        <w:t xml:space="preserve"> The two</w:t>
      </w:r>
      <w:r w:rsidRPr="005E6B60">
        <w:t xml:space="preserve"> AEs resulting in treatment cessation in the </w:t>
      </w:r>
      <w:proofErr w:type="spellStart"/>
      <w:r w:rsidRPr="005E6B60">
        <w:t>Rymti</w:t>
      </w:r>
      <w:proofErr w:type="spellEnd"/>
      <w:r w:rsidRPr="005E6B60">
        <w:t xml:space="preserve"> group were adult onset Still’s disease (possibly related) and lobular carcinoma in s</w:t>
      </w:r>
      <w:r w:rsidR="001B3586" w:rsidRPr="005E6B60">
        <w:t>itu (unrelated).</w:t>
      </w:r>
    </w:p>
    <w:p w14:paraId="3A5B6ADC" w14:textId="0FE67C8D" w:rsidR="00AE00F9" w:rsidRPr="005E6B60" w:rsidRDefault="00AE00F9" w:rsidP="00127D9A">
      <w:r w:rsidRPr="005E6B60">
        <w:t xml:space="preserve">In </w:t>
      </w:r>
      <w:r w:rsidR="00EA2DDA" w:rsidRPr="005E6B60">
        <w:t>Stage</w:t>
      </w:r>
      <w:r w:rsidRPr="005E6B60">
        <w:t xml:space="preserve"> B of Study YLB1</w:t>
      </w:r>
      <w:r w:rsidR="00A7469C" w:rsidRPr="005E6B60">
        <w:t xml:space="preserve">13-002, </w:t>
      </w:r>
      <w:r w:rsidR="00BB56BB">
        <w:t>four</w:t>
      </w:r>
      <w:r w:rsidR="00A7469C" w:rsidRPr="005E6B60">
        <w:t xml:space="preserve"> subjects (1.7% of 229 to </w:t>
      </w:r>
      <w:r w:rsidRPr="005E6B60">
        <w:t xml:space="preserve">235) in each treatment group permanently discontinued treatment due to AEs. In the </w:t>
      </w:r>
      <w:proofErr w:type="spellStart"/>
      <w:r w:rsidRPr="005E6B60">
        <w:t>Rymti</w:t>
      </w:r>
      <w:proofErr w:type="spellEnd"/>
      <w:r w:rsidRPr="005E6B60">
        <w:t xml:space="preserve"> group these were single cases of perirectal abscess (considered to be treatment related), interstitial lung disease (possibly treatment related), pneumonia (deemed unrelated) and metastatic pancreatic carcinoma (unrelated). In the Enbrel arm these were single cases of pustular PSO, renal abscess, uterine cancer and Moya disease (all considered to be either not or unlike</w:t>
      </w:r>
      <w:r w:rsidR="00E13FDA" w:rsidRPr="005E6B60">
        <w:t>ly to be related to treatment).</w:t>
      </w:r>
    </w:p>
    <w:p w14:paraId="601F41ED" w14:textId="03CB2483" w:rsidR="00AE00F9" w:rsidRPr="005E6B60" w:rsidRDefault="00AE00F9" w:rsidP="00127D9A">
      <w:r w:rsidRPr="005E6B60">
        <w:t xml:space="preserve">No discontinuation of study medication due to an AE </w:t>
      </w:r>
      <w:proofErr w:type="gramStart"/>
      <w:r w:rsidRPr="005E6B60">
        <w:t>was reported</w:t>
      </w:r>
      <w:proofErr w:type="gramEnd"/>
      <w:r w:rsidRPr="005E6B60">
        <w:t xml:space="preserve"> in </w:t>
      </w:r>
      <w:r w:rsidR="00EA2DDA" w:rsidRPr="005E6B60">
        <w:t>Stage</w:t>
      </w:r>
      <w:r w:rsidRPr="005E6B60">
        <w:t xml:space="preserve"> C of the study.</w:t>
      </w:r>
    </w:p>
    <w:p w14:paraId="2A31104B" w14:textId="0EBBCEF9" w:rsidR="00AE00F9" w:rsidRPr="005E6B60" w:rsidRDefault="00E0506F" w:rsidP="00127D9A">
      <w:r w:rsidRPr="005E6B60">
        <w:t>In Study YLB113-001, one subject discontinued one</w:t>
      </w:r>
      <w:r w:rsidR="00AE00F9" w:rsidRPr="005E6B60">
        <w:t xml:space="preserve"> day before the second administration period (</w:t>
      </w:r>
      <w:r w:rsidR="009666E8" w:rsidRPr="005E6B60">
        <w:t>Day</w:t>
      </w:r>
      <w:r w:rsidR="00AE00F9" w:rsidRPr="005E6B60">
        <w:t xml:space="preserve"> 28) due to persistent Grade 2 sinus inflammation (treatment related), 16 days after the f</w:t>
      </w:r>
      <w:r w:rsidR="00E13FDA" w:rsidRPr="005E6B60">
        <w:t>irst administration of Enbrel.</w:t>
      </w:r>
    </w:p>
    <w:p w14:paraId="374AD601" w14:textId="77777777" w:rsidR="00AE00F9" w:rsidRPr="005E6B60" w:rsidRDefault="00AE00F9" w:rsidP="00127D9A">
      <w:r w:rsidRPr="005E6B60">
        <w:t>One subject discontinued from Study LBC-14-155 due to multiple injuries from an accident in period 1.</w:t>
      </w:r>
    </w:p>
    <w:p w14:paraId="4D00A626" w14:textId="77777777" w:rsidR="00AE00F9" w:rsidRPr="005E6B60" w:rsidRDefault="00AE00F9" w:rsidP="00BD1EEC">
      <w:pPr>
        <w:pStyle w:val="Heading5"/>
      </w:pPr>
      <w:r w:rsidRPr="005E6B60">
        <w:t>Liver function and liver toxicity</w:t>
      </w:r>
    </w:p>
    <w:p w14:paraId="2CF2EC14" w14:textId="77777777" w:rsidR="00AE00F9" w:rsidRPr="005E6B60" w:rsidRDefault="00AE00F9" w:rsidP="00127D9A">
      <w:r w:rsidRPr="005E6B60">
        <w:t xml:space="preserve">All abnormalities of liver enzymes were graded mild or moderate and none </w:t>
      </w:r>
      <w:proofErr w:type="gramStart"/>
      <w:r w:rsidRPr="005E6B60">
        <w:t>were</w:t>
      </w:r>
      <w:proofErr w:type="gramEnd"/>
      <w:r w:rsidRPr="005E6B60">
        <w:t xml:space="preserve"> considered clinically significant by the investigator.</w:t>
      </w:r>
    </w:p>
    <w:p w14:paraId="7E5780CC" w14:textId="36451CAB" w:rsidR="00AE00F9" w:rsidRPr="00B23300" w:rsidRDefault="00AE00F9" w:rsidP="00127D9A">
      <w:r w:rsidRPr="005E6B60">
        <w:t xml:space="preserve">In Study YLB113-002 </w:t>
      </w:r>
      <w:r w:rsidR="00EA2DDA" w:rsidRPr="005E6B60">
        <w:t>Stage</w:t>
      </w:r>
      <w:r w:rsidRPr="005E6B60">
        <w:t xml:space="preserve"> A, an elevated ALT value, </w:t>
      </w:r>
      <w:proofErr w:type="gramStart"/>
      <w:r w:rsidRPr="005E6B60">
        <w:t>was recorded</w:t>
      </w:r>
      <w:proofErr w:type="gramEnd"/>
      <w:r w:rsidRPr="005E6B60">
        <w:t xml:space="preserve"> in 8.0% (21</w:t>
      </w:r>
      <w:r w:rsidR="00333EE4" w:rsidRPr="005E6B60">
        <w:t xml:space="preserve"> over </w:t>
      </w:r>
      <w:r w:rsidRPr="005E6B60">
        <w:t xml:space="preserve">263) of the </w:t>
      </w:r>
      <w:proofErr w:type="spellStart"/>
      <w:r w:rsidRPr="005E6B60">
        <w:t>Rymti</w:t>
      </w:r>
      <w:proofErr w:type="spellEnd"/>
      <w:r w:rsidRPr="005E6B60">
        <w:t xml:space="preserve"> group and 9.8% (25</w:t>
      </w:r>
      <w:r w:rsidR="00333EE4" w:rsidRPr="00B23300">
        <w:t xml:space="preserve"> over </w:t>
      </w:r>
      <w:r w:rsidRPr="00B23300">
        <w:t xml:space="preserve">254) of the Enbrel group. Increased AST readings </w:t>
      </w:r>
      <w:proofErr w:type="gramStart"/>
      <w:r w:rsidRPr="00B23300">
        <w:t>were observed</w:t>
      </w:r>
      <w:proofErr w:type="gramEnd"/>
      <w:r w:rsidRPr="00B23300">
        <w:t xml:space="preserve"> in</w:t>
      </w:r>
      <w:r w:rsidR="00A7469C" w:rsidRPr="00B23300">
        <w:t xml:space="preserve"> 15 patients in each group (5.7 to </w:t>
      </w:r>
      <w:r w:rsidRPr="00B23300">
        <w:t xml:space="preserve">5.9%). One patient in each treatment group had increases in serum total bilirubin. </w:t>
      </w:r>
      <w:proofErr w:type="gramStart"/>
      <w:r w:rsidRPr="00B23300">
        <w:t xml:space="preserve">In </w:t>
      </w:r>
      <w:r w:rsidR="00EA2DDA" w:rsidRPr="00B23300">
        <w:t>Stage</w:t>
      </w:r>
      <w:r w:rsidRPr="00B23300">
        <w:t xml:space="preserve"> B, elevated serum AST value was reported in 3.0% </w:t>
      </w:r>
      <w:r w:rsidR="00106BE6" w:rsidRPr="00B23300">
        <w:t>(</w:t>
      </w:r>
      <w:r w:rsidR="00BB56BB">
        <w:t>7</w:t>
      </w:r>
      <w:r w:rsidR="00333EE4" w:rsidRPr="00B23300">
        <w:t xml:space="preserve"> over </w:t>
      </w:r>
      <w:r w:rsidRPr="00B23300">
        <w:t>235</w:t>
      </w:r>
      <w:r w:rsidR="00106BE6" w:rsidRPr="00B23300">
        <w:t>)</w:t>
      </w:r>
      <w:r w:rsidRPr="00B23300">
        <w:t xml:space="preserve"> in the </w:t>
      </w:r>
      <w:proofErr w:type="spellStart"/>
      <w:r w:rsidRPr="00B23300">
        <w:t>Rymti</w:t>
      </w:r>
      <w:proofErr w:type="spellEnd"/>
      <w:r w:rsidRPr="00B23300">
        <w:t xml:space="preserve"> group and no cases in the Enbrel group, elev</w:t>
      </w:r>
      <w:r w:rsidR="0073783C" w:rsidRPr="00B23300">
        <w:t>ated serum ALT values in 1.7% (</w:t>
      </w:r>
      <w:r w:rsidR="00BB56BB">
        <w:t>4</w:t>
      </w:r>
      <w:r w:rsidR="00333EE4" w:rsidRPr="00B23300">
        <w:t xml:space="preserve"> over </w:t>
      </w:r>
      <w:r w:rsidRPr="00B23300">
        <w:t>235) of subject</w:t>
      </w:r>
      <w:r w:rsidR="00031814" w:rsidRPr="00B23300">
        <w:t xml:space="preserve">s in the </w:t>
      </w:r>
      <w:proofErr w:type="spellStart"/>
      <w:r w:rsidR="00031814" w:rsidRPr="00B23300">
        <w:t>Rymti</w:t>
      </w:r>
      <w:proofErr w:type="spellEnd"/>
      <w:r w:rsidR="00031814" w:rsidRPr="00B23300">
        <w:t xml:space="preserve"> group and 1.3% (</w:t>
      </w:r>
      <w:r w:rsidR="00BB56BB">
        <w:t>3</w:t>
      </w:r>
      <w:r w:rsidR="00333EE4" w:rsidRPr="00B23300">
        <w:t xml:space="preserve"> over </w:t>
      </w:r>
      <w:r w:rsidRPr="00B23300">
        <w:t>229) of patients in the Enbrel arm and ele</w:t>
      </w:r>
      <w:r w:rsidR="00E0506F" w:rsidRPr="00B23300">
        <w:t>vated serum total bilirubin in one</w:t>
      </w:r>
      <w:r w:rsidRPr="00B23300">
        <w:t xml:space="preserve"> patient in </w:t>
      </w:r>
      <w:proofErr w:type="spellStart"/>
      <w:r w:rsidRPr="00B23300">
        <w:t>Rymti</w:t>
      </w:r>
      <w:proofErr w:type="spellEnd"/>
      <w:r w:rsidRPr="00B23300">
        <w:t xml:space="preserve"> group.</w:t>
      </w:r>
      <w:proofErr w:type="gramEnd"/>
      <w:r w:rsidRPr="00B23300">
        <w:t xml:space="preserve"> In </w:t>
      </w:r>
      <w:r w:rsidR="00EA2DDA" w:rsidRPr="00B23300">
        <w:t>Stage</w:t>
      </w:r>
      <w:r w:rsidR="00E0506F" w:rsidRPr="00B23300">
        <w:t xml:space="preserve"> C, one</w:t>
      </w:r>
      <w:r w:rsidRPr="00B23300">
        <w:t xml:space="preserve"> Enbrel treated subject developed a temporary minor increase in serum AST. No potential </w:t>
      </w:r>
      <w:proofErr w:type="spellStart"/>
      <w:r w:rsidRPr="00B23300">
        <w:t>Hy’s</w:t>
      </w:r>
      <w:proofErr w:type="spellEnd"/>
      <w:r w:rsidRPr="00B23300">
        <w:t xml:space="preserve"> law cases observed in any </w:t>
      </w:r>
      <w:r w:rsidR="00EA2DDA" w:rsidRPr="00B23300">
        <w:t>stage</w:t>
      </w:r>
      <w:r w:rsidR="00E13FDA" w:rsidRPr="00B23300">
        <w:t xml:space="preserve"> of the study.</w:t>
      </w:r>
      <w:r w:rsidR="005F6D3B">
        <w:rPr>
          <w:rStyle w:val="FootnoteReference"/>
        </w:rPr>
        <w:footnoteReference w:id="8"/>
      </w:r>
    </w:p>
    <w:p w14:paraId="7DF50186" w14:textId="1169475A" w:rsidR="00AE00F9" w:rsidRPr="00B23300" w:rsidRDefault="00AE00F9" w:rsidP="00127D9A">
      <w:r w:rsidRPr="00B23300">
        <w:t xml:space="preserve">Following each </w:t>
      </w:r>
      <w:r w:rsidR="00E0506F" w:rsidRPr="00B23300">
        <w:t>injection in Study YLB113-001, one</w:t>
      </w:r>
      <w:r w:rsidRPr="00B23300">
        <w:t xml:space="preserve"> patient was recorded to have increased serum GGT, which was considered </w:t>
      </w:r>
      <w:proofErr w:type="gramStart"/>
      <w:r w:rsidRPr="00B23300">
        <w:t>to be treatment</w:t>
      </w:r>
      <w:proofErr w:type="gramEnd"/>
      <w:r w:rsidRPr="00B23300">
        <w:t xml:space="preserve"> related. Following Enbrel injection in the first study period, a subject was observed to have an A</w:t>
      </w:r>
      <w:r w:rsidR="006D4F85" w:rsidRPr="00B23300">
        <w:t>E of abnormal hepatic function</w:t>
      </w:r>
      <w:r w:rsidR="005F6D3B">
        <w:t xml:space="preserve">, </w:t>
      </w:r>
      <w:r w:rsidR="009D39BF">
        <w:t>a</w:t>
      </w:r>
      <w:r w:rsidRPr="00B23300">
        <w:t xml:space="preserve"> combination of mildly raised serum transaminases and GGT (consi</w:t>
      </w:r>
      <w:r w:rsidR="00E13FDA" w:rsidRPr="00B23300">
        <w:t xml:space="preserve">dered </w:t>
      </w:r>
      <w:proofErr w:type="gramStart"/>
      <w:r w:rsidR="00E13FDA" w:rsidRPr="00B23300">
        <w:t>to be</w:t>
      </w:r>
      <w:proofErr w:type="gramEnd"/>
      <w:r w:rsidR="00E13FDA" w:rsidRPr="00B23300">
        <w:t xml:space="preserve"> treatment related).</w:t>
      </w:r>
    </w:p>
    <w:p w14:paraId="3B4875C7" w14:textId="31357DD6" w:rsidR="00AE00F9" w:rsidRPr="00B23300" w:rsidRDefault="00AE00F9" w:rsidP="00127D9A">
      <w:r w:rsidRPr="00B23300">
        <w:t>Two subjects in Study L</w:t>
      </w:r>
      <w:r w:rsidR="00E0506F" w:rsidRPr="00B23300">
        <w:t>BC-14-155 (one</w:t>
      </w:r>
      <w:r w:rsidRPr="00B23300">
        <w:t xml:space="preserve"> following </w:t>
      </w:r>
      <w:r w:rsidR="009B7D6D" w:rsidRPr="00B23300">
        <w:t>each treatment) developed a two</w:t>
      </w:r>
      <w:r w:rsidR="00031814" w:rsidRPr="00B23300">
        <w:t xml:space="preserve"> to three</w:t>
      </w:r>
      <w:r w:rsidR="00A7469C" w:rsidRPr="00B23300">
        <w:t xml:space="preserve"> </w:t>
      </w:r>
      <w:r w:rsidRPr="00B23300">
        <w:t xml:space="preserve">fold increase in serum transaminases following study medication that </w:t>
      </w:r>
      <w:proofErr w:type="gramStart"/>
      <w:r w:rsidRPr="00B23300">
        <w:t>was considered to be possibly related</w:t>
      </w:r>
      <w:proofErr w:type="gramEnd"/>
      <w:r w:rsidRPr="00B23300">
        <w:t xml:space="preserve"> to treatment. The elevation in the </w:t>
      </w:r>
      <w:proofErr w:type="spellStart"/>
      <w:r w:rsidRPr="00B23300">
        <w:t>Rymti</w:t>
      </w:r>
      <w:proofErr w:type="spellEnd"/>
      <w:r w:rsidRPr="00B23300">
        <w:t xml:space="preserve"> patient resolved but the outcome for the Enbrel patient is unknown.</w:t>
      </w:r>
    </w:p>
    <w:p w14:paraId="65DB361F" w14:textId="77777777" w:rsidR="00AE00F9" w:rsidRPr="00B23300" w:rsidRDefault="00AE00F9" w:rsidP="00BD1EEC">
      <w:pPr>
        <w:pStyle w:val="Heading5"/>
      </w:pPr>
      <w:r w:rsidRPr="00B23300">
        <w:t>Blood chemistry</w:t>
      </w:r>
    </w:p>
    <w:p w14:paraId="25B83382" w14:textId="18311915" w:rsidR="00AE00F9" w:rsidRPr="00B23300" w:rsidRDefault="00AE00F9" w:rsidP="00127D9A">
      <w:r w:rsidRPr="00B23300">
        <w:t>Four subjects (1.5% of 26</w:t>
      </w:r>
      <w:r w:rsidR="00304062" w:rsidRPr="00B23300">
        <w:t xml:space="preserve">3) treated with </w:t>
      </w:r>
      <w:proofErr w:type="spellStart"/>
      <w:r w:rsidR="00304062" w:rsidRPr="00B23300">
        <w:t>Rymti</w:t>
      </w:r>
      <w:proofErr w:type="spellEnd"/>
      <w:r w:rsidR="00304062" w:rsidRPr="00B23300">
        <w:t xml:space="preserve"> and with six</w:t>
      </w:r>
      <w:r w:rsidRPr="00B23300">
        <w:t xml:space="preserve"> subjects (2.4% of 254) treate</w:t>
      </w:r>
      <w:r w:rsidR="00031814" w:rsidRPr="00B23300">
        <w:t>d with Enbrel in Stage A, and three</w:t>
      </w:r>
      <w:r w:rsidR="00687024" w:rsidRPr="00B23300">
        <w:t xml:space="preserve"> to four</w:t>
      </w:r>
      <w:r w:rsidR="00A7469C" w:rsidRPr="00B23300">
        <w:t xml:space="preserve"> subjects (1.3 to </w:t>
      </w:r>
      <w:r w:rsidRPr="00B23300">
        <w:t xml:space="preserve">1.7%) in each treatment group of Stage </w:t>
      </w:r>
      <w:r w:rsidR="00E83CB1" w:rsidRPr="00B23300">
        <w:t>B developed new increases from B</w:t>
      </w:r>
      <w:r w:rsidRPr="00B23300">
        <w:t xml:space="preserve">aseline in serum total cholesterol. Two Enbrel treated subjects (0.9% of 229) recorded transient increases in </w:t>
      </w:r>
      <w:proofErr w:type="gramStart"/>
      <w:r w:rsidRPr="00B23300">
        <w:t>serum creatinine phosp</w:t>
      </w:r>
      <w:r w:rsidR="00E0506F" w:rsidRPr="00B23300">
        <w:t>hokinase levels</w:t>
      </w:r>
      <w:proofErr w:type="gramEnd"/>
      <w:r w:rsidR="00E0506F" w:rsidRPr="00B23300">
        <w:t xml:space="preserve"> in Stage B and one</w:t>
      </w:r>
      <w:r w:rsidRPr="00B23300">
        <w:t xml:space="preserve"> subject developed raised serum uric acid in Study</w:t>
      </w:r>
      <w:r w:rsidR="005F6D3B">
        <w:t> </w:t>
      </w:r>
      <w:r w:rsidRPr="00B23300">
        <w:t xml:space="preserve">YLB113-001. One subject </w:t>
      </w:r>
      <w:proofErr w:type="spellStart"/>
      <w:r w:rsidRPr="00B23300">
        <w:t>Rymti</w:t>
      </w:r>
      <w:proofErr w:type="spellEnd"/>
      <w:r w:rsidRPr="00B23300">
        <w:t xml:space="preserve"> patient recorded an eleva</w:t>
      </w:r>
      <w:r w:rsidR="00E0506F" w:rsidRPr="00B23300">
        <w:t>tion in blood triglycerides in one</w:t>
      </w:r>
      <w:r w:rsidRPr="00B23300">
        <w:t xml:space="preserve"> subject developed raised serum uric acid.</w:t>
      </w:r>
    </w:p>
    <w:p w14:paraId="269CB973" w14:textId="77777777" w:rsidR="00AE00F9" w:rsidRPr="00B23300" w:rsidRDefault="00AE00F9" w:rsidP="00BD1EEC">
      <w:pPr>
        <w:pStyle w:val="Heading5"/>
      </w:pPr>
      <w:r w:rsidRPr="00B23300">
        <w:t>Haematology and haematological toxicity</w:t>
      </w:r>
    </w:p>
    <w:p w14:paraId="65834598" w14:textId="4DB4A9FF" w:rsidR="00AE00F9" w:rsidRPr="00B23300" w:rsidRDefault="00AE00F9" w:rsidP="00127D9A">
      <w:r w:rsidRPr="00B23300">
        <w:t>Four patients in each treatment g</w:t>
      </w:r>
      <w:r w:rsidR="00E0506F" w:rsidRPr="00B23300">
        <w:t xml:space="preserve">roup recorded </w:t>
      </w:r>
      <w:proofErr w:type="spellStart"/>
      <w:r w:rsidR="00E0506F" w:rsidRPr="00B23300">
        <w:t>neutrop</w:t>
      </w:r>
      <w:r w:rsidR="005F6D3B">
        <w:t>a</w:t>
      </w:r>
      <w:r w:rsidR="00E0506F" w:rsidRPr="00B23300">
        <w:t>enia</w:t>
      </w:r>
      <w:proofErr w:type="spellEnd"/>
      <w:r w:rsidR="00E0506F" w:rsidRPr="00B23300">
        <w:t xml:space="preserve"> and one</w:t>
      </w:r>
      <w:r w:rsidR="00A7469C" w:rsidRPr="00B23300">
        <w:t xml:space="preserve"> to </w:t>
      </w:r>
      <w:r w:rsidR="009B7D6D" w:rsidRPr="00B23300">
        <w:t>two</w:t>
      </w:r>
      <w:r w:rsidRPr="00B23300">
        <w:t xml:space="preserve"> subjects in each treatment group were identified as having thrombocytopenia in Stage </w:t>
      </w:r>
      <w:proofErr w:type="gramStart"/>
      <w:r w:rsidRPr="00B23300">
        <w:t>A</w:t>
      </w:r>
      <w:proofErr w:type="gramEnd"/>
      <w:r w:rsidRPr="00B23300">
        <w:t xml:space="preserve"> of Study</w:t>
      </w:r>
      <w:r w:rsidR="005F6D3B">
        <w:t> </w:t>
      </w:r>
      <w:r w:rsidRPr="00B23300">
        <w:t>YLB113</w:t>
      </w:r>
      <w:r w:rsidR="001B3586" w:rsidRPr="00B23300">
        <w:t xml:space="preserve">-002. </w:t>
      </w:r>
      <w:r w:rsidR="00687024" w:rsidRPr="00B23300">
        <w:t>In Stage B, four</w:t>
      </w:r>
      <w:r w:rsidRPr="00B23300">
        <w:t xml:space="preserve"> Enbrel patients (1.7</w:t>
      </w:r>
      <w:r w:rsidR="00E0506F" w:rsidRPr="00B23300">
        <w:t xml:space="preserve">% of 229) had </w:t>
      </w:r>
      <w:proofErr w:type="spellStart"/>
      <w:r w:rsidR="00E0506F" w:rsidRPr="00B23300">
        <w:t>neutrop</w:t>
      </w:r>
      <w:r w:rsidR="005F6D3B">
        <w:t>a</w:t>
      </w:r>
      <w:r w:rsidR="00E0506F" w:rsidRPr="00B23300">
        <w:t>enia</w:t>
      </w:r>
      <w:proofErr w:type="spellEnd"/>
      <w:r w:rsidR="00E0506F" w:rsidRPr="00B23300">
        <w:t xml:space="preserve"> and one</w:t>
      </w:r>
      <w:r w:rsidR="004C377A" w:rsidRPr="00B23300">
        <w:t xml:space="preserve"> to </w:t>
      </w:r>
      <w:r w:rsidR="009B7D6D" w:rsidRPr="00B23300">
        <w:t>two</w:t>
      </w:r>
      <w:r w:rsidRPr="00B23300">
        <w:t xml:space="preserve"> subjects in each treatme</w:t>
      </w:r>
      <w:r w:rsidR="001B3586" w:rsidRPr="00B23300">
        <w:t xml:space="preserve">nt group had thrombocytopenia. </w:t>
      </w:r>
      <w:r w:rsidR="00E0506F" w:rsidRPr="00B23300">
        <w:t>In Stage C, one</w:t>
      </w:r>
      <w:r w:rsidRPr="00B23300">
        <w:t xml:space="preserve"> Enbrel treated subject (12.5% of 8) d</w:t>
      </w:r>
      <w:r w:rsidR="00E13FDA" w:rsidRPr="00B23300">
        <w:t>eveloped mild thrombocytopenia.</w:t>
      </w:r>
    </w:p>
    <w:p w14:paraId="7811C9BB" w14:textId="72258854" w:rsidR="00AE00F9" w:rsidRPr="00B23300" w:rsidRDefault="00AE00F9" w:rsidP="00127D9A">
      <w:bookmarkStart w:id="56" w:name="_Toc272414674"/>
      <w:bookmarkStart w:id="57" w:name="_Toc290888538"/>
      <w:bookmarkStart w:id="58" w:name="_Toc416353753"/>
      <w:bookmarkStart w:id="59" w:name="_Toc421005296"/>
      <w:bookmarkStart w:id="60" w:name="_Toc432079173"/>
      <w:bookmarkStart w:id="61" w:name="_Toc432080746"/>
      <w:r w:rsidRPr="00B23300">
        <w:t>In the post-stu</w:t>
      </w:r>
      <w:r w:rsidR="00E0506F" w:rsidRPr="00B23300">
        <w:t>dy period of Study LBC-14-155, one</w:t>
      </w:r>
      <w:r w:rsidRPr="00B23300">
        <w:t xml:space="preserve"> subject recorded a lymphocytosis (</w:t>
      </w:r>
      <w:proofErr w:type="spellStart"/>
      <w:r w:rsidRPr="00B23300">
        <w:t>Rymti</w:t>
      </w:r>
      <w:proofErr w:type="spellEnd"/>
      <w:r w:rsidRPr="00B23300">
        <w:t xml:space="preserve"> was the second injection given) that resolved without sequelae. Four patients who received Enbrel as t</w:t>
      </w:r>
      <w:r w:rsidR="009B7D6D" w:rsidRPr="00B23300">
        <w:t xml:space="preserve">heir second study </w:t>
      </w:r>
      <w:proofErr w:type="gramStart"/>
      <w:r w:rsidR="009B7D6D" w:rsidRPr="00B23300">
        <w:t>drug,</w:t>
      </w:r>
      <w:proofErr w:type="gramEnd"/>
      <w:r w:rsidR="009B7D6D" w:rsidRPr="00B23300">
        <w:t xml:space="preserve"> and in two</w:t>
      </w:r>
      <w:r w:rsidRPr="00B23300">
        <w:t xml:space="preserve"> who received </w:t>
      </w:r>
      <w:proofErr w:type="spellStart"/>
      <w:r w:rsidRPr="00B23300">
        <w:t>Rymti</w:t>
      </w:r>
      <w:proofErr w:type="spellEnd"/>
      <w:r w:rsidRPr="00B23300">
        <w:t xml:space="preserve"> as their second treatment.</w:t>
      </w:r>
      <w:bookmarkEnd w:id="56"/>
      <w:bookmarkEnd w:id="57"/>
      <w:bookmarkEnd w:id="58"/>
      <w:bookmarkEnd w:id="59"/>
      <w:bookmarkEnd w:id="60"/>
      <w:bookmarkEnd w:id="61"/>
    </w:p>
    <w:p w14:paraId="5D751241" w14:textId="77777777" w:rsidR="00AE00F9" w:rsidRPr="00B23300" w:rsidRDefault="00AE00F9" w:rsidP="00BD1EEC">
      <w:pPr>
        <w:pStyle w:val="Heading5"/>
      </w:pPr>
      <w:r w:rsidRPr="00B23300">
        <w:t>Immunogenicity</w:t>
      </w:r>
    </w:p>
    <w:p w14:paraId="6F4A233F" w14:textId="2BB1E1BC" w:rsidR="00AE00F9" w:rsidRPr="00B23300" w:rsidRDefault="00AE00F9" w:rsidP="00127D9A">
      <w:r w:rsidRPr="00B23300">
        <w:t>The</w:t>
      </w:r>
      <w:r w:rsidR="005131DE" w:rsidRPr="00B23300">
        <w:t xml:space="preserve"> assays for </w:t>
      </w:r>
      <w:r w:rsidRPr="00B23300">
        <w:t>ADA differed between t</w:t>
      </w:r>
      <w:r w:rsidR="001B3586" w:rsidRPr="00B23300">
        <w:t xml:space="preserve">he studies in this submission. </w:t>
      </w:r>
      <w:r w:rsidRPr="00B23300">
        <w:t xml:space="preserve">In Study YLB113-002 </w:t>
      </w:r>
      <w:proofErr w:type="spellStart"/>
      <w:r w:rsidR="00EF7079" w:rsidRPr="005E6B60">
        <w:t>meso</w:t>
      </w:r>
      <w:proofErr w:type="spellEnd"/>
      <w:r w:rsidR="00EF7079" w:rsidRPr="005E6B60">
        <w:t xml:space="preserve"> scale discovery </w:t>
      </w:r>
      <w:r w:rsidRPr="005E6B60">
        <w:t>bridging electro-</w:t>
      </w:r>
      <w:proofErr w:type="spellStart"/>
      <w:r w:rsidRPr="005E6B60">
        <w:t>chemiluminescence</w:t>
      </w:r>
      <w:proofErr w:type="spellEnd"/>
      <w:r w:rsidRPr="005E6B60">
        <w:t xml:space="preserve"> (</w:t>
      </w:r>
      <w:r w:rsidR="00EF7079" w:rsidRPr="005E6B60">
        <w:t>MSD-</w:t>
      </w:r>
      <w:r w:rsidRPr="005E6B60">
        <w:t>ECL)</w:t>
      </w:r>
      <w:r w:rsidRPr="00B23300">
        <w:t xml:space="preserve"> immuno-assay was used for the determination of </w:t>
      </w:r>
      <w:r w:rsidR="00E7196D" w:rsidRPr="00B23300">
        <w:t xml:space="preserve">ADA, </w:t>
      </w:r>
      <w:proofErr w:type="gramStart"/>
      <w:r w:rsidR="00E7196D" w:rsidRPr="00B23300">
        <w:t>however</w:t>
      </w:r>
      <w:proofErr w:type="gramEnd"/>
      <w:r w:rsidR="00E7196D" w:rsidRPr="00B23300">
        <w:t xml:space="preserve"> in the Phase I</w:t>
      </w:r>
      <w:r w:rsidRPr="00B23300">
        <w:t xml:space="preserve"> Study YLB113-001</w:t>
      </w:r>
      <w:r w:rsidR="00073999" w:rsidRPr="00B23300">
        <w:t xml:space="preserve"> </w:t>
      </w:r>
      <w:r w:rsidRPr="00B23300">
        <w:t xml:space="preserve">an </w:t>
      </w:r>
      <w:r w:rsidR="00073999" w:rsidRPr="005E6B60">
        <w:t>enzyme linked immunosorbent assay (</w:t>
      </w:r>
      <w:r w:rsidRPr="005E6B60">
        <w:t>ELISA</w:t>
      </w:r>
      <w:r w:rsidR="00073999" w:rsidRPr="00B23300">
        <w:t>)</w:t>
      </w:r>
      <w:r w:rsidRPr="00B23300">
        <w:t xml:space="preserve"> was used. The</w:t>
      </w:r>
      <w:r w:rsidR="00ED228C" w:rsidRPr="00B23300">
        <w:t xml:space="preserve"> clinical</w:t>
      </w:r>
      <w:r w:rsidRPr="00B23300">
        <w:t xml:space="preserve"> evaluator was satisfied that each of these methods was appropriately developed and validated, however the MSD-ECL method is less affected by drug present in the sample than the ELISA. Results from these assay methods are not directly comparable.</w:t>
      </w:r>
    </w:p>
    <w:p w14:paraId="01E1627B" w14:textId="49A4DA46" w:rsidR="00AE00F9" w:rsidRPr="00B23300" w:rsidRDefault="009B7D6D" w:rsidP="00127D9A">
      <w:r w:rsidRPr="005E6B60">
        <w:t>By 24 weeks (Stage A), only two</w:t>
      </w:r>
      <w:r w:rsidR="00AE00F9" w:rsidRPr="005E6B60">
        <w:t xml:space="preserve"> patients (0.8% of 263) treated withYLB113</w:t>
      </w:r>
      <w:r w:rsidR="00A05BF6">
        <w:t xml:space="preserve"> (</w:t>
      </w:r>
      <w:proofErr w:type="spellStart"/>
      <w:r w:rsidR="00A05BF6">
        <w:t>Rytmi</w:t>
      </w:r>
      <w:proofErr w:type="spellEnd"/>
      <w:r w:rsidR="00A05BF6">
        <w:t>)</w:t>
      </w:r>
      <w:r w:rsidR="00AE00F9" w:rsidRPr="005E6B60">
        <w:t xml:space="preserve"> developed positive ADA, neither of which had neutralising activity. In contrast, </w:t>
      </w:r>
      <w:proofErr w:type="gramStart"/>
      <w:r w:rsidR="00AE00F9" w:rsidRPr="005E6B60">
        <w:t>a total of 21</w:t>
      </w:r>
      <w:proofErr w:type="gramEnd"/>
      <w:r w:rsidR="00AE00F9" w:rsidRPr="005E6B60">
        <w:t xml:space="preserve"> patients (21</w:t>
      </w:r>
      <w:r w:rsidR="00333EE4" w:rsidRPr="00B23300">
        <w:t xml:space="preserve"> over </w:t>
      </w:r>
      <w:r w:rsidR="00AE00F9" w:rsidRPr="00B23300">
        <w:t>254) in the Enbrel arm recorded</w:t>
      </w:r>
      <w:r w:rsidRPr="00B23300">
        <w:t xml:space="preserve"> a positive ADA result and for two</w:t>
      </w:r>
      <w:r w:rsidR="00AE00F9" w:rsidRPr="00B23300">
        <w:t xml:space="preserve"> of those subjects the ADA w</w:t>
      </w:r>
      <w:r w:rsidR="00127D9A" w:rsidRPr="00B23300">
        <w:t>as neutralising (</w:t>
      </w:r>
      <w:r w:rsidR="00A05BF6">
        <w:t xml:space="preserve">see </w:t>
      </w:r>
      <w:r w:rsidR="0005268E" w:rsidRPr="00B23300">
        <w:fldChar w:fldCharType="begin"/>
      </w:r>
      <w:r w:rsidR="0005268E" w:rsidRPr="00B23300">
        <w:instrText xml:space="preserve"> REF _Ref57802626 \h </w:instrText>
      </w:r>
      <w:r w:rsidR="00B23300">
        <w:instrText xml:space="preserve"> \* MERGEFORMAT </w:instrText>
      </w:r>
      <w:r w:rsidR="0005268E" w:rsidRPr="00B23300">
        <w:fldChar w:fldCharType="separate"/>
      </w:r>
      <w:r w:rsidR="0005268E" w:rsidRPr="00B23300">
        <w:t xml:space="preserve">Table </w:t>
      </w:r>
      <w:r w:rsidR="0005268E" w:rsidRPr="00B23300">
        <w:rPr>
          <w:noProof/>
        </w:rPr>
        <w:t>8</w:t>
      </w:r>
      <w:r w:rsidR="0005268E" w:rsidRPr="00B23300">
        <w:fldChar w:fldCharType="end"/>
      </w:r>
      <w:r w:rsidR="00A05BF6">
        <w:t>, below</w:t>
      </w:r>
      <w:r w:rsidR="00E13FDA" w:rsidRPr="00B23300">
        <w:t>).</w:t>
      </w:r>
    </w:p>
    <w:p w14:paraId="3E8BC779" w14:textId="4FB105C2" w:rsidR="00AE00F9" w:rsidRPr="00B23300" w:rsidRDefault="005A4213" w:rsidP="00AB2D08">
      <w:pPr>
        <w:pStyle w:val="TableTitle"/>
      </w:pPr>
      <w:bookmarkStart w:id="62" w:name="_Ref57802626"/>
      <w:r w:rsidRPr="00B23300">
        <w:t xml:space="preserve">Table </w:t>
      </w:r>
      <w:fldSimple w:instr=" SEQ Table \* ARABIC ">
        <w:r w:rsidR="00C34A49">
          <w:rPr>
            <w:noProof/>
          </w:rPr>
          <w:t>8</w:t>
        </w:r>
      </w:fldSimple>
      <w:bookmarkEnd w:id="62"/>
      <w:r w:rsidR="00B73652" w:rsidRPr="00B23300">
        <w:t>:</w:t>
      </w:r>
      <w:r w:rsidR="00437D84" w:rsidRPr="00B23300">
        <w:t xml:space="preserve"> </w:t>
      </w:r>
      <w:r w:rsidR="006867F4" w:rsidRPr="006867F4">
        <w:t xml:space="preserve">Study YLB113-002 </w:t>
      </w:r>
      <w:r w:rsidR="00A05BF6">
        <w:t>A</w:t>
      </w:r>
      <w:r w:rsidR="00437D84" w:rsidRPr="00B23300">
        <w:t>nti-drug a</w:t>
      </w:r>
      <w:r w:rsidR="00CE7A26" w:rsidRPr="00B23300">
        <w:t>ntibodies</w:t>
      </w:r>
    </w:p>
    <w:p w14:paraId="0A821FFB" w14:textId="4EC4623B" w:rsidR="00AA4D94" w:rsidRPr="00B23300" w:rsidRDefault="00AA4D94" w:rsidP="00DA266F">
      <w:r w:rsidRPr="00B23300">
        <w:rPr>
          <w:noProof/>
          <w:lang w:eastAsia="en-AU"/>
        </w:rPr>
        <w:drawing>
          <wp:inline distT="0" distB="0" distL="0" distR="0" wp14:anchorId="154DE74A" wp14:editId="30789F93">
            <wp:extent cx="5400040" cy="1289050"/>
            <wp:effectExtent l="0" t="0" r="0" b="6350"/>
            <wp:docPr id="11" name="Picture 11" descr="Study YLB113-002 Anti-drug antibod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Table 8a resized Anti-Drug Antibodies study YLB113-002.png"/>
                    <pic:cNvPicPr/>
                  </pic:nvPicPr>
                  <pic:blipFill>
                    <a:blip r:embed="rId20">
                      <a:extLst>
                        <a:ext uri="{28A0092B-C50C-407E-A947-70E740481C1C}">
                          <a14:useLocalDpi xmlns:a14="http://schemas.microsoft.com/office/drawing/2010/main" val="0"/>
                        </a:ext>
                      </a:extLst>
                    </a:blip>
                    <a:stretch>
                      <a:fillRect/>
                    </a:stretch>
                  </pic:blipFill>
                  <pic:spPr>
                    <a:xfrm>
                      <a:off x="0" y="0"/>
                      <a:ext cx="5400040" cy="1289050"/>
                    </a:xfrm>
                    <a:prstGeom prst="rect">
                      <a:avLst/>
                    </a:prstGeom>
                  </pic:spPr>
                </pic:pic>
              </a:graphicData>
            </a:graphic>
          </wp:inline>
        </w:drawing>
      </w:r>
    </w:p>
    <w:p w14:paraId="5EF9413B" w14:textId="3A98265D" w:rsidR="00AA4D94" w:rsidRPr="00B23300" w:rsidRDefault="00AA4D94" w:rsidP="00DA266F">
      <w:pPr>
        <w:pStyle w:val="TableDescription"/>
        <w:spacing w:before="0"/>
      </w:pPr>
      <w:r w:rsidRPr="00B23300">
        <w:t>N</w:t>
      </w:r>
      <w:r w:rsidR="00560C1E" w:rsidRPr="00B23300">
        <w:t xml:space="preserve"> </w:t>
      </w:r>
      <w:r w:rsidRPr="00B23300">
        <w:t>=</w:t>
      </w:r>
      <w:r w:rsidR="00560C1E" w:rsidRPr="00B23300">
        <w:t xml:space="preserve"> </w:t>
      </w:r>
      <w:r w:rsidRPr="00B23300">
        <w:t>number of subjects in the analysis se</w:t>
      </w:r>
      <w:r w:rsidR="00E13FDA" w:rsidRPr="00B23300">
        <w:t>t for each column.</w:t>
      </w:r>
    </w:p>
    <w:p w14:paraId="63F1A76F" w14:textId="3040F74F" w:rsidR="00AA4D94" w:rsidRPr="00B23300" w:rsidRDefault="00560C1E" w:rsidP="00DA266F">
      <w:pPr>
        <w:pStyle w:val="TableDescription"/>
        <w:spacing w:before="0"/>
      </w:pPr>
      <w:r w:rsidRPr="00B23300">
        <w:t xml:space="preserve">n </w:t>
      </w:r>
      <w:r w:rsidR="00AA4D94" w:rsidRPr="00B23300">
        <w:t>=</w:t>
      </w:r>
      <w:r w:rsidRPr="00B23300">
        <w:t xml:space="preserve"> </w:t>
      </w:r>
      <w:r w:rsidR="00AA4D94" w:rsidRPr="00B23300">
        <w:t>number of subjec</w:t>
      </w:r>
      <w:r w:rsidR="00E13FDA" w:rsidRPr="00B23300">
        <w:t>ts in each particular category.</w:t>
      </w:r>
    </w:p>
    <w:p w14:paraId="0B0BFFAB" w14:textId="1F351F82" w:rsidR="00AA4D94" w:rsidRPr="00B23300" w:rsidRDefault="00AA4D94" w:rsidP="00DA266F">
      <w:pPr>
        <w:pStyle w:val="TableDescription"/>
        <w:spacing w:before="0"/>
      </w:pPr>
      <w:r w:rsidRPr="00B23300">
        <w:t>Total reportable</w:t>
      </w:r>
      <w:r w:rsidR="00560C1E" w:rsidRPr="00B23300">
        <w:t xml:space="preserve"> </w:t>
      </w:r>
      <w:r w:rsidRPr="00B23300">
        <w:t>=</w:t>
      </w:r>
      <w:r w:rsidR="00560C1E" w:rsidRPr="00B23300">
        <w:t xml:space="preserve"> </w:t>
      </w:r>
      <w:r w:rsidRPr="00B23300">
        <w:t xml:space="preserve">total number of subjects in the </w:t>
      </w:r>
      <w:r w:rsidR="004C3B4F" w:rsidRPr="00B23300">
        <w:t>analysis</w:t>
      </w:r>
      <w:r w:rsidR="00E13FDA" w:rsidRPr="00B23300">
        <w:t xml:space="preserve"> set with ADA data.</w:t>
      </w:r>
    </w:p>
    <w:p w14:paraId="1D12BCEB" w14:textId="0AB35975" w:rsidR="00AA4D94" w:rsidRPr="00B23300" w:rsidRDefault="00AA4D94" w:rsidP="00DA266F">
      <w:pPr>
        <w:pStyle w:val="TableDescription"/>
        <w:spacing w:before="0"/>
      </w:pPr>
      <w:r w:rsidRPr="00B23300">
        <w:t>%</w:t>
      </w:r>
      <w:r w:rsidR="00560C1E" w:rsidRPr="00B23300">
        <w:t xml:space="preserve"> </w:t>
      </w:r>
      <w:r w:rsidRPr="00B23300">
        <w:t>=</w:t>
      </w:r>
      <w:r w:rsidR="00560C1E" w:rsidRPr="00B23300">
        <w:t xml:space="preserve"> </w:t>
      </w:r>
      <w:r w:rsidRPr="00B23300">
        <w:t xml:space="preserve">percentage of subjects with sampling results ‘positive’ calculated </w:t>
      </w:r>
      <w:r w:rsidR="004C3B4F" w:rsidRPr="00B23300">
        <w:t>r</w:t>
      </w:r>
      <w:r w:rsidRPr="00B23300">
        <w:t>elative to the total</w:t>
      </w:r>
      <w:r w:rsidR="00E13FDA" w:rsidRPr="00B23300">
        <w:t xml:space="preserve"> reportable number of subjects.</w:t>
      </w:r>
    </w:p>
    <w:p w14:paraId="26CDE620" w14:textId="248D1C6D" w:rsidR="00AA4D94" w:rsidRPr="00B23300" w:rsidRDefault="00AA4D94" w:rsidP="00DA266F">
      <w:pPr>
        <w:pStyle w:val="TableDescription"/>
        <w:spacing w:before="0"/>
      </w:pPr>
      <w:r w:rsidRPr="00B23300">
        <w:t>ADA positive: subjects who test positive at any time point after first administration of study du</w:t>
      </w:r>
      <w:r w:rsidR="00306859" w:rsidRPr="00B23300">
        <w:t>ring particular stage of study.</w:t>
      </w:r>
    </w:p>
    <w:p w14:paraId="3F85F2D3" w14:textId="0460F7C5" w:rsidR="00AA4D94" w:rsidRPr="00B23300" w:rsidRDefault="00AA4D94" w:rsidP="00DA266F">
      <w:pPr>
        <w:pStyle w:val="TableDescription"/>
        <w:spacing w:before="0"/>
      </w:pPr>
      <w:r w:rsidRPr="00B23300">
        <w:t>Long</w:t>
      </w:r>
      <w:r w:rsidR="004C377A" w:rsidRPr="00B23300">
        <w:t xml:space="preserve"> </w:t>
      </w:r>
      <w:r w:rsidRPr="00B23300">
        <w:t xml:space="preserve">term </w:t>
      </w:r>
      <w:r w:rsidR="004C3B4F" w:rsidRPr="00B23300">
        <w:t>immunogenicity</w:t>
      </w:r>
      <w:r w:rsidRPr="00B23300">
        <w:t xml:space="preserve">: subjects who test positive at any time point after first administration of </w:t>
      </w:r>
      <w:r w:rsidR="004C3B4F" w:rsidRPr="00B23300">
        <w:t>study</w:t>
      </w:r>
      <w:r w:rsidRPr="00B23300">
        <w:t xml:space="preserve"> during till </w:t>
      </w:r>
      <w:r w:rsidR="00EA2DDA" w:rsidRPr="00B23300">
        <w:t>Week 52 (S</w:t>
      </w:r>
      <w:r w:rsidRPr="00B23300">
        <w:t xml:space="preserve">tage A and B combined) </w:t>
      </w:r>
    </w:p>
    <w:p w14:paraId="020D7054" w14:textId="0B2F03DD" w:rsidR="00AE00F9" w:rsidRPr="005E6B60" w:rsidRDefault="00E83CB1" w:rsidP="00127D9A">
      <w:r w:rsidRPr="00B23300">
        <w:t>At B</w:t>
      </w:r>
      <w:r w:rsidR="00AE00F9" w:rsidRPr="00B23300">
        <w:t xml:space="preserve">aseline, no subjects enrolled in Study YLB113-002 tested positive for ADA. At </w:t>
      </w:r>
      <w:r w:rsidR="00EA2DDA" w:rsidRPr="00B23300">
        <w:t>Week</w:t>
      </w:r>
      <w:r w:rsidR="00B20DC2" w:rsidRPr="00B23300">
        <w:t xml:space="preserve"> 4, nine</w:t>
      </w:r>
      <w:r w:rsidR="00AE00F9" w:rsidRPr="00B23300">
        <w:t xml:space="preserve"> subjects (3.6% of 254) in the Enbrel group versus no subjects in the </w:t>
      </w:r>
      <w:proofErr w:type="spellStart"/>
      <w:r w:rsidR="00AE00F9" w:rsidRPr="00B23300">
        <w:t>Rymti</w:t>
      </w:r>
      <w:proofErr w:type="spellEnd"/>
      <w:r w:rsidR="00AE00F9" w:rsidRPr="00B23300">
        <w:t xml:space="preserve"> group tested ADA positive. At </w:t>
      </w:r>
      <w:r w:rsidR="00EA2DDA" w:rsidRPr="00B23300">
        <w:t>Week</w:t>
      </w:r>
      <w:r w:rsidR="00B20DC2" w:rsidRPr="00B23300">
        <w:t xml:space="preserve"> 8, nine</w:t>
      </w:r>
      <w:r w:rsidR="00AE00F9" w:rsidRPr="00B23300">
        <w:t xml:space="preserve"> patients in the Enbrel group (3.6% of 254, one </w:t>
      </w:r>
      <w:r w:rsidR="00AE00F9" w:rsidRPr="005E6B60">
        <w:t xml:space="preserve">neutralising </w:t>
      </w:r>
      <w:r w:rsidR="00DE3231" w:rsidRPr="005E6B60">
        <w:t>antibodies (</w:t>
      </w:r>
      <w:proofErr w:type="spellStart"/>
      <w:proofErr w:type="gramStart"/>
      <w:r w:rsidR="009B7D6D" w:rsidRPr="00B23300">
        <w:t>nAB</w:t>
      </w:r>
      <w:proofErr w:type="spellEnd"/>
      <w:proofErr w:type="gramEnd"/>
      <w:r w:rsidR="00DE3231" w:rsidRPr="005E6B60">
        <w:t>)</w:t>
      </w:r>
      <w:r w:rsidR="00E0506F" w:rsidRPr="00B23300">
        <w:t>) and one</w:t>
      </w:r>
      <w:r w:rsidR="00AE00F9" w:rsidRPr="00B23300">
        <w:t xml:space="preserve"> patient (0.4% of 263) in the </w:t>
      </w:r>
      <w:proofErr w:type="spellStart"/>
      <w:r w:rsidR="00AE00F9" w:rsidRPr="00B23300">
        <w:t>Rymti</w:t>
      </w:r>
      <w:proofErr w:type="spellEnd"/>
      <w:r w:rsidR="00AE00F9" w:rsidRPr="00B23300">
        <w:t xml:space="preserve"> group. At </w:t>
      </w:r>
      <w:r w:rsidR="00EA2DDA" w:rsidRPr="00B23300">
        <w:t>Week</w:t>
      </w:r>
      <w:r w:rsidR="00A05BF6">
        <w:t> </w:t>
      </w:r>
      <w:r w:rsidR="00304062" w:rsidRPr="00B23300">
        <w:t>12, seven</w:t>
      </w:r>
      <w:r w:rsidR="00AE00F9" w:rsidRPr="00B23300">
        <w:t xml:space="preserve"> in the Enbrel </w:t>
      </w:r>
      <w:r w:rsidR="00083D16" w:rsidRPr="00B23300">
        <w:t>group (2.8% of 254, two</w:t>
      </w:r>
      <w:r w:rsidR="00304062" w:rsidRPr="00B23300">
        <w:t xml:space="preserve"> </w:t>
      </w:r>
      <w:proofErr w:type="spellStart"/>
      <w:proofErr w:type="gramStart"/>
      <w:r w:rsidR="00304062" w:rsidRPr="00B23300">
        <w:t>n</w:t>
      </w:r>
      <w:r w:rsidR="00E0506F" w:rsidRPr="00B23300">
        <w:t>A</w:t>
      </w:r>
      <w:r w:rsidR="00304062" w:rsidRPr="00B23300">
        <w:t>B</w:t>
      </w:r>
      <w:proofErr w:type="spellEnd"/>
      <w:proofErr w:type="gramEnd"/>
      <w:r w:rsidR="00E0506F" w:rsidRPr="00B23300">
        <w:t>) and one</w:t>
      </w:r>
      <w:r w:rsidR="00AE00F9" w:rsidRPr="00B23300">
        <w:t xml:space="preserve"> patient (0.4% of 263) in the </w:t>
      </w:r>
      <w:proofErr w:type="spellStart"/>
      <w:r w:rsidR="00AE00F9" w:rsidRPr="00B23300">
        <w:t>Rymti</w:t>
      </w:r>
      <w:proofErr w:type="spellEnd"/>
      <w:r w:rsidR="00AE00F9" w:rsidRPr="00B23300">
        <w:t xml:space="preserve"> group. At</w:t>
      </w:r>
      <w:r w:rsidR="00AE00F9" w:rsidRPr="005E6B60">
        <w:t xml:space="preserve"> </w:t>
      </w:r>
      <w:r w:rsidR="00EA2DDA" w:rsidRPr="005E6B60">
        <w:t>Week</w:t>
      </w:r>
      <w:r w:rsidR="00AE00F9" w:rsidRPr="005E6B60">
        <w:t xml:space="preserve"> 24, none of the </w:t>
      </w:r>
      <w:proofErr w:type="spellStart"/>
      <w:r w:rsidR="00AE00F9" w:rsidRPr="005E6B60">
        <w:t>Rymti</w:t>
      </w:r>
      <w:proofErr w:type="spellEnd"/>
      <w:r w:rsidR="00AE00F9" w:rsidRPr="005E6B60">
        <w:t xml:space="preserve"> group and </w:t>
      </w:r>
      <w:r w:rsidR="00E0506F" w:rsidRPr="005E6B60">
        <w:t>only one</w:t>
      </w:r>
      <w:r w:rsidR="00AE00F9" w:rsidRPr="005E6B60">
        <w:t xml:space="preserve"> subject in the Enbrel arm (0.4% of 254) tested positive for ADA suggesting formation of ADA may have been transient. No clear relationship of ADA status by treatment group </w:t>
      </w:r>
      <w:proofErr w:type="gramStart"/>
      <w:r w:rsidR="00AE00F9" w:rsidRPr="005E6B60">
        <w:t>was seen</w:t>
      </w:r>
      <w:proofErr w:type="gramEnd"/>
      <w:r w:rsidR="00AE00F9" w:rsidRPr="005E6B60">
        <w:t xml:space="preserve"> in analysis of AEs of special interest including permanent treatment discontinuations, ISRs, hypersensi</w:t>
      </w:r>
      <w:r w:rsidR="00306859" w:rsidRPr="005E6B60">
        <w:t>tivity reactions and infection.</w:t>
      </w:r>
    </w:p>
    <w:p w14:paraId="589AE815" w14:textId="009DD102" w:rsidR="00AE00F9" w:rsidRPr="005E6B60" w:rsidRDefault="00AE00F9" w:rsidP="00127D9A">
      <w:r w:rsidRPr="005E6B60">
        <w:t xml:space="preserve">In Stages B and C of Study YLB113-002, includes immunogenicity results from </w:t>
      </w:r>
      <w:r w:rsidR="00EA2DDA" w:rsidRPr="005E6B60">
        <w:t>Week</w:t>
      </w:r>
      <w:r w:rsidR="009B7D6D" w:rsidRPr="005E6B60">
        <w:t>s 36, 44 and 52. In Stage B, two</w:t>
      </w:r>
      <w:r w:rsidRPr="005E6B60">
        <w:t xml:space="preserve"> Enbrel treated subjects (0.9% of 229) but no </w:t>
      </w:r>
      <w:proofErr w:type="spellStart"/>
      <w:r w:rsidRPr="005E6B60">
        <w:t>Rymti</w:t>
      </w:r>
      <w:proofErr w:type="spellEnd"/>
      <w:r w:rsidRPr="005E6B60">
        <w:t xml:space="preserve"> patients recorded positive </w:t>
      </w:r>
      <w:r w:rsidR="009B7D6D" w:rsidRPr="005E6B60">
        <w:t xml:space="preserve">ADA but no </w:t>
      </w:r>
      <w:proofErr w:type="spellStart"/>
      <w:proofErr w:type="gramStart"/>
      <w:r w:rsidR="009B7D6D" w:rsidRPr="005E6B60">
        <w:t>nAB</w:t>
      </w:r>
      <w:r w:rsidRPr="005E6B60">
        <w:t>s</w:t>
      </w:r>
      <w:proofErr w:type="spellEnd"/>
      <w:proofErr w:type="gramEnd"/>
      <w:r w:rsidRPr="005E6B60">
        <w:t xml:space="preserve">. One ADA positive Enbrel treated patient had a persistently positive ADA test at </w:t>
      </w:r>
      <w:proofErr w:type="spellStart"/>
      <w:r w:rsidRPr="005E6B60">
        <w:t>all time</w:t>
      </w:r>
      <w:proofErr w:type="spellEnd"/>
      <w:r w:rsidR="004C377A" w:rsidRPr="005E6B60">
        <w:t xml:space="preserve"> </w:t>
      </w:r>
      <w:r w:rsidRPr="005E6B60">
        <w:t>point</w:t>
      </w:r>
      <w:r w:rsidR="00E0506F" w:rsidRPr="005E6B60">
        <w:t>s in Stage B. In Stage C, only one</w:t>
      </w:r>
      <w:r w:rsidRPr="005E6B60">
        <w:t xml:space="preserve"> Enbrel treated patient (12.</w:t>
      </w:r>
      <w:r w:rsidR="009B7D6D" w:rsidRPr="005E6B60">
        <w:t xml:space="preserve">5% of 8) developed ADA without </w:t>
      </w:r>
      <w:proofErr w:type="spellStart"/>
      <w:proofErr w:type="gramStart"/>
      <w:r w:rsidR="009B7D6D" w:rsidRPr="005E6B60">
        <w:t>nAB</w:t>
      </w:r>
      <w:proofErr w:type="spellEnd"/>
      <w:proofErr w:type="gramEnd"/>
      <w:r w:rsidRPr="005E6B60">
        <w:t xml:space="preserve"> test at </w:t>
      </w:r>
      <w:r w:rsidR="00EA2DDA" w:rsidRPr="005E6B60">
        <w:t>Week</w:t>
      </w:r>
      <w:r w:rsidRPr="005E6B60">
        <w:t xml:space="preserve"> 36 that was subsequently negative at </w:t>
      </w:r>
      <w:r w:rsidR="00EA2DDA" w:rsidRPr="005E6B60">
        <w:t>Week</w:t>
      </w:r>
      <w:r w:rsidRPr="005E6B60">
        <w:t xml:space="preserve">s 44 and 52. An analysis of AEs of special interest (Stage </w:t>
      </w:r>
      <w:proofErr w:type="gramStart"/>
      <w:r w:rsidRPr="005E6B60">
        <w:t>A</w:t>
      </w:r>
      <w:proofErr w:type="gramEnd"/>
      <w:r w:rsidRPr="005E6B60">
        <w:t xml:space="preserve"> events plus malignancy) and ADA status did not reveal any clear association between certain types o</w:t>
      </w:r>
      <w:r w:rsidR="001B3586" w:rsidRPr="005E6B60">
        <w:t>f AEs and positive ADA status.</w:t>
      </w:r>
    </w:p>
    <w:p w14:paraId="49C655DB" w14:textId="45388911" w:rsidR="00AE00F9" w:rsidRPr="005E6B60" w:rsidRDefault="00AE00F9" w:rsidP="00127D9A">
      <w:r w:rsidRPr="005E6B60">
        <w:t xml:space="preserve">In Study YLB113-001, blood samples for immunogenicity testing were collected on </w:t>
      </w:r>
      <w:r w:rsidR="009666E8" w:rsidRPr="005E6B60">
        <w:t>Day</w:t>
      </w:r>
      <w:r w:rsidR="00E0506F" w:rsidRPr="005E6B60">
        <w:t xml:space="preserve"> 1</w:t>
      </w:r>
      <w:r w:rsidRPr="005E6B60">
        <w:t xml:space="preserve"> (prior to any investigational drug administration), as well as 21 days after each drug administration (or at the time of discontinuation from the trial if the subject prematurely withdrew). No subject tested positive for ADA in either treatment period of this trial. No immunogenicity testing </w:t>
      </w:r>
      <w:proofErr w:type="gramStart"/>
      <w:r w:rsidRPr="005E6B60">
        <w:t>was</w:t>
      </w:r>
      <w:r w:rsidR="00306859" w:rsidRPr="005E6B60">
        <w:t xml:space="preserve"> performed</w:t>
      </w:r>
      <w:proofErr w:type="gramEnd"/>
      <w:r w:rsidR="00306859" w:rsidRPr="005E6B60">
        <w:t xml:space="preserve"> in Study LBC-14-155.</w:t>
      </w:r>
    </w:p>
    <w:p w14:paraId="58D89670" w14:textId="77777777" w:rsidR="00AE00F9" w:rsidRPr="005E6B60" w:rsidRDefault="00AE00F9" w:rsidP="00BD1EEC">
      <w:pPr>
        <w:pStyle w:val="Heading5"/>
      </w:pPr>
      <w:r w:rsidRPr="005E6B60">
        <w:t>Other</w:t>
      </w:r>
    </w:p>
    <w:p w14:paraId="08102567" w14:textId="2565EFF6" w:rsidR="00AE00F9" w:rsidRPr="00B23300" w:rsidRDefault="00AE00F9" w:rsidP="00127D9A">
      <w:r w:rsidRPr="005E6B60">
        <w:t xml:space="preserve">There was no safety signal for renal toxicity, or </w:t>
      </w:r>
      <w:r w:rsidR="00DE3231" w:rsidRPr="005E6B60">
        <w:t>electrocardiogram (</w:t>
      </w:r>
      <w:r w:rsidRPr="005E6B60">
        <w:t>ECG</w:t>
      </w:r>
      <w:r w:rsidR="00DE3231" w:rsidRPr="005E6B60">
        <w:t>)</w:t>
      </w:r>
      <w:r w:rsidRPr="00B23300">
        <w:t xml:space="preserve"> abnormalities in the submission, consistent with the previous findings for </w:t>
      </w:r>
      <w:proofErr w:type="spellStart"/>
      <w:r w:rsidRPr="00B23300">
        <w:t>etanercept</w:t>
      </w:r>
      <w:proofErr w:type="spellEnd"/>
      <w:r w:rsidRPr="00B23300">
        <w:t xml:space="preserve">. There were no pregnancies in the clinical trial programme. A higher incidence of AEs for infection </w:t>
      </w:r>
      <w:proofErr w:type="gramStart"/>
      <w:r w:rsidRPr="00B23300">
        <w:t>was seen</w:t>
      </w:r>
      <w:proofErr w:type="gramEnd"/>
      <w:r w:rsidRPr="00B23300">
        <w:t xml:space="preserve"> in elderly patients (&gt;</w:t>
      </w:r>
      <w:r w:rsidR="00E01921" w:rsidRPr="00B23300">
        <w:t xml:space="preserve"> </w:t>
      </w:r>
      <w:r w:rsidRPr="00B23300">
        <w:t>65 years).</w:t>
      </w:r>
    </w:p>
    <w:p w14:paraId="6E77844E" w14:textId="77777777" w:rsidR="00AE00F9" w:rsidRPr="00B23300" w:rsidRDefault="00AE00F9" w:rsidP="00BD1EEC">
      <w:pPr>
        <w:pStyle w:val="Heading5"/>
      </w:pPr>
      <w:r w:rsidRPr="00B23300">
        <w:t>Post-marketing safety data</w:t>
      </w:r>
    </w:p>
    <w:p w14:paraId="7A1BA4C3" w14:textId="544D9DEB" w:rsidR="00AE00F9" w:rsidRDefault="00F7285E" w:rsidP="00127D9A">
      <w:r>
        <w:t xml:space="preserve">At the </w:t>
      </w:r>
      <w:proofErr w:type="gramStart"/>
      <w:r>
        <w:t>time</w:t>
      </w:r>
      <w:proofErr w:type="gramEnd"/>
      <w:r>
        <w:t xml:space="preserve"> the</w:t>
      </w:r>
      <w:r w:rsidR="00BD2B89">
        <w:t xml:space="preserve"> Delegate overview </w:t>
      </w:r>
      <w:r>
        <w:t>wa</w:t>
      </w:r>
      <w:r w:rsidR="00BD2B89">
        <w:t xml:space="preserve">s written </w:t>
      </w:r>
      <w:proofErr w:type="spellStart"/>
      <w:r w:rsidR="00AE00F9" w:rsidRPr="005E6B60">
        <w:t>Rymti</w:t>
      </w:r>
      <w:proofErr w:type="spellEnd"/>
      <w:r w:rsidR="00AE00F9" w:rsidRPr="005E6B60">
        <w:t xml:space="preserve"> has not yet been approved or marketed in any country.</w:t>
      </w:r>
    </w:p>
    <w:p w14:paraId="23E642A6" w14:textId="6A9BED23" w:rsidR="00EF5548" w:rsidRDefault="00EF5548" w:rsidP="006F44AC">
      <w:pPr>
        <w:pStyle w:val="Heading4"/>
      </w:pPr>
      <w:r>
        <w:t>Clinical evaluators recommendation regarding authorisation</w:t>
      </w:r>
    </w:p>
    <w:p w14:paraId="7AE5549F" w14:textId="1866C7AA" w:rsidR="00EF5548" w:rsidRPr="00EF5548" w:rsidRDefault="00EF5548" w:rsidP="00EF5548">
      <w:r w:rsidRPr="00B23300">
        <w:t xml:space="preserve">The clinical evaluator recommended approval of this biosimilar </w:t>
      </w:r>
      <w:proofErr w:type="spellStart"/>
      <w:r w:rsidRPr="00B23300">
        <w:t>etanercept</w:t>
      </w:r>
      <w:proofErr w:type="spellEnd"/>
      <w:r w:rsidRPr="00B23300">
        <w:t xml:space="preserve"> for all the approved indications of the reference</w:t>
      </w:r>
      <w:r>
        <w:t xml:space="preserve"> product</w:t>
      </w:r>
      <w:r w:rsidRPr="00B23300">
        <w:t xml:space="preserve"> Enbrel, with the proposed dosing instructions that direct the prescriber to other </w:t>
      </w:r>
      <w:proofErr w:type="spellStart"/>
      <w:r w:rsidRPr="00B23300">
        <w:t>etanercept</w:t>
      </w:r>
      <w:proofErr w:type="spellEnd"/>
      <w:r w:rsidRPr="00B23300">
        <w:t xml:space="preserve"> products for patients </w:t>
      </w:r>
      <w:r w:rsidRPr="002C482F">
        <w:t xml:space="preserve">weighing </w:t>
      </w:r>
      <w:r w:rsidRPr="006867F4">
        <w:t>less than 62.5 kg</w:t>
      </w:r>
      <w:r w:rsidRPr="002C482F">
        <w:t>.</w:t>
      </w:r>
    </w:p>
    <w:p w14:paraId="576603BD" w14:textId="3938CD85" w:rsidR="008E7846" w:rsidRDefault="00386150" w:rsidP="007B6132">
      <w:pPr>
        <w:pStyle w:val="Heading3"/>
        <w:rPr>
          <w:lang w:eastAsia="en-AU"/>
        </w:rPr>
      </w:pPr>
      <w:bookmarkStart w:id="63" w:name="_Toc66284493"/>
      <w:r w:rsidRPr="005E6B60">
        <w:rPr>
          <w:lang w:eastAsia="en-AU"/>
        </w:rPr>
        <w:t>Risk m</w:t>
      </w:r>
      <w:r w:rsidR="008E7846" w:rsidRPr="005E6B60">
        <w:rPr>
          <w:lang w:eastAsia="en-AU"/>
        </w:rPr>
        <w:t xml:space="preserve">anagement </w:t>
      </w:r>
      <w:r w:rsidRPr="005E6B60">
        <w:rPr>
          <w:lang w:eastAsia="en-AU"/>
        </w:rPr>
        <w:t>p</w:t>
      </w:r>
      <w:r w:rsidR="008E7846" w:rsidRPr="005E6B60">
        <w:rPr>
          <w:lang w:eastAsia="en-AU"/>
        </w:rPr>
        <w:t>lan</w:t>
      </w:r>
      <w:bookmarkEnd w:id="41"/>
      <w:bookmarkEnd w:id="63"/>
    </w:p>
    <w:p w14:paraId="53314B0C" w14:textId="0C759184" w:rsidR="00C34A49" w:rsidRDefault="00A05BF6" w:rsidP="00757CDB">
      <w:r>
        <w:t>The sponsor</w:t>
      </w:r>
      <w:r w:rsidR="00C34A49" w:rsidRPr="00757CDB">
        <w:t xml:space="preserve"> has submitted draft EU-RMP version 0.3 (undated; </w:t>
      </w:r>
      <w:r w:rsidR="00D73C40">
        <w:t>data lock point (</w:t>
      </w:r>
      <w:r w:rsidR="00C34A49" w:rsidRPr="00757CDB">
        <w:t>DLP</w:t>
      </w:r>
      <w:r w:rsidR="00D73C40">
        <w:t>)</w:t>
      </w:r>
      <w:r w:rsidR="00C34A49" w:rsidRPr="00757CDB">
        <w:t xml:space="preserve"> 28 August 2018) and </w:t>
      </w:r>
      <w:r w:rsidR="00D73C40" w:rsidRPr="00D73C40">
        <w:t>Australian</w:t>
      </w:r>
      <w:r>
        <w:t>-s</w:t>
      </w:r>
      <w:r w:rsidR="00D73C40" w:rsidRPr="00D73C40">
        <w:t xml:space="preserve">pecific Annex </w:t>
      </w:r>
      <w:r w:rsidR="00D73C40">
        <w:t>(</w:t>
      </w:r>
      <w:r w:rsidR="00C34A49" w:rsidRPr="00757CDB">
        <w:t>ASA</w:t>
      </w:r>
      <w:r w:rsidR="00D73C40">
        <w:t>)</w:t>
      </w:r>
      <w:r w:rsidR="00C34A49" w:rsidRPr="00757CDB">
        <w:t xml:space="preserve"> version 0.1 (25 September 2018) in support of this application. In the response to the first round, the sponsor submitted EU-RMP version 0.3 (14 March 2019; DLP 28 August 2018) and ASA version 0.2 (28 May 2019). In the response to the second round, the sponsor submitted EU-RMP version 0.4 (30 June 2019; DLP 29 May 2019) and ASA version 0.3 (21 August 2019). Prior to ACM consideration, the sponsor withdrew the applications for the auto-injector presentation.</w:t>
      </w:r>
    </w:p>
    <w:p w14:paraId="4B9E9115" w14:textId="29D425FA" w:rsidR="00C34A49" w:rsidRPr="00D73C40" w:rsidRDefault="00C34A49" w:rsidP="00757CDB">
      <w:r w:rsidRPr="00757CDB">
        <w:t xml:space="preserve">The proposed summary of safety concerns and their associated risk monitoring and mitigation strategies are summarised </w:t>
      </w:r>
      <w:r w:rsidR="00D73C40" w:rsidRPr="00D73C40">
        <w:t xml:space="preserve">in </w:t>
      </w:r>
      <w:r w:rsidR="00D73C40" w:rsidRPr="00D73C40">
        <w:fldChar w:fldCharType="begin"/>
      </w:r>
      <w:r w:rsidR="00D73C40" w:rsidRPr="00D73C40">
        <w:instrText xml:space="preserve"> REF _Ref59168620 \h </w:instrText>
      </w:r>
      <w:r w:rsidR="00D73C40">
        <w:instrText xml:space="preserve"> \* MERGEFORMAT </w:instrText>
      </w:r>
      <w:r w:rsidR="00D73C40" w:rsidRPr="00D73C40">
        <w:fldChar w:fldCharType="separate"/>
      </w:r>
      <w:r w:rsidR="00D73C40" w:rsidRPr="00D73C40">
        <w:t>Table 9</w:t>
      </w:r>
      <w:r w:rsidR="00D73C40" w:rsidRPr="00D73C40">
        <w:fldChar w:fldCharType="end"/>
      </w:r>
      <w:r w:rsidRPr="00D73C40">
        <w:t>.</w:t>
      </w:r>
      <w:r w:rsidR="001D4161">
        <w:rPr>
          <w:rStyle w:val="FootnoteReference"/>
        </w:rPr>
        <w:footnoteReference w:id="9"/>
      </w:r>
    </w:p>
    <w:p w14:paraId="3B8220A2" w14:textId="1D08A1B6" w:rsidR="00C34A49" w:rsidRPr="00C34A49" w:rsidRDefault="00C34A49" w:rsidP="00A05BF6">
      <w:pPr>
        <w:pStyle w:val="TableTitle"/>
        <w:rPr>
          <w:lang w:eastAsia="en-AU"/>
        </w:rPr>
      </w:pPr>
      <w:bookmarkStart w:id="64" w:name="_Ref59168620"/>
      <w:r>
        <w:t xml:space="preserve">Table </w:t>
      </w:r>
      <w:fldSimple w:instr=" SEQ Table \* ARABIC ">
        <w:r>
          <w:rPr>
            <w:noProof/>
          </w:rPr>
          <w:t>9</w:t>
        </w:r>
      </w:fldSimple>
      <w:bookmarkEnd w:id="64"/>
      <w:r w:rsidR="00185541">
        <w:rPr>
          <w:noProof/>
        </w:rPr>
        <w:t>:</w:t>
      </w:r>
      <w:r>
        <w:t xml:space="preserve"> Summary of safety concerns</w:t>
      </w:r>
    </w:p>
    <w:tbl>
      <w:tblPr>
        <w:tblStyle w:val="TableGrid"/>
        <w:tblW w:w="8637" w:type="dxa"/>
        <w:jc w:val="center"/>
        <w:tblBorders>
          <w:top w:val="single" w:sz="8" w:space="0" w:color="auto"/>
          <w:left w:val="single" w:sz="8" w:space="0" w:color="auto"/>
          <w:bottom w:val="single" w:sz="8" w:space="0" w:color="auto"/>
          <w:right w:val="single" w:sz="8" w:space="0" w:color="auto"/>
        </w:tblBorders>
        <w:tblLayout w:type="fixed"/>
        <w:tblCellMar>
          <w:left w:w="85" w:type="dxa"/>
          <w:right w:w="85" w:type="dxa"/>
        </w:tblCellMar>
        <w:tblLook w:val="04A0" w:firstRow="1" w:lastRow="0" w:firstColumn="1" w:lastColumn="0" w:noHBand="0" w:noVBand="1"/>
      </w:tblPr>
      <w:tblGrid>
        <w:gridCol w:w="1250"/>
        <w:gridCol w:w="3135"/>
        <w:gridCol w:w="992"/>
        <w:gridCol w:w="1134"/>
        <w:gridCol w:w="992"/>
        <w:gridCol w:w="1134"/>
      </w:tblGrid>
      <w:tr w:rsidR="00757CDB" w:rsidRPr="00757CDB" w14:paraId="1F816945" w14:textId="77777777" w:rsidTr="007B0533">
        <w:trPr>
          <w:trHeight w:val="131"/>
          <w:jc w:val="center"/>
        </w:trPr>
        <w:tc>
          <w:tcPr>
            <w:tcW w:w="4385" w:type="dxa"/>
            <w:gridSpan w:val="2"/>
            <w:vMerge w:val="restart"/>
            <w:tcBorders>
              <w:top w:val="single" w:sz="8" w:space="0" w:color="auto"/>
              <w:right w:val="single" w:sz="4" w:space="0" w:color="auto"/>
            </w:tcBorders>
            <w:shd w:val="clear" w:color="auto" w:fill="006DA7"/>
          </w:tcPr>
          <w:p w14:paraId="697768B5" w14:textId="77777777" w:rsidR="00A162B4" w:rsidRPr="007B0533" w:rsidRDefault="00A162B4" w:rsidP="00EA2C2E">
            <w:pPr>
              <w:pStyle w:val="Tabletext"/>
              <w:keepNext/>
              <w:rPr>
                <w:rFonts w:asciiTheme="minorHAnsi" w:hAnsiTheme="minorHAnsi"/>
                <w:b/>
                <w:color w:val="FFFFFF" w:themeColor="background1"/>
                <w:szCs w:val="19"/>
              </w:rPr>
            </w:pPr>
            <w:r w:rsidRPr="00EA2C2E">
              <w:rPr>
                <w:rFonts w:asciiTheme="minorHAnsi" w:hAnsiTheme="minorHAnsi"/>
                <w:b/>
                <w:color w:val="FFFFFF" w:themeColor="background1"/>
                <w:sz w:val="20"/>
                <w:szCs w:val="19"/>
              </w:rPr>
              <w:t>Summary of safety concerns</w:t>
            </w:r>
          </w:p>
        </w:tc>
        <w:tc>
          <w:tcPr>
            <w:tcW w:w="2126" w:type="dxa"/>
            <w:gridSpan w:val="2"/>
            <w:tcBorders>
              <w:top w:val="single" w:sz="8" w:space="0" w:color="auto"/>
              <w:left w:val="single" w:sz="4" w:space="0" w:color="auto"/>
              <w:bottom w:val="single" w:sz="4" w:space="0" w:color="auto"/>
            </w:tcBorders>
            <w:shd w:val="clear" w:color="auto" w:fill="006DA7"/>
          </w:tcPr>
          <w:p w14:paraId="24F8C86A" w14:textId="77777777" w:rsidR="00A162B4" w:rsidRPr="007B0533" w:rsidRDefault="00A162B4" w:rsidP="00EA2C2E">
            <w:pPr>
              <w:pStyle w:val="Tabletext"/>
              <w:keepNext/>
              <w:rPr>
                <w:rFonts w:asciiTheme="minorHAnsi" w:hAnsiTheme="minorHAnsi"/>
                <w:b/>
                <w:color w:val="FFFFFF" w:themeColor="background1"/>
                <w:szCs w:val="19"/>
              </w:rPr>
            </w:pPr>
            <w:r w:rsidRPr="007B0533">
              <w:rPr>
                <w:rFonts w:asciiTheme="minorHAnsi" w:hAnsiTheme="minorHAnsi"/>
                <w:b/>
                <w:color w:val="FFFFFF" w:themeColor="background1"/>
                <w:szCs w:val="19"/>
              </w:rPr>
              <w:t>Pharmacovigilance</w:t>
            </w:r>
          </w:p>
        </w:tc>
        <w:tc>
          <w:tcPr>
            <w:tcW w:w="2126" w:type="dxa"/>
            <w:gridSpan w:val="2"/>
            <w:tcBorders>
              <w:top w:val="single" w:sz="8" w:space="0" w:color="auto"/>
              <w:left w:val="single" w:sz="4" w:space="0" w:color="auto"/>
              <w:bottom w:val="single" w:sz="4" w:space="0" w:color="auto"/>
            </w:tcBorders>
            <w:shd w:val="clear" w:color="auto" w:fill="006DA7"/>
          </w:tcPr>
          <w:p w14:paraId="772D4A1E" w14:textId="77777777" w:rsidR="00A162B4" w:rsidRPr="007B0533" w:rsidRDefault="00A162B4" w:rsidP="00EA2C2E">
            <w:pPr>
              <w:pStyle w:val="Tabletext"/>
              <w:keepNext/>
              <w:rPr>
                <w:rFonts w:asciiTheme="minorHAnsi" w:hAnsiTheme="minorHAnsi"/>
                <w:b/>
                <w:color w:val="FFFFFF" w:themeColor="background1"/>
                <w:szCs w:val="19"/>
              </w:rPr>
            </w:pPr>
            <w:r w:rsidRPr="007B0533">
              <w:rPr>
                <w:rFonts w:asciiTheme="minorHAnsi" w:hAnsiTheme="minorHAnsi"/>
                <w:b/>
                <w:color w:val="FFFFFF" w:themeColor="background1"/>
                <w:szCs w:val="19"/>
              </w:rPr>
              <w:t>Risk Minimisation</w:t>
            </w:r>
          </w:p>
        </w:tc>
      </w:tr>
      <w:tr w:rsidR="00757CDB" w:rsidRPr="00757CDB" w14:paraId="5EF8DE82" w14:textId="77777777" w:rsidTr="007B0533">
        <w:trPr>
          <w:trHeight w:val="150"/>
          <w:jc w:val="center"/>
        </w:trPr>
        <w:tc>
          <w:tcPr>
            <w:tcW w:w="4385" w:type="dxa"/>
            <w:gridSpan w:val="2"/>
            <w:vMerge/>
            <w:tcBorders>
              <w:bottom w:val="single" w:sz="8" w:space="0" w:color="auto"/>
              <w:right w:val="single" w:sz="4" w:space="0" w:color="auto"/>
            </w:tcBorders>
            <w:shd w:val="clear" w:color="auto" w:fill="006DA7"/>
          </w:tcPr>
          <w:p w14:paraId="42B04605" w14:textId="77777777" w:rsidR="00A162B4" w:rsidRPr="007B0533" w:rsidRDefault="00A162B4" w:rsidP="00EA2C2E">
            <w:pPr>
              <w:pStyle w:val="Tabletext"/>
              <w:keepNext/>
              <w:rPr>
                <w:rFonts w:asciiTheme="minorHAnsi" w:hAnsiTheme="minorHAnsi"/>
                <w:b/>
                <w:color w:val="FFFFFF" w:themeColor="background1"/>
                <w:szCs w:val="19"/>
              </w:rPr>
            </w:pPr>
          </w:p>
        </w:tc>
        <w:tc>
          <w:tcPr>
            <w:tcW w:w="992" w:type="dxa"/>
            <w:tcBorders>
              <w:top w:val="single" w:sz="4" w:space="0" w:color="auto"/>
              <w:left w:val="single" w:sz="4" w:space="0" w:color="auto"/>
              <w:bottom w:val="single" w:sz="8" w:space="0" w:color="auto"/>
              <w:right w:val="dotted" w:sz="2" w:space="0" w:color="auto"/>
            </w:tcBorders>
            <w:shd w:val="clear" w:color="auto" w:fill="006DA7"/>
          </w:tcPr>
          <w:p w14:paraId="7F7B125E" w14:textId="77777777" w:rsidR="00A162B4" w:rsidRPr="007B0533" w:rsidRDefault="00A162B4" w:rsidP="00EA2C2E">
            <w:pPr>
              <w:pStyle w:val="Tabletext"/>
              <w:keepNext/>
              <w:rPr>
                <w:rFonts w:asciiTheme="minorHAnsi" w:hAnsiTheme="minorHAnsi"/>
                <w:b/>
                <w:color w:val="FFFFFF" w:themeColor="background1"/>
                <w:szCs w:val="19"/>
              </w:rPr>
            </w:pPr>
            <w:r w:rsidRPr="007B0533">
              <w:rPr>
                <w:rFonts w:asciiTheme="minorHAnsi" w:hAnsiTheme="minorHAnsi"/>
                <w:b/>
                <w:color w:val="FFFFFF" w:themeColor="background1"/>
                <w:szCs w:val="19"/>
              </w:rPr>
              <w:t>Routine</w:t>
            </w:r>
          </w:p>
        </w:tc>
        <w:tc>
          <w:tcPr>
            <w:tcW w:w="1134" w:type="dxa"/>
            <w:tcBorders>
              <w:top w:val="single" w:sz="4" w:space="0" w:color="auto"/>
              <w:left w:val="dotted" w:sz="2" w:space="0" w:color="auto"/>
              <w:bottom w:val="single" w:sz="8" w:space="0" w:color="auto"/>
            </w:tcBorders>
            <w:shd w:val="clear" w:color="auto" w:fill="006DA7"/>
          </w:tcPr>
          <w:p w14:paraId="2F7C9736" w14:textId="77777777" w:rsidR="00A162B4" w:rsidRPr="007B0533" w:rsidRDefault="00A162B4" w:rsidP="00EA2C2E">
            <w:pPr>
              <w:pStyle w:val="Tabletext"/>
              <w:keepNext/>
              <w:rPr>
                <w:rFonts w:asciiTheme="minorHAnsi" w:hAnsiTheme="minorHAnsi"/>
                <w:b/>
                <w:color w:val="FFFFFF" w:themeColor="background1"/>
                <w:szCs w:val="19"/>
              </w:rPr>
            </w:pPr>
            <w:r w:rsidRPr="007B0533">
              <w:rPr>
                <w:rFonts w:asciiTheme="minorHAnsi" w:hAnsiTheme="minorHAnsi"/>
                <w:b/>
                <w:color w:val="FFFFFF" w:themeColor="background1"/>
                <w:szCs w:val="19"/>
              </w:rPr>
              <w:t>Additional</w:t>
            </w:r>
          </w:p>
        </w:tc>
        <w:tc>
          <w:tcPr>
            <w:tcW w:w="992" w:type="dxa"/>
            <w:tcBorders>
              <w:top w:val="single" w:sz="4" w:space="0" w:color="auto"/>
              <w:left w:val="single" w:sz="4" w:space="0" w:color="auto"/>
              <w:bottom w:val="single" w:sz="8" w:space="0" w:color="auto"/>
              <w:right w:val="dotted" w:sz="2" w:space="0" w:color="auto"/>
            </w:tcBorders>
            <w:shd w:val="clear" w:color="auto" w:fill="006DA7"/>
          </w:tcPr>
          <w:p w14:paraId="59C1BE38" w14:textId="77777777" w:rsidR="00A162B4" w:rsidRPr="007B0533" w:rsidRDefault="00A162B4" w:rsidP="00EA2C2E">
            <w:pPr>
              <w:pStyle w:val="Tabletext"/>
              <w:keepNext/>
              <w:rPr>
                <w:rFonts w:asciiTheme="minorHAnsi" w:hAnsiTheme="minorHAnsi"/>
                <w:b/>
                <w:color w:val="FFFFFF" w:themeColor="background1"/>
                <w:szCs w:val="19"/>
              </w:rPr>
            </w:pPr>
            <w:r w:rsidRPr="007B0533">
              <w:rPr>
                <w:rFonts w:asciiTheme="minorHAnsi" w:hAnsiTheme="minorHAnsi"/>
                <w:b/>
                <w:color w:val="FFFFFF" w:themeColor="background1"/>
                <w:szCs w:val="19"/>
              </w:rPr>
              <w:t>Routine</w:t>
            </w:r>
          </w:p>
        </w:tc>
        <w:tc>
          <w:tcPr>
            <w:tcW w:w="1134" w:type="dxa"/>
            <w:tcBorders>
              <w:top w:val="single" w:sz="4" w:space="0" w:color="auto"/>
              <w:left w:val="dotted" w:sz="2" w:space="0" w:color="auto"/>
              <w:bottom w:val="single" w:sz="8" w:space="0" w:color="auto"/>
            </w:tcBorders>
            <w:shd w:val="clear" w:color="auto" w:fill="006DA7"/>
          </w:tcPr>
          <w:p w14:paraId="78AB4EBF" w14:textId="77777777" w:rsidR="00A162B4" w:rsidRPr="007B0533" w:rsidRDefault="00A162B4" w:rsidP="00EA2C2E">
            <w:pPr>
              <w:pStyle w:val="Tabletext"/>
              <w:keepNext/>
              <w:rPr>
                <w:rFonts w:asciiTheme="minorHAnsi" w:hAnsiTheme="minorHAnsi"/>
                <w:b/>
                <w:color w:val="FFFFFF" w:themeColor="background1"/>
                <w:szCs w:val="19"/>
              </w:rPr>
            </w:pPr>
            <w:r w:rsidRPr="007B0533">
              <w:rPr>
                <w:rFonts w:asciiTheme="minorHAnsi" w:hAnsiTheme="minorHAnsi"/>
                <w:b/>
                <w:color w:val="FFFFFF" w:themeColor="background1"/>
                <w:szCs w:val="19"/>
              </w:rPr>
              <w:t>Additional</w:t>
            </w:r>
          </w:p>
        </w:tc>
      </w:tr>
      <w:tr w:rsidR="00757CDB" w:rsidRPr="00757CDB" w14:paraId="1EDE9FA2" w14:textId="77777777" w:rsidTr="00EA2C2E">
        <w:trPr>
          <w:trHeight w:val="137"/>
          <w:jc w:val="center"/>
        </w:trPr>
        <w:tc>
          <w:tcPr>
            <w:tcW w:w="1250" w:type="dxa"/>
            <w:vMerge w:val="restart"/>
            <w:tcBorders>
              <w:top w:val="single" w:sz="8" w:space="0" w:color="auto"/>
            </w:tcBorders>
          </w:tcPr>
          <w:p w14:paraId="0C7D1B70" w14:textId="77777777" w:rsidR="00A162B4" w:rsidRPr="00757CDB" w:rsidRDefault="00A162B4" w:rsidP="00EA2C2E">
            <w:pPr>
              <w:pStyle w:val="Tabletext"/>
              <w:keepNext/>
              <w:rPr>
                <w:rFonts w:asciiTheme="minorHAnsi" w:hAnsiTheme="minorHAnsi"/>
                <w:szCs w:val="19"/>
              </w:rPr>
            </w:pPr>
            <w:r w:rsidRPr="00757CDB">
              <w:rPr>
                <w:rFonts w:asciiTheme="minorHAnsi" w:hAnsiTheme="minorHAnsi"/>
                <w:szCs w:val="19"/>
              </w:rPr>
              <w:t>Important identified risks</w:t>
            </w:r>
          </w:p>
        </w:tc>
        <w:tc>
          <w:tcPr>
            <w:tcW w:w="3135" w:type="dxa"/>
            <w:tcBorders>
              <w:top w:val="single" w:sz="8" w:space="0" w:color="auto"/>
              <w:bottom w:val="dotted" w:sz="2" w:space="0" w:color="auto"/>
              <w:right w:val="single" w:sz="4" w:space="0" w:color="auto"/>
            </w:tcBorders>
          </w:tcPr>
          <w:p w14:paraId="369254FB" w14:textId="77777777" w:rsidR="00A162B4" w:rsidRPr="00757CDB" w:rsidRDefault="00A162B4" w:rsidP="00A05BF6">
            <w:pPr>
              <w:pStyle w:val="Summaryofsafetyconcerns"/>
              <w:keepNext/>
              <w:keepLines/>
              <w:rPr>
                <w:rFonts w:asciiTheme="minorHAnsi" w:hAnsiTheme="minorHAnsi"/>
                <w:b w:val="0"/>
                <w:sz w:val="19"/>
                <w:szCs w:val="19"/>
              </w:rPr>
            </w:pPr>
            <w:r w:rsidRPr="00757CDB">
              <w:rPr>
                <w:rFonts w:asciiTheme="minorHAnsi" w:hAnsiTheme="minorHAnsi"/>
                <w:b w:val="0"/>
                <w:sz w:val="19"/>
                <w:szCs w:val="19"/>
              </w:rPr>
              <w:t>Malignancy (including lymphoma and leukaemia)</w:t>
            </w:r>
          </w:p>
        </w:tc>
        <w:tc>
          <w:tcPr>
            <w:tcW w:w="992" w:type="dxa"/>
            <w:tcBorders>
              <w:top w:val="single" w:sz="8" w:space="0" w:color="auto"/>
              <w:left w:val="single" w:sz="4" w:space="0" w:color="auto"/>
              <w:bottom w:val="dotted" w:sz="2" w:space="0" w:color="auto"/>
              <w:right w:val="dotted" w:sz="2" w:space="0" w:color="auto"/>
            </w:tcBorders>
          </w:tcPr>
          <w:p w14:paraId="26D2EAFD" w14:textId="77777777" w:rsidR="00A162B4" w:rsidRPr="00757CDB" w:rsidRDefault="00A162B4" w:rsidP="00EA2C2E">
            <w:pPr>
              <w:keepNext/>
              <w:jc w:val="center"/>
              <w:rPr>
                <w:rFonts w:asciiTheme="minorHAnsi" w:hAnsiTheme="minorHAnsi"/>
                <w:sz w:val="19"/>
                <w:szCs w:val="19"/>
              </w:rPr>
            </w:pPr>
            <w:r w:rsidRPr="00757CDB">
              <w:rPr>
                <w:rFonts w:asciiTheme="minorHAnsi" w:hAnsiTheme="minorHAnsi"/>
                <w:sz w:val="19"/>
                <w:szCs w:val="19"/>
              </w:rPr>
              <w:sym w:font="Wingdings" w:char="F0FC"/>
            </w:r>
          </w:p>
        </w:tc>
        <w:tc>
          <w:tcPr>
            <w:tcW w:w="1134" w:type="dxa"/>
            <w:tcBorders>
              <w:top w:val="single" w:sz="8" w:space="0" w:color="auto"/>
              <w:left w:val="dotted" w:sz="2" w:space="0" w:color="auto"/>
              <w:bottom w:val="dotted" w:sz="2" w:space="0" w:color="auto"/>
            </w:tcBorders>
          </w:tcPr>
          <w:p w14:paraId="048DC288" w14:textId="77777777" w:rsidR="00A162B4" w:rsidRPr="00757CDB" w:rsidRDefault="00A162B4" w:rsidP="00EA2C2E">
            <w:pPr>
              <w:keepNext/>
              <w:jc w:val="center"/>
              <w:rPr>
                <w:rFonts w:asciiTheme="minorHAnsi" w:hAnsiTheme="minorHAnsi"/>
                <w:sz w:val="19"/>
                <w:szCs w:val="19"/>
              </w:rPr>
            </w:pPr>
            <w:r w:rsidRPr="00757CDB">
              <w:rPr>
                <w:rFonts w:asciiTheme="minorHAnsi" w:hAnsiTheme="minorHAnsi"/>
                <w:sz w:val="19"/>
                <w:szCs w:val="19"/>
              </w:rPr>
              <w:sym w:font="Wingdings" w:char="F0FC"/>
            </w:r>
          </w:p>
        </w:tc>
        <w:tc>
          <w:tcPr>
            <w:tcW w:w="992" w:type="dxa"/>
            <w:tcBorders>
              <w:top w:val="single" w:sz="8" w:space="0" w:color="auto"/>
              <w:left w:val="single" w:sz="4" w:space="0" w:color="auto"/>
              <w:bottom w:val="dotted" w:sz="2" w:space="0" w:color="auto"/>
              <w:right w:val="dotted" w:sz="2" w:space="0" w:color="auto"/>
            </w:tcBorders>
          </w:tcPr>
          <w:p w14:paraId="4D6C8DFB" w14:textId="77777777" w:rsidR="00A162B4" w:rsidRPr="00757CDB" w:rsidRDefault="00A162B4" w:rsidP="00EA2C2E">
            <w:pPr>
              <w:keepNext/>
              <w:jc w:val="center"/>
              <w:rPr>
                <w:rFonts w:asciiTheme="minorHAnsi" w:hAnsiTheme="minorHAnsi"/>
                <w:sz w:val="19"/>
                <w:szCs w:val="19"/>
              </w:rPr>
            </w:pPr>
            <w:r w:rsidRPr="00757CDB">
              <w:rPr>
                <w:rFonts w:asciiTheme="minorHAnsi" w:hAnsiTheme="minorHAnsi"/>
                <w:sz w:val="19"/>
                <w:szCs w:val="19"/>
              </w:rPr>
              <w:sym w:font="Wingdings" w:char="F0FC"/>
            </w:r>
          </w:p>
        </w:tc>
        <w:tc>
          <w:tcPr>
            <w:tcW w:w="1134" w:type="dxa"/>
            <w:tcBorders>
              <w:top w:val="single" w:sz="8" w:space="0" w:color="auto"/>
              <w:left w:val="dotted" w:sz="2" w:space="0" w:color="auto"/>
              <w:bottom w:val="dotted" w:sz="2" w:space="0" w:color="auto"/>
            </w:tcBorders>
          </w:tcPr>
          <w:p w14:paraId="588FC753" w14:textId="77777777" w:rsidR="00A162B4" w:rsidRPr="00757CDB" w:rsidRDefault="00A162B4" w:rsidP="00EA2C2E">
            <w:pPr>
              <w:keepNext/>
              <w:jc w:val="center"/>
              <w:rPr>
                <w:rFonts w:asciiTheme="minorHAnsi" w:hAnsiTheme="minorHAnsi"/>
                <w:sz w:val="19"/>
                <w:szCs w:val="19"/>
              </w:rPr>
            </w:pPr>
            <w:r w:rsidRPr="00757CDB">
              <w:rPr>
                <w:rFonts w:asciiTheme="minorHAnsi" w:hAnsiTheme="minorHAnsi"/>
                <w:sz w:val="19"/>
                <w:szCs w:val="19"/>
              </w:rPr>
              <w:t>–</w:t>
            </w:r>
          </w:p>
        </w:tc>
      </w:tr>
      <w:tr w:rsidR="00757CDB" w:rsidRPr="00757CDB" w14:paraId="61DEB352" w14:textId="77777777" w:rsidTr="00EA2C2E">
        <w:trPr>
          <w:trHeight w:val="94"/>
          <w:jc w:val="center"/>
        </w:trPr>
        <w:tc>
          <w:tcPr>
            <w:tcW w:w="1250" w:type="dxa"/>
            <w:vMerge/>
          </w:tcPr>
          <w:p w14:paraId="5D9ED394" w14:textId="77777777" w:rsidR="00A162B4" w:rsidRPr="00757CDB" w:rsidRDefault="00A162B4" w:rsidP="00910BDC">
            <w:pPr>
              <w:pStyle w:val="Tabletext"/>
              <w:rPr>
                <w:rFonts w:asciiTheme="minorHAnsi" w:hAnsiTheme="minorHAnsi"/>
                <w:szCs w:val="19"/>
              </w:rPr>
            </w:pPr>
          </w:p>
        </w:tc>
        <w:tc>
          <w:tcPr>
            <w:tcW w:w="3135" w:type="dxa"/>
            <w:tcBorders>
              <w:top w:val="dotted" w:sz="2" w:space="0" w:color="auto"/>
              <w:bottom w:val="dotted" w:sz="2" w:space="0" w:color="auto"/>
              <w:right w:val="single" w:sz="4" w:space="0" w:color="auto"/>
            </w:tcBorders>
          </w:tcPr>
          <w:p w14:paraId="3127CAC7" w14:textId="77777777" w:rsidR="00A162B4" w:rsidRPr="00757CDB" w:rsidRDefault="00A162B4" w:rsidP="00910BDC">
            <w:pPr>
              <w:pStyle w:val="Summaryofsafetyconcerns"/>
              <w:keepNext/>
              <w:keepLines/>
              <w:rPr>
                <w:rFonts w:asciiTheme="minorHAnsi" w:hAnsiTheme="minorHAnsi"/>
                <w:b w:val="0"/>
                <w:sz w:val="19"/>
                <w:szCs w:val="19"/>
              </w:rPr>
            </w:pPr>
            <w:r w:rsidRPr="00757CDB">
              <w:rPr>
                <w:rFonts w:asciiTheme="minorHAnsi" w:hAnsiTheme="minorHAnsi"/>
                <w:b w:val="0"/>
                <w:sz w:val="19"/>
                <w:szCs w:val="19"/>
              </w:rPr>
              <w:t>Serious and opportunistic infections (including tuberculosis, legionella, listeria and parasitic infections)</w:t>
            </w:r>
          </w:p>
        </w:tc>
        <w:tc>
          <w:tcPr>
            <w:tcW w:w="992" w:type="dxa"/>
            <w:tcBorders>
              <w:top w:val="dotted" w:sz="2" w:space="0" w:color="auto"/>
              <w:left w:val="single" w:sz="4" w:space="0" w:color="auto"/>
              <w:bottom w:val="dotted" w:sz="2" w:space="0" w:color="auto"/>
              <w:right w:val="dotted" w:sz="2" w:space="0" w:color="auto"/>
            </w:tcBorders>
          </w:tcPr>
          <w:p w14:paraId="5E9B115A" w14:textId="77777777" w:rsidR="00A162B4" w:rsidRPr="00757CDB" w:rsidRDefault="00A162B4" w:rsidP="00910BDC">
            <w:pPr>
              <w:jc w:val="center"/>
              <w:rPr>
                <w:rFonts w:asciiTheme="minorHAnsi" w:hAnsiTheme="minorHAnsi"/>
                <w:sz w:val="19"/>
                <w:szCs w:val="19"/>
              </w:rPr>
            </w:pPr>
            <w:r w:rsidRPr="00757CDB">
              <w:rPr>
                <w:rFonts w:asciiTheme="minorHAnsi" w:hAnsiTheme="minorHAnsi"/>
                <w:sz w:val="19"/>
                <w:szCs w:val="19"/>
              </w:rPr>
              <w:sym w:font="Wingdings" w:char="F0FC"/>
            </w:r>
          </w:p>
        </w:tc>
        <w:tc>
          <w:tcPr>
            <w:tcW w:w="1134" w:type="dxa"/>
            <w:tcBorders>
              <w:top w:val="dotted" w:sz="2" w:space="0" w:color="auto"/>
              <w:left w:val="dotted" w:sz="2" w:space="0" w:color="auto"/>
              <w:bottom w:val="dotted" w:sz="2" w:space="0" w:color="auto"/>
            </w:tcBorders>
          </w:tcPr>
          <w:p w14:paraId="7DF59A75" w14:textId="77777777" w:rsidR="00A162B4" w:rsidRPr="00757CDB" w:rsidRDefault="00A162B4" w:rsidP="00910BDC">
            <w:pPr>
              <w:jc w:val="center"/>
              <w:rPr>
                <w:rFonts w:asciiTheme="minorHAnsi" w:hAnsiTheme="minorHAnsi"/>
                <w:sz w:val="19"/>
                <w:szCs w:val="19"/>
              </w:rPr>
            </w:pPr>
            <w:r w:rsidRPr="00757CDB">
              <w:rPr>
                <w:rFonts w:asciiTheme="minorHAnsi" w:hAnsiTheme="minorHAnsi"/>
                <w:sz w:val="19"/>
                <w:szCs w:val="19"/>
              </w:rPr>
              <w:sym w:font="Wingdings" w:char="F0FC"/>
            </w:r>
          </w:p>
        </w:tc>
        <w:tc>
          <w:tcPr>
            <w:tcW w:w="992" w:type="dxa"/>
            <w:tcBorders>
              <w:top w:val="dotted" w:sz="2" w:space="0" w:color="auto"/>
              <w:left w:val="single" w:sz="4" w:space="0" w:color="auto"/>
              <w:bottom w:val="dotted" w:sz="2" w:space="0" w:color="auto"/>
              <w:right w:val="dotted" w:sz="2" w:space="0" w:color="auto"/>
            </w:tcBorders>
          </w:tcPr>
          <w:p w14:paraId="523388DE" w14:textId="77777777" w:rsidR="00A162B4" w:rsidRPr="00757CDB" w:rsidRDefault="00A162B4" w:rsidP="00910BDC">
            <w:pPr>
              <w:jc w:val="center"/>
              <w:rPr>
                <w:rFonts w:asciiTheme="minorHAnsi" w:hAnsiTheme="minorHAnsi"/>
                <w:sz w:val="19"/>
                <w:szCs w:val="19"/>
              </w:rPr>
            </w:pPr>
            <w:r w:rsidRPr="00757CDB">
              <w:rPr>
                <w:rFonts w:asciiTheme="minorHAnsi" w:hAnsiTheme="minorHAnsi"/>
                <w:sz w:val="19"/>
                <w:szCs w:val="19"/>
              </w:rPr>
              <w:sym w:font="Wingdings" w:char="F0FC"/>
            </w:r>
          </w:p>
        </w:tc>
        <w:tc>
          <w:tcPr>
            <w:tcW w:w="1134" w:type="dxa"/>
            <w:tcBorders>
              <w:top w:val="dotted" w:sz="2" w:space="0" w:color="auto"/>
              <w:left w:val="dotted" w:sz="2" w:space="0" w:color="auto"/>
              <w:bottom w:val="dotted" w:sz="2" w:space="0" w:color="auto"/>
            </w:tcBorders>
          </w:tcPr>
          <w:p w14:paraId="1E168AFC" w14:textId="77777777" w:rsidR="00A162B4" w:rsidRPr="00757CDB" w:rsidRDefault="00A162B4" w:rsidP="00910BDC">
            <w:pPr>
              <w:ind w:left="360"/>
              <w:rPr>
                <w:rFonts w:asciiTheme="minorHAnsi" w:hAnsiTheme="minorHAnsi"/>
                <w:sz w:val="19"/>
                <w:szCs w:val="19"/>
              </w:rPr>
            </w:pPr>
            <w:r w:rsidRPr="00757CDB">
              <w:rPr>
                <w:rFonts w:asciiTheme="minorHAnsi" w:hAnsiTheme="minorHAnsi"/>
                <w:sz w:val="19"/>
                <w:szCs w:val="19"/>
              </w:rPr>
              <w:sym w:font="Wingdings" w:char="F0FC"/>
            </w:r>
            <w:r w:rsidRPr="00757CDB">
              <w:rPr>
                <w:rFonts w:asciiTheme="minorHAnsi" w:hAnsiTheme="minorHAnsi"/>
                <w:sz w:val="19"/>
                <w:szCs w:val="19"/>
              </w:rPr>
              <w:t xml:space="preserve"> *</w:t>
            </w:r>
          </w:p>
        </w:tc>
      </w:tr>
      <w:tr w:rsidR="00757CDB" w:rsidRPr="00757CDB" w14:paraId="15239B10" w14:textId="77777777" w:rsidTr="00EA2C2E">
        <w:trPr>
          <w:trHeight w:val="94"/>
          <w:jc w:val="center"/>
        </w:trPr>
        <w:tc>
          <w:tcPr>
            <w:tcW w:w="1250" w:type="dxa"/>
            <w:vMerge/>
          </w:tcPr>
          <w:p w14:paraId="37923F76" w14:textId="77777777" w:rsidR="00A162B4" w:rsidRPr="00757CDB" w:rsidRDefault="00A162B4" w:rsidP="00910BDC">
            <w:pPr>
              <w:pStyle w:val="Tabletext"/>
              <w:rPr>
                <w:rFonts w:asciiTheme="minorHAnsi" w:hAnsiTheme="minorHAnsi"/>
                <w:szCs w:val="19"/>
              </w:rPr>
            </w:pPr>
          </w:p>
        </w:tc>
        <w:tc>
          <w:tcPr>
            <w:tcW w:w="3135" w:type="dxa"/>
            <w:tcBorders>
              <w:top w:val="dotted" w:sz="2" w:space="0" w:color="auto"/>
              <w:bottom w:val="dotted" w:sz="2" w:space="0" w:color="auto"/>
              <w:right w:val="single" w:sz="4" w:space="0" w:color="auto"/>
            </w:tcBorders>
          </w:tcPr>
          <w:p w14:paraId="00995036" w14:textId="77777777" w:rsidR="00A162B4" w:rsidRPr="00757CDB" w:rsidRDefault="00A162B4" w:rsidP="00910BDC">
            <w:pPr>
              <w:pStyle w:val="Summaryofsafetyconcerns"/>
              <w:keepNext/>
              <w:keepLines/>
              <w:rPr>
                <w:rFonts w:asciiTheme="minorHAnsi" w:hAnsiTheme="minorHAnsi"/>
                <w:b w:val="0"/>
                <w:sz w:val="19"/>
                <w:szCs w:val="19"/>
              </w:rPr>
            </w:pPr>
            <w:r w:rsidRPr="00757CDB">
              <w:rPr>
                <w:rFonts w:asciiTheme="minorHAnsi" w:hAnsiTheme="minorHAnsi"/>
                <w:b w:val="0"/>
                <w:sz w:val="19"/>
                <w:szCs w:val="19"/>
              </w:rPr>
              <w:t>Lupus-like reactions</w:t>
            </w:r>
          </w:p>
        </w:tc>
        <w:tc>
          <w:tcPr>
            <w:tcW w:w="992" w:type="dxa"/>
            <w:tcBorders>
              <w:top w:val="dotted" w:sz="2" w:space="0" w:color="auto"/>
              <w:left w:val="single" w:sz="4" w:space="0" w:color="auto"/>
              <w:bottom w:val="dotted" w:sz="2" w:space="0" w:color="auto"/>
              <w:right w:val="dotted" w:sz="2" w:space="0" w:color="auto"/>
            </w:tcBorders>
          </w:tcPr>
          <w:p w14:paraId="14A6DFE4" w14:textId="77777777" w:rsidR="00A162B4" w:rsidRPr="00757CDB" w:rsidRDefault="00A162B4" w:rsidP="00910BDC">
            <w:pPr>
              <w:jc w:val="center"/>
              <w:rPr>
                <w:rFonts w:asciiTheme="minorHAnsi" w:hAnsiTheme="minorHAnsi"/>
                <w:sz w:val="19"/>
                <w:szCs w:val="19"/>
              </w:rPr>
            </w:pPr>
            <w:r w:rsidRPr="00757CDB">
              <w:rPr>
                <w:rFonts w:asciiTheme="minorHAnsi" w:hAnsiTheme="minorHAnsi"/>
                <w:sz w:val="19"/>
                <w:szCs w:val="19"/>
              </w:rPr>
              <w:sym w:font="Wingdings" w:char="F0FC"/>
            </w:r>
          </w:p>
        </w:tc>
        <w:tc>
          <w:tcPr>
            <w:tcW w:w="1134" w:type="dxa"/>
            <w:tcBorders>
              <w:top w:val="dotted" w:sz="2" w:space="0" w:color="auto"/>
              <w:left w:val="dotted" w:sz="2" w:space="0" w:color="auto"/>
              <w:bottom w:val="dotted" w:sz="2" w:space="0" w:color="auto"/>
            </w:tcBorders>
          </w:tcPr>
          <w:p w14:paraId="60E7F11D" w14:textId="77777777" w:rsidR="00A162B4" w:rsidRPr="00757CDB" w:rsidRDefault="00A162B4" w:rsidP="00910BDC">
            <w:pPr>
              <w:jc w:val="center"/>
              <w:rPr>
                <w:rFonts w:asciiTheme="minorHAnsi" w:hAnsiTheme="minorHAnsi"/>
                <w:sz w:val="19"/>
                <w:szCs w:val="19"/>
              </w:rPr>
            </w:pPr>
            <w:r w:rsidRPr="00757CDB">
              <w:rPr>
                <w:rFonts w:asciiTheme="minorHAnsi" w:hAnsiTheme="minorHAnsi"/>
                <w:sz w:val="19"/>
                <w:szCs w:val="19"/>
              </w:rPr>
              <w:sym w:font="Wingdings" w:char="F0FC"/>
            </w:r>
          </w:p>
        </w:tc>
        <w:tc>
          <w:tcPr>
            <w:tcW w:w="992" w:type="dxa"/>
            <w:tcBorders>
              <w:top w:val="dotted" w:sz="2" w:space="0" w:color="auto"/>
              <w:left w:val="single" w:sz="4" w:space="0" w:color="auto"/>
              <w:bottom w:val="dotted" w:sz="2" w:space="0" w:color="auto"/>
              <w:right w:val="dotted" w:sz="2" w:space="0" w:color="auto"/>
            </w:tcBorders>
          </w:tcPr>
          <w:p w14:paraId="3D19CF39" w14:textId="77777777" w:rsidR="00A162B4" w:rsidRPr="00757CDB" w:rsidRDefault="00A162B4" w:rsidP="00910BDC">
            <w:pPr>
              <w:jc w:val="center"/>
              <w:rPr>
                <w:rFonts w:asciiTheme="minorHAnsi" w:hAnsiTheme="minorHAnsi"/>
                <w:sz w:val="19"/>
                <w:szCs w:val="19"/>
              </w:rPr>
            </w:pPr>
            <w:r w:rsidRPr="00757CDB">
              <w:rPr>
                <w:rFonts w:asciiTheme="minorHAnsi" w:hAnsiTheme="minorHAnsi"/>
                <w:sz w:val="19"/>
                <w:szCs w:val="19"/>
              </w:rPr>
              <w:sym w:font="Wingdings" w:char="F0FC"/>
            </w:r>
          </w:p>
        </w:tc>
        <w:tc>
          <w:tcPr>
            <w:tcW w:w="1134" w:type="dxa"/>
            <w:tcBorders>
              <w:top w:val="dotted" w:sz="2" w:space="0" w:color="auto"/>
              <w:left w:val="dotted" w:sz="2" w:space="0" w:color="auto"/>
              <w:bottom w:val="dotted" w:sz="2" w:space="0" w:color="auto"/>
            </w:tcBorders>
          </w:tcPr>
          <w:p w14:paraId="222F8C3C" w14:textId="77777777" w:rsidR="00A162B4" w:rsidRPr="00757CDB" w:rsidRDefault="00A162B4" w:rsidP="00910BDC">
            <w:pPr>
              <w:jc w:val="center"/>
              <w:rPr>
                <w:rFonts w:asciiTheme="minorHAnsi" w:hAnsiTheme="minorHAnsi"/>
                <w:sz w:val="19"/>
                <w:szCs w:val="19"/>
              </w:rPr>
            </w:pPr>
            <w:r w:rsidRPr="00757CDB">
              <w:rPr>
                <w:rFonts w:asciiTheme="minorHAnsi" w:hAnsiTheme="minorHAnsi"/>
                <w:sz w:val="19"/>
                <w:szCs w:val="19"/>
              </w:rPr>
              <w:t>–</w:t>
            </w:r>
          </w:p>
        </w:tc>
      </w:tr>
      <w:tr w:rsidR="00757CDB" w:rsidRPr="00757CDB" w14:paraId="5AB7A7FF" w14:textId="77777777" w:rsidTr="00EA2C2E">
        <w:trPr>
          <w:trHeight w:val="94"/>
          <w:jc w:val="center"/>
        </w:trPr>
        <w:tc>
          <w:tcPr>
            <w:tcW w:w="1250" w:type="dxa"/>
            <w:vMerge/>
          </w:tcPr>
          <w:p w14:paraId="1200704F" w14:textId="77777777" w:rsidR="00A162B4" w:rsidRPr="00757CDB" w:rsidRDefault="00A162B4" w:rsidP="00910BDC">
            <w:pPr>
              <w:pStyle w:val="Tabletext"/>
              <w:rPr>
                <w:rFonts w:asciiTheme="minorHAnsi" w:hAnsiTheme="minorHAnsi"/>
                <w:szCs w:val="19"/>
              </w:rPr>
            </w:pPr>
          </w:p>
        </w:tc>
        <w:tc>
          <w:tcPr>
            <w:tcW w:w="3135" w:type="dxa"/>
            <w:tcBorders>
              <w:top w:val="dotted" w:sz="2" w:space="0" w:color="auto"/>
              <w:bottom w:val="dotted" w:sz="2" w:space="0" w:color="auto"/>
              <w:right w:val="single" w:sz="4" w:space="0" w:color="auto"/>
            </w:tcBorders>
          </w:tcPr>
          <w:p w14:paraId="35E142B8" w14:textId="77777777" w:rsidR="00A162B4" w:rsidRPr="00757CDB" w:rsidRDefault="00A162B4" w:rsidP="00910BDC">
            <w:pPr>
              <w:pStyle w:val="Summaryofsafetyconcerns"/>
              <w:keepNext/>
              <w:keepLines/>
              <w:rPr>
                <w:rFonts w:asciiTheme="minorHAnsi" w:hAnsiTheme="minorHAnsi"/>
                <w:b w:val="0"/>
                <w:sz w:val="19"/>
                <w:szCs w:val="19"/>
              </w:rPr>
            </w:pPr>
            <w:r w:rsidRPr="00757CDB">
              <w:rPr>
                <w:rFonts w:asciiTheme="minorHAnsi" w:hAnsiTheme="minorHAnsi"/>
                <w:b w:val="0"/>
                <w:sz w:val="19"/>
                <w:szCs w:val="19"/>
              </w:rPr>
              <w:t>Sarcoidosis and/or granulomas</w:t>
            </w:r>
          </w:p>
        </w:tc>
        <w:tc>
          <w:tcPr>
            <w:tcW w:w="992" w:type="dxa"/>
            <w:tcBorders>
              <w:top w:val="dotted" w:sz="2" w:space="0" w:color="auto"/>
              <w:left w:val="single" w:sz="4" w:space="0" w:color="auto"/>
              <w:bottom w:val="dotted" w:sz="2" w:space="0" w:color="auto"/>
              <w:right w:val="dotted" w:sz="2" w:space="0" w:color="auto"/>
            </w:tcBorders>
          </w:tcPr>
          <w:p w14:paraId="1DC95347" w14:textId="77777777" w:rsidR="00A162B4" w:rsidRPr="00757CDB" w:rsidRDefault="00A162B4" w:rsidP="00910BDC">
            <w:pPr>
              <w:jc w:val="center"/>
              <w:rPr>
                <w:rFonts w:asciiTheme="minorHAnsi" w:hAnsiTheme="minorHAnsi"/>
                <w:sz w:val="19"/>
                <w:szCs w:val="19"/>
              </w:rPr>
            </w:pPr>
            <w:r w:rsidRPr="00757CDB">
              <w:rPr>
                <w:rFonts w:asciiTheme="minorHAnsi" w:hAnsiTheme="minorHAnsi"/>
                <w:sz w:val="19"/>
                <w:szCs w:val="19"/>
              </w:rPr>
              <w:sym w:font="Wingdings" w:char="F0FC"/>
            </w:r>
          </w:p>
        </w:tc>
        <w:tc>
          <w:tcPr>
            <w:tcW w:w="1134" w:type="dxa"/>
            <w:tcBorders>
              <w:top w:val="dotted" w:sz="2" w:space="0" w:color="auto"/>
              <w:left w:val="dotted" w:sz="2" w:space="0" w:color="auto"/>
              <w:bottom w:val="dotted" w:sz="2" w:space="0" w:color="auto"/>
            </w:tcBorders>
          </w:tcPr>
          <w:p w14:paraId="4F8C9ABE" w14:textId="77777777" w:rsidR="00A162B4" w:rsidRPr="00757CDB" w:rsidRDefault="00A162B4" w:rsidP="00910BDC">
            <w:pPr>
              <w:jc w:val="center"/>
              <w:rPr>
                <w:rFonts w:asciiTheme="minorHAnsi" w:hAnsiTheme="minorHAnsi"/>
                <w:sz w:val="19"/>
                <w:szCs w:val="19"/>
              </w:rPr>
            </w:pPr>
            <w:r w:rsidRPr="00757CDB">
              <w:rPr>
                <w:rFonts w:asciiTheme="minorHAnsi" w:hAnsiTheme="minorHAnsi"/>
                <w:sz w:val="19"/>
                <w:szCs w:val="19"/>
              </w:rPr>
              <w:sym w:font="Wingdings" w:char="F0FC"/>
            </w:r>
          </w:p>
        </w:tc>
        <w:tc>
          <w:tcPr>
            <w:tcW w:w="992" w:type="dxa"/>
            <w:tcBorders>
              <w:top w:val="dotted" w:sz="2" w:space="0" w:color="auto"/>
              <w:left w:val="single" w:sz="4" w:space="0" w:color="auto"/>
              <w:bottom w:val="dotted" w:sz="2" w:space="0" w:color="auto"/>
              <w:right w:val="dotted" w:sz="2" w:space="0" w:color="auto"/>
            </w:tcBorders>
          </w:tcPr>
          <w:p w14:paraId="60193D98" w14:textId="77777777" w:rsidR="00A162B4" w:rsidRPr="00757CDB" w:rsidRDefault="00A162B4" w:rsidP="00910BDC">
            <w:pPr>
              <w:jc w:val="center"/>
              <w:rPr>
                <w:rFonts w:asciiTheme="minorHAnsi" w:hAnsiTheme="minorHAnsi"/>
                <w:sz w:val="19"/>
                <w:szCs w:val="19"/>
              </w:rPr>
            </w:pPr>
            <w:r w:rsidRPr="00757CDB">
              <w:rPr>
                <w:rFonts w:asciiTheme="minorHAnsi" w:hAnsiTheme="minorHAnsi"/>
                <w:sz w:val="19"/>
                <w:szCs w:val="19"/>
              </w:rPr>
              <w:sym w:font="Wingdings" w:char="F0FC"/>
            </w:r>
          </w:p>
        </w:tc>
        <w:tc>
          <w:tcPr>
            <w:tcW w:w="1134" w:type="dxa"/>
            <w:tcBorders>
              <w:top w:val="dotted" w:sz="2" w:space="0" w:color="auto"/>
              <w:left w:val="dotted" w:sz="2" w:space="0" w:color="auto"/>
              <w:bottom w:val="dotted" w:sz="2" w:space="0" w:color="auto"/>
            </w:tcBorders>
          </w:tcPr>
          <w:p w14:paraId="435CD080" w14:textId="77777777" w:rsidR="00A162B4" w:rsidRPr="00757CDB" w:rsidRDefault="00A162B4" w:rsidP="00910BDC">
            <w:pPr>
              <w:jc w:val="center"/>
              <w:rPr>
                <w:rFonts w:asciiTheme="minorHAnsi" w:hAnsiTheme="minorHAnsi"/>
                <w:sz w:val="19"/>
                <w:szCs w:val="19"/>
              </w:rPr>
            </w:pPr>
            <w:r w:rsidRPr="00757CDB">
              <w:rPr>
                <w:rFonts w:asciiTheme="minorHAnsi" w:hAnsiTheme="minorHAnsi"/>
                <w:sz w:val="19"/>
                <w:szCs w:val="19"/>
              </w:rPr>
              <w:t>–</w:t>
            </w:r>
          </w:p>
        </w:tc>
      </w:tr>
      <w:tr w:rsidR="00757CDB" w:rsidRPr="00757CDB" w14:paraId="589B02BF" w14:textId="77777777" w:rsidTr="00EA2C2E">
        <w:trPr>
          <w:trHeight w:val="94"/>
          <w:jc w:val="center"/>
        </w:trPr>
        <w:tc>
          <w:tcPr>
            <w:tcW w:w="1250" w:type="dxa"/>
            <w:vMerge/>
          </w:tcPr>
          <w:p w14:paraId="52B4D83F" w14:textId="77777777" w:rsidR="00A162B4" w:rsidRPr="00757CDB" w:rsidRDefault="00A162B4" w:rsidP="00910BDC">
            <w:pPr>
              <w:pStyle w:val="Tabletext"/>
              <w:rPr>
                <w:rFonts w:asciiTheme="minorHAnsi" w:hAnsiTheme="minorHAnsi"/>
                <w:szCs w:val="19"/>
              </w:rPr>
            </w:pPr>
          </w:p>
        </w:tc>
        <w:tc>
          <w:tcPr>
            <w:tcW w:w="3135" w:type="dxa"/>
            <w:tcBorders>
              <w:top w:val="dotted" w:sz="2" w:space="0" w:color="auto"/>
              <w:bottom w:val="dotted" w:sz="2" w:space="0" w:color="auto"/>
              <w:right w:val="single" w:sz="4" w:space="0" w:color="auto"/>
            </w:tcBorders>
          </w:tcPr>
          <w:p w14:paraId="7ED8D754" w14:textId="77777777" w:rsidR="00A162B4" w:rsidRPr="00757CDB" w:rsidRDefault="00A162B4" w:rsidP="00910BDC">
            <w:pPr>
              <w:pStyle w:val="Summaryofsafetyconcerns"/>
              <w:keepNext/>
              <w:keepLines/>
              <w:rPr>
                <w:rFonts w:asciiTheme="minorHAnsi" w:hAnsiTheme="minorHAnsi"/>
                <w:b w:val="0"/>
                <w:sz w:val="19"/>
                <w:szCs w:val="19"/>
              </w:rPr>
            </w:pPr>
            <w:r w:rsidRPr="00757CDB">
              <w:rPr>
                <w:rFonts w:asciiTheme="minorHAnsi" w:hAnsiTheme="minorHAnsi"/>
                <w:b w:val="0"/>
                <w:sz w:val="19"/>
                <w:szCs w:val="19"/>
              </w:rPr>
              <w:t>Allergic reactions</w:t>
            </w:r>
          </w:p>
        </w:tc>
        <w:tc>
          <w:tcPr>
            <w:tcW w:w="992" w:type="dxa"/>
            <w:tcBorders>
              <w:top w:val="dotted" w:sz="2" w:space="0" w:color="auto"/>
              <w:left w:val="single" w:sz="4" w:space="0" w:color="auto"/>
              <w:bottom w:val="dotted" w:sz="2" w:space="0" w:color="auto"/>
              <w:right w:val="dotted" w:sz="2" w:space="0" w:color="auto"/>
            </w:tcBorders>
          </w:tcPr>
          <w:p w14:paraId="5FC9A7AD" w14:textId="77777777" w:rsidR="00A162B4" w:rsidRPr="00757CDB" w:rsidRDefault="00A162B4" w:rsidP="00910BDC">
            <w:pPr>
              <w:jc w:val="center"/>
              <w:rPr>
                <w:rFonts w:asciiTheme="minorHAnsi" w:hAnsiTheme="minorHAnsi"/>
                <w:sz w:val="19"/>
                <w:szCs w:val="19"/>
              </w:rPr>
            </w:pPr>
            <w:r w:rsidRPr="00757CDB">
              <w:rPr>
                <w:rFonts w:asciiTheme="minorHAnsi" w:hAnsiTheme="minorHAnsi"/>
                <w:sz w:val="19"/>
                <w:szCs w:val="19"/>
              </w:rPr>
              <w:sym w:font="Wingdings" w:char="F0FC"/>
            </w:r>
          </w:p>
        </w:tc>
        <w:tc>
          <w:tcPr>
            <w:tcW w:w="1134" w:type="dxa"/>
            <w:tcBorders>
              <w:top w:val="dotted" w:sz="2" w:space="0" w:color="auto"/>
              <w:left w:val="dotted" w:sz="2" w:space="0" w:color="auto"/>
              <w:bottom w:val="dotted" w:sz="2" w:space="0" w:color="auto"/>
            </w:tcBorders>
          </w:tcPr>
          <w:p w14:paraId="563282EB" w14:textId="77777777" w:rsidR="00A162B4" w:rsidRPr="00757CDB" w:rsidRDefault="00A162B4" w:rsidP="00910BDC">
            <w:pPr>
              <w:jc w:val="center"/>
              <w:rPr>
                <w:rFonts w:asciiTheme="minorHAnsi" w:hAnsiTheme="minorHAnsi"/>
                <w:sz w:val="19"/>
                <w:szCs w:val="19"/>
              </w:rPr>
            </w:pPr>
            <w:r w:rsidRPr="00757CDB">
              <w:rPr>
                <w:rFonts w:asciiTheme="minorHAnsi" w:hAnsiTheme="minorHAnsi"/>
                <w:sz w:val="19"/>
                <w:szCs w:val="19"/>
              </w:rPr>
              <w:sym w:font="Wingdings" w:char="F0FC"/>
            </w:r>
          </w:p>
        </w:tc>
        <w:tc>
          <w:tcPr>
            <w:tcW w:w="992" w:type="dxa"/>
            <w:tcBorders>
              <w:top w:val="dotted" w:sz="2" w:space="0" w:color="auto"/>
              <w:left w:val="single" w:sz="4" w:space="0" w:color="auto"/>
              <w:bottom w:val="dotted" w:sz="2" w:space="0" w:color="auto"/>
              <w:right w:val="dotted" w:sz="2" w:space="0" w:color="auto"/>
            </w:tcBorders>
          </w:tcPr>
          <w:p w14:paraId="6AD560DD" w14:textId="77777777" w:rsidR="00A162B4" w:rsidRPr="00757CDB" w:rsidRDefault="00A162B4" w:rsidP="00910BDC">
            <w:pPr>
              <w:jc w:val="center"/>
              <w:rPr>
                <w:rFonts w:asciiTheme="minorHAnsi" w:hAnsiTheme="minorHAnsi"/>
                <w:sz w:val="19"/>
                <w:szCs w:val="19"/>
              </w:rPr>
            </w:pPr>
            <w:r w:rsidRPr="00757CDB">
              <w:rPr>
                <w:rFonts w:asciiTheme="minorHAnsi" w:hAnsiTheme="minorHAnsi"/>
                <w:sz w:val="19"/>
                <w:szCs w:val="19"/>
              </w:rPr>
              <w:sym w:font="Wingdings" w:char="F0FC"/>
            </w:r>
          </w:p>
        </w:tc>
        <w:tc>
          <w:tcPr>
            <w:tcW w:w="1134" w:type="dxa"/>
            <w:tcBorders>
              <w:top w:val="dotted" w:sz="2" w:space="0" w:color="auto"/>
              <w:left w:val="dotted" w:sz="2" w:space="0" w:color="auto"/>
              <w:bottom w:val="dotted" w:sz="2" w:space="0" w:color="auto"/>
            </w:tcBorders>
          </w:tcPr>
          <w:p w14:paraId="16F1E2EB" w14:textId="77777777" w:rsidR="00A162B4" w:rsidRPr="00757CDB" w:rsidRDefault="00A162B4" w:rsidP="00910BDC">
            <w:pPr>
              <w:jc w:val="center"/>
              <w:rPr>
                <w:rFonts w:asciiTheme="minorHAnsi" w:hAnsiTheme="minorHAnsi"/>
                <w:sz w:val="19"/>
                <w:szCs w:val="19"/>
              </w:rPr>
            </w:pPr>
            <w:r w:rsidRPr="00757CDB">
              <w:rPr>
                <w:rFonts w:asciiTheme="minorHAnsi" w:hAnsiTheme="minorHAnsi"/>
                <w:sz w:val="19"/>
                <w:szCs w:val="19"/>
              </w:rPr>
              <w:t>–</w:t>
            </w:r>
          </w:p>
        </w:tc>
      </w:tr>
      <w:tr w:rsidR="00757CDB" w:rsidRPr="00757CDB" w14:paraId="5B38EA1F" w14:textId="77777777" w:rsidTr="00EA2C2E">
        <w:trPr>
          <w:trHeight w:val="94"/>
          <w:jc w:val="center"/>
        </w:trPr>
        <w:tc>
          <w:tcPr>
            <w:tcW w:w="1250" w:type="dxa"/>
            <w:vMerge/>
          </w:tcPr>
          <w:p w14:paraId="4DC54E20" w14:textId="77777777" w:rsidR="00A162B4" w:rsidRPr="00757CDB" w:rsidRDefault="00A162B4" w:rsidP="00910BDC">
            <w:pPr>
              <w:pStyle w:val="Tabletext"/>
              <w:rPr>
                <w:rFonts w:asciiTheme="minorHAnsi" w:hAnsiTheme="minorHAnsi"/>
                <w:szCs w:val="19"/>
              </w:rPr>
            </w:pPr>
          </w:p>
        </w:tc>
        <w:tc>
          <w:tcPr>
            <w:tcW w:w="3135" w:type="dxa"/>
            <w:tcBorders>
              <w:top w:val="dotted" w:sz="2" w:space="0" w:color="auto"/>
              <w:bottom w:val="dotted" w:sz="2" w:space="0" w:color="auto"/>
              <w:right w:val="single" w:sz="4" w:space="0" w:color="auto"/>
            </w:tcBorders>
          </w:tcPr>
          <w:p w14:paraId="2552FB51" w14:textId="24FC39EE" w:rsidR="00A162B4" w:rsidRPr="00757CDB" w:rsidRDefault="00A162B4" w:rsidP="00ED0BA0">
            <w:pPr>
              <w:pStyle w:val="Summaryofsafetyconcerns"/>
              <w:keepNext/>
              <w:keepLines/>
              <w:rPr>
                <w:rFonts w:asciiTheme="minorHAnsi" w:hAnsiTheme="minorHAnsi"/>
                <w:b w:val="0"/>
                <w:sz w:val="19"/>
                <w:szCs w:val="19"/>
              </w:rPr>
            </w:pPr>
            <w:r w:rsidRPr="00757CDB">
              <w:rPr>
                <w:rFonts w:asciiTheme="minorHAnsi" w:hAnsiTheme="minorHAnsi"/>
                <w:b w:val="0"/>
                <w:sz w:val="19"/>
                <w:szCs w:val="19"/>
              </w:rPr>
              <w:t xml:space="preserve">Severe cutaneous adverse reactions, including </w:t>
            </w:r>
            <w:r w:rsidR="00757CDB" w:rsidRPr="00757CDB">
              <w:rPr>
                <w:rFonts w:asciiTheme="minorHAnsi" w:hAnsiTheme="minorHAnsi"/>
                <w:b w:val="0"/>
                <w:sz w:val="19"/>
                <w:szCs w:val="19"/>
              </w:rPr>
              <w:t>toxic epidermal necrolysis</w:t>
            </w:r>
            <w:r w:rsidRPr="00757CDB">
              <w:rPr>
                <w:rFonts w:asciiTheme="minorHAnsi" w:hAnsiTheme="minorHAnsi"/>
                <w:b w:val="0"/>
                <w:sz w:val="19"/>
                <w:szCs w:val="19"/>
              </w:rPr>
              <w:t xml:space="preserve"> a</w:t>
            </w:r>
            <w:r w:rsidR="00ED0BA0">
              <w:rPr>
                <w:rFonts w:asciiTheme="minorHAnsi" w:hAnsiTheme="minorHAnsi"/>
                <w:b w:val="0"/>
                <w:sz w:val="19"/>
                <w:szCs w:val="19"/>
              </w:rPr>
              <w:t>nd Stevens Johnson Syndrome</w:t>
            </w:r>
          </w:p>
        </w:tc>
        <w:tc>
          <w:tcPr>
            <w:tcW w:w="992" w:type="dxa"/>
            <w:tcBorders>
              <w:top w:val="dotted" w:sz="2" w:space="0" w:color="auto"/>
              <w:left w:val="single" w:sz="4" w:space="0" w:color="auto"/>
              <w:bottom w:val="dotted" w:sz="2" w:space="0" w:color="auto"/>
              <w:right w:val="dotted" w:sz="2" w:space="0" w:color="auto"/>
            </w:tcBorders>
          </w:tcPr>
          <w:p w14:paraId="7B801628" w14:textId="77777777" w:rsidR="00A162B4" w:rsidRPr="00757CDB" w:rsidRDefault="00A162B4" w:rsidP="00910BDC">
            <w:pPr>
              <w:jc w:val="center"/>
              <w:rPr>
                <w:rFonts w:asciiTheme="minorHAnsi" w:hAnsiTheme="minorHAnsi"/>
                <w:sz w:val="19"/>
                <w:szCs w:val="19"/>
              </w:rPr>
            </w:pPr>
            <w:r w:rsidRPr="00757CDB">
              <w:rPr>
                <w:rFonts w:asciiTheme="minorHAnsi" w:hAnsiTheme="minorHAnsi"/>
                <w:sz w:val="19"/>
                <w:szCs w:val="19"/>
              </w:rPr>
              <w:sym w:font="Wingdings" w:char="F0FC"/>
            </w:r>
          </w:p>
        </w:tc>
        <w:tc>
          <w:tcPr>
            <w:tcW w:w="1134" w:type="dxa"/>
            <w:tcBorders>
              <w:top w:val="dotted" w:sz="2" w:space="0" w:color="auto"/>
              <w:left w:val="dotted" w:sz="2" w:space="0" w:color="auto"/>
              <w:bottom w:val="dotted" w:sz="2" w:space="0" w:color="auto"/>
            </w:tcBorders>
          </w:tcPr>
          <w:p w14:paraId="7BDF0486" w14:textId="77777777" w:rsidR="00A162B4" w:rsidRPr="00757CDB" w:rsidRDefault="00A162B4" w:rsidP="00910BDC">
            <w:pPr>
              <w:jc w:val="center"/>
              <w:rPr>
                <w:rFonts w:asciiTheme="minorHAnsi" w:hAnsiTheme="minorHAnsi"/>
                <w:sz w:val="19"/>
                <w:szCs w:val="19"/>
              </w:rPr>
            </w:pPr>
            <w:r w:rsidRPr="00757CDB">
              <w:rPr>
                <w:rFonts w:asciiTheme="minorHAnsi" w:hAnsiTheme="minorHAnsi"/>
                <w:sz w:val="19"/>
                <w:szCs w:val="19"/>
              </w:rPr>
              <w:sym w:font="Wingdings" w:char="F0FC"/>
            </w:r>
          </w:p>
        </w:tc>
        <w:tc>
          <w:tcPr>
            <w:tcW w:w="992" w:type="dxa"/>
            <w:tcBorders>
              <w:top w:val="dotted" w:sz="2" w:space="0" w:color="auto"/>
              <w:left w:val="single" w:sz="4" w:space="0" w:color="auto"/>
              <w:bottom w:val="dotted" w:sz="2" w:space="0" w:color="auto"/>
              <w:right w:val="dotted" w:sz="2" w:space="0" w:color="auto"/>
            </w:tcBorders>
          </w:tcPr>
          <w:p w14:paraId="35BD7C98" w14:textId="77777777" w:rsidR="00A162B4" w:rsidRPr="00757CDB" w:rsidRDefault="00A162B4" w:rsidP="00910BDC">
            <w:pPr>
              <w:jc w:val="center"/>
              <w:rPr>
                <w:rFonts w:asciiTheme="minorHAnsi" w:hAnsiTheme="minorHAnsi"/>
                <w:sz w:val="19"/>
                <w:szCs w:val="19"/>
              </w:rPr>
            </w:pPr>
            <w:r w:rsidRPr="00757CDB">
              <w:rPr>
                <w:rFonts w:asciiTheme="minorHAnsi" w:hAnsiTheme="minorHAnsi"/>
                <w:sz w:val="19"/>
                <w:szCs w:val="19"/>
              </w:rPr>
              <w:sym w:font="Wingdings" w:char="F0FC"/>
            </w:r>
          </w:p>
        </w:tc>
        <w:tc>
          <w:tcPr>
            <w:tcW w:w="1134" w:type="dxa"/>
            <w:tcBorders>
              <w:top w:val="dotted" w:sz="2" w:space="0" w:color="auto"/>
              <w:left w:val="dotted" w:sz="2" w:space="0" w:color="auto"/>
              <w:bottom w:val="dotted" w:sz="2" w:space="0" w:color="auto"/>
            </w:tcBorders>
          </w:tcPr>
          <w:p w14:paraId="4161AD0F" w14:textId="77777777" w:rsidR="00A162B4" w:rsidRPr="00757CDB" w:rsidRDefault="00A162B4" w:rsidP="00910BDC">
            <w:pPr>
              <w:jc w:val="center"/>
              <w:rPr>
                <w:rFonts w:asciiTheme="minorHAnsi" w:hAnsiTheme="minorHAnsi"/>
                <w:sz w:val="19"/>
                <w:szCs w:val="19"/>
              </w:rPr>
            </w:pPr>
            <w:r w:rsidRPr="00757CDB">
              <w:rPr>
                <w:rFonts w:asciiTheme="minorHAnsi" w:hAnsiTheme="minorHAnsi"/>
                <w:sz w:val="19"/>
                <w:szCs w:val="19"/>
              </w:rPr>
              <w:t>–</w:t>
            </w:r>
          </w:p>
        </w:tc>
      </w:tr>
      <w:tr w:rsidR="00757CDB" w:rsidRPr="00757CDB" w14:paraId="71B442DB" w14:textId="77777777" w:rsidTr="00EA2C2E">
        <w:trPr>
          <w:trHeight w:val="94"/>
          <w:jc w:val="center"/>
        </w:trPr>
        <w:tc>
          <w:tcPr>
            <w:tcW w:w="1250" w:type="dxa"/>
            <w:vMerge/>
          </w:tcPr>
          <w:p w14:paraId="317A80A7" w14:textId="77777777" w:rsidR="00A162B4" w:rsidRPr="00757CDB" w:rsidRDefault="00A162B4" w:rsidP="00910BDC">
            <w:pPr>
              <w:pStyle w:val="Tabletext"/>
              <w:rPr>
                <w:rFonts w:asciiTheme="minorHAnsi" w:hAnsiTheme="minorHAnsi"/>
                <w:szCs w:val="19"/>
              </w:rPr>
            </w:pPr>
          </w:p>
        </w:tc>
        <w:tc>
          <w:tcPr>
            <w:tcW w:w="3135" w:type="dxa"/>
            <w:tcBorders>
              <w:top w:val="dotted" w:sz="2" w:space="0" w:color="auto"/>
              <w:bottom w:val="dotted" w:sz="2" w:space="0" w:color="auto"/>
              <w:right w:val="single" w:sz="4" w:space="0" w:color="auto"/>
            </w:tcBorders>
          </w:tcPr>
          <w:p w14:paraId="43A654E5" w14:textId="2E3BC129" w:rsidR="00A162B4" w:rsidRPr="00757CDB" w:rsidRDefault="00A162B4" w:rsidP="00910BDC">
            <w:pPr>
              <w:pStyle w:val="Summaryofsafetyconcerns"/>
              <w:keepNext/>
              <w:keepLines/>
              <w:rPr>
                <w:rFonts w:asciiTheme="minorHAnsi" w:hAnsiTheme="minorHAnsi"/>
                <w:b w:val="0"/>
                <w:sz w:val="19"/>
                <w:szCs w:val="19"/>
              </w:rPr>
            </w:pPr>
            <w:r w:rsidRPr="00757CDB">
              <w:rPr>
                <w:rFonts w:asciiTheme="minorHAnsi" w:hAnsiTheme="minorHAnsi"/>
                <w:b w:val="0"/>
                <w:sz w:val="19"/>
                <w:szCs w:val="19"/>
              </w:rPr>
              <w:t>Systemic vasculitis, including anti-neutroph</w:t>
            </w:r>
            <w:r w:rsidR="00ED0BA0">
              <w:rPr>
                <w:rFonts w:asciiTheme="minorHAnsi" w:hAnsiTheme="minorHAnsi"/>
                <w:b w:val="0"/>
                <w:sz w:val="19"/>
                <w:szCs w:val="19"/>
              </w:rPr>
              <w:t>il cytoplasmic antibodies</w:t>
            </w:r>
            <w:r w:rsidRPr="00757CDB">
              <w:rPr>
                <w:rFonts w:asciiTheme="minorHAnsi" w:hAnsiTheme="minorHAnsi"/>
                <w:b w:val="0"/>
                <w:sz w:val="19"/>
                <w:szCs w:val="19"/>
              </w:rPr>
              <w:t xml:space="preserve"> positive vasculitis</w:t>
            </w:r>
          </w:p>
        </w:tc>
        <w:tc>
          <w:tcPr>
            <w:tcW w:w="992" w:type="dxa"/>
            <w:tcBorders>
              <w:top w:val="dotted" w:sz="2" w:space="0" w:color="auto"/>
              <w:left w:val="single" w:sz="4" w:space="0" w:color="auto"/>
              <w:bottom w:val="dotted" w:sz="2" w:space="0" w:color="auto"/>
              <w:right w:val="dotted" w:sz="2" w:space="0" w:color="auto"/>
            </w:tcBorders>
          </w:tcPr>
          <w:p w14:paraId="5F13A0F1" w14:textId="77777777" w:rsidR="00A162B4" w:rsidRPr="00757CDB" w:rsidRDefault="00A162B4" w:rsidP="00910BDC">
            <w:pPr>
              <w:jc w:val="center"/>
              <w:rPr>
                <w:rFonts w:asciiTheme="minorHAnsi" w:hAnsiTheme="minorHAnsi"/>
                <w:sz w:val="19"/>
                <w:szCs w:val="19"/>
              </w:rPr>
            </w:pPr>
            <w:r w:rsidRPr="00757CDB">
              <w:rPr>
                <w:rFonts w:asciiTheme="minorHAnsi" w:hAnsiTheme="minorHAnsi"/>
                <w:sz w:val="19"/>
                <w:szCs w:val="19"/>
              </w:rPr>
              <w:sym w:font="Wingdings" w:char="F0FC"/>
            </w:r>
          </w:p>
        </w:tc>
        <w:tc>
          <w:tcPr>
            <w:tcW w:w="1134" w:type="dxa"/>
            <w:tcBorders>
              <w:top w:val="dotted" w:sz="2" w:space="0" w:color="auto"/>
              <w:left w:val="dotted" w:sz="2" w:space="0" w:color="auto"/>
              <w:bottom w:val="dotted" w:sz="2" w:space="0" w:color="auto"/>
            </w:tcBorders>
          </w:tcPr>
          <w:p w14:paraId="0F122FE5" w14:textId="77777777" w:rsidR="00A162B4" w:rsidRPr="00757CDB" w:rsidRDefault="00A162B4" w:rsidP="00910BDC">
            <w:pPr>
              <w:jc w:val="center"/>
              <w:rPr>
                <w:rFonts w:asciiTheme="minorHAnsi" w:hAnsiTheme="minorHAnsi"/>
                <w:sz w:val="19"/>
                <w:szCs w:val="19"/>
              </w:rPr>
            </w:pPr>
            <w:r w:rsidRPr="00757CDB">
              <w:rPr>
                <w:rFonts w:asciiTheme="minorHAnsi" w:hAnsiTheme="minorHAnsi"/>
                <w:sz w:val="19"/>
                <w:szCs w:val="19"/>
              </w:rPr>
              <w:sym w:font="Wingdings" w:char="F0FC"/>
            </w:r>
          </w:p>
        </w:tc>
        <w:tc>
          <w:tcPr>
            <w:tcW w:w="992" w:type="dxa"/>
            <w:tcBorders>
              <w:top w:val="dotted" w:sz="2" w:space="0" w:color="auto"/>
              <w:left w:val="single" w:sz="4" w:space="0" w:color="auto"/>
              <w:bottom w:val="dotted" w:sz="2" w:space="0" w:color="auto"/>
              <w:right w:val="dotted" w:sz="2" w:space="0" w:color="auto"/>
            </w:tcBorders>
          </w:tcPr>
          <w:p w14:paraId="47C41EB6" w14:textId="77777777" w:rsidR="00A162B4" w:rsidRPr="00757CDB" w:rsidRDefault="00A162B4" w:rsidP="00910BDC">
            <w:pPr>
              <w:jc w:val="center"/>
              <w:rPr>
                <w:rFonts w:asciiTheme="minorHAnsi" w:hAnsiTheme="minorHAnsi"/>
                <w:sz w:val="19"/>
                <w:szCs w:val="19"/>
              </w:rPr>
            </w:pPr>
            <w:r w:rsidRPr="00757CDB">
              <w:rPr>
                <w:rFonts w:asciiTheme="minorHAnsi" w:hAnsiTheme="minorHAnsi"/>
                <w:sz w:val="19"/>
                <w:szCs w:val="19"/>
              </w:rPr>
              <w:sym w:font="Wingdings" w:char="F0FC"/>
            </w:r>
          </w:p>
        </w:tc>
        <w:tc>
          <w:tcPr>
            <w:tcW w:w="1134" w:type="dxa"/>
            <w:tcBorders>
              <w:top w:val="dotted" w:sz="2" w:space="0" w:color="auto"/>
              <w:left w:val="dotted" w:sz="2" w:space="0" w:color="auto"/>
              <w:bottom w:val="dotted" w:sz="2" w:space="0" w:color="auto"/>
            </w:tcBorders>
          </w:tcPr>
          <w:p w14:paraId="49DB00A3" w14:textId="77777777" w:rsidR="00A162B4" w:rsidRPr="00757CDB" w:rsidRDefault="00A162B4" w:rsidP="00910BDC">
            <w:pPr>
              <w:jc w:val="center"/>
              <w:rPr>
                <w:rFonts w:asciiTheme="minorHAnsi" w:hAnsiTheme="minorHAnsi"/>
                <w:sz w:val="19"/>
                <w:szCs w:val="19"/>
              </w:rPr>
            </w:pPr>
            <w:r w:rsidRPr="00757CDB">
              <w:rPr>
                <w:rFonts w:asciiTheme="minorHAnsi" w:hAnsiTheme="minorHAnsi"/>
                <w:sz w:val="19"/>
                <w:szCs w:val="19"/>
              </w:rPr>
              <w:t>–</w:t>
            </w:r>
          </w:p>
        </w:tc>
      </w:tr>
      <w:tr w:rsidR="00757CDB" w:rsidRPr="00757CDB" w14:paraId="3A0605AD" w14:textId="77777777" w:rsidTr="00EA2C2E">
        <w:trPr>
          <w:trHeight w:val="94"/>
          <w:jc w:val="center"/>
        </w:trPr>
        <w:tc>
          <w:tcPr>
            <w:tcW w:w="1250" w:type="dxa"/>
            <w:vMerge/>
          </w:tcPr>
          <w:p w14:paraId="2B75BD00" w14:textId="77777777" w:rsidR="00A162B4" w:rsidRPr="00757CDB" w:rsidRDefault="00A162B4" w:rsidP="00910BDC">
            <w:pPr>
              <w:pStyle w:val="Tabletext"/>
              <w:rPr>
                <w:rFonts w:asciiTheme="minorHAnsi" w:hAnsiTheme="minorHAnsi"/>
                <w:szCs w:val="19"/>
              </w:rPr>
            </w:pPr>
          </w:p>
        </w:tc>
        <w:tc>
          <w:tcPr>
            <w:tcW w:w="3135" w:type="dxa"/>
            <w:tcBorders>
              <w:top w:val="dotted" w:sz="2" w:space="0" w:color="auto"/>
              <w:bottom w:val="dotted" w:sz="2" w:space="0" w:color="auto"/>
              <w:right w:val="single" w:sz="4" w:space="0" w:color="auto"/>
            </w:tcBorders>
          </w:tcPr>
          <w:p w14:paraId="5EE08323" w14:textId="77777777" w:rsidR="00A162B4" w:rsidRPr="00757CDB" w:rsidRDefault="00A162B4" w:rsidP="00910BDC">
            <w:pPr>
              <w:pStyle w:val="Summaryofsafetyconcerns"/>
              <w:keepNext/>
              <w:keepLines/>
              <w:rPr>
                <w:rFonts w:asciiTheme="minorHAnsi" w:hAnsiTheme="minorHAnsi"/>
                <w:b w:val="0"/>
                <w:sz w:val="19"/>
                <w:szCs w:val="19"/>
              </w:rPr>
            </w:pPr>
            <w:r w:rsidRPr="00757CDB">
              <w:rPr>
                <w:rFonts w:asciiTheme="minorHAnsi" w:hAnsiTheme="minorHAnsi"/>
                <w:b w:val="0"/>
                <w:sz w:val="19"/>
                <w:szCs w:val="19"/>
              </w:rPr>
              <w:t>Macrophage activation syndrome</w:t>
            </w:r>
          </w:p>
        </w:tc>
        <w:tc>
          <w:tcPr>
            <w:tcW w:w="992" w:type="dxa"/>
            <w:tcBorders>
              <w:top w:val="dotted" w:sz="2" w:space="0" w:color="auto"/>
              <w:left w:val="single" w:sz="4" w:space="0" w:color="auto"/>
              <w:bottom w:val="dotted" w:sz="2" w:space="0" w:color="auto"/>
              <w:right w:val="dotted" w:sz="2" w:space="0" w:color="auto"/>
            </w:tcBorders>
          </w:tcPr>
          <w:p w14:paraId="6613C342" w14:textId="77777777" w:rsidR="00A162B4" w:rsidRPr="00757CDB" w:rsidRDefault="00A162B4" w:rsidP="00910BDC">
            <w:pPr>
              <w:jc w:val="center"/>
              <w:rPr>
                <w:rFonts w:asciiTheme="minorHAnsi" w:hAnsiTheme="minorHAnsi"/>
                <w:sz w:val="19"/>
                <w:szCs w:val="19"/>
              </w:rPr>
            </w:pPr>
            <w:r w:rsidRPr="00757CDB">
              <w:rPr>
                <w:rFonts w:asciiTheme="minorHAnsi" w:hAnsiTheme="minorHAnsi"/>
                <w:sz w:val="19"/>
                <w:szCs w:val="19"/>
              </w:rPr>
              <w:sym w:font="Wingdings" w:char="F0FC"/>
            </w:r>
          </w:p>
        </w:tc>
        <w:tc>
          <w:tcPr>
            <w:tcW w:w="1134" w:type="dxa"/>
            <w:tcBorders>
              <w:top w:val="dotted" w:sz="2" w:space="0" w:color="auto"/>
              <w:left w:val="dotted" w:sz="2" w:space="0" w:color="auto"/>
              <w:bottom w:val="dotted" w:sz="2" w:space="0" w:color="auto"/>
            </w:tcBorders>
          </w:tcPr>
          <w:p w14:paraId="1F36AA3F" w14:textId="77777777" w:rsidR="00A162B4" w:rsidRPr="00757CDB" w:rsidRDefault="00A162B4" w:rsidP="00910BDC">
            <w:pPr>
              <w:jc w:val="center"/>
              <w:rPr>
                <w:rFonts w:asciiTheme="minorHAnsi" w:hAnsiTheme="minorHAnsi"/>
                <w:sz w:val="19"/>
                <w:szCs w:val="19"/>
              </w:rPr>
            </w:pPr>
            <w:r w:rsidRPr="00757CDB">
              <w:rPr>
                <w:rFonts w:asciiTheme="minorHAnsi" w:hAnsiTheme="minorHAnsi"/>
                <w:sz w:val="19"/>
                <w:szCs w:val="19"/>
              </w:rPr>
              <w:sym w:font="Wingdings" w:char="F0FC"/>
            </w:r>
          </w:p>
        </w:tc>
        <w:tc>
          <w:tcPr>
            <w:tcW w:w="992" w:type="dxa"/>
            <w:tcBorders>
              <w:top w:val="dotted" w:sz="2" w:space="0" w:color="auto"/>
              <w:left w:val="single" w:sz="4" w:space="0" w:color="auto"/>
              <w:bottom w:val="dotted" w:sz="2" w:space="0" w:color="auto"/>
              <w:right w:val="dotted" w:sz="2" w:space="0" w:color="auto"/>
            </w:tcBorders>
          </w:tcPr>
          <w:p w14:paraId="0F2E029D" w14:textId="77777777" w:rsidR="00A162B4" w:rsidRPr="00757CDB" w:rsidRDefault="00A162B4" w:rsidP="00910BDC">
            <w:pPr>
              <w:jc w:val="center"/>
              <w:rPr>
                <w:rFonts w:asciiTheme="minorHAnsi" w:hAnsiTheme="minorHAnsi"/>
                <w:sz w:val="19"/>
                <w:szCs w:val="19"/>
              </w:rPr>
            </w:pPr>
            <w:r w:rsidRPr="00757CDB">
              <w:rPr>
                <w:rFonts w:asciiTheme="minorHAnsi" w:hAnsiTheme="minorHAnsi"/>
                <w:sz w:val="19"/>
                <w:szCs w:val="19"/>
              </w:rPr>
              <w:sym w:font="Wingdings" w:char="F0FC"/>
            </w:r>
          </w:p>
        </w:tc>
        <w:tc>
          <w:tcPr>
            <w:tcW w:w="1134" w:type="dxa"/>
            <w:tcBorders>
              <w:top w:val="dotted" w:sz="2" w:space="0" w:color="auto"/>
              <w:left w:val="dotted" w:sz="2" w:space="0" w:color="auto"/>
              <w:bottom w:val="dotted" w:sz="2" w:space="0" w:color="auto"/>
            </w:tcBorders>
          </w:tcPr>
          <w:p w14:paraId="7326FEB3" w14:textId="77777777" w:rsidR="00A162B4" w:rsidRPr="00757CDB" w:rsidRDefault="00A162B4" w:rsidP="00910BDC">
            <w:pPr>
              <w:jc w:val="center"/>
              <w:rPr>
                <w:rFonts w:asciiTheme="minorHAnsi" w:hAnsiTheme="minorHAnsi"/>
                <w:sz w:val="19"/>
                <w:szCs w:val="19"/>
              </w:rPr>
            </w:pPr>
            <w:r w:rsidRPr="00757CDB">
              <w:rPr>
                <w:rFonts w:asciiTheme="minorHAnsi" w:hAnsiTheme="minorHAnsi"/>
                <w:sz w:val="19"/>
                <w:szCs w:val="19"/>
              </w:rPr>
              <w:t>–</w:t>
            </w:r>
          </w:p>
        </w:tc>
      </w:tr>
      <w:tr w:rsidR="00757CDB" w:rsidRPr="00757CDB" w14:paraId="0133F7E8" w14:textId="77777777" w:rsidTr="00EA2C2E">
        <w:trPr>
          <w:trHeight w:val="94"/>
          <w:jc w:val="center"/>
        </w:trPr>
        <w:tc>
          <w:tcPr>
            <w:tcW w:w="1250" w:type="dxa"/>
            <w:vMerge/>
          </w:tcPr>
          <w:p w14:paraId="14148003" w14:textId="77777777" w:rsidR="00A162B4" w:rsidRPr="00757CDB" w:rsidRDefault="00A162B4" w:rsidP="00910BDC">
            <w:pPr>
              <w:pStyle w:val="Tabletext"/>
              <w:rPr>
                <w:rFonts w:asciiTheme="minorHAnsi" w:hAnsiTheme="minorHAnsi"/>
                <w:szCs w:val="19"/>
              </w:rPr>
            </w:pPr>
          </w:p>
        </w:tc>
        <w:tc>
          <w:tcPr>
            <w:tcW w:w="3135" w:type="dxa"/>
            <w:tcBorders>
              <w:top w:val="dotted" w:sz="2" w:space="0" w:color="auto"/>
              <w:bottom w:val="dotted" w:sz="2" w:space="0" w:color="auto"/>
              <w:right w:val="single" w:sz="4" w:space="0" w:color="auto"/>
            </w:tcBorders>
          </w:tcPr>
          <w:p w14:paraId="717FB579" w14:textId="77777777" w:rsidR="00A162B4" w:rsidRPr="00757CDB" w:rsidRDefault="00A162B4" w:rsidP="00910BDC">
            <w:pPr>
              <w:pStyle w:val="Summaryofsafetyconcerns"/>
              <w:keepNext/>
              <w:keepLines/>
              <w:rPr>
                <w:rFonts w:asciiTheme="minorHAnsi" w:hAnsiTheme="minorHAnsi"/>
                <w:b w:val="0"/>
                <w:sz w:val="19"/>
                <w:szCs w:val="19"/>
              </w:rPr>
            </w:pPr>
            <w:r w:rsidRPr="00757CDB">
              <w:rPr>
                <w:rFonts w:asciiTheme="minorHAnsi" w:hAnsiTheme="minorHAnsi"/>
                <w:b w:val="0"/>
                <w:sz w:val="19"/>
                <w:szCs w:val="19"/>
              </w:rPr>
              <w:t>Central demyelinating disorders</w:t>
            </w:r>
          </w:p>
        </w:tc>
        <w:tc>
          <w:tcPr>
            <w:tcW w:w="992" w:type="dxa"/>
            <w:tcBorders>
              <w:top w:val="dotted" w:sz="2" w:space="0" w:color="auto"/>
              <w:left w:val="single" w:sz="4" w:space="0" w:color="auto"/>
              <w:bottom w:val="dotted" w:sz="2" w:space="0" w:color="auto"/>
              <w:right w:val="dotted" w:sz="2" w:space="0" w:color="auto"/>
            </w:tcBorders>
          </w:tcPr>
          <w:p w14:paraId="4B61E09D" w14:textId="77777777" w:rsidR="00A162B4" w:rsidRPr="00757CDB" w:rsidRDefault="00A162B4" w:rsidP="00910BDC">
            <w:pPr>
              <w:jc w:val="center"/>
              <w:rPr>
                <w:rFonts w:asciiTheme="minorHAnsi" w:hAnsiTheme="minorHAnsi"/>
                <w:sz w:val="19"/>
                <w:szCs w:val="19"/>
              </w:rPr>
            </w:pPr>
            <w:r w:rsidRPr="00757CDB">
              <w:rPr>
                <w:rFonts w:asciiTheme="minorHAnsi" w:hAnsiTheme="minorHAnsi"/>
                <w:sz w:val="19"/>
                <w:szCs w:val="19"/>
              </w:rPr>
              <w:sym w:font="Wingdings" w:char="F0FC"/>
            </w:r>
          </w:p>
        </w:tc>
        <w:tc>
          <w:tcPr>
            <w:tcW w:w="1134" w:type="dxa"/>
            <w:tcBorders>
              <w:top w:val="dotted" w:sz="2" w:space="0" w:color="auto"/>
              <w:left w:val="dotted" w:sz="2" w:space="0" w:color="auto"/>
              <w:bottom w:val="dotted" w:sz="2" w:space="0" w:color="auto"/>
            </w:tcBorders>
          </w:tcPr>
          <w:p w14:paraId="04F2B20B" w14:textId="77777777" w:rsidR="00A162B4" w:rsidRPr="00757CDB" w:rsidRDefault="00A162B4" w:rsidP="00910BDC">
            <w:pPr>
              <w:jc w:val="center"/>
              <w:rPr>
                <w:rFonts w:asciiTheme="minorHAnsi" w:hAnsiTheme="minorHAnsi"/>
                <w:sz w:val="19"/>
                <w:szCs w:val="19"/>
              </w:rPr>
            </w:pPr>
            <w:r w:rsidRPr="00757CDB">
              <w:rPr>
                <w:rFonts w:asciiTheme="minorHAnsi" w:hAnsiTheme="minorHAnsi"/>
                <w:sz w:val="19"/>
                <w:szCs w:val="19"/>
              </w:rPr>
              <w:sym w:font="Wingdings" w:char="F0FC"/>
            </w:r>
          </w:p>
        </w:tc>
        <w:tc>
          <w:tcPr>
            <w:tcW w:w="992" w:type="dxa"/>
            <w:tcBorders>
              <w:top w:val="dotted" w:sz="2" w:space="0" w:color="auto"/>
              <w:left w:val="single" w:sz="4" w:space="0" w:color="auto"/>
              <w:bottom w:val="dotted" w:sz="2" w:space="0" w:color="auto"/>
              <w:right w:val="dotted" w:sz="2" w:space="0" w:color="auto"/>
            </w:tcBorders>
          </w:tcPr>
          <w:p w14:paraId="6DA4FCA7" w14:textId="77777777" w:rsidR="00A162B4" w:rsidRPr="00757CDB" w:rsidRDefault="00A162B4" w:rsidP="00910BDC">
            <w:pPr>
              <w:jc w:val="center"/>
              <w:rPr>
                <w:rFonts w:asciiTheme="minorHAnsi" w:hAnsiTheme="minorHAnsi"/>
                <w:sz w:val="19"/>
                <w:szCs w:val="19"/>
              </w:rPr>
            </w:pPr>
            <w:r w:rsidRPr="00757CDB">
              <w:rPr>
                <w:rFonts w:asciiTheme="minorHAnsi" w:hAnsiTheme="minorHAnsi"/>
                <w:sz w:val="19"/>
                <w:szCs w:val="19"/>
              </w:rPr>
              <w:sym w:font="Wingdings" w:char="F0FC"/>
            </w:r>
          </w:p>
        </w:tc>
        <w:tc>
          <w:tcPr>
            <w:tcW w:w="1134" w:type="dxa"/>
            <w:tcBorders>
              <w:top w:val="dotted" w:sz="2" w:space="0" w:color="auto"/>
              <w:left w:val="dotted" w:sz="2" w:space="0" w:color="auto"/>
              <w:bottom w:val="dotted" w:sz="2" w:space="0" w:color="auto"/>
            </w:tcBorders>
          </w:tcPr>
          <w:p w14:paraId="6D7D7665" w14:textId="77777777" w:rsidR="00A162B4" w:rsidRPr="00757CDB" w:rsidRDefault="00A162B4" w:rsidP="00910BDC">
            <w:pPr>
              <w:jc w:val="center"/>
              <w:rPr>
                <w:rFonts w:asciiTheme="minorHAnsi" w:hAnsiTheme="minorHAnsi"/>
                <w:sz w:val="19"/>
                <w:szCs w:val="19"/>
              </w:rPr>
            </w:pPr>
            <w:r w:rsidRPr="00757CDB">
              <w:rPr>
                <w:rFonts w:asciiTheme="minorHAnsi" w:hAnsiTheme="minorHAnsi"/>
                <w:sz w:val="19"/>
                <w:szCs w:val="19"/>
              </w:rPr>
              <w:t>–</w:t>
            </w:r>
          </w:p>
        </w:tc>
      </w:tr>
      <w:tr w:rsidR="00757CDB" w:rsidRPr="00757CDB" w14:paraId="60D75407" w14:textId="77777777" w:rsidTr="00EA2C2E">
        <w:trPr>
          <w:trHeight w:val="94"/>
          <w:jc w:val="center"/>
        </w:trPr>
        <w:tc>
          <w:tcPr>
            <w:tcW w:w="1250" w:type="dxa"/>
            <w:vMerge/>
          </w:tcPr>
          <w:p w14:paraId="41BA3275" w14:textId="77777777" w:rsidR="00A162B4" w:rsidRPr="00757CDB" w:rsidRDefault="00A162B4" w:rsidP="00910BDC">
            <w:pPr>
              <w:pStyle w:val="Tabletext"/>
              <w:rPr>
                <w:rFonts w:asciiTheme="minorHAnsi" w:hAnsiTheme="minorHAnsi"/>
                <w:szCs w:val="19"/>
              </w:rPr>
            </w:pPr>
          </w:p>
        </w:tc>
        <w:tc>
          <w:tcPr>
            <w:tcW w:w="3135" w:type="dxa"/>
            <w:tcBorders>
              <w:top w:val="dotted" w:sz="2" w:space="0" w:color="auto"/>
              <w:bottom w:val="dotted" w:sz="2" w:space="0" w:color="auto"/>
              <w:right w:val="single" w:sz="4" w:space="0" w:color="auto"/>
            </w:tcBorders>
          </w:tcPr>
          <w:p w14:paraId="1F2E8EAB" w14:textId="5EBEAE36" w:rsidR="00A162B4" w:rsidRPr="00757CDB" w:rsidRDefault="00A162B4" w:rsidP="00910BDC">
            <w:pPr>
              <w:pStyle w:val="Summaryofsafetyconcerns"/>
              <w:keepNext/>
              <w:keepLines/>
              <w:rPr>
                <w:rFonts w:asciiTheme="minorHAnsi" w:hAnsiTheme="minorHAnsi"/>
                <w:b w:val="0"/>
                <w:sz w:val="19"/>
                <w:szCs w:val="19"/>
              </w:rPr>
            </w:pPr>
            <w:r w:rsidRPr="00757CDB">
              <w:rPr>
                <w:rFonts w:asciiTheme="minorHAnsi" w:hAnsiTheme="minorHAnsi"/>
                <w:b w:val="0"/>
                <w:sz w:val="19"/>
                <w:szCs w:val="19"/>
              </w:rPr>
              <w:t>Peripheral demyelinating events (chronic inflammatory dem</w:t>
            </w:r>
            <w:r w:rsidR="00ED0BA0">
              <w:rPr>
                <w:rFonts w:asciiTheme="minorHAnsi" w:hAnsiTheme="minorHAnsi"/>
                <w:b w:val="0"/>
                <w:sz w:val="19"/>
                <w:szCs w:val="19"/>
              </w:rPr>
              <w:t xml:space="preserve">yelinating polyneuropathy and </w:t>
            </w:r>
            <w:proofErr w:type="spellStart"/>
            <w:r w:rsidR="00ED0BA0">
              <w:rPr>
                <w:rFonts w:asciiTheme="minorHAnsi" w:hAnsiTheme="minorHAnsi"/>
                <w:b w:val="0"/>
                <w:sz w:val="19"/>
                <w:szCs w:val="19"/>
              </w:rPr>
              <w:t>Guillain</w:t>
            </w:r>
            <w:proofErr w:type="spellEnd"/>
            <w:r w:rsidR="00ED0BA0">
              <w:rPr>
                <w:rFonts w:asciiTheme="minorHAnsi" w:hAnsiTheme="minorHAnsi"/>
                <w:b w:val="0"/>
                <w:sz w:val="19"/>
                <w:szCs w:val="19"/>
              </w:rPr>
              <w:t xml:space="preserve"> </w:t>
            </w:r>
            <w:proofErr w:type="spellStart"/>
            <w:r w:rsidR="00ED0BA0">
              <w:rPr>
                <w:rFonts w:asciiTheme="minorHAnsi" w:hAnsiTheme="minorHAnsi"/>
                <w:b w:val="0"/>
                <w:sz w:val="19"/>
                <w:szCs w:val="19"/>
              </w:rPr>
              <w:t>Barré</w:t>
            </w:r>
            <w:proofErr w:type="spellEnd"/>
            <w:r w:rsidR="00ED0BA0">
              <w:rPr>
                <w:rFonts w:asciiTheme="minorHAnsi" w:hAnsiTheme="minorHAnsi"/>
                <w:b w:val="0"/>
                <w:sz w:val="19"/>
                <w:szCs w:val="19"/>
              </w:rPr>
              <w:t xml:space="preserve"> syndrome</w:t>
            </w:r>
            <w:r w:rsidRPr="00757CDB">
              <w:rPr>
                <w:rFonts w:asciiTheme="minorHAnsi" w:hAnsiTheme="minorHAnsi"/>
                <w:b w:val="0"/>
                <w:sz w:val="19"/>
                <w:szCs w:val="19"/>
              </w:rPr>
              <w:t>)</w:t>
            </w:r>
          </w:p>
        </w:tc>
        <w:tc>
          <w:tcPr>
            <w:tcW w:w="992" w:type="dxa"/>
            <w:tcBorders>
              <w:top w:val="dotted" w:sz="2" w:space="0" w:color="auto"/>
              <w:left w:val="single" w:sz="4" w:space="0" w:color="auto"/>
              <w:bottom w:val="dotted" w:sz="2" w:space="0" w:color="auto"/>
              <w:right w:val="dotted" w:sz="2" w:space="0" w:color="auto"/>
            </w:tcBorders>
          </w:tcPr>
          <w:p w14:paraId="58240518" w14:textId="77777777" w:rsidR="00A162B4" w:rsidRPr="00757CDB" w:rsidRDefault="00A162B4" w:rsidP="00910BDC">
            <w:pPr>
              <w:jc w:val="center"/>
              <w:rPr>
                <w:rFonts w:asciiTheme="minorHAnsi" w:hAnsiTheme="minorHAnsi"/>
                <w:sz w:val="19"/>
                <w:szCs w:val="19"/>
              </w:rPr>
            </w:pPr>
            <w:r w:rsidRPr="00757CDB">
              <w:rPr>
                <w:rFonts w:asciiTheme="minorHAnsi" w:hAnsiTheme="minorHAnsi"/>
                <w:sz w:val="19"/>
                <w:szCs w:val="19"/>
              </w:rPr>
              <w:sym w:font="Wingdings" w:char="F0FC"/>
            </w:r>
          </w:p>
        </w:tc>
        <w:tc>
          <w:tcPr>
            <w:tcW w:w="1134" w:type="dxa"/>
            <w:tcBorders>
              <w:top w:val="dotted" w:sz="2" w:space="0" w:color="auto"/>
              <w:left w:val="dotted" w:sz="2" w:space="0" w:color="auto"/>
              <w:bottom w:val="dotted" w:sz="2" w:space="0" w:color="auto"/>
            </w:tcBorders>
          </w:tcPr>
          <w:p w14:paraId="78E454CA" w14:textId="77777777" w:rsidR="00A162B4" w:rsidRPr="00757CDB" w:rsidRDefault="00A162B4" w:rsidP="00910BDC">
            <w:pPr>
              <w:jc w:val="center"/>
              <w:rPr>
                <w:rFonts w:asciiTheme="minorHAnsi" w:hAnsiTheme="minorHAnsi"/>
                <w:sz w:val="19"/>
                <w:szCs w:val="19"/>
              </w:rPr>
            </w:pPr>
            <w:r w:rsidRPr="00757CDB">
              <w:rPr>
                <w:rFonts w:asciiTheme="minorHAnsi" w:hAnsiTheme="minorHAnsi"/>
                <w:sz w:val="19"/>
                <w:szCs w:val="19"/>
              </w:rPr>
              <w:sym w:font="Wingdings" w:char="F0FC"/>
            </w:r>
          </w:p>
        </w:tc>
        <w:tc>
          <w:tcPr>
            <w:tcW w:w="992" w:type="dxa"/>
            <w:tcBorders>
              <w:top w:val="dotted" w:sz="2" w:space="0" w:color="auto"/>
              <w:left w:val="single" w:sz="4" w:space="0" w:color="auto"/>
              <w:bottom w:val="dotted" w:sz="2" w:space="0" w:color="auto"/>
              <w:right w:val="dotted" w:sz="2" w:space="0" w:color="auto"/>
            </w:tcBorders>
          </w:tcPr>
          <w:p w14:paraId="6A95B8E0" w14:textId="77777777" w:rsidR="00A162B4" w:rsidRPr="00757CDB" w:rsidRDefault="00A162B4" w:rsidP="00910BDC">
            <w:pPr>
              <w:jc w:val="center"/>
              <w:rPr>
                <w:rFonts w:asciiTheme="minorHAnsi" w:hAnsiTheme="minorHAnsi"/>
                <w:sz w:val="19"/>
                <w:szCs w:val="19"/>
              </w:rPr>
            </w:pPr>
            <w:r w:rsidRPr="00757CDB">
              <w:rPr>
                <w:rFonts w:asciiTheme="minorHAnsi" w:hAnsiTheme="minorHAnsi"/>
                <w:sz w:val="19"/>
                <w:szCs w:val="19"/>
              </w:rPr>
              <w:sym w:font="Wingdings" w:char="F0FC"/>
            </w:r>
          </w:p>
        </w:tc>
        <w:tc>
          <w:tcPr>
            <w:tcW w:w="1134" w:type="dxa"/>
            <w:tcBorders>
              <w:top w:val="dotted" w:sz="2" w:space="0" w:color="auto"/>
              <w:left w:val="dotted" w:sz="2" w:space="0" w:color="auto"/>
              <w:bottom w:val="dotted" w:sz="2" w:space="0" w:color="auto"/>
            </w:tcBorders>
          </w:tcPr>
          <w:p w14:paraId="0CE24E02" w14:textId="77777777" w:rsidR="00A162B4" w:rsidRPr="00757CDB" w:rsidRDefault="00A162B4" w:rsidP="00910BDC">
            <w:pPr>
              <w:jc w:val="center"/>
              <w:rPr>
                <w:rFonts w:asciiTheme="minorHAnsi" w:hAnsiTheme="minorHAnsi"/>
                <w:sz w:val="19"/>
                <w:szCs w:val="19"/>
              </w:rPr>
            </w:pPr>
            <w:r w:rsidRPr="00757CDB">
              <w:rPr>
                <w:rFonts w:asciiTheme="minorHAnsi" w:hAnsiTheme="minorHAnsi"/>
                <w:sz w:val="19"/>
                <w:szCs w:val="19"/>
              </w:rPr>
              <w:t>–</w:t>
            </w:r>
          </w:p>
        </w:tc>
      </w:tr>
      <w:tr w:rsidR="00757CDB" w:rsidRPr="00757CDB" w14:paraId="2C6DB4E7" w14:textId="77777777" w:rsidTr="00EA2C2E">
        <w:trPr>
          <w:trHeight w:val="94"/>
          <w:jc w:val="center"/>
        </w:trPr>
        <w:tc>
          <w:tcPr>
            <w:tcW w:w="1250" w:type="dxa"/>
            <w:vMerge/>
          </w:tcPr>
          <w:p w14:paraId="3FBF7E50" w14:textId="77777777" w:rsidR="00A162B4" w:rsidRPr="00757CDB" w:rsidRDefault="00A162B4" w:rsidP="00910BDC">
            <w:pPr>
              <w:pStyle w:val="Tabletext"/>
              <w:rPr>
                <w:rFonts w:asciiTheme="minorHAnsi" w:hAnsiTheme="minorHAnsi"/>
                <w:szCs w:val="19"/>
              </w:rPr>
            </w:pPr>
          </w:p>
        </w:tc>
        <w:tc>
          <w:tcPr>
            <w:tcW w:w="3135" w:type="dxa"/>
            <w:tcBorders>
              <w:top w:val="dotted" w:sz="2" w:space="0" w:color="auto"/>
              <w:bottom w:val="dotted" w:sz="2" w:space="0" w:color="auto"/>
              <w:right w:val="single" w:sz="4" w:space="0" w:color="auto"/>
            </w:tcBorders>
          </w:tcPr>
          <w:p w14:paraId="305DA0E0" w14:textId="77777777" w:rsidR="00A162B4" w:rsidRPr="00757CDB" w:rsidRDefault="00A162B4" w:rsidP="00910BDC">
            <w:pPr>
              <w:pStyle w:val="Summaryofsafetyconcerns"/>
              <w:keepNext/>
              <w:keepLines/>
              <w:rPr>
                <w:rFonts w:asciiTheme="minorHAnsi" w:hAnsiTheme="minorHAnsi"/>
                <w:b w:val="0"/>
                <w:sz w:val="19"/>
                <w:szCs w:val="19"/>
              </w:rPr>
            </w:pPr>
            <w:r w:rsidRPr="00757CDB">
              <w:rPr>
                <w:rFonts w:asciiTheme="minorHAnsi" w:hAnsiTheme="minorHAnsi"/>
                <w:b w:val="0"/>
                <w:sz w:val="19"/>
                <w:szCs w:val="19"/>
              </w:rPr>
              <w:t>Aplastic anaemia and pancytopenia</w:t>
            </w:r>
          </w:p>
        </w:tc>
        <w:tc>
          <w:tcPr>
            <w:tcW w:w="992" w:type="dxa"/>
            <w:tcBorders>
              <w:top w:val="dotted" w:sz="2" w:space="0" w:color="auto"/>
              <w:left w:val="single" w:sz="4" w:space="0" w:color="auto"/>
              <w:bottom w:val="dotted" w:sz="2" w:space="0" w:color="auto"/>
              <w:right w:val="dotted" w:sz="2" w:space="0" w:color="auto"/>
            </w:tcBorders>
          </w:tcPr>
          <w:p w14:paraId="12F174BD" w14:textId="77777777" w:rsidR="00A162B4" w:rsidRPr="00757CDB" w:rsidRDefault="00A162B4" w:rsidP="00910BDC">
            <w:pPr>
              <w:jc w:val="center"/>
              <w:rPr>
                <w:rFonts w:asciiTheme="minorHAnsi" w:hAnsiTheme="minorHAnsi"/>
                <w:sz w:val="19"/>
                <w:szCs w:val="19"/>
              </w:rPr>
            </w:pPr>
            <w:r w:rsidRPr="00757CDB">
              <w:rPr>
                <w:rFonts w:asciiTheme="minorHAnsi" w:hAnsiTheme="minorHAnsi"/>
                <w:sz w:val="19"/>
                <w:szCs w:val="19"/>
              </w:rPr>
              <w:sym w:font="Wingdings" w:char="F0FC"/>
            </w:r>
          </w:p>
        </w:tc>
        <w:tc>
          <w:tcPr>
            <w:tcW w:w="1134" w:type="dxa"/>
            <w:tcBorders>
              <w:top w:val="dotted" w:sz="2" w:space="0" w:color="auto"/>
              <w:left w:val="dotted" w:sz="2" w:space="0" w:color="auto"/>
              <w:bottom w:val="dotted" w:sz="2" w:space="0" w:color="auto"/>
            </w:tcBorders>
          </w:tcPr>
          <w:p w14:paraId="54183573" w14:textId="77777777" w:rsidR="00A162B4" w:rsidRPr="00757CDB" w:rsidRDefault="00A162B4" w:rsidP="00910BDC">
            <w:pPr>
              <w:jc w:val="center"/>
              <w:rPr>
                <w:rFonts w:asciiTheme="minorHAnsi" w:hAnsiTheme="minorHAnsi"/>
                <w:sz w:val="19"/>
                <w:szCs w:val="19"/>
              </w:rPr>
            </w:pPr>
            <w:r w:rsidRPr="00757CDB">
              <w:rPr>
                <w:rFonts w:asciiTheme="minorHAnsi" w:hAnsiTheme="minorHAnsi"/>
                <w:sz w:val="19"/>
                <w:szCs w:val="19"/>
              </w:rPr>
              <w:sym w:font="Wingdings" w:char="F0FC"/>
            </w:r>
          </w:p>
        </w:tc>
        <w:tc>
          <w:tcPr>
            <w:tcW w:w="992" w:type="dxa"/>
            <w:tcBorders>
              <w:top w:val="dotted" w:sz="2" w:space="0" w:color="auto"/>
              <w:left w:val="single" w:sz="4" w:space="0" w:color="auto"/>
              <w:bottom w:val="dotted" w:sz="2" w:space="0" w:color="auto"/>
              <w:right w:val="dotted" w:sz="2" w:space="0" w:color="auto"/>
            </w:tcBorders>
          </w:tcPr>
          <w:p w14:paraId="3FC75EDC" w14:textId="77777777" w:rsidR="00A162B4" w:rsidRPr="00757CDB" w:rsidRDefault="00A162B4" w:rsidP="00910BDC">
            <w:pPr>
              <w:jc w:val="center"/>
              <w:rPr>
                <w:rFonts w:asciiTheme="minorHAnsi" w:hAnsiTheme="minorHAnsi"/>
                <w:sz w:val="19"/>
                <w:szCs w:val="19"/>
              </w:rPr>
            </w:pPr>
            <w:r w:rsidRPr="00757CDB">
              <w:rPr>
                <w:rFonts w:asciiTheme="minorHAnsi" w:hAnsiTheme="minorHAnsi"/>
                <w:sz w:val="19"/>
                <w:szCs w:val="19"/>
              </w:rPr>
              <w:sym w:font="Wingdings" w:char="F0FC"/>
            </w:r>
          </w:p>
        </w:tc>
        <w:tc>
          <w:tcPr>
            <w:tcW w:w="1134" w:type="dxa"/>
            <w:tcBorders>
              <w:top w:val="dotted" w:sz="2" w:space="0" w:color="auto"/>
              <w:left w:val="dotted" w:sz="2" w:space="0" w:color="auto"/>
              <w:bottom w:val="dotted" w:sz="2" w:space="0" w:color="auto"/>
            </w:tcBorders>
          </w:tcPr>
          <w:p w14:paraId="5E8EEED8" w14:textId="77777777" w:rsidR="00A162B4" w:rsidRPr="00757CDB" w:rsidRDefault="00A162B4" w:rsidP="00910BDC">
            <w:pPr>
              <w:jc w:val="center"/>
              <w:rPr>
                <w:rFonts w:asciiTheme="minorHAnsi" w:hAnsiTheme="minorHAnsi"/>
                <w:sz w:val="19"/>
                <w:szCs w:val="19"/>
              </w:rPr>
            </w:pPr>
            <w:r w:rsidRPr="00757CDB">
              <w:rPr>
                <w:rFonts w:asciiTheme="minorHAnsi" w:hAnsiTheme="minorHAnsi"/>
                <w:sz w:val="19"/>
                <w:szCs w:val="19"/>
              </w:rPr>
              <w:t>–</w:t>
            </w:r>
          </w:p>
        </w:tc>
      </w:tr>
      <w:tr w:rsidR="00757CDB" w:rsidRPr="00757CDB" w14:paraId="739D4C31" w14:textId="77777777" w:rsidTr="00EA2C2E">
        <w:trPr>
          <w:trHeight w:val="94"/>
          <w:jc w:val="center"/>
        </w:trPr>
        <w:tc>
          <w:tcPr>
            <w:tcW w:w="1250" w:type="dxa"/>
            <w:vMerge/>
          </w:tcPr>
          <w:p w14:paraId="07C1D2FE" w14:textId="77777777" w:rsidR="00A162B4" w:rsidRPr="00757CDB" w:rsidRDefault="00A162B4" w:rsidP="00910BDC">
            <w:pPr>
              <w:pStyle w:val="Tabletext"/>
              <w:rPr>
                <w:rFonts w:asciiTheme="minorHAnsi" w:hAnsiTheme="minorHAnsi"/>
                <w:szCs w:val="19"/>
              </w:rPr>
            </w:pPr>
          </w:p>
        </w:tc>
        <w:tc>
          <w:tcPr>
            <w:tcW w:w="3135" w:type="dxa"/>
            <w:tcBorders>
              <w:top w:val="dotted" w:sz="2" w:space="0" w:color="auto"/>
              <w:bottom w:val="dotted" w:sz="2" w:space="0" w:color="auto"/>
              <w:right w:val="single" w:sz="4" w:space="0" w:color="auto"/>
            </w:tcBorders>
          </w:tcPr>
          <w:p w14:paraId="31C82248" w14:textId="77777777" w:rsidR="00A162B4" w:rsidRPr="00757CDB" w:rsidRDefault="00A162B4" w:rsidP="00910BDC">
            <w:pPr>
              <w:pStyle w:val="Summaryofsafetyconcerns"/>
              <w:keepNext/>
              <w:keepLines/>
              <w:rPr>
                <w:rFonts w:asciiTheme="minorHAnsi" w:hAnsiTheme="minorHAnsi"/>
                <w:b w:val="0"/>
                <w:sz w:val="19"/>
                <w:szCs w:val="19"/>
              </w:rPr>
            </w:pPr>
            <w:r w:rsidRPr="00757CDB">
              <w:rPr>
                <w:rFonts w:asciiTheme="minorHAnsi" w:hAnsiTheme="minorHAnsi"/>
                <w:b w:val="0"/>
                <w:sz w:val="19"/>
                <w:szCs w:val="19"/>
              </w:rPr>
              <w:t>Interstitial lung disease (including pulmonary fibrosis and pneumonitis)</w:t>
            </w:r>
          </w:p>
        </w:tc>
        <w:tc>
          <w:tcPr>
            <w:tcW w:w="992" w:type="dxa"/>
            <w:tcBorders>
              <w:top w:val="dotted" w:sz="2" w:space="0" w:color="auto"/>
              <w:left w:val="single" w:sz="4" w:space="0" w:color="auto"/>
              <w:bottom w:val="dotted" w:sz="2" w:space="0" w:color="auto"/>
              <w:right w:val="dotted" w:sz="2" w:space="0" w:color="auto"/>
            </w:tcBorders>
          </w:tcPr>
          <w:p w14:paraId="65D7ECFC" w14:textId="77777777" w:rsidR="00A162B4" w:rsidRPr="00757CDB" w:rsidRDefault="00A162B4" w:rsidP="00910BDC">
            <w:pPr>
              <w:jc w:val="center"/>
              <w:rPr>
                <w:rFonts w:asciiTheme="minorHAnsi" w:hAnsiTheme="minorHAnsi"/>
                <w:sz w:val="19"/>
                <w:szCs w:val="19"/>
              </w:rPr>
            </w:pPr>
            <w:r w:rsidRPr="00757CDB">
              <w:rPr>
                <w:rFonts w:asciiTheme="minorHAnsi" w:hAnsiTheme="minorHAnsi"/>
                <w:sz w:val="19"/>
                <w:szCs w:val="19"/>
              </w:rPr>
              <w:sym w:font="Wingdings" w:char="F0FC"/>
            </w:r>
          </w:p>
        </w:tc>
        <w:tc>
          <w:tcPr>
            <w:tcW w:w="1134" w:type="dxa"/>
            <w:tcBorders>
              <w:top w:val="dotted" w:sz="2" w:space="0" w:color="auto"/>
              <w:left w:val="dotted" w:sz="2" w:space="0" w:color="auto"/>
              <w:bottom w:val="dotted" w:sz="2" w:space="0" w:color="auto"/>
            </w:tcBorders>
          </w:tcPr>
          <w:p w14:paraId="27AB6EAB" w14:textId="77777777" w:rsidR="00A162B4" w:rsidRPr="00757CDB" w:rsidRDefault="00A162B4" w:rsidP="00910BDC">
            <w:pPr>
              <w:jc w:val="center"/>
              <w:rPr>
                <w:rFonts w:asciiTheme="minorHAnsi" w:hAnsiTheme="minorHAnsi"/>
                <w:sz w:val="19"/>
                <w:szCs w:val="19"/>
              </w:rPr>
            </w:pPr>
            <w:r w:rsidRPr="00757CDB">
              <w:rPr>
                <w:rFonts w:asciiTheme="minorHAnsi" w:hAnsiTheme="minorHAnsi"/>
                <w:sz w:val="19"/>
                <w:szCs w:val="19"/>
              </w:rPr>
              <w:sym w:font="Wingdings" w:char="F0FC"/>
            </w:r>
          </w:p>
        </w:tc>
        <w:tc>
          <w:tcPr>
            <w:tcW w:w="992" w:type="dxa"/>
            <w:tcBorders>
              <w:top w:val="dotted" w:sz="2" w:space="0" w:color="auto"/>
              <w:left w:val="single" w:sz="4" w:space="0" w:color="auto"/>
              <w:bottom w:val="dotted" w:sz="2" w:space="0" w:color="auto"/>
              <w:right w:val="dotted" w:sz="2" w:space="0" w:color="auto"/>
            </w:tcBorders>
          </w:tcPr>
          <w:p w14:paraId="76C157E8" w14:textId="77777777" w:rsidR="00A162B4" w:rsidRPr="00757CDB" w:rsidRDefault="00A162B4" w:rsidP="00910BDC">
            <w:pPr>
              <w:jc w:val="center"/>
              <w:rPr>
                <w:rFonts w:asciiTheme="minorHAnsi" w:hAnsiTheme="minorHAnsi"/>
                <w:sz w:val="19"/>
                <w:szCs w:val="19"/>
              </w:rPr>
            </w:pPr>
            <w:r w:rsidRPr="00757CDB">
              <w:rPr>
                <w:rFonts w:asciiTheme="minorHAnsi" w:hAnsiTheme="minorHAnsi"/>
                <w:sz w:val="19"/>
                <w:szCs w:val="19"/>
              </w:rPr>
              <w:sym w:font="Wingdings" w:char="F0FC"/>
            </w:r>
          </w:p>
        </w:tc>
        <w:tc>
          <w:tcPr>
            <w:tcW w:w="1134" w:type="dxa"/>
            <w:tcBorders>
              <w:top w:val="dotted" w:sz="2" w:space="0" w:color="auto"/>
              <w:left w:val="dotted" w:sz="2" w:space="0" w:color="auto"/>
              <w:bottom w:val="dotted" w:sz="2" w:space="0" w:color="auto"/>
            </w:tcBorders>
          </w:tcPr>
          <w:p w14:paraId="72564B8D" w14:textId="77777777" w:rsidR="00A162B4" w:rsidRPr="00757CDB" w:rsidRDefault="00A162B4" w:rsidP="00910BDC">
            <w:pPr>
              <w:jc w:val="center"/>
              <w:rPr>
                <w:rFonts w:asciiTheme="minorHAnsi" w:hAnsiTheme="minorHAnsi"/>
                <w:sz w:val="19"/>
                <w:szCs w:val="19"/>
              </w:rPr>
            </w:pPr>
            <w:r w:rsidRPr="00757CDB">
              <w:rPr>
                <w:rFonts w:asciiTheme="minorHAnsi" w:hAnsiTheme="minorHAnsi"/>
                <w:sz w:val="19"/>
                <w:szCs w:val="19"/>
              </w:rPr>
              <w:t>–</w:t>
            </w:r>
          </w:p>
        </w:tc>
      </w:tr>
      <w:tr w:rsidR="00757CDB" w:rsidRPr="00757CDB" w14:paraId="31AE328A" w14:textId="77777777" w:rsidTr="00EA2C2E">
        <w:trPr>
          <w:trHeight w:val="94"/>
          <w:jc w:val="center"/>
        </w:trPr>
        <w:tc>
          <w:tcPr>
            <w:tcW w:w="1250" w:type="dxa"/>
            <w:vMerge/>
          </w:tcPr>
          <w:p w14:paraId="7480EA42" w14:textId="77777777" w:rsidR="00A162B4" w:rsidRPr="00757CDB" w:rsidRDefault="00A162B4" w:rsidP="00910BDC">
            <w:pPr>
              <w:pStyle w:val="Tabletext"/>
              <w:rPr>
                <w:rFonts w:asciiTheme="minorHAnsi" w:hAnsiTheme="minorHAnsi"/>
                <w:szCs w:val="19"/>
              </w:rPr>
            </w:pPr>
          </w:p>
        </w:tc>
        <w:tc>
          <w:tcPr>
            <w:tcW w:w="3135" w:type="dxa"/>
            <w:tcBorders>
              <w:top w:val="dotted" w:sz="2" w:space="0" w:color="auto"/>
              <w:bottom w:val="dotted" w:sz="2" w:space="0" w:color="auto"/>
              <w:right w:val="single" w:sz="4" w:space="0" w:color="auto"/>
            </w:tcBorders>
          </w:tcPr>
          <w:p w14:paraId="10A7ECED" w14:textId="77777777" w:rsidR="00A162B4" w:rsidRPr="00757CDB" w:rsidRDefault="00A162B4" w:rsidP="00910BDC">
            <w:pPr>
              <w:pStyle w:val="Summaryofsafetyconcerns"/>
              <w:keepNext/>
              <w:keepLines/>
              <w:rPr>
                <w:rFonts w:asciiTheme="minorHAnsi" w:hAnsiTheme="minorHAnsi"/>
                <w:b w:val="0"/>
                <w:sz w:val="19"/>
                <w:szCs w:val="19"/>
              </w:rPr>
            </w:pPr>
            <w:r w:rsidRPr="00757CDB">
              <w:rPr>
                <w:rFonts w:asciiTheme="minorHAnsi" w:hAnsiTheme="minorHAnsi"/>
                <w:b w:val="0"/>
                <w:sz w:val="19"/>
                <w:szCs w:val="19"/>
              </w:rPr>
              <w:t>Autoimmune hepatitis</w:t>
            </w:r>
          </w:p>
        </w:tc>
        <w:tc>
          <w:tcPr>
            <w:tcW w:w="992" w:type="dxa"/>
            <w:tcBorders>
              <w:top w:val="dotted" w:sz="2" w:space="0" w:color="auto"/>
              <w:left w:val="single" w:sz="4" w:space="0" w:color="auto"/>
              <w:bottom w:val="dotted" w:sz="2" w:space="0" w:color="auto"/>
              <w:right w:val="dotted" w:sz="2" w:space="0" w:color="auto"/>
            </w:tcBorders>
          </w:tcPr>
          <w:p w14:paraId="1538F8D2" w14:textId="77777777" w:rsidR="00A162B4" w:rsidRPr="00757CDB" w:rsidRDefault="00A162B4" w:rsidP="00910BDC">
            <w:pPr>
              <w:jc w:val="center"/>
              <w:rPr>
                <w:rFonts w:asciiTheme="minorHAnsi" w:hAnsiTheme="minorHAnsi"/>
                <w:sz w:val="19"/>
                <w:szCs w:val="19"/>
              </w:rPr>
            </w:pPr>
            <w:r w:rsidRPr="00757CDB">
              <w:rPr>
                <w:rFonts w:asciiTheme="minorHAnsi" w:hAnsiTheme="minorHAnsi"/>
                <w:sz w:val="19"/>
                <w:szCs w:val="19"/>
              </w:rPr>
              <w:sym w:font="Wingdings" w:char="F0FC"/>
            </w:r>
          </w:p>
        </w:tc>
        <w:tc>
          <w:tcPr>
            <w:tcW w:w="1134" w:type="dxa"/>
            <w:tcBorders>
              <w:top w:val="dotted" w:sz="2" w:space="0" w:color="auto"/>
              <w:left w:val="dotted" w:sz="2" w:space="0" w:color="auto"/>
              <w:bottom w:val="dotted" w:sz="2" w:space="0" w:color="auto"/>
            </w:tcBorders>
          </w:tcPr>
          <w:p w14:paraId="45AE5705" w14:textId="77777777" w:rsidR="00A162B4" w:rsidRPr="00757CDB" w:rsidRDefault="00A162B4" w:rsidP="00910BDC">
            <w:pPr>
              <w:jc w:val="center"/>
              <w:rPr>
                <w:rFonts w:asciiTheme="minorHAnsi" w:hAnsiTheme="minorHAnsi"/>
                <w:sz w:val="19"/>
                <w:szCs w:val="19"/>
              </w:rPr>
            </w:pPr>
            <w:r w:rsidRPr="00757CDB">
              <w:rPr>
                <w:rFonts w:asciiTheme="minorHAnsi" w:hAnsiTheme="minorHAnsi"/>
                <w:sz w:val="19"/>
                <w:szCs w:val="19"/>
              </w:rPr>
              <w:sym w:font="Wingdings" w:char="F0FC"/>
            </w:r>
          </w:p>
        </w:tc>
        <w:tc>
          <w:tcPr>
            <w:tcW w:w="992" w:type="dxa"/>
            <w:tcBorders>
              <w:top w:val="dotted" w:sz="2" w:space="0" w:color="auto"/>
              <w:left w:val="single" w:sz="4" w:space="0" w:color="auto"/>
              <w:bottom w:val="dotted" w:sz="2" w:space="0" w:color="auto"/>
              <w:right w:val="dotted" w:sz="2" w:space="0" w:color="auto"/>
            </w:tcBorders>
          </w:tcPr>
          <w:p w14:paraId="4C4D46A3" w14:textId="77777777" w:rsidR="00A162B4" w:rsidRPr="00757CDB" w:rsidRDefault="00A162B4" w:rsidP="00910BDC">
            <w:pPr>
              <w:jc w:val="center"/>
              <w:rPr>
                <w:rFonts w:asciiTheme="minorHAnsi" w:hAnsiTheme="minorHAnsi"/>
                <w:sz w:val="19"/>
                <w:szCs w:val="19"/>
              </w:rPr>
            </w:pPr>
            <w:r w:rsidRPr="00757CDB">
              <w:rPr>
                <w:rFonts w:asciiTheme="minorHAnsi" w:hAnsiTheme="minorHAnsi"/>
                <w:sz w:val="19"/>
                <w:szCs w:val="19"/>
              </w:rPr>
              <w:sym w:font="Wingdings" w:char="F0FC"/>
            </w:r>
          </w:p>
        </w:tc>
        <w:tc>
          <w:tcPr>
            <w:tcW w:w="1134" w:type="dxa"/>
            <w:tcBorders>
              <w:top w:val="dotted" w:sz="2" w:space="0" w:color="auto"/>
              <w:left w:val="dotted" w:sz="2" w:space="0" w:color="auto"/>
              <w:bottom w:val="dotted" w:sz="2" w:space="0" w:color="auto"/>
            </w:tcBorders>
          </w:tcPr>
          <w:p w14:paraId="4B9BC3AA" w14:textId="77777777" w:rsidR="00A162B4" w:rsidRPr="00757CDB" w:rsidRDefault="00A162B4" w:rsidP="00910BDC">
            <w:pPr>
              <w:jc w:val="center"/>
              <w:rPr>
                <w:rFonts w:asciiTheme="minorHAnsi" w:hAnsiTheme="minorHAnsi"/>
                <w:sz w:val="19"/>
                <w:szCs w:val="19"/>
              </w:rPr>
            </w:pPr>
            <w:r w:rsidRPr="00757CDB">
              <w:rPr>
                <w:rFonts w:asciiTheme="minorHAnsi" w:hAnsiTheme="minorHAnsi"/>
                <w:sz w:val="19"/>
                <w:szCs w:val="19"/>
              </w:rPr>
              <w:t>–</w:t>
            </w:r>
          </w:p>
        </w:tc>
      </w:tr>
      <w:tr w:rsidR="00757CDB" w:rsidRPr="00757CDB" w14:paraId="02E38AEE" w14:textId="77777777" w:rsidTr="00EA2C2E">
        <w:trPr>
          <w:trHeight w:val="94"/>
          <w:jc w:val="center"/>
        </w:trPr>
        <w:tc>
          <w:tcPr>
            <w:tcW w:w="1250" w:type="dxa"/>
            <w:vMerge/>
          </w:tcPr>
          <w:p w14:paraId="02D5B38D" w14:textId="77777777" w:rsidR="00A162B4" w:rsidRPr="00757CDB" w:rsidRDefault="00A162B4" w:rsidP="00910BDC">
            <w:pPr>
              <w:pStyle w:val="Tabletext"/>
              <w:rPr>
                <w:rFonts w:asciiTheme="minorHAnsi" w:hAnsiTheme="minorHAnsi"/>
                <w:szCs w:val="19"/>
              </w:rPr>
            </w:pPr>
          </w:p>
        </w:tc>
        <w:tc>
          <w:tcPr>
            <w:tcW w:w="3135" w:type="dxa"/>
            <w:tcBorders>
              <w:top w:val="dotted" w:sz="2" w:space="0" w:color="auto"/>
              <w:bottom w:val="dotted" w:sz="2" w:space="0" w:color="auto"/>
              <w:right w:val="single" w:sz="4" w:space="0" w:color="auto"/>
            </w:tcBorders>
          </w:tcPr>
          <w:p w14:paraId="5B55CC69" w14:textId="1F1E1A96" w:rsidR="00A162B4" w:rsidRPr="00757CDB" w:rsidRDefault="00A162B4" w:rsidP="00910BDC">
            <w:pPr>
              <w:pStyle w:val="Summaryofsafetyconcerns"/>
              <w:keepNext/>
              <w:keepLines/>
              <w:rPr>
                <w:rFonts w:asciiTheme="minorHAnsi" w:hAnsiTheme="minorHAnsi"/>
                <w:b w:val="0"/>
                <w:sz w:val="19"/>
                <w:szCs w:val="19"/>
              </w:rPr>
            </w:pPr>
            <w:r w:rsidRPr="00757CDB">
              <w:rPr>
                <w:rFonts w:asciiTheme="minorHAnsi" w:hAnsiTheme="minorHAnsi"/>
                <w:b w:val="0"/>
                <w:sz w:val="19"/>
                <w:szCs w:val="19"/>
              </w:rPr>
              <w:t>Liver events in patients with viral hepatitis (i</w:t>
            </w:r>
            <w:r w:rsidR="00ED0BA0">
              <w:rPr>
                <w:rFonts w:asciiTheme="minorHAnsi" w:hAnsiTheme="minorHAnsi"/>
                <w:b w:val="0"/>
                <w:sz w:val="19"/>
                <w:szCs w:val="19"/>
              </w:rPr>
              <w:t>ncluding hepatitis B virus</w:t>
            </w:r>
            <w:r w:rsidRPr="00757CDB">
              <w:rPr>
                <w:rFonts w:asciiTheme="minorHAnsi" w:hAnsiTheme="minorHAnsi"/>
                <w:b w:val="0"/>
                <w:sz w:val="19"/>
                <w:szCs w:val="19"/>
              </w:rPr>
              <w:t xml:space="preserve"> reactivation)</w:t>
            </w:r>
          </w:p>
        </w:tc>
        <w:tc>
          <w:tcPr>
            <w:tcW w:w="992" w:type="dxa"/>
            <w:tcBorders>
              <w:top w:val="dotted" w:sz="2" w:space="0" w:color="auto"/>
              <w:left w:val="single" w:sz="4" w:space="0" w:color="auto"/>
              <w:bottom w:val="dotted" w:sz="2" w:space="0" w:color="auto"/>
              <w:right w:val="dotted" w:sz="2" w:space="0" w:color="auto"/>
            </w:tcBorders>
          </w:tcPr>
          <w:p w14:paraId="058FCE17" w14:textId="77777777" w:rsidR="00A162B4" w:rsidRPr="00757CDB" w:rsidRDefault="00A162B4" w:rsidP="00910BDC">
            <w:pPr>
              <w:jc w:val="center"/>
              <w:rPr>
                <w:rFonts w:asciiTheme="minorHAnsi" w:hAnsiTheme="minorHAnsi"/>
                <w:sz w:val="19"/>
                <w:szCs w:val="19"/>
              </w:rPr>
            </w:pPr>
            <w:r w:rsidRPr="00757CDB">
              <w:rPr>
                <w:rFonts w:asciiTheme="minorHAnsi" w:hAnsiTheme="minorHAnsi"/>
                <w:sz w:val="19"/>
                <w:szCs w:val="19"/>
              </w:rPr>
              <w:sym w:font="Wingdings" w:char="F0FC"/>
            </w:r>
          </w:p>
        </w:tc>
        <w:tc>
          <w:tcPr>
            <w:tcW w:w="1134" w:type="dxa"/>
            <w:tcBorders>
              <w:top w:val="dotted" w:sz="2" w:space="0" w:color="auto"/>
              <w:left w:val="dotted" w:sz="2" w:space="0" w:color="auto"/>
              <w:bottom w:val="dotted" w:sz="2" w:space="0" w:color="auto"/>
            </w:tcBorders>
          </w:tcPr>
          <w:p w14:paraId="78E1E8B9" w14:textId="77777777" w:rsidR="00A162B4" w:rsidRPr="00757CDB" w:rsidRDefault="00A162B4" w:rsidP="00910BDC">
            <w:pPr>
              <w:jc w:val="center"/>
              <w:rPr>
                <w:rFonts w:asciiTheme="minorHAnsi" w:hAnsiTheme="minorHAnsi"/>
                <w:sz w:val="19"/>
                <w:szCs w:val="19"/>
              </w:rPr>
            </w:pPr>
            <w:r w:rsidRPr="00757CDB">
              <w:rPr>
                <w:rFonts w:asciiTheme="minorHAnsi" w:hAnsiTheme="minorHAnsi"/>
                <w:sz w:val="19"/>
                <w:szCs w:val="19"/>
              </w:rPr>
              <w:sym w:font="Wingdings" w:char="F0FC"/>
            </w:r>
          </w:p>
        </w:tc>
        <w:tc>
          <w:tcPr>
            <w:tcW w:w="992" w:type="dxa"/>
            <w:tcBorders>
              <w:top w:val="dotted" w:sz="2" w:space="0" w:color="auto"/>
              <w:left w:val="single" w:sz="4" w:space="0" w:color="auto"/>
              <w:bottom w:val="dotted" w:sz="2" w:space="0" w:color="auto"/>
              <w:right w:val="dotted" w:sz="2" w:space="0" w:color="auto"/>
            </w:tcBorders>
          </w:tcPr>
          <w:p w14:paraId="0DA9ED08" w14:textId="77777777" w:rsidR="00A162B4" w:rsidRPr="00757CDB" w:rsidRDefault="00A162B4" w:rsidP="00910BDC">
            <w:pPr>
              <w:jc w:val="center"/>
              <w:rPr>
                <w:rFonts w:asciiTheme="minorHAnsi" w:hAnsiTheme="minorHAnsi"/>
                <w:sz w:val="19"/>
                <w:szCs w:val="19"/>
              </w:rPr>
            </w:pPr>
            <w:r w:rsidRPr="00757CDB">
              <w:rPr>
                <w:rFonts w:asciiTheme="minorHAnsi" w:hAnsiTheme="minorHAnsi"/>
                <w:sz w:val="19"/>
                <w:szCs w:val="19"/>
              </w:rPr>
              <w:sym w:font="Wingdings" w:char="F0FC"/>
            </w:r>
          </w:p>
        </w:tc>
        <w:tc>
          <w:tcPr>
            <w:tcW w:w="1134" w:type="dxa"/>
            <w:tcBorders>
              <w:top w:val="dotted" w:sz="2" w:space="0" w:color="auto"/>
              <w:left w:val="dotted" w:sz="2" w:space="0" w:color="auto"/>
              <w:bottom w:val="dotted" w:sz="2" w:space="0" w:color="auto"/>
            </w:tcBorders>
          </w:tcPr>
          <w:p w14:paraId="4AF70E11" w14:textId="77777777" w:rsidR="00A162B4" w:rsidRPr="00757CDB" w:rsidRDefault="00A162B4" w:rsidP="00910BDC">
            <w:pPr>
              <w:jc w:val="center"/>
              <w:rPr>
                <w:rFonts w:asciiTheme="minorHAnsi" w:hAnsiTheme="minorHAnsi"/>
                <w:sz w:val="19"/>
                <w:szCs w:val="19"/>
              </w:rPr>
            </w:pPr>
            <w:r w:rsidRPr="00757CDB">
              <w:rPr>
                <w:rFonts w:asciiTheme="minorHAnsi" w:hAnsiTheme="minorHAnsi"/>
                <w:sz w:val="19"/>
                <w:szCs w:val="19"/>
              </w:rPr>
              <w:t>–</w:t>
            </w:r>
          </w:p>
        </w:tc>
      </w:tr>
      <w:tr w:rsidR="00757CDB" w:rsidRPr="00757CDB" w14:paraId="42911F15" w14:textId="77777777" w:rsidTr="00EA2C2E">
        <w:trPr>
          <w:trHeight w:val="94"/>
          <w:jc w:val="center"/>
        </w:trPr>
        <w:tc>
          <w:tcPr>
            <w:tcW w:w="1250" w:type="dxa"/>
            <w:vMerge/>
          </w:tcPr>
          <w:p w14:paraId="6E557D63" w14:textId="77777777" w:rsidR="00A162B4" w:rsidRPr="00757CDB" w:rsidRDefault="00A162B4" w:rsidP="00910BDC">
            <w:pPr>
              <w:pStyle w:val="Tabletext"/>
              <w:rPr>
                <w:rFonts w:asciiTheme="minorHAnsi" w:hAnsiTheme="minorHAnsi"/>
                <w:szCs w:val="19"/>
              </w:rPr>
            </w:pPr>
          </w:p>
        </w:tc>
        <w:tc>
          <w:tcPr>
            <w:tcW w:w="3135" w:type="dxa"/>
            <w:tcBorders>
              <w:top w:val="dotted" w:sz="2" w:space="0" w:color="auto"/>
              <w:bottom w:val="dotted" w:sz="2" w:space="0" w:color="auto"/>
              <w:right w:val="single" w:sz="4" w:space="0" w:color="auto"/>
            </w:tcBorders>
          </w:tcPr>
          <w:p w14:paraId="60B83042" w14:textId="77777777" w:rsidR="00A162B4" w:rsidRPr="00757CDB" w:rsidRDefault="00A162B4" w:rsidP="00910BDC">
            <w:pPr>
              <w:autoSpaceDE w:val="0"/>
              <w:autoSpaceDN w:val="0"/>
              <w:adjustRightInd w:val="0"/>
              <w:rPr>
                <w:rFonts w:asciiTheme="minorHAnsi" w:hAnsiTheme="minorHAnsi"/>
                <w:sz w:val="19"/>
                <w:szCs w:val="19"/>
              </w:rPr>
            </w:pPr>
            <w:r w:rsidRPr="007B0533">
              <w:rPr>
                <w:rFonts w:asciiTheme="minorHAnsi" w:eastAsia="Times New Roman" w:hAnsiTheme="minorHAnsi"/>
                <w:snapToGrid w:val="0"/>
                <w:color w:val="000000" w:themeColor="text1"/>
                <w:kern w:val="16"/>
                <w:sz w:val="19"/>
                <w:szCs w:val="19"/>
              </w:rPr>
              <w:t>Change in morphology and/or severity of psoriasis in adult and paediatric populations</w:t>
            </w:r>
          </w:p>
        </w:tc>
        <w:tc>
          <w:tcPr>
            <w:tcW w:w="992" w:type="dxa"/>
            <w:tcBorders>
              <w:top w:val="dotted" w:sz="2" w:space="0" w:color="auto"/>
              <w:left w:val="single" w:sz="4" w:space="0" w:color="auto"/>
              <w:bottom w:val="dotted" w:sz="2" w:space="0" w:color="auto"/>
              <w:right w:val="dotted" w:sz="2" w:space="0" w:color="auto"/>
            </w:tcBorders>
          </w:tcPr>
          <w:p w14:paraId="1520371C" w14:textId="77777777" w:rsidR="00A162B4" w:rsidRPr="00757CDB" w:rsidRDefault="00A162B4" w:rsidP="00910BDC">
            <w:pPr>
              <w:jc w:val="center"/>
              <w:rPr>
                <w:rFonts w:asciiTheme="minorHAnsi" w:hAnsiTheme="minorHAnsi"/>
                <w:sz w:val="19"/>
                <w:szCs w:val="19"/>
              </w:rPr>
            </w:pPr>
            <w:r w:rsidRPr="00757CDB">
              <w:rPr>
                <w:rFonts w:asciiTheme="minorHAnsi" w:hAnsiTheme="minorHAnsi"/>
                <w:sz w:val="19"/>
                <w:szCs w:val="19"/>
              </w:rPr>
              <w:sym w:font="Wingdings" w:char="F0FC"/>
            </w:r>
          </w:p>
        </w:tc>
        <w:tc>
          <w:tcPr>
            <w:tcW w:w="1134" w:type="dxa"/>
            <w:tcBorders>
              <w:top w:val="dotted" w:sz="2" w:space="0" w:color="auto"/>
              <w:left w:val="dotted" w:sz="2" w:space="0" w:color="auto"/>
              <w:bottom w:val="dotted" w:sz="2" w:space="0" w:color="auto"/>
            </w:tcBorders>
          </w:tcPr>
          <w:p w14:paraId="0FEEEC91" w14:textId="77777777" w:rsidR="00A162B4" w:rsidRPr="00757CDB" w:rsidRDefault="00A162B4" w:rsidP="00910BDC">
            <w:pPr>
              <w:jc w:val="center"/>
              <w:rPr>
                <w:rFonts w:asciiTheme="minorHAnsi" w:hAnsiTheme="minorHAnsi"/>
                <w:sz w:val="19"/>
                <w:szCs w:val="19"/>
              </w:rPr>
            </w:pPr>
            <w:r w:rsidRPr="00757CDB">
              <w:rPr>
                <w:rFonts w:asciiTheme="minorHAnsi" w:hAnsiTheme="minorHAnsi"/>
                <w:sz w:val="19"/>
                <w:szCs w:val="19"/>
              </w:rPr>
              <w:sym w:font="Wingdings" w:char="F0FC"/>
            </w:r>
          </w:p>
        </w:tc>
        <w:tc>
          <w:tcPr>
            <w:tcW w:w="992" w:type="dxa"/>
            <w:tcBorders>
              <w:top w:val="dotted" w:sz="2" w:space="0" w:color="auto"/>
              <w:left w:val="single" w:sz="4" w:space="0" w:color="auto"/>
              <w:bottom w:val="dotted" w:sz="2" w:space="0" w:color="auto"/>
              <w:right w:val="dotted" w:sz="2" w:space="0" w:color="auto"/>
            </w:tcBorders>
          </w:tcPr>
          <w:p w14:paraId="5BF61D6A" w14:textId="77777777" w:rsidR="00A162B4" w:rsidRPr="00757CDB" w:rsidRDefault="00A162B4" w:rsidP="00910BDC">
            <w:pPr>
              <w:jc w:val="center"/>
              <w:rPr>
                <w:rFonts w:asciiTheme="minorHAnsi" w:hAnsiTheme="minorHAnsi"/>
                <w:sz w:val="19"/>
                <w:szCs w:val="19"/>
              </w:rPr>
            </w:pPr>
            <w:r w:rsidRPr="00757CDB">
              <w:rPr>
                <w:rFonts w:asciiTheme="minorHAnsi" w:hAnsiTheme="minorHAnsi"/>
                <w:sz w:val="19"/>
                <w:szCs w:val="19"/>
              </w:rPr>
              <w:sym w:font="Wingdings" w:char="F0FC"/>
            </w:r>
          </w:p>
        </w:tc>
        <w:tc>
          <w:tcPr>
            <w:tcW w:w="1134" w:type="dxa"/>
            <w:tcBorders>
              <w:top w:val="dotted" w:sz="2" w:space="0" w:color="auto"/>
              <w:left w:val="dotted" w:sz="2" w:space="0" w:color="auto"/>
              <w:bottom w:val="dotted" w:sz="2" w:space="0" w:color="auto"/>
            </w:tcBorders>
          </w:tcPr>
          <w:p w14:paraId="0BD341D4" w14:textId="77777777" w:rsidR="00A162B4" w:rsidRPr="00757CDB" w:rsidRDefault="00A162B4" w:rsidP="00910BDC">
            <w:pPr>
              <w:jc w:val="center"/>
              <w:rPr>
                <w:rFonts w:asciiTheme="minorHAnsi" w:hAnsiTheme="minorHAnsi"/>
                <w:sz w:val="19"/>
                <w:szCs w:val="19"/>
              </w:rPr>
            </w:pPr>
            <w:r w:rsidRPr="00757CDB">
              <w:rPr>
                <w:rFonts w:asciiTheme="minorHAnsi" w:hAnsiTheme="minorHAnsi"/>
                <w:sz w:val="19"/>
                <w:szCs w:val="19"/>
              </w:rPr>
              <w:t>–</w:t>
            </w:r>
          </w:p>
        </w:tc>
      </w:tr>
      <w:tr w:rsidR="00757CDB" w:rsidRPr="00757CDB" w14:paraId="0A4F48E7" w14:textId="77777777" w:rsidTr="00EA2C2E">
        <w:trPr>
          <w:trHeight w:val="94"/>
          <w:jc w:val="center"/>
        </w:trPr>
        <w:tc>
          <w:tcPr>
            <w:tcW w:w="1250" w:type="dxa"/>
            <w:vMerge/>
          </w:tcPr>
          <w:p w14:paraId="546243E4" w14:textId="77777777" w:rsidR="00A162B4" w:rsidRPr="00757CDB" w:rsidRDefault="00A162B4" w:rsidP="00910BDC">
            <w:pPr>
              <w:pStyle w:val="Tabletext"/>
              <w:rPr>
                <w:rFonts w:asciiTheme="minorHAnsi" w:hAnsiTheme="minorHAnsi"/>
                <w:szCs w:val="19"/>
              </w:rPr>
            </w:pPr>
          </w:p>
        </w:tc>
        <w:tc>
          <w:tcPr>
            <w:tcW w:w="3135" w:type="dxa"/>
            <w:tcBorders>
              <w:top w:val="dotted" w:sz="2" w:space="0" w:color="auto"/>
              <w:bottom w:val="dotted" w:sz="2" w:space="0" w:color="auto"/>
              <w:right w:val="single" w:sz="4" w:space="0" w:color="auto"/>
            </w:tcBorders>
          </w:tcPr>
          <w:p w14:paraId="58D364CF" w14:textId="05EADD2C" w:rsidR="00A162B4" w:rsidRPr="00757CDB" w:rsidRDefault="00237EFA" w:rsidP="00237EFA">
            <w:pPr>
              <w:autoSpaceDE w:val="0"/>
              <w:autoSpaceDN w:val="0"/>
              <w:adjustRightInd w:val="0"/>
              <w:rPr>
                <w:rFonts w:asciiTheme="minorHAnsi" w:eastAsia="Times New Roman" w:hAnsiTheme="minorHAnsi"/>
                <w:snapToGrid w:val="0"/>
                <w:kern w:val="16"/>
                <w:sz w:val="19"/>
                <w:szCs w:val="19"/>
              </w:rPr>
            </w:pPr>
            <w:r>
              <w:rPr>
                <w:rFonts w:asciiTheme="minorHAnsi" w:eastAsia="Times New Roman" w:hAnsiTheme="minorHAnsi"/>
                <w:snapToGrid w:val="0"/>
                <w:color w:val="000000" w:themeColor="text1"/>
                <w:kern w:val="16"/>
                <w:sz w:val="19"/>
                <w:szCs w:val="19"/>
              </w:rPr>
              <w:t>Congestive heart failure (</w:t>
            </w:r>
            <w:r w:rsidR="00A162B4" w:rsidRPr="007B0533">
              <w:rPr>
                <w:rFonts w:asciiTheme="minorHAnsi" w:eastAsia="Times New Roman" w:hAnsiTheme="minorHAnsi"/>
                <w:snapToGrid w:val="0"/>
                <w:color w:val="000000" w:themeColor="text1"/>
                <w:kern w:val="16"/>
                <w:sz w:val="19"/>
                <w:szCs w:val="19"/>
              </w:rPr>
              <w:t>CHF</w:t>
            </w:r>
            <w:r>
              <w:rPr>
                <w:rFonts w:asciiTheme="minorHAnsi" w:eastAsia="Times New Roman" w:hAnsiTheme="minorHAnsi"/>
                <w:snapToGrid w:val="0"/>
                <w:color w:val="000000" w:themeColor="text1"/>
                <w:kern w:val="16"/>
                <w:sz w:val="19"/>
                <w:szCs w:val="19"/>
              </w:rPr>
              <w:t>)</w:t>
            </w:r>
            <w:r w:rsidR="00A162B4" w:rsidRPr="007B0533">
              <w:rPr>
                <w:rFonts w:asciiTheme="minorHAnsi" w:eastAsia="Times New Roman" w:hAnsiTheme="minorHAnsi"/>
                <w:snapToGrid w:val="0"/>
                <w:color w:val="000000" w:themeColor="text1"/>
                <w:kern w:val="16"/>
                <w:sz w:val="19"/>
                <w:szCs w:val="19"/>
              </w:rPr>
              <w:t xml:space="preserve"> in adult subjects</w:t>
            </w:r>
          </w:p>
        </w:tc>
        <w:tc>
          <w:tcPr>
            <w:tcW w:w="992" w:type="dxa"/>
            <w:tcBorders>
              <w:top w:val="dotted" w:sz="2" w:space="0" w:color="auto"/>
              <w:left w:val="single" w:sz="4" w:space="0" w:color="auto"/>
              <w:bottom w:val="dotted" w:sz="2" w:space="0" w:color="auto"/>
              <w:right w:val="dotted" w:sz="2" w:space="0" w:color="auto"/>
            </w:tcBorders>
          </w:tcPr>
          <w:p w14:paraId="40CF3104" w14:textId="77777777" w:rsidR="00A162B4" w:rsidRPr="00757CDB" w:rsidRDefault="00A162B4" w:rsidP="00910BDC">
            <w:pPr>
              <w:jc w:val="center"/>
              <w:rPr>
                <w:rFonts w:asciiTheme="minorHAnsi" w:hAnsiTheme="minorHAnsi"/>
                <w:sz w:val="19"/>
                <w:szCs w:val="19"/>
              </w:rPr>
            </w:pPr>
            <w:r w:rsidRPr="00757CDB">
              <w:rPr>
                <w:rFonts w:asciiTheme="minorHAnsi" w:hAnsiTheme="minorHAnsi"/>
                <w:sz w:val="19"/>
                <w:szCs w:val="19"/>
              </w:rPr>
              <w:sym w:font="Wingdings" w:char="F0FC"/>
            </w:r>
          </w:p>
        </w:tc>
        <w:tc>
          <w:tcPr>
            <w:tcW w:w="1134" w:type="dxa"/>
            <w:tcBorders>
              <w:top w:val="dotted" w:sz="2" w:space="0" w:color="auto"/>
              <w:left w:val="dotted" w:sz="2" w:space="0" w:color="auto"/>
              <w:bottom w:val="dotted" w:sz="2" w:space="0" w:color="auto"/>
            </w:tcBorders>
          </w:tcPr>
          <w:p w14:paraId="67983BCB" w14:textId="77777777" w:rsidR="00A162B4" w:rsidRPr="00757CDB" w:rsidRDefault="00A162B4" w:rsidP="00910BDC">
            <w:pPr>
              <w:jc w:val="center"/>
              <w:rPr>
                <w:rFonts w:asciiTheme="minorHAnsi" w:hAnsiTheme="minorHAnsi"/>
                <w:sz w:val="19"/>
                <w:szCs w:val="19"/>
              </w:rPr>
            </w:pPr>
            <w:r w:rsidRPr="00757CDB">
              <w:rPr>
                <w:rFonts w:asciiTheme="minorHAnsi" w:hAnsiTheme="minorHAnsi"/>
                <w:sz w:val="19"/>
                <w:szCs w:val="19"/>
              </w:rPr>
              <w:sym w:font="Wingdings" w:char="F0FC"/>
            </w:r>
          </w:p>
        </w:tc>
        <w:tc>
          <w:tcPr>
            <w:tcW w:w="992" w:type="dxa"/>
            <w:tcBorders>
              <w:top w:val="dotted" w:sz="2" w:space="0" w:color="auto"/>
              <w:left w:val="single" w:sz="4" w:space="0" w:color="auto"/>
              <w:bottom w:val="dotted" w:sz="2" w:space="0" w:color="auto"/>
              <w:right w:val="dotted" w:sz="2" w:space="0" w:color="auto"/>
            </w:tcBorders>
          </w:tcPr>
          <w:p w14:paraId="563AD6AD" w14:textId="77777777" w:rsidR="00A162B4" w:rsidRPr="00757CDB" w:rsidRDefault="00A162B4" w:rsidP="00910BDC">
            <w:pPr>
              <w:jc w:val="center"/>
              <w:rPr>
                <w:rFonts w:asciiTheme="minorHAnsi" w:hAnsiTheme="minorHAnsi"/>
                <w:sz w:val="19"/>
                <w:szCs w:val="19"/>
              </w:rPr>
            </w:pPr>
            <w:r w:rsidRPr="00757CDB">
              <w:rPr>
                <w:rFonts w:asciiTheme="minorHAnsi" w:hAnsiTheme="minorHAnsi"/>
                <w:sz w:val="19"/>
                <w:szCs w:val="19"/>
              </w:rPr>
              <w:sym w:font="Wingdings" w:char="F0FC"/>
            </w:r>
          </w:p>
        </w:tc>
        <w:tc>
          <w:tcPr>
            <w:tcW w:w="1134" w:type="dxa"/>
            <w:tcBorders>
              <w:top w:val="dotted" w:sz="2" w:space="0" w:color="auto"/>
              <w:left w:val="dotted" w:sz="2" w:space="0" w:color="auto"/>
              <w:bottom w:val="dotted" w:sz="2" w:space="0" w:color="auto"/>
            </w:tcBorders>
          </w:tcPr>
          <w:p w14:paraId="2A4A9553" w14:textId="77777777" w:rsidR="00A162B4" w:rsidRPr="00757CDB" w:rsidRDefault="00A162B4" w:rsidP="00910BDC">
            <w:pPr>
              <w:jc w:val="center"/>
              <w:rPr>
                <w:rFonts w:asciiTheme="minorHAnsi" w:hAnsiTheme="minorHAnsi"/>
                <w:sz w:val="19"/>
                <w:szCs w:val="19"/>
              </w:rPr>
            </w:pPr>
            <w:r w:rsidRPr="00757CDB">
              <w:rPr>
                <w:rFonts w:asciiTheme="minorHAnsi" w:hAnsiTheme="minorHAnsi"/>
                <w:sz w:val="19"/>
                <w:szCs w:val="19"/>
              </w:rPr>
              <w:sym w:font="Wingdings" w:char="F0FC"/>
            </w:r>
            <w:r w:rsidRPr="00757CDB">
              <w:rPr>
                <w:rFonts w:asciiTheme="minorHAnsi" w:hAnsiTheme="minorHAnsi"/>
                <w:sz w:val="19"/>
                <w:szCs w:val="19"/>
              </w:rPr>
              <w:t xml:space="preserve"> *</w:t>
            </w:r>
          </w:p>
        </w:tc>
      </w:tr>
      <w:tr w:rsidR="00757CDB" w:rsidRPr="00757CDB" w14:paraId="789BFE3A" w14:textId="77777777" w:rsidTr="00EA2C2E">
        <w:trPr>
          <w:trHeight w:val="187"/>
          <w:jc w:val="center"/>
        </w:trPr>
        <w:tc>
          <w:tcPr>
            <w:tcW w:w="1250" w:type="dxa"/>
            <w:vMerge/>
          </w:tcPr>
          <w:p w14:paraId="1EAC7ECA" w14:textId="77777777" w:rsidR="00A162B4" w:rsidRPr="00757CDB" w:rsidRDefault="00A162B4" w:rsidP="00910BDC">
            <w:pPr>
              <w:pStyle w:val="Tabletext"/>
              <w:rPr>
                <w:rFonts w:asciiTheme="minorHAnsi" w:hAnsiTheme="minorHAnsi"/>
                <w:szCs w:val="19"/>
              </w:rPr>
            </w:pPr>
          </w:p>
        </w:tc>
        <w:tc>
          <w:tcPr>
            <w:tcW w:w="3135" w:type="dxa"/>
            <w:tcBorders>
              <w:top w:val="dotted" w:sz="2" w:space="0" w:color="auto"/>
              <w:right w:val="single" w:sz="4" w:space="0" w:color="auto"/>
            </w:tcBorders>
          </w:tcPr>
          <w:p w14:paraId="5A88E00D" w14:textId="1E7D2A0B" w:rsidR="00A162B4" w:rsidRPr="00757CDB" w:rsidRDefault="00A162B4" w:rsidP="00757CDB">
            <w:pPr>
              <w:autoSpaceDE w:val="0"/>
              <w:autoSpaceDN w:val="0"/>
              <w:adjustRightInd w:val="0"/>
              <w:rPr>
                <w:rFonts w:asciiTheme="minorHAnsi" w:hAnsiTheme="minorHAnsi"/>
                <w:sz w:val="19"/>
                <w:szCs w:val="19"/>
              </w:rPr>
            </w:pPr>
            <w:r w:rsidRPr="00757CDB">
              <w:rPr>
                <w:rFonts w:asciiTheme="minorHAnsi" w:eastAsia="Times New Roman" w:hAnsiTheme="minorHAnsi"/>
                <w:snapToGrid w:val="0"/>
                <w:kern w:val="16"/>
                <w:sz w:val="19"/>
                <w:szCs w:val="19"/>
              </w:rPr>
              <w:t xml:space="preserve">Inflammatory bowel disease in </w:t>
            </w:r>
            <w:r w:rsidR="00757CDB" w:rsidRPr="00757CDB">
              <w:rPr>
                <w:rFonts w:asciiTheme="minorHAnsi" w:eastAsia="Times New Roman" w:hAnsiTheme="minorHAnsi"/>
                <w:snapToGrid w:val="0"/>
                <w:kern w:val="16"/>
                <w:sz w:val="19"/>
                <w:szCs w:val="19"/>
              </w:rPr>
              <w:t>JIA</w:t>
            </w:r>
            <w:r w:rsidRPr="00757CDB">
              <w:rPr>
                <w:rFonts w:asciiTheme="minorHAnsi" w:eastAsia="Times New Roman" w:hAnsiTheme="minorHAnsi"/>
                <w:snapToGrid w:val="0"/>
                <w:kern w:val="16"/>
                <w:sz w:val="19"/>
                <w:szCs w:val="19"/>
              </w:rPr>
              <w:t xml:space="preserve"> subjects</w:t>
            </w:r>
          </w:p>
        </w:tc>
        <w:tc>
          <w:tcPr>
            <w:tcW w:w="992" w:type="dxa"/>
            <w:tcBorders>
              <w:top w:val="dotted" w:sz="2" w:space="0" w:color="auto"/>
              <w:left w:val="single" w:sz="4" w:space="0" w:color="auto"/>
              <w:right w:val="dotted" w:sz="2" w:space="0" w:color="auto"/>
            </w:tcBorders>
            <w:vAlign w:val="center"/>
          </w:tcPr>
          <w:p w14:paraId="5008364D" w14:textId="77777777" w:rsidR="00A162B4" w:rsidRPr="00757CDB" w:rsidRDefault="00A162B4" w:rsidP="00910BDC">
            <w:pPr>
              <w:pStyle w:val="Tabletext"/>
              <w:jc w:val="center"/>
              <w:rPr>
                <w:rFonts w:asciiTheme="minorHAnsi" w:hAnsiTheme="minorHAnsi"/>
                <w:szCs w:val="19"/>
              </w:rPr>
            </w:pPr>
            <w:r w:rsidRPr="00757CDB">
              <w:rPr>
                <w:rFonts w:asciiTheme="minorHAnsi" w:hAnsiTheme="minorHAnsi"/>
                <w:szCs w:val="19"/>
              </w:rPr>
              <w:sym w:font="Wingdings" w:char="F0FC"/>
            </w:r>
          </w:p>
        </w:tc>
        <w:tc>
          <w:tcPr>
            <w:tcW w:w="1134" w:type="dxa"/>
            <w:tcBorders>
              <w:top w:val="dotted" w:sz="2" w:space="0" w:color="auto"/>
              <w:left w:val="dotted" w:sz="2" w:space="0" w:color="auto"/>
            </w:tcBorders>
          </w:tcPr>
          <w:p w14:paraId="6618112C" w14:textId="77777777" w:rsidR="00A162B4" w:rsidRPr="00757CDB" w:rsidRDefault="00A162B4" w:rsidP="00910BDC">
            <w:pPr>
              <w:jc w:val="center"/>
              <w:rPr>
                <w:rFonts w:asciiTheme="minorHAnsi" w:hAnsiTheme="minorHAnsi"/>
                <w:sz w:val="19"/>
                <w:szCs w:val="19"/>
              </w:rPr>
            </w:pPr>
            <w:r w:rsidRPr="00757CDB">
              <w:rPr>
                <w:rFonts w:asciiTheme="minorHAnsi" w:hAnsiTheme="minorHAnsi"/>
                <w:sz w:val="19"/>
                <w:szCs w:val="19"/>
              </w:rPr>
              <w:sym w:font="Wingdings" w:char="F0FC"/>
            </w:r>
          </w:p>
        </w:tc>
        <w:tc>
          <w:tcPr>
            <w:tcW w:w="992" w:type="dxa"/>
            <w:tcBorders>
              <w:top w:val="dotted" w:sz="2" w:space="0" w:color="auto"/>
              <w:left w:val="single" w:sz="4" w:space="0" w:color="auto"/>
              <w:right w:val="dotted" w:sz="2" w:space="0" w:color="auto"/>
            </w:tcBorders>
            <w:vAlign w:val="center"/>
          </w:tcPr>
          <w:p w14:paraId="44579FB9" w14:textId="77777777" w:rsidR="00A162B4" w:rsidRPr="00757CDB" w:rsidRDefault="00A162B4" w:rsidP="00910BDC">
            <w:pPr>
              <w:pStyle w:val="Tabletext"/>
              <w:jc w:val="center"/>
              <w:rPr>
                <w:rFonts w:asciiTheme="minorHAnsi" w:hAnsiTheme="minorHAnsi"/>
                <w:szCs w:val="19"/>
              </w:rPr>
            </w:pPr>
            <w:r w:rsidRPr="00757CDB">
              <w:rPr>
                <w:rFonts w:asciiTheme="minorHAnsi" w:hAnsiTheme="minorHAnsi"/>
                <w:szCs w:val="19"/>
              </w:rPr>
              <w:sym w:font="Wingdings" w:char="F0FC"/>
            </w:r>
          </w:p>
        </w:tc>
        <w:tc>
          <w:tcPr>
            <w:tcW w:w="1134" w:type="dxa"/>
            <w:tcBorders>
              <w:top w:val="dotted" w:sz="2" w:space="0" w:color="auto"/>
              <w:left w:val="dotted" w:sz="2" w:space="0" w:color="auto"/>
            </w:tcBorders>
            <w:vAlign w:val="center"/>
          </w:tcPr>
          <w:p w14:paraId="709754C5" w14:textId="77777777" w:rsidR="00A162B4" w:rsidRPr="00757CDB" w:rsidRDefault="00A162B4" w:rsidP="00910BDC">
            <w:pPr>
              <w:pStyle w:val="Tabletext"/>
              <w:jc w:val="center"/>
              <w:rPr>
                <w:rFonts w:asciiTheme="minorHAnsi" w:hAnsiTheme="minorHAnsi"/>
                <w:szCs w:val="19"/>
              </w:rPr>
            </w:pPr>
            <w:r w:rsidRPr="00757CDB">
              <w:rPr>
                <w:rFonts w:asciiTheme="minorHAnsi" w:hAnsiTheme="minorHAnsi"/>
                <w:szCs w:val="19"/>
              </w:rPr>
              <w:sym w:font="Wingdings" w:char="F0FC"/>
            </w:r>
          </w:p>
        </w:tc>
      </w:tr>
      <w:tr w:rsidR="00757CDB" w:rsidRPr="00757CDB" w14:paraId="714DC277" w14:textId="77777777" w:rsidTr="00EA2C2E">
        <w:trPr>
          <w:trHeight w:val="159"/>
          <w:jc w:val="center"/>
        </w:trPr>
        <w:tc>
          <w:tcPr>
            <w:tcW w:w="1250" w:type="dxa"/>
            <w:vMerge w:val="restart"/>
          </w:tcPr>
          <w:p w14:paraId="1374F03B" w14:textId="77777777" w:rsidR="00A162B4" w:rsidRPr="00757CDB" w:rsidRDefault="00A162B4" w:rsidP="00910BDC">
            <w:pPr>
              <w:pStyle w:val="Tabletext"/>
              <w:rPr>
                <w:rFonts w:asciiTheme="minorHAnsi" w:hAnsiTheme="minorHAnsi"/>
                <w:szCs w:val="19"/>
              </w:rPr>
            </w:pPr>
            <w:r w:rsidRPr="00757CDB">
              <w:rPr>
                <w:rFonts w:asciiTheme="minorHAnsi" w:hAnsiTheme="minorHAnsi"/>
                <w:szCs w:val="19"/>
              </w:rPr>
              <w:t>Important potential risks</w:t>
            </w:r>
          </w:p>
        </w:tc>
        <w:tc>
          <w:tcPr>
            <w:tcW w:w="3135" w:type="dxa"/>
            <w:tcBorders>
              <w:bottom w:val="dotted" w:sz="2" w:space="0" w:color="auto"/>
              <w:right w:val="single" w:sz="4" w:space="0" w:color="auto"/>
            </w:tcBorders>
          </w:tcPr>
          <w:p w14:paraId="0830D656" w14:textId="77777777" w:rsidR="00A162B4" w:rsidRPr="00757CDB" w:rsidRDefault="00A162B4" w:rsidP="00910BDC">
            <w:pPr>
              <w:pStyle w:val="Summaryofsafetyconcerns"/>
              <w:keepNext/>
              <w:keepLines/>
              <w:rPr>
                <w:rFonts w:asciiTheme="minorHAnsi" w:hAnsiTheme="minorHAnsi"/>
                <w:b w:val="0"/>
                <w:sz w:val="19"/>
                <w:szCs w:val="19"/>
              </w:rPr>
            </w:pPr>
            <w:r w:rsidRPr="00757CDB">
              <w:rPr>
                <w:rFonts w:asciiTheme="minorHAnsi" w:hAnsiTheme="minorHAnsi"/>
                <w:b w:val="0"/>
                <w:sz w:val="19"/>
                <w:szCs w:val="19"/>
              </w:rPr>
              <w:t>Autoimmune renal disease</w:t>
            </w:r>
          </w:p>
        </w:tc>
        <w:tc>
          <w:tcPr>
            <w:tcW w:w="992" w:type="dxa"/>
            <w:tcBorders>
              <w:left w:val="single" w:sz="4" w:space="0" w:color="auto"/>
              <w:bottom w:val="dotted" w:sz="2" w:space="0" w:color="auto"/>
              <w:right w:val="dotted" w:sz="2" w:space="0" w:color="auto"/>
            </w:tcBorders>
            <w:vAlign w:val="center"/>
          </w:tcPr>
          <w:p w14:paraId="549B5EFB" w14:textId="77777777" w:rsidR="00A162B4" w:rsidRPr="00757CDB" w:rsidRDefault="00A162B4" w:rsidP="00910BDC">
            <w:pPr>
              <w:pStyle w:val="Tabletext"/>
              <w:jc w:val="center"/>
              <w:rPr>
                <w:rFonts w:asciiTheme="minorHAnsi" w:hAnsiTheme="minorHAnsi"/>
                <w:szCs w:val="19"/>
              </w:rPr>
            </w:pPr>
            <w:r w:rsidRPr="00757CDB">
              <w:rPr>
                <w:rFonts w:asciiTheme="minorHAnsi" w:hAnsiTheme="minorHAnsi"/>
                <w:szCs w:val="19"/>
              </w:rPr>
              <w:sym w:font="Wingdings" w:char="F0FC"/>
            </w:r>
          </w:p>
        </w:tc>
        <w:tc>
          <w:tcPr>
            <w:tcW w:w="1134" w:type="dxa"/>
            <w:tcBorders>
              <w:left w:val="dotted" w:sz="2" w:space="0" w:color="auto"/>
              <w:bottom w:val="dotted" w:sz="2" w:space="0" w:color="auto"/>
            </w:tcBorders>
          </w:tcPr>
          <w:p w14:paraId="6797B6CC" w14:textId="77777777" w:rsidR="00A162B4" w:rsidRPr="00757CDB" w:rsidRDefault="00A162B4" w:rsidP="00910BDC">
            <w:pPr>
              <w:jc w:val="center"/>
              <w:rPr>
                <w:rFonts w:asciiTheme="minorHAnsi" w:hAnsiTheme="minorHAnsi"/>
                <w:sz w:val="19"/>
                <w:szCs w:val="19"/>
              </w:rPr>
            </w:pPr>
            <w:r w:rsidRPr="00757CDB">
              <w:rPr>
                <w:rFonts w:asciiTheme="minorHAnsi" w:hAnsiTheme="minorHAnsi"/>
                <w:sz w:val="19"/>
                <w:szCs w:val="19"/>
              </w:rPr>
              <w:sym w:font="Wingdings" w:char="F0FC"/>
            </w:r>
          </w:p>
        </w:tc>
        <w:tc>
          <w:tcPr>
            <w:tcW w:w="992" w:type="dxa"/>
            <w:tcBorders>
              <w:left w:val="single" w:sz="4" w:space="0" w:color="auto"/>
              <w:bottom w:val="dotted" w:sz="2" w:space="0" w:color="auto"/>
              <w:right w:val="dotted" w:sz="2" w:space="0" w:color="auto"/>
            </w:tcBorders>
          </w:tcPr>
          <w:p w14:paraId="424C945D" w14:textId="77777777" w:rsidR="00A162B4" w:rsidRPr="00757CDB" w:rsidRDefault="00A162B4" w:rsidP="00910BDC">
            <w:pPr>
              <w:jc w:val="center"/>
              <w:rPr>
                <w:rFonts w:asciiTheme="minorHAnsi" w:hAnsiTheme="minorHAnsi"/>
                <w:sz w:val="19"/>
                <w:szCs w:val="19"/>
              </w:rPr>
            </w:pPr>
            <w:r w:rsidRPr="00757CDB">
              <w:rPr>
                <w:rFonts w:asciiTheme="minorHAnsi" w:hAnsiTheme="minorHAnsi"/>
                <w:sz w:val="19"/>
                <w:szCs w:val="19"/>
              </w:rPr>
              <w:t>–</w:t>
            </w:r>
          </w:p>
        </w:tc>
        <w:tc>
          <w:tcPr>
            <w:tcW w:w="1134" w:type="dxa"/>
            <w:tcBorders>
              <w:left w:val="dotted" w:sz="2" w:space="0" w:color="auto"/>
              <w:bottom w:val="dotted" w:sz="2" w:space="0" w:color="auto"/>
            </w:tcBorders>
            <w:vAlign w:val="center"/>
          </w:tcPr>
          <w:p w14:paraId="0EE48EFA" w14:textId="77777777" w:rsidR="00A162B4" w:rsidRPr="00757CDB" w:rsidRDefault="00A162B4" w:rsidP="00910BDC">
            <w:pPr>
              <w:pStyle w:val="Tabletext"/>
              <w:jc w:val="center"/>
              <w:rPr>
                <w:rFonts w:asciiTheme="minorHAnsi" w:hAnsiTheme="minorHAnsi"/>
                <w:szCs w:val="19"/>
              </w:rPr>
            </w:pPr>
            <w:r w:rsidRPr="00757CDB">
              <w:rPr>
                <w:rFonts w:asciiTheme="minorHAnsi" w:hAnsiTheme="minorHAnsi"/>
                <w:szCs w:val="19"/>
              </w:rPr>
              <w:t>–</w:t>
            </w:r>
          </w:p>
        </w:tc>
      </w:tr>
      <w:tr w:rsidR="00757CDB" w:rsidRPr="00757CDB" w14:paraId="3ED54151" w14:textId="77777777" w:rsidTr="006A1F00">
        <w:trPr>
          <w:trHeight w:val="122"/>
          <w:jc w:val="center"/>
        </w:trPr>
        <w:tc>
          <w:tcPr>
            <w:tcW w:w="1250" w:type="dxa"/>
            <w:vMerge/>
            <w:tcBorders>
              <w:bottom w:val="single" w:sz="4" w:space="0" w:color="auto"/>
            </w:tcBorders>
          </w:tcPr>
          <w:p w14:paraId="4F2A5188" w14:textId="77777777" w:rsidR="00A162B4" w:rsidRPr="00757CDB" w:rsidRDefault="00A162B4" w:rsidP="00910BDC">
            <w:pPr>
              <w:pStyle w:val="Tabletext"/>
              <w:rPr>
                <w:rFonts w:asciiTheme="minorHAnsi" w:hAnsiTheme="minorHAnsi"/>
                <w:szCs w:val="19"/>
              </w:rPr>
            </w:pPr>
          </w:p>
        </w:tc>
        <w:tc>
          <w:tcPr>
            <w:tcW w:w="3135" w:type="dxa"/>
            <w:tcBorders>
              <w:top w:val="dotted" w:sz="2" w:space="0" w:color="auto"/>
              <w:bottom w:val="dotted" w:sz="2" w:space="0" w:color="auto"/>
              <w:right w:val="single" w:sz="4" w:space="0" w:color="auto"/>
            </w:tcBorders>
          </w:tcPr>
          <w:p w14:paraId="2586A374" w14:textId="5EDFF5A7" w:rsidR="00A162B4" w:rsidRPr="00757CDB" w:rsidRDefault="00237EFA" w:rsidP="00910BDC">
            <w:pPr>
              <w:autoSpaceDE w:val="0"/>
              <w:autoSpaceDN w:val="0"/>
              <w:adjustRightInd w:val="0"/>
              <w:rPr>
                <w:rFonts w:asciiTheme="minorHAnsi" w:eastAsia="Times New Roman" w:hAnsiTheme="minorHAnsi"/>
                <w:snapToGrid w:val="0"/>
                <w:kern w:val="16"/>
                <w:sz w:val="19"/>
                <w:szCs w:val="19"/>
              </w:rPr>
            </w:pPr>
            <w:r>
              <w:rPr>
                <w:rFonts w:asciiTheme="minorHAnsi" w:eastAsia="Times New Roman" w:hAnsiTheme="minorHAnsi"/>
                <w:snapToGrid w:val="0"/>
                <w:kern w:val="16"/>
                <w:sz w:val="19"/>
                <w:szCs w:val="19"/>
              </w:rPr>
              <w:t>Pemphigus/</w:t>
            </w:r>
            <w:r w:rsidR="00A162B4" w:rsidRPr="00757CDB">
              <w:rPr>
                <w:rFonts w:asciiTheme="minorHAnsi" w:eastAsia="Times New Roman" w:hAnsiTheme="minorHAnsi"/>
                <w:snapToGrid w:val="0"/>
                <w:kern w:val="16"/>
                <w:sz w:val="19"/>
                <w:szCs w:val="19"/>
              </w:rPr>
              <w:t>pemphigoid</w:t>
            </w:r>
          </w:p>
        </w:tc>
        <w:tc>
          <w:tcPr>
            <w:tcW w:w="992" w:type="dxa"/>
            <w:tcBorders>
              <w:top w:val="dotted" w:sz="2" w:space="0" w:color="auto"/>
              <w:left w:val="single" w:sz="4" w:space="0" w:color="auto"/>
              <w:bottom w:val="dotted" w:sz="2" w:space="0" w:color="auto"/>
              <w:right w:val="dotted" w:sz="2" w:space="0" w:color="auto"/>
            </w:tcBorders>
            <w:vAlign w:val="center"/>
          </w:tcPr>
          <w:p w14:paraId="393952D6" w14:textId="77777777" w:rsidR="00A162B4" w:rsidRPr="00757CDB" w:rsidRDefault="00A162B4" w:rsidP="00910BDC">
            <w:pPr>
              <w:pStyle w:val="Tabletext"/>
              <w:jc w:val="center"/>
              <w:rPr>
                <w:rFonts w:asciiTheme="minorHAnsi" w:hAnsiTheme="minorHAnsi"/>
                <w:szCs w:val="19"/>
              </w:rPr>
            </w:pPr>
            <w:r w:rsidRPr="00757CDB">
              <w:rPr>
                <w:rFonts w:asciiTheme="minorHAnsi" w:hAnsiTheme="minorHAnsi"/>
                <w:szCs w:val="19"/>
              </w:rPr>
              <w:sym w:font="Wingdings" w:char="F0FC"/>
            </w:r>
          </w:p>
        </w:tc>
        <w:tc>
          <w:tcPr>
            <w:tcW w:w="1134" w:type="dxa"/>
            <w:tcBorders>
              <w:top w:val="dotted" w:sz="2" w:space="0" w:color="auto"/>
              <w:left w:val="dotted" w:sz="2" w:space="0" w:color="auto"/>
              <w:bottom w:val="dotted" w:sz="2" w:space="0" w:color="auto"/>
            </w:tcBorders>
          </w:tcPr>
          <w:p w14:paraId="672BB056" w14:textId="77777777" w:rsidR="00A162B4" w:rsidRPr="00757CDB" w:rsidRDefault="00A162B4" w:rsidP="00910BDC">
            <w:pPr>
              <w:jc w:val="center"/>
              <w:rPr>
                <w:rFonts w:asciiTheme="minorHAnsi" w:hAnsiTheme="minorHAnsi"/>
                <w:sz w:val="19"/>
                <w:szCs w:val="19"/>
              </w:rPr>
            </w:pPr>
            <w:r w:rsidRPr="00757CDB">
              <w:rPr>
                <w:rFonts w:asciiTheme="minorHAnsi" w:hAnsiTheme="minorHAnsi"/>
                <w:sz w:val="19"/>
                <w:szCs w:val="19"/>
              </w:rPr>
              <w:sym w:font="Wingdings" w:char="F0FC"/>
            </w:r>
          </w:p>
        </w:tc>
        <w:tc>
          <w:tcPr>
            <w:tcW w:w="992" w:type="dxa"/>
            <w:tcBorders>
              <w:top w:val="dotted" w:sz="2" w:space="0" w:color="auto"/>
              <w:left w:val="single" w:sz="4" w:space="0" w:color="auto"/>
              <w:bottom w:val="dotted" w:sz="2" w:space="0" w:color="auto"/>
              <w:right w:val="dotted" w:sz="2" w:space="0" w:color="auto"/>
            </w:tcBorders>
          </w:tcPr>
          <w:p w14:paraId="1218AFDB" w14:textId="77777777" w:rsidR="00A162B4" w:rsidRPr="00757CDB" w:rsidRDefault="00A162B4" w:rsidP="00910BDC">
            <w:pPr>
              <w:jc w:val="center"/>
              <w:rPr>
                <w:rFonts w:asciiTheme="minorHAnsi" w:hAnsiTheme="minorHAnsi"/>
                <w:sz w:val="19"/>
                <w:szCs w:val="19"/>
              </w:rPr>
            </w:pPr>
            <w:r w:rsidRPr="00757CDB">
              <w:rPr>
                <w:rFonts w:asciiTheme="minorHAnsi" w:hAnsiTheme="minorHAnsi"/>
                <w:sz w:val="19"/>
                <w:szCs w:val="19"/>
              </w:rPr>
              <w:sym w:font="Wingdings" w:char="F0FC"/>
            </w:r>
          </w:p>
        </w:tc>
        <w:tc>
          <w:tcPr>
            <w:tcW w:w="1134" w:type="dxa"/>
            <w:tcBorders>
              <w:top w:val="dotted" w:sz="2" w:space="0" w:color="auto"/>
              <w:left w:val="dotted" w:sz="2" w:space="0" w:color="auto"/>
              <w:bottom w:val="dotted" w:sz="2" w:space="0" w:color="auto"/>
            </w:tcBorders>
            <w:vAlign w:val="center"/>
          </w:tcPr>
          <w:p w14:paraId="581F2B84" w14:textId="77777777" w:rsidR="00A162B4" w:rsidRPr="00757CDB" w:rsidRDefault="00A162B4" w:rsidP="00910BDC">
            <w:pPr>
              <w:pStyle w:val="Tabletext"/>
              <w:jc w:val="center"/>
              <w:rPr>
                <w:rFonts w:asciiTheme="minorHAnsi" w:hAnsiTheme="minorHAnsi"/>
                <w:szCs w:val="19"/>
              </w:rPr>
            </w:pPr>
            <w:r w:rsidRPr="00757CDB">
              <w:rPr>
                <w:rFonts w:asciiTheme="minorHAnsi" w:hAnsiTheme="minorHAnsi"/>
                <w:szCs w:val="19"/>
              </w:rPr>
              <w:t>–</w:t>
            </w:r>
          </w:p>
        </w:tc>
      </w:tr>
      <w:tr w:rsidR="00757CDB" w:rsidRPr="00757CDB" w14:paraId="49ACED77" w14:textId="77777777" w:rsidTr="006A1F00">
        <w:trPr>
          <w:trHeight w:val="122"/>
          <w:jc w:val="center"/>
        </w:trPr>
        <w:tc>
          <w:tcPr>
            <w:tcW w:w="1250" w:type="dxa"/>
            <w:vMerge/>
            <w:tcBorders>
              <w:top w:val="single" w:sz="4" w:space="0" w:color="auto"/>
              <w:bottom w:val="single" w:sz="4" w:space="0" w:color="auto"/>
            </w:tcBorders>
          </w:tcPr>
          <w:p w14:paraId="16379C84" w14:textId="77777777" w:rsidR="00A162B4" w:rsidRPr="00757CDB" w:rsidRDefault="00A162B4" w:rsidP="00910BDC">
            <w:pPr>
              <w:pStyle w:val="Tabletext"/>
              <w:rPr>
                <w:rFonts w:asciiTheme="minorHAnsi" w:hAnsiTheme="minorHAnsi"/>
                <w:szCs w:val="19"/>
              </w:rPr>
            </w:pPr>
          </w:p>
        </w:tc>
        <w:tc>
          <w:tcPr>
            <w:tcW w:w="3135" w:type="dxa"/>
            <w:tcBorders>
              <w:top w:val="dotted" w:sz="2" w:space="0" w:color="auto"/>
              <w:bottom w:val="single" w:sz="4" w:space="0" w:color="auto"/>
              <w:right w:val="single" w:sz="4" w:space="0" w:color="auto"/>
            </w:tcBorders>
          </w:tcPr>
          <w:p w14:paraId="6E7C307E" w14:textId="2601861A" w:rsidR="00A162B4" w:rsidRPr="00757CDB" w:rsidRDefault="00A162B4" w:rsidP="00910BDC">
            <w:pPr>
              <w:autoSpaceDE w:val="0"/>
              <w:autoSpaceDN w:val="0"/>
              <w:adjustRightInd w:val="0"/>
              <w:rPr>
                <w:rFonts w:asciiTheme="minorHAnsi" w:eastAsia="Times New Roman" w:hAnsiTheme="minorHAnsi"/>
                <w:snapToGrid w:val="0"/>
                <w:kern w:val="16"/>
                <w:sz w:val="19"/>
                <w:szCs w:val="19"/>
              </w:rPr>
            </w:pPr>
            <w:r w:rsidRPr="00757CDB">
              <w:rPr>
                <w:rFonts w:asciiTheme="minorHAnsi" w:eastAsia="Times New Roman" w:hAnsiTheme="minorHAnsi"/>
                <w:snapToGrid w:val="0"/>
                <w:kern w:val="16"/>
                <w:sz w:val="19"/>
                <w:szCs w:val="19"/>
              </w:rPr>
              <w:t>Amy</w:t>
            </w:r>
            <w:r w:rsidR="00ED0BA0">
              <w:rPr>
                <w:rFonts w:asciiTheme="minorHAnsi" w:eastAsia="Times New Roman" w:hAnsiTheme="minorHAnsi"/>
                <w:snapToGrid w:val="0"/>
                <w:kern w:val="16"/>
                <w:sz w:val="19"/>
                <w:szCs w:val="19"/>
              </w:rPr>
              <w:t>otrophic lateral sclerosis</w:t>
            </w:r>
          </w:p>
        </w:tc>
        <w:tc>
          <w:tcPr>
            <w:tcW w:w="992" w:type="dxa"/>
            <w:tcBorders>
              <w:top w:val="dotted" w:sz="2" w:space="0" w:color="auto"/>
              <w:left w:val="single" w:sz="4" w:space="0" w:color="auto"/>
              <w:bottom w:val="single" w:sz="4" w:space="0" w:color="auto"/>
              <w:right w:val="dotted" w:sz="2" w:space="0" w:color="auto"/>
            </w:tcBorders>
          </w:tcPr>
          <w:p w14:paraId="2D5D48FC" w14:textId="77777777" w:rsidR="00A162B4" w:rsidRPr="00757CDB" w:rsidRDefault="00A162B4" w:rsidP="00910BDC">
            <w:pPr>
              <w:jc w:val="center"/>
              <w:rPr>
                <w:rFonts w:asciiTheme="minorHAnsi" w:hAnsiTheme="minorHAnsi"/>
                <w:sz w:val="19"/>
                <w:szCs w:val="19"/>
              </w:rPr>
            </w:pPr>
            <w:r w:rsidRPr="00757CDB">
              <w:rPr>
                <w:rFonts w:asciiTheme="minorHAnsi" w:hAnsiTheme="minorHAnsi"/>
                <w:sz w:val="19"/>
                <w:szCs w:val="19"/>
              </w:rPr>
              <w:sym w:font="Wingdings" w:char="F0FC"/>
            </w:r>
          </w:p>
        </w:tc>
        <w:tc>
          <w:tcPr>
            <w:tcW w:w="1134" w:type="dxa"/>
            <w:tcBorders>
              <w:top w:val="dotted" w:sz="2" w:space="0" w:color="auto"/>
              <w:left w:val="dotted" w:sz="2" w:space="0" w:color="auto"/>
              <w:bottom w:val="single" w:sz="4" w:space="0" w:color="auto"/>
            </w:tcBorders>
          </w:tcPr>
          <w:p w14:paraId="6EC5C515" w14:textId="77777777" w:rsidR="00A162B4" w:rsidRPr="00757CDB" w:rsidRDefault="00A162B4" w:rsidP="00910BDC">
            <w:pPr>
              <w:jc w:val="center"/>
              <w:rPr>
                <w:rFonts w:asciiTheme="minorHAnsi" w:hAnsiTheme="minorHAnsi"/>
                <w:sz w:val="19"/>
                <w:szCs w:val="19"/>
              </w:rPr>
            </w:pPr>
            <w:r w:rsidRPr="00757CDB">
              <w:rPr>
                <w:rFonts w:asciiTheme="minorHAnsi" w:hAnsiTheme="minorHAnsi"/>
                <w:sz w:val="19"/>
                <w:szCs w:val="19"/>
              </w:rPr>
              <w:sym w:font="Wingdings" w:char="F0FC"/>
            </w:r>
          </w:p>
        </w:tc>
        <w:tc>
          <w:tcPr>
            <w:tcW w:w="992" w:type="dxa"/>
            <w:tcBorders>
              <w:top w:val="dotted" w:sz="2" w:space="0" w:color="auto"/>
              <w:left w:val="single" w:sz="4" w:space="0" w:color="auto"/>
              <w:bottom w:val="single" w:sz="4" w:space="0" w:color="auto"/>
              <w:right w:val="dotted" w:sz="2" w:space="0" w:color="auto"/>
            </w:tcBorders>
          </w:tcPr>
          <w:p w14:paraId="3426B928" w14:textId="77777777" w:rsidR="00A162B4" w:rsidRPr="00757CDB" w:rsidRDefault="00A162B4" w:rsidP="00910BDC">
            <w:pPr>
              <w:jc w:val="center"/>
              <w:rPr>
                <w:rFonts w:asciiTheme="minorHAnsi" w:hAnsiTheme="minorHAnsi"/>
                <w:sz w:val="19"/>
                <w:szCs w:val="19"/>
              </w:rPr>
            </w:pPr>
            <w:r w:rsidRPr="00757CDB">
              <w:rPr>
                <w:rFonts w:asciiTheme="minorHAnsi" w:hAnsiTheme="minorHAnsi"/>
                <w:sz w:val="19"/>
                <w:szCs w:val="19"/>
              </w:rPr>
              <w:t>–</w:t>
            </w:r>
          </w:p>
        </w:tc>
        <w:tc>
          <w:tcPr>
            <w:tcW w:w="1134" w:type="dxa"/>
            <w:tcBorders>
              <w:top w:val="dotted" w:sz="2" w:space="0" w:color="auto"/>
              <w:left w:val="dotted" w:sz="2" w:space="0" w:color="auto"/>
              <w:bottom w:val="single" w:sz="4" w:space="0" w:color="auto"/>
            </w:tcBorders>
          </w:tcPr>
          <w:p w14:paraId="4C99F731" w14:textId="77777777" w:rsidR="00A162B4" w:rsidRPr="00757CDB" w:rsidRDefault="00A162B4" w:rsidP="00910BDC">
            <w:pPr>
              <w:jc w:val="center"/>
              <w:rPr>
                <w:rFonts w:asciiTheme="minorHAnsi" w:hAnsiTheme="minorHAnsi"/>
                <w:sz w:val="19"/>
                <w:szCs w:val="19"/>
              </w:rPr>
            </w:pPr>
            <w:r w:rsidRPr="00757CDB">
              <w:rPr>
                <w:rFonts w:asciiTheme="minorHAnsi" w:hAnsiTheme="minorHAnsi"/>
                <w:sz w:val="19"/>
                <w:szCs w:val="19"/>
              </w:rPr>
              <w:t>–</w:t>
            </w:r>
          </w:p>
        </w:tc>
      </w:tr>
      <w:tr w:rsidR="00757CDB" w:rsidRPr="00757CDB" w14:paraId="11D2A104" w14:textId="77777777" w:rsidTr="006A1F00">
        <w:trPr>
          <w:trHeight w:val="122"/>
          <w:jc w:val="center"/>
        </w:trPr>
        <w:tc>
          <w:tcPr>
            <w:tcW w:w="1250" w:type="dxa"/>
            <w:vMerge w:val="restart"/>
            <w:tcBorders>
              <w:top w:val="single" w:sz="4" w:space="0" w:color="auto"/>
            </w:tcBorders>
          </w:tcPr>
          <w:p w14:paraId="0A1EBFD5" w14:textId="77777777" w:rsidR="00A162B4" w:rsidRPr="00757CDB" w:rsidRDefault="00A162B4" w:rsidP="00910BDC">
            <w:pPr>
              <w:pStyle w:val="Tabletext"/>
              <w:rPr>
                <w:rFonts w:asciiTheme="minorHAnsi" w:hAnsiTheme="minorHAnsi"/>
                <w:szCs w:val="19"/>
              </w:rPr>
            </w:pPr>
          </w:p>
        </w:tc>
        <w:tc>
          <w:tcPr>
            <w:tcW w:w="3135" w:type="dxa"/>
            <w:tcBorders>
              <w:top w:val="dotted" w:sz="2" w:space="0" w:color="auto"/>
              <w:bottom w:val="dotted" w:sz="2" w:space="0" w:color="auto"/>
              <w:right w:val="single" w:sz="4" w:space="0" w:color="auto"/>
            </w:tcBorders>
          </w:tcPr>
          <w:p w14:paraId="58B1FA70" w14:textId="77777777" w:rsidR="00A162B4" w:rsidRPr="00757CDB" w:rsidRDefault="00A162B4" w:rsidP="00910BDC">
            <w:pPr>
              <w:autoSpaceDE w:val="0"/>
              <w:autoSpaceDN w:val="0"/>
              <w:adjustRightInd w:val="0"/>
              <w:rPr>
                <w:rFonts w:asciiTheme="minorHAnsi" w:eastAsia="Times New Roman" w:hAnsiTheme="minorHAnsi"/>
                <w:snapToGrid w:val="0"/>
                <w:kern w:val="16"/>
                <w:sz w:val="19"/>
                <w:szCs w:val="19"/>
              </w:rPr>
            </w:pPr>
            <w:r w:rsidRPr="00757CDB">
              <w:rPr>
                <w:rFonts w:asciiTheme="minorHAnsi" w:eastAsia="Times New Roman" w:hAnsiTheme="minorHAnsi"/>
                <w:snapToGrid w:val="0"/>
                <w:kern w:val="16"/>
                <w:sz w:val="19"/>
                <w:szCs w:val="19"/>
              </w:rPr>
              <w:t>Myasthenia gravis</w:t>
            </w:r>
          </w:p>
        </w:tc>
        <w:tc>
          <w:tcPr>
            <w:tcW w:w="992" w:type="dxa"/>
            <w:tcBorders>
              <w:top w:val="dotted" w:sz="2" w:space="0" w:color="auto"/>
              <w:left w:val="single" w:sz="4" w:space="0" w:color="auto"/>
              <w:bottom w:val="dotted" w:sz="2" w:space="0" w:color="auto"/>
              <w:right w:val="dotted" w:sz="2" w:space="0" w:color="auto"/>
            </w:tcBorders>
          </w:tcPr>
          <w:p w14:paraId="3EE16D09" w14:textId="77777777" w:rsidR="00A162B4" w:rsidRPr="00757CDB" w:rsidRDefault="00A162B4" w:rsidP="00910BDC">
            <w:pPr>
              <w:jc w:val="center"/>
              <w:rPr>
                <w:rFonts w:asciiTheme="minorHAnsi" w:hAnsiTheme="minorHAnsi"/>
                <w:sz w:val="19"/>
                <w:szCs w:val="19"/>
              </w:rPr>
            </w:pPr>
            <w:r w:rsidRPr="00757CDB">
              <w:rPr>
                <w:rFonts w:asciiTheme="minorHAnsi" w:hAnsiTheme="minorHAnsi"/>
                <w:sz w:val="19"/>
                <w:szCs w:val="19"/>
              </w:rPr>
              <w:sym w:font="Wingdings" w:char="F0FC"/>
            </w:r>
          </w:p>
        </w:tc>
        <w:tc>
          <w:tcPr>
            <w:tcW w:w="1134" w:type="dxa"/>
            <w:tcBorders>
              <w:top w:val="dotted" w:sz="2" w:space="0" w:color="auto"/>
              <w:left w:val="dotted" w:sz="2" w:space="0" w:color="auto"/>
              <w:bottom w:val="dotted" w:sz="2" w:space="0" w:color="auto"/>
            </w:tcBorders>
          </w:tcPr>
          <w:p w14:paraId="6920BDA5" w14:textId="77777777" w:rsidR="00A162B4" w:rsidRPr="00757CDB" w:rsidRDefault="00A162B4" w:rsidP="00910BDC">
            <w:pPr>
              <w:jc w:val="center"/>
              <w:rPr>
                <w:rFonts w:asciiTheme="minorHAnsi" w:hAnsiTheme="minorHAnsi"/>
                <w:sz w:val="19"/>
                <w:szCs w:val="19"/>
              </w:rPr>
            </w:pPr>
            <w:r w:rsidRPr="00757CDB">
              <w:rPr>
                <w:rFonts w:asciiTheme="minorHAnsi" w:hAnsiTheme="minorHAnsi"/>
                <w:sz w:val="19"/>
                <w:szCs w:val="19"/>
              </w:rPr>
              <w:sym w:font="Wingdings" w:char="F0FC"/>
            </w:r>
          </w:p>
        </w:tc>
        <w:tc>
          <w:tcPr>
            <w:tcW w:w="992" w:type="dxa"/>
            <w:tcBorders>
              <w:top w:val="dotted" w:sz="2" w:space="0" w:color="auto"/>
              <w:left w:val="single" w:sz="4" w:space="0" w:color="auto"/>
              <w:bottom w:val="dotted" w:sz="2" w:space="0" w:color="auto"/>
              <w:right w:val="dotted" w:sz="2" w:space="0" w:color="auto"/>
            </w:tcBorders>
          </w:tcPr>
          <w:p w14:paraId="281858CE" w14:textId="77777777" w:rsidR="00A162B4" w:rsidRPr="00757CDB" w:rsidRDefault="00A162B4" w:rsidP="00910BDC">
            <w:pPr>
              <w:jc w:val="center"/>
              <w:rPr>
                <w:rFonts w:asciiTheme="minorHAnsi" w:hAnsiTheme="minorHAnsi"/>
                <w:sz w:val="19"/>
                <w:szCs w:val="19"/>
              </w:rPr>
            </w:pPr>
            <w:r w:rsidRPr="00757CDB">
              <w:rPr>
                <w:rFonts w:asciiTheme="minorHAnsi" w:hAnsiTheme="minorHAnsi"/>
                <w:sz w:val="19"/>
                <w:szCs w:val="19"/>
              </w:rPr>
              <w:t>–</w:t>
            </w:r>
          </w:p>
        </w:tc>
        <w:tc>
          <w:tcPr>
            <w:tcW w:w="1134" w:type="dxa"/>
            <w:tcBorders>
              <w:top w:val="dotted" w:sz="2" w:space="0" w:color="auto"/>
              <w:left w:val="dotted" w:sz="2" w:space="0" w:color="auto"/>
              <w:bottom w:val="dotted" w:sz="2" w:space="0" w:color="auto"/>
            </w:tcBorders>
          </w:tcPr>
          <w:p w14:paraId="4913A5F6" w14:textId="77777777" w:rsidR="00A162B4" w:rsidRPr="00757CDB" w:rsidRDefault="00A162B4" w:rsidP="00910BDC">
            <w:pPr>
              <w:jc w:val="center"/>
              <w:rPr>
                <w:rFonts w:asciiTheme="minorHAnsi" w:hAnsiTheme="minorHAnsi"/>
                <w:sz w:val="19"/>
                <w:szCs w:val="19"/>
              </w:rPr>
            </w:pPr>
            <w:r w:rsidRPr="00757CDB">
              <w:rPr>
                <w:rFonts w:asciiTheme="minorHAnsi" w:hAnsiTheme="minorHAnsi"/>
                <w:sz w:val="19"/>
                <w:szCs w:val="19"/>
              </w:rPr>
              <w:t>–</w:t>
            </w:r>
          </w:p>
        </w:tc>
      </w:tr>
      <w:tr w:rsidR="00757CDB" w:rsidRPr="00757CDB" w14:paraId="43BF7C23" w14:textId="77777777" w:rsidTr="00EA2C2E">
        <w:trPr>
          <w:trHeight w:val="122"/>
          <w:jc w:val="center"/>
        </w:trPr>
        <w:tc>
          <w:tcPr>
            <w:tcW w:w="1250" w:type="dxa"/>
            <w:vMerge/>
          </w:tcPr>
          <w:p w14:paraId="5877D757" w14:textId="77777777" w:rsidR="00A162B4" w:rsidRPr="00757CDB" w:rsidRDefault="00A162B4" w:rsidP="00910BDC">
            <w:pPr>
              <w:pStyle w:val="Tabletext"/>
              <w:rPr>
                <w:rFonts w:asciiTheme="minorHAnsi" w:hAnsiTheme="minorHAnsi"/>
                <w:szCs w:val="19"/>
              </w:rPr>
            </w:pPr>
          </w:p>
        </w:tc>
        <w:tc>
          <w:tcPr>
            <w:tcW w:w="3135" w:type="dxa"/>
            <w:tcBorders>
              <w:top w:val="dotted" w:sz="2" w:space="0" w:color="auto"/>
              <w:bottom w:val="dotted" w:sz="2" w:space="0" w:color="auto"/>
              <w:right w:val="single" w:sz="4" w:space="0" w:color="auto"/>
            </w:tcBorders>
          </w:tcPr>
          <w:p w14:paraId="4C2A09F5" w14:textId="77777777" w:rsidR="00237EFA" w:rsidRDefault="00237EFA" w:rsidP="00910BDC">
            <w:pPr>
              <w:autoSpaceDE w:val="0"/>
              <w:autoSpaceDN w:val="0"/>
              <w:adjustRightInd w:val="0"/>
              <w:rPr>
                <w:rFonts w:asciiTheme="minorHAnsi" w:eastAsia="Times New Roman" w:hAnsiTheme="minorHAnsi"/>
                <w:snapToGrid w:val="0"/>
                <w:kern w:val="16"/>
                <w:sz w:val="19"/>
                <w:szCs w:val="19"/>
              </w:rPr>
            </w:pPr>
            <w:r>
              <w:rPr>
                <w:rFonts w:asciiTheme="minorHAnsi" w:eastAsia="Times New Roman" w:hAnsiTheme="minorHAnsi"/>
                <w:snapToGrid w:val="0"/>
                <w:kern w:val="16"/>
                <w:sz w:val="19"/>
                <w:szCs w:val="19"/>
              </w:rPr>
              <w:t>Encephalitis/</w:t>
            </w:r>
          </w:p>
          <w:p w14:paraId="088D09FD" w14:textId="07A7D1D8" w:rsidR="00A162B4" w:rsidRPr="00757CDB" w:rsidRDefault="00A162B4" w:rsidP="00910BDC">
            <w:pPr>
              <w:autoSpaceDE w:val="0"/>
              <w:autoSpaceDN w:val="0"/>
              <w:adjustRightInd w:val="0"/>
              <w:rPr>
                <w:rFonts w:asciiTheme="minorHAnsi" w:eastAsia="Times New Roman" w:hAnsiTheme="minorHAnsi"/>
                <w:snapToGrid w:val="0"/>
                <w:kern w:val="16"/>
                <w:sz w:val="19"/>
                <w:szCs w:val="19"/>
              </w:rPr>
            </w:pPr>
            <w:proofErr w:type="spellStart"/>
            <w:r w:rsidRPr="00757CDB">
              <w:rPr>
                <w:rFonts w:asciiTheme="minorHAnsi" w:eastAsia="Times New Roman" w:hAnsiTheme="minorHAnsi"/>
                <w:snapToGrid w:val="0"/>
                <w:kern w:val="16"/>
                <w:sz w:val="19"/>
                <w:szCs w:val="19"/>
              </w:rPr>
              <w:t>leukoencephalomyelitis</w:t>
            </w:r>
            <w:proofErr w:type="spellEnd"/>
          </w:p>
        </w:tc>
        <w:tc>
          <w:tcPr>
            <w:tcW w:w="992" w:type="dxa"/>
            <w:tcBorders>
              <w:top w:val="dotted" w:sz="2" w:space="0" w:color="auto"/>
              <w:left w:val="single" w:sz="4" w:space="0" w:color="auto"/>
              <w:bottom w:val="dotted" w:sz="2" w:space="0" w:color="auto"/>
              <w:right w:val="dotted" w:sz="2" w:space="0" w:color="auto"/>
            </w:tcBorders>
          </w:tcPr>
          <w:p w14:paraId="25C4D92C" w14:textId="77777777" w:rsidR="00A162B4" w:rsidRPr="00757CDB" w:rsidRDefault="00A162B4" w:rsidP="00910BDC">
            <w:pPr>
              <w:jc w:val="center"/>
              <w:rPr>
                <w:rFonts w:asciiTheme="minorHAnsi" w:hAnsiTheme="minorHAnsi"/>
                <w:sz w:val="19"/>
                <w:szCs w:val="19"/>
              </w:rPr>
            </w:pPr>
            <w:r w:rsidRPr="00757CDB">
              <w:rPr>
                <w:rFonts w:asciiTheme="minorHAnsi" w:hAnsiTheme="minorHAnsi"/>
                <w:sz w:val="19"/>
                <w:szCs w:val="19"/>
              </w:rPr>
              <w:sym w:font="Wingdings" w:char="F0FC"/>
            </w:r>
          </w:p>
        </w:tc>
        <w:tc>
          <w:tcPr>
            <w:tcW w:w="1134" w:type="dxa"/>
            <w:tcBorders>
              <w:top w:val="dotted" w:sz="2" w:space="0" w:color="auto"/>
              <w:left w:val="dotted" w:sz="2" w:space="0" w:color="auto"/>
              <w:bottom w:val="dotted" w:sz="2" w:space="0" w:color="auto"/>
            </w:tcBorders>
          </w:tcPr>
          <w:p w14:paraId="0BCC318C" w14:textId="77777777" w:rsidR="00A162B4" w:rsidRPr="00757CDB" w:rsidRDefault="00A162B4" w:rsidP="00910BDC">
            <w:pPr>
              <w:jc w:val="center"/>
              <w:rPr>
                <w:rFonts w:asciiTheme="minorHAnsi" w:hAnsiTheme="minorHAnsi"/>
                <w:sz w:val="19"/>
                <w:szCs w:val="19"/>
              </w:rPr>
            </w:pPr>
            <w:r w:rsidRPr="00757CDB">
              <w:rPr>
                <w:rFonts w:asciiTheme="minorHAnsi" w:hAnsiTheme="minorHAnsi"/>
                <w:sz w:val="19"/>
                <w:szCs w:val="19"/>
              </w:rPr>
              <w:sym w:font="Wingdings" w:char="F0FC"/>
            </w:r>
          </w:p>
        </w:tc>
        <w:tc>
          <w:tcPr>
            <w:tcW w:w="992" w:type="dxa"/>
            <w:tcBorders>
              <w:top w:val="dotted" w:sz="2" w:space="0" w:color="auto"/>
              <w:left w:val="single" w:sz="4" w:space="0" w:color="auto"/>
              <w:bottom w:val="dotted" w:sz="2" w:space="0" w:color="auto"/>
              <w:right w:val="dotted" w:sz="2" w:space="0" w:color="auto"/>
            </w:tcBorders>
          </w:tcPr>
          <w:p w14:paraId="3395830E" w14:textId="77777777" w:rsidR="00A162B4" w:rsidRPr="00757CDB" w:rsidRDefault="00A162B4" w:rsidP="00910BDC">
            <w:pPr>
              <w:jc w:val="center"/>
              <w:rPr>
                <w:rFonts w:asciiTheme="minorHAnsi" w:hAnsiTheme="minorHAnsi"/>
                <w:sz w:val="19"/>
                <w:szCs w:val="19"/>
              </w:rPr>
            </w:pPr>
            <w:r w:rsidRPr="00757CDB">
              <w:rPr>
                <w:rFonts w:asciiTheme="minorHAnsi" w:hAnsiTheme="minorHAnsi"/>
                <w:sz w:val="19"/>
                <w:szCs w:val="19"/>
              </w:rPr>
              <w:sym w:font="Wingdings" w:char="F0FC"/>
            </w:r>
          </w:p>
        </w:tc>
        <w:tc>
          <w:tcPr>
            <w:tcW w:w="1134" w:type="dxa"/>
            <w:tcBorders>
              <w:top w:val="dotted" w:sz="2" w:space="0" w:color="auto"/>
              <w:left w:val="dotted" w:sz="2" w:space="0" w:color="auto"/>
              <w:bottom w:val="dotted" w:sz="2" w:space="0" w:color="auto"/>
            </w:tcBorders>
          </w:tcPr>
          <w:p w14:paraId="09D17699" w14:textId="77777777" w:rsidR="00A162B4" w:rsidRPr="00757CDB" w:rsidRDefault="00A162B4" w:rsidP="00910BDC">
            <w:pPr>
              <w:jc w:val="center"/>
              <w:rPr>
                <w:rFonts w:asciiTheme="minorHAnsi" w:hAnsiTheme="minorHAnsi"/>
                <w:sz w:val="19"/>
                <w:szCs w:val="19"/>
              </w:rPr>
            </w:pPr>
            <w:r w:rsidRPr="00757CDB">
              <w:rPr>
                <w:rFonts w:asciiTheme="minorHAnsi" w:hAnsiTheme="minorHAnsi"/>
                <w:sz w:val="19"/>
                <w:szCs w:val="19"/>
              </w:rPr>
              <w:t>–</w:t>
            </w:r>
          </w:p>
        </w:tc>
      </w:tr>
      <w:tr w:rsidR="00757CDB" w:rsidRPr="00757CDB" w14:paraId="7FF7E2A2" w14:textId="77777777" w:rsidTr="00EA2C2E">
        <w:trPr>
          <w:trHeight w:val="122"/>
          <w:jc w:val="center"/>
        </w:trPr>
        <w:tc>
          <w:tcPr>
            <w:tcW w:w="1250" w:type="dxa"/>
            <w:vMerge/>
          </w:tcPr>
          <w:p w14:paraId="240A192B" w14:textId="77777777" w:rsidR="00A162B4" w:rsidRPr="00757CDB" w:rsidRDefault="00A162B4" w:rsidP="00910BDC">
            <w:pPr>
              <w:pStyle w:val="Tabletext"/>
              <w:rPr>
                <w:rFonts w:asciiTheme="minorHAnsi" w:hAnsiTheme="minorHAnsi"/>
                <w:szCs w:val="19"/>
              </w:rPr>
            </w:pPr>
          </w:p>
        </w:tc>
        <w:tc>
          <w:tcPr>
            <w:tcW w:w="3135" w:type="dxa"/>
            <w:tcBorders>
              <w:top w:val="dotted" w:sz="2" w:space="0" w:color="auto"/>
              <w:bottom w:val="dotted" w:sz="2" w:space="0" w:color="auto"/>
              <w:right w:val="single" w:sz="4" w:space="0" w:color="auto"/>
            </w:tcBorders>
          </w:tcPr>
          <w:p w14:paraId="327440EB" w14:textId="49782D4C" w:rsidR="00A162B4" w:rsidRPr="00757CDB" w:rsidRDefault="00A162B4" w:rsidP="00910BDC">
            <w:pPr>
              <w:autoSpaceDE w:val="0"/>
              <w:autoSpaceDN w:val="0"/>
              <w:adjustRightInd w:val="0"/>
              <w:rPr>
                <w:rFonts w:asciiTheme="minorHAnsi" w:eastAsia="Times New Roman" w:hAnsiTheme="minorHAnsi"/>
                <w:snapToGrid w:val="0"/>
                <w:kern w:val="16"/>
                <w:sz w:val="19"/>
                <w:szCs w:val="19"/>
              </w:rPr>
            </w:pPr>
            <w:r w:rsidRPr="00757CDB">
              <w:rPr>
                <w:rFonts w:asciiTheme="minorHAnsi" w:eastAsia="Times New Roman" w:hAnsiTheme="minorHAnsi"/>
                <w:snapToGrid w:val="0"/>
                <w:kern w:val="16"/>
                <w:sz w:val="19"/>
                <w:szCs w:val="19"/>
              </w:rPr>
              <w:t>Progressive mult</w:t>
            </w:r>
            <w:r w:rsidR="00ED0BA0">
              <w:rPr>
                <w:rFonts w:asciiTheme="minorHAnsi" w:eastAsia="Times New Roman" w:hAnsiTheme="minorHAnsi"/>
                <w:snapToGrid w:val="0"/>
                <w:kern w:val="16"/>
                <w:sz w:val="19"/>
                <w:szCs w:val="19"/>
              </w:rPr>
              <w:t>ifocal leukoencephalopathy</w:t>
            </w:r>
          </w:p>
        </w:tc>
        <w:tc>
          <w:tcPr>
            <w:tcW w:w="992" w:type="dxa"/>
            <w:tcBorders>
              <w:top w:val="dotted" w:sz="2" w:space="0" w:color="auto"/>
              <w:left w:val="single" w:sz="4" w:space="0" w:color="auto"/>
              <w:bottom w:val="dotted" w:sz="2" w:space="0" w:color="auto"/>
              <w:right w:val="dotted" w:sz="2" w:space="0" w:color="auto"/>
            </w:tcBorders>
          </w:tcPr>
          <w:p w14:paraId="30EB36FD" w14:textId="77777777" w:rsidR="00A162B4" w:rsidRPr="00757CDB" w:rsidRDefault="00A162B4" w:rsidP="00910BDC">
            <w:pPr>
              <w:jc w:val="center"/>
              <w:rPr>
                <w:rFonts w:asciiTheme="minorHAnsi" w:hAnsiTheme="minorHAnsi"/>
                <w:sz w:val="19"/>
                <w:szCs w:val="19"/>
              </w:rPr>
            </w:pPr>
            <w:r w:rsidRPr="00757CDB">
              <w:rPr>
                <w:rFonts w:asciiTheme="minorHAnsi" w:hAnsiTheme="minorHAnsi"/>
                <w:sz w:val="19"/>
                <w:szCs w:val="19"/>
              </w:rPr>
              <w:sym w:font="Wingdings" w:char="F0FC"/>
            </w:r>
          </w:p>
        </w:tc>
        <w:tc>
          <w:tcPr>
            <w:tcW w:w="1134" w:type="dxa"/>
            <w:tcBorders>
              <w:top w:val="dotted" w:sz="2" w:space="0" w:color="auto"/>
              <w:left w:val="dotted" w:sz="2" w:space="0" w:color="auto"/>
              <w:bottom w:val="dotted" w:sz="2" w:space="0" w:color="auto"/>
            </w:tcBorders>
          </w:tcPr>
          <w:p w14:paraId="4AA9438E" w14:textId="77777777" w:rsidR="00A162B4" w:rsidRPr="00757CDB" w:rsidRDefault="00A162B4" w:rsidP="00910BDC">
            <w:pPr>
              <w:jc w:val="center"/>
              <w:rPr>
                <w:rFonts w:asciiTheme="minorHAnsi" w:hAnsiTheme="minorHAnsi"/>
                <w:sz w:val="19"/>
                <w:szCs w:val="19"/>
              </w:rPr>
            </w:pPr>
            <w:r w:rsidRPr="00757CDB">
              <w:rPr>
                <w:rFonts w:asciiTheme="minorHAnsi" w:hAnsiTheme="minorHAnsi"/>
                <w:sz w:val="19"/>
                <w:szCs w:val="19"/>
              </w:rPr>
              <w:sym w:font="Wingdings" w:char="F0FC"/>
            </w:r>
          </w:p>
        </w:tc>
        <w:tc>
          <w:tcPr>
            <w:tcW w:w="992" w:type="dxa"/>
            <w:tcBorders>
              <w:top w:val="dotted" w:sz="2" w:space="0" w:color="auto"/>
              <w:left w:val="single" w:sz="4" w:space="0" w:color="auto"/>
              <w:bottom w:val="dotted" w:sz="2" w:space="0" w:color="auto"/>
              <w:right w:val="dotted" w:sz="2" w:space="0" w:color="auto"/>
            </w:tcBorders>
          </w:tcPr>
          <w:p w14:paraId="5A91688A" w14:textId="77777777" w:rsidR="00A162B4" w:rsidRPr="00757CDB" w:rsidRDefault="00A162B4" w:rsidP="00910BDC">
            <w:pPr>
              <w:jc w:val="center"/>
              <w:rPr>
                <w:rFonts w:asciiTheme="minorHAnsi" w:hAnsiTheme="minorHAnsi"/>
                <w:sz w:val="19"/>
                <w:szCs w:val="19"/>
              </w:rPr>
            </w:pPr>
            <w:r w:rsidRPr="00757CDB">
              <w:rPr>
                <w:rFonts w:asciiTheme="minorHAnsi" w:hAnsiTheme="minorHAnsi"/>
                <w:sz w:val="19"/>
                <w:szCs w:val="19"/>
              </w:rPr>
              <w:t>–</w:t>
            </w:r>
          </w:p>
        </w:tc>
        <w:tc>
          <w:tcPr>
            <w:tcW w:w="1134" w:type="dxa"/>
            <w:tcBorders>
              <w:top w:val="dotted" w:sz="2" w:space="0" w:color="auto"/>
              <w:left w:val="dotted" w:sz="2" w:space="0" w:color="auto"/>
              <w:bottom w:val="dotted" w:sz="2" w:space="0" w:color="auto"/>
            </w:tcBorders>
          </w:tcPr>
          <w:p w14:paraId="17645AB0" w14:textId="77777777" w:rsidR="00A162B4" w:rsidRPr="00757CDB" w:rsidRDefault="00A162B4" w:rsidP="00910BDC">
            <w:pPr>
              <w:jc w:val="center"/>
              <w:rPr>
                <w:rFonts w:asciiTheme="minorHAnsi" w:hAnsiTheme="minorHAnsi"/>
                <w:sz w:val="19"/>
                <w:szCs w:val="19"/>
              </w:rPr>
            </w:pPr>
            <w:r w:rsidRPr="00757CDB">
              <w:rPr>
                <w:rFonts w:asciiTheme="minorHAnsi" w:hAnsiTheme="minorHAnsi"/>
                <w:sz w:val="19"/>
                <w:szCs w:val="19"/>
              </w:rPr>
              <w:t>–</w:t>
            </w:r>
          </w:p>
        </w:tc>
      </w:tr>
      <w:tr w:rsidR="00757CDB" w:rsidRPr="00757CDB" w14:paraId="5810851C" w14:textId="77777777" w:rsidTr="00EA2C2E">
        <w:trPr>
          <w:trHeight w:val="122"/>
          <w:jc w:val="center"/>
        </w:trPr>
        <w:tc>
          <w:tcPr>
            <w:tcW w:w="1250" w:type="dxa"/>
            <w:vMerge/>
          </w:tcPr>
          <w:p w14:paraId="63BE52BE" w14:textId="77777777" w:rsidR="00A162B4" w:rsidRPr="00757CDB" w:rsidRDefault="00A162B4" w:rsidP="00910BDC">
            <w:pPr>
              <w:pStyle w:val="Tabletext"/>
              <w:rPr>
                <w:rFonts w:asciiTheme="minorHAnsi" w:hAnsiTheme="minorHAnsi"/>
                <w:szCs w:val="19"/>
              </w:rPr>
            </w:pPr>
          </w:p>
        </w:tc>
        <w:tc>
          <w:tcPr>
            <w:tcW w:w="3135" w:type="dxa"/>
            <w:tcBorders>
              <w:top w:val="dotted" w:sz="2" w:space="0" w:color="auto"/>
              <w:bottom w:val="dotted" w:sz="2" w:space="0" w:color="auto"/>
              <w:right w:val="single" w:sz="4" w:space="0" w:color="auto"/>
            </w:tcBorders>
          </w:tcPr>
          <w:p w14:paraId="17792076" w14:textId="77777777" w:rsidR="00A162B4" w:rsidRPr="00757CDB" w:rsidRDefault="00A162B4" w:rsidP="00910BDC">
            <w:pPr>
              <w:autoSpaceDE w:val="0"/>
              <w:autoSpaceDN w:val="0"/>
              <w:adjustRightInd w:val="0"/>
              <w:rPr>
                <w:rFonts w:asciiTheme="minorHAnsi" w:eastAsia="Times New Roman" w:hAnsiTheme="minorHAnsi"/>
                <w:snapToGrid w:val="0"/>
                <w:kern w:val="16"/>
                <w:sz w:val="19"/>
                <w:szCs w:val="19"/>
              </w:rPr>
            </w:pPr>
            <w:r w:rsidRPr="00757CDB">
              <w:rPr>
                <w:rFonts w:asciiTheme="minorHAnsi" w:eastAsia="Times New Roman" w:hAnsiTheme="minorHAnsi"/>
                <w:snapToGrid w:val="0"/>
                <w:kern w:val="16"/>
                <w:sz w:val="19"/>
                <w:szCs w:val="19"/>
              </w:rPr>
              <w:t>Liver failure</w:t>
            </w:r>
          </w:p>
        </w:tc>
        <w:tc>
          <w:tcPr>
            <w:tcW w:w="992" w:type="dxa"/>
            <w:tcBorders>
              <w:top w:val="dotted" w:sz="2" w:space="0" w:color="auto"/>
              <w:left w:val="single" w:sz="4" w:space="0" w:color="auto"/>
              <w:bottom w:val="dotted" w:sz="2" w:space="0" w:color="auto"/>
              <w:right w:val="dotted" w:sz="2" w:space="0" w:color="auto"/>
            </w:tcBorders>
          </w:tcPr>
          <w:p w14:paraId="1CDF15C0" w14:textId="77777777" w:rsidR="00A162B4" w:rsidRPr="00757CDB" w:rsidRDefault="00A162B4" w:rsidP="00910BDC">
            <w:pPr>
              <w:jc w:val="center"/>
              <w:rPr>
                <w:rFonts w:asciiTheme="minorHAnsi" w:hAnsiTheme="minorHAnsi"/>
                <w:sz w:val="19"/>
                <w:szCs w:val="19"/>
              </w:rPr>
            </w:pPr>
            <w:r w:rsidRPr="00757CDB">
              <w:rPr>
                <w:rFonts w:asciiTheme="minorHAnsi" w:hAnsiTheme="minorHAnsi"/>
                <w:sz w:val="19"/>
                <w:szCs w:val="19"/>
              </w:rPr>
              <w:sym w:font="Wingdings" w:char="F0FC"/>
            </w:r>
          </w:p>
        </w:tc>
        <w:tc>
          <w:tcPr>
            <w:tcW w:w="1134" w:type="dxa"/>
            <w:tcBorders>
              <w:top w:val="dotted" w:sz="2" w:space="0" w:color="auto"/>
              <w:left w:val="dotted" w:sz="2" w:space="0" w:color="auto"/>
              <w:bottom w:val="dotted" w:sz="2" w:space="0" w:color="auto"/>
            </w:tcBorders>
          </w:tcPr>
          <w:p w14:paraId="35523A25" w14:textId="77777777" w:rsidR="00A162B4" w:rsidRPr="00757CDB" w:rsidRDefault="00A162B4" w:rsidP="00910BDC">
            <w:pPr>
              <w:jc w:val="center"/>
              <w:rPr>
                <w:rFonts w:asciiTheme="minorHAnsi" w:hAnsiTheme="minorHAnsi"/>
                <w:sz w:val="19"/>
                <w:szCs w:val="19"/>
              </w:rPr>
            </w:pPr>
            <w:r w:rsidRPr="00757CDB">
              <w:rPr>
                <w:rFonts w:asciiTheme="minorHAnsi" w:hAnsiTheme="minorHAnsi"/>
                <w:sz w:val="19"/>
                <w:szCs w:val="19"/>
              </w:rPr>
              <w:sym w:font="Wingdings" w:char="F0FC"/>
            </w:r>
          </w:p>
        </w:tc>
        <w:tc>
          <w:tcPr>
            <w:tcW w:w="992" w:type="dxa"/>
            <w:tcBorders>
              <w:top w:val="dotted" w:sz="2" w:space="0" w:color="auto"/>
              <w:left w:val="single" w:sz="4" w:space="0" w:color="auto"/>
              <w:bottom w:val="dotted" w:sz="2" w:space="0" w:color="auto"/>
              <w:right w:val="dotted" w:sz="2" w:space="0" w:color="auto"/>
            </w:tcBorders>
          </w:tcPr>
          <w:p w14:paraId="2E8D7DA7" w14:textId="77777777" w:rsidR="00A162B4" w:rsidRPr="00757CDB" w:rsidRDefault="00A162B4" w:rsidP="00910BDC">
            <w:pPr>
              <w:jc w:val="center"/>
              <w:rPr>
                <w:rFonts w:asciiTheme="minorHAnsi" w:hAnsiTheme="minorHAnsi"/>
                <w:sz w:val="19"/>
                <w:szCs w:val="19"/>
              </w:rPr>
            </w:pPr>
            <w:r w:rsidRPr="00757CDB">
              <w:rPr>
                <w:rFonts w:asciiTheme="minorHAnsi" w:hAnsiTheme="minorHAnsi"/>
                <w:sz w:val="19"/>
                <w:szCs w:val="19"/>
              </w:rPr>
              <w:sym w:font="Wingdings" w:char="F0FC"/>
            </w:r>
          </w:p>
        </w:tc>
        <w:tc>
          <w:tcPr>
            <w:tcW w:w="1134" w:type="dxa"/>
            <w:tcBorders>
              <w:top w:val="dotted" w:sz="2" w:space="0" w:color="auto"/>
              <w:left w:val="dotted" w:sz="2" w:space="0" w:color="auto"/>
              <w:bottom w:val="dotted" w:sz="2" w:space="0" w:color="auto"/>
            </w:tcBorders>
          </w:tcPr>
          <w:p w14:paraId="051A2BD7" w14:textId="77777777" w:rsidR="00A162B4" w:rsidRPr="00757CDB" w:rsidRDefault="00A162B4" w:rsidP="00910BDC">
            <w:pPr>
              <w:jc w:val="center"/>
              <w:rPr>
                <w:rFonts w:asciiTheme="minorHAnsi" w:hAnsiTheme="minorHAnsi"/>
                <w:sz w:val="19"/>
                <w:szCs w:val="19"/>
              </w:rPr>
            </w:pPr>
            <w:r w:rsidRPr="00757CDB">
              <w:rPr>
                <w:rFonts w:asciiTheme="minorHAnsi" w:hAnsiTheme="minorHAnsi"/>
                <w:sz w:val="19"/>
                <w:szCs w:val="19"/>
              </w:rPr>
              <w:t>–</w:t>
            </w:r>
          </w:p>
        </w:tc>
      </w:tr>
      <w:tr w:rsidR="00757CDB" w:rsidRPr="00757CDB" w14:paraId="6E17373D" w14:textId="77777777" w:rsidTr="00EA2C2E">
        <w:trPr>
          <w:trHeight w:val="122"/>
          <w:jc w:val="center"/>
        </w:trPr>
        <w:tc>
          <w:tcPr>
            <w:tcW w:w="1250" w:type="dxa"/>
            <w:vMerge/>
          </w:tcPr>
          <w:p w14:paraId="0CCF713F" w14:textId="77777777" w:rsidR="00A162B4" w:rsidRPr="00757CDB" w:rsidRDefault="00A162B4" w:rsidP="00910BDC">
            <w:pPr>
              <w:pStyle w:val="Tabletext"/>
              <w:rPr>
                <w:rFonts w:asciiTheme="minorHAnsi" w:hAnsiTheme="minorHAnsi"/>
                <w:szCs w:val="19"/>
              </w:rPr>
            </w:pPr>
          </w:p>
        </w:tc>
        <w:tc>
          <w:tcPr>
            <w:tcW w:w="3135" w:type="dxa"/>
            <w:tcBorders>
              <w:top w:val="dotted" w:sz="2" w:space="0" w:color="auto"/>
              <w:bottom w:val="dotted" w:sz="2" w:space="0" w:color="auto"/>
              <w:right w:val="single" w:sz="4" w:space="0" w:color="auto"/>
            </w:tcBorders>
          </w:tcPr>
          <w:p w14:paraId="0D382AD9" w14:textId="77777777" w:rsidR="00A162B4" w:rsidRPr="00757CDB" w:rsidRDefault="00A162B4" w:rsidP="00910BDC">
            <w:pPr>
              <w:autoSpaceDE w:val="0"/>
              <w:autoSpaceDN w:val="0"/>
              <w:adjustRightInd w:val="0"/>
              <w:rPr>
                <w:rFonts w:asciiTheme="minorHAnsi" w:eastAsia="Times New Roman" w:hAnsiTheme="minorHAnsi"/>
                <w:snapToGrid w:val="0"/>
                <w:kern w:val="16"/>
                <w:sz w:val="19"/>
                <w:szCs w:val="19"/>
              </w:rPr>
            </w:pPr>
            <w:r w:rsidRPr="00757CDB">
              <w:rPr>
                <w:rFonts w:asciiTheme="minorHAnsi" w:eastAsia="Times New Roman" w:hAnsiTheme="minorHAnsi"/>
                <w:snapToGrid w:val="0"/>
                <w:kern w:val="16"/>
                <w:sz w:val="19"/>
                <w:szCs w:val="19"/>
              </w:rPr>
              <w:t>Hepatic cirrhosis and fibrosis</w:t>
            </w:r>
          </w:p>
        </w:tc>
        <w:tc>
          <w:tcPr>
            <w:tcW w:w="992" w:type="dxa"/>
            <w:tcBorders>
              <w:top w:val="dotted" w:sz="2" w:space="0" w:color="auto"/>
              <w:left w:val="single" w:sz="4" w:space="0" w:color="auto"/>
              <w:bottom w:val="dotted" w:sz="2" w:space="0" w:color="auto"/>
              <w:right w:val="dotted" w:sz="2" w:space="0" w:color="auto"/>
            </w:tcBorders>
          </w:tcPr>
          <w:p w14:paraId="3ED079B5" w14:textId="77777777" w:rsidR="00A162B4" w:rsidRPr="00757CDB" w:rsidRDefault="00A162B4" w:rsidP="00910BDC">
            <w:pPr>
              <w:jc w:val="center"/>
              <w:rPr>
                <w:rFonts w:asciiTheme="minorHAnsi" w:hAnsiTheme="minorHAnsi"/>
                <w:sz w:val="19"/>
                <w:szCs w:val="19"/>
              </w:rPr>
            </w:pPr>
            <w:r w:rsidRPr="00757CDB">
              <w:rPr>
                <w:rFonts w:asciiTheme="minorHAnsi" w:hAnsiTheme="minorHAnsi"/>
                <w:sz w:val="19"/>
                <w:szCs w:val="19"/>
              </w:rPr>
              <w:sym w:font="Wingdings" w:char="F0FC"/>
            </w:r>
          </w:p>
        </w:tc>
        <w:tc>
          <w:tcPr>
            <w:tcW w:w="1134" w:type="dxa"/>
            <w:tcBorders>
              <w:top w:val="dotted" w:sz="2" w:space="0" w:color="auto"/>
              <w:left w:val="dotted" w:sz="2" w:space="0" w:color="auto"/>
              <w:bottom w:val="dotted" w:sz="2" w:space="0" w:color="auto"/>
            </w:tcBorders>
          </w:tcPr>
          <w:p w14:paraId="5ED9FB67" w14:textId="77777777" w:rsidR="00A162B4" w:rsidRPr="00757CDB" w:rsidRDefault="00A162B4" w:rsidP="00910BDC">
            <w:pPr>
              <w:jc w:val="center"/>
              <w:rPr>
                <w:rFonts w:asciiTheme="minorHAnsi" w:hAnsiTheme="minorHAnsi"/>
                <w:sz w:val="19"/>
                <w:szCs w:val="19"/>
              </w:rPr>
            </w:pPr>
            <w:r w:rsidRPr="00757CDB">
              <w:rPr>
                <w:rFonts w:asciiTheme="minorHAnsi" w:hAnsiTheme="minorHAnsi"/>
                <w:sz w:val="19"/>
                <w:szCs w:val="19"/>
              </w:rPr>
              <w:sym w:font="Wingdings" w:char="F0FC"/>
            </w:r>
          </w:p>
        </w:tc>
        <w:tc>
          <w:tcPr>
            <w:tcW w:w="992" w:type="dxa"/>
            <w:tcBorders>
              <w:top w:val="dotted" w:sz="2" w:space="0" w:color="auto"/>
              <w:left w:val="single" w:sz="4" w:space="0" w:color="auto"/>
              <w:bottom w:val="dotted" w:sz="2" w:space="0" w:color="auto"/>
              <w:right w:val="dotted" w:sz="2" w:space="0" w:color="auto"/>
            </w:tcBorders>
          </w:tcPr>
          <w:p w14:paraId="6B8E98C6" w14:textId="77777777" w:rsidR="00A162B4" w:rsidRPr="00757CDB" w:rsidRDefault="00A162B4" w:rsidP="00910BDC">
            <w:pPr>
              <w:jc w:val="center"/>
              <w:rPr>
                <w:rFonts w:asciiTheme="minorHAnsi" w:hAnsiTheme="minorHAnsi"/>
                <w:sz w:val="19"/>
                <w:szCs w:val="19"/>
              </w:rPr>
            </w:pPr>
            <w:r w:rsidRPr="00757CDB">
              <w:rPr>
                <w:rFonts w:asciiTheme="minorHAnsi" w:hAnsiTheme="minorHAnsi"/>
                <w:sz w:val="19"/>
                <w:szCs w:val="19"/>
              </w:rPr>
              <w:sym w:font="Wingdings" w:char="F0FC"/>
            </w:r>
          </w:p>
        </w:tc>
        <w:tc>
          <w:tcPr>
            <w:tcW w:w="1134" w:type="dxa"/>
            <w:tcBorders>
              <w:top w:val="dotted" w:sz="2" w:space="0" w:color="auto"/>
              <w:left w:val="dotted" w:sz="2" w:space="0" w:color="auto"/>
              <w:bottom w:val="dotted" w:sz="2" w:space="0" w:color="auto"/>
            </w:tcBorders>
          </w:tcPr>
          <w:p w14:paraId="5887D585" w14:textId="77777777" w:rsidR="00A162B4" w:rsidRPr="00757CDB" w:rsidRDefault="00A162B4" w:rsidP="00910BDC">
            <w:pPr>
              <w:jc w:val="center"/>
              <w:rPr>
                <w:rFonts w:asciiTheme="minorHAnsi" w:hAnsiTheme="minorHAnsi"/>
                <w:sz w:val="19"/>
                <w:szCs w:val="19"/>
              </w:rPr>
            </w:pPr>
            <w:r w:rsidRPr="00757CDB">
              <w:rPr>
                <w:rFonts w:asciiTheme="minorHAnsi" w:hAnsiTheme="minorHAnsi"/>
                <w:sz w:val="19"/>
                <w:szCs w:val="19"/>
              </w:rPr>
              <w:t>–</w:t>
            </w:r>
          </w:p>
        </w:tc>
      </w:tr>
      <w:tr w:rsidR="00757CDB" w:rsidRPr="00757CDB" w14:paraId="33D9690B" w14:textId="77777777" w:rsidTr="00EA2C2E">
        <w:trPr>
          <w:trHeight w:val="122"/>
          <w:jc w:val="center"/>
        </w:trPr>
        <w:tc>
          <w:tcPr>
            <w:tcW w:w="1250" w:type="dxa"/>
            <w:vMerge/>
          </w:tcPr>
          <w:p w14:paraId="0BAF1CE5" w14:textId="77777777" w:rsidR="00A162B4" w:rsidRPr="00757CDB" w:rsidRDefault="00A162B4" w:rsidP="00910BDC">
            <w:pPr>
              <w:pStyle w:val="Tabletext"/>
              <w:rPr>
                <w:rFonts w:asciiTheme="minorHAnsi" w:hAnsiTheme="minorHAnsi"/>
                <w:szCs w:val="19"/>
              </w:rPr>
            </w:pPr>
          </w:p>
        </w:tc>
        <w:tc>
          <w:tcPr>
            <w:tcW w:w="3135" w:type="dxa"/>
            <w:tcBorders>
              <w:top w:val="dotted" w:sz="2" w:space="0" w:color="auto"/>
              <w:bottom w:val="dotted" w:sz="2" w:space="0" w:color="auto"/>
              <w:right w:val="single" w:sz="4" w:space="0" w:color="auto"/>
            </w:tcBorders>
          </w:tcPr>
          <w:p w14:paraId="57F428E0" w14:textId="77777777" w:rsidR="00A162B4" w:rsidRPr="00757CDB" w:rsidRDefault="00A162B4" w:rsidP="00910BDC">
            <w:pPr>
              <w:autoSpaceDE w:val="0"/>
              <w:autoSpaceDN w:val="0"/>
              <w:adjustRightInd w:val="0"/>
              <w:rPr>
                <w:rFonts w:asciiTheme="minorHAnsi" w:eastAsia="Times New Roman" w:hAnsiTheme="minorHAnsi"/>
                <w:snapToGrid w:val="0"/>
                <w:kern w:val="16"/>
                <w:sz w:val="19"/>
                <w:szCs w:val="19"/>
              </w:rPr>
            </w:pPr>
            <w:r w:rsidRPr="00757CDB">
              <w:rPr>
                <w:rFonts w:asciiTheme="minorHAnsi" w:eastAsia="Times New Roman" w:hAnsiTheme="minorHAnsi"/>
                <w:snapToGrid w:val="0"/>
                <w:kern w:val="16"/>
                <w:sz w:val="19"/>
                <w:szCs w:val="19"/>
              </w:rPr>
              <w:t>Severe hypertensive reactions</w:t>
            </w:r>
          </w:p>
        </w:tc>
        <w:tc>
          <w:tcPr>
            <w:tcW w:w="992" w:type="dxa"/>
            <w:tcBorders>
              <w:top w:val="dotted" w:sz="2" w:space="0" w:color="auto"/>
              <w:left w:val="single" w:sz="4" w:space="0" w:color="auto"/>
              <w:bottom w:val="dotted" w:sz="2" w:space="0" w:color="auto"/>
              <w:right w:val="dotted" w:sz="2" w:space="0" w:color="auto"/>
            </w:tcBorders>
          </w:tcPr>
          <w:p w14:paraId="4CD0EF3E" w14:textId="77777777" w:rsidR="00A162B4" w:rsidRPr="00757CDB" w:rsidRDefault="00A162B4" w:rsidP="00910BDC">
            <w:pPr>
              <w:jc w:val="center"/>
              <w:rPr>
                <w:rFonts w:asciiTheme="minorHAnsi" w:hAnsiTheme="minorHAnsi"/>
                <w:sz w:val="19"/>
                <w:szCs w:val="19"/>
              </w:rPr>
            </w:pPr>
            <w:r w:rsidRPr="00757CDB">
              <w:rPr>
                <w:rFonts w:asciiTheme="minorHAnsi" w:hAnsiTheme="minorHAnsi"/>
                <w:sz w:val="19"/>
                <w:szCs w:val="19"/>
              </w:rPr>
              <w:sym w:font="Wingdings" w:char="F0FC"/>
            </w:r>
          </w:p>
        </w:tc>
        <w:tc>
          <w:tcPr>
            <w:tcW w:w="1134" w:type="dxa"/>
            <w:tcBorders>
              <w:top w:val="dotted" w:sz="2" w:space="0" w:color="auto"/>
              <w:left w:val="dotted" w:sz="2" w:space="0" w:color="auto"/>
              <w:bottom w:val="dotted" w:sz="2" w:space="0" w:color="auto"/>
            </w:tcBorders>
          </w:tcPr>
          <w:p w14:paraId="0676FD83" w14:textId="77777777" w:rsidR="00A162B4" w:rsidRPr="00757CDB" w:rsidRDefault="00A162B4" w:rsidP="00910BDC">
            <w:pPr>
              <w:jc w:val="center"/>
              <w:rPr>
                <w:rFonts w:asciiTheme="minorHAnsi" w:hAnsiTheme="minorHAnsi"/>
                <w:sz w:val="19"/>
                <w:szCs w:val="19"/>
              </w:rPr>
            </w:pPr>
            <w:r w:rsidRPr="00757CDB">
              <w:rPr>
                <w:rFonts w:asciiTheme="minorHAnsi" w:hAnsiTheme="minorHAnsi"/>
                <w:sz w:val="19"/>
                <w:szCs w:val="19"/>
              </w:rPr>
              <w:sym w:font="Wingdings" w:char="F0FC"/>
            </w:r>
          </w:p>
        </w:tc>
        <w:tc>
          <w:tcPr>
            <w:tcW w:w="992" w:type="dxa"/>
            <w:tcBorders>
              <w:top w:val="dotted" w:sz="2" w:space="0" w:color="auto"/>
              <w:left w:val="single" w:sz="4" w:space="0" w:color="auto"/>
              <w:bottom w:val="dotted" w:sz="2" w:space="0" w:color="auto"/>
              <w:right w:val="dotted" w:sz="2" w:space="0" w:color="auto"/>
            </w:tcBorders>
          </w:tcPr>
          <w:p w14:paraId="1DE831DB" w14:textId="77777777" w:rsidR="00A162B4" w:rsidRPr="00757CDB" w:rsidRDefault="00A162B4" w:rsidP="00910BDC">
            <w:pPr>
              <w:jc w:val="center"/>
              <w:rPr>
                <w:rFonts w:asciiTheme="minorHAnsi" w:hAnsiTheme="minorHAnsi"/>
                <w:sz w:val="19"/>
                <w:szCs w:val="19"/>
              </w:rPr>
            </w:pPr>
            <w:r w:rsidRPr="00757CDB">
              <w:rPr>
                <w:rFonts w:asciiTheme="minorHAnsi" w:hAnsiTheme="minorHAnsi"/>
                <w:sz w:val="19"/>
                <w:szCs w:val="19"/>
              </w:rPr>
              <w:t>–</w:t>
            </w:r>
          </w:p>
        </w:tc>
        <w:tc>
          <w:tcPr>
            <w:tcW w:w="1134" w:type="dxa"/>
            <w:tcBorders>
              <w:top w:val="dotted" w:sz="2" w:space="0" w:color="auto"/>
              <w:left w:val="dotted" w:sz="2" w:space="0" w:color="auto"/>
              <w:bottom w:val="dotted" w:sz="2" w:space="0" w:color="auto"/>
            </w:tcBorders>
          </w:tcPr>
          <w:p w14:paraId="6FCD58ED" w14:textId="77777777" w:rsidR="00A162B4" w:rsidRPr="00757CDB" w:rsidRDefault="00A162B4" w:rsidP="00910BDC">
            <w:pPr>
              <w:jc w:val="center"/>
              <w:rPr>
                <w:rFonts w:asciiTheme="minorHAnsi" w:hAnsiTheme="minorHAnsi"/>
                <w:sz w:val="19"/>
                <w:szCs w:val="19"/>
              </w:rPr>
            </w:pPr>
            <w:r w:rsidRPr="00757CDB">
              <w:rPr>
                <w:rFonts w:asciiTheme="minorHAnsi" w:hAnsiTheme="minorHAnsi"/>
                <w:sz w:val="19"/>
                <w:szCs w:val="19"/>
              </w:rPr>
              <w:t>–</w:t>
            </w:r>
          </w:p>
        </w:tc>
      </w:tr>
      <w:tr w:rsidR="00757CDB" w:rsidRPr="00757CDB" w14:paraId="4F1009F1" w14:textId="77777777" w:rsidTr="00EA2C2E">
        <w:trPr>
          <w:trHeight w:val="122"/>
          <w:jc w:val="center"/>
        </w:trPr>
        <w:tc>
          <w:tcPr>
            <w:tcW w:w="1250" w:type="dxa"/>
            <w:vMerge/>
          </w:tcPr>
          <w:p w14:paraId="369FA908" w14:textId="77777777" w:rsidR="00A162B4" w:rsidRPr="00757CDB" w:rsidRDefault="00A162B4" w:rsidP="00910BDC">
            <w:pPr>
              <w:pStyle w:val="Tabletext"/>
              <w:rPr>
                <w:rFonts w:asciiTheme="minorHAnsi" w:hAnsiTheme="minorHAnsi"/>
                <w:szCs w:val="19"/>
              </w:rPr>
            </w:pPr>
          </w:p>
        </w:tc>
        <w:tc>
          <w:tcPr>
            <w:tcW w:w="3135" w:type="dxa"/>
            <w:tcBorders>
              <w:top w:val="dotted" w:sz="2" w:space="0" w:color="auto"/>
              <w:bottom w:val="dotted" w:sz="2" w:space="0" w:color="auto"/>
              <w:right w:val="single" w:sz="4" w:space="0" w:color="auto"/>
            </w:tcBorders>
          </w:tcPr>
          <w:p w14:paraId="2624702C" w14:textId="77777777" w:rsidR="00A162B4" w:rsidRPr="00757CDB" w:rsidRDefault="00A162B4" w:rsidP="00910BDC">
            <w:pPr>
              <w:autoSpaceDE w:val="0"/>
              <w:autoSpaceDN w:val="0"/>
              <w:adjustRightInd w:val="0"/>
              <w:rPr>
                <w:rFonts w:asciiTheme="minorHAnsi" w:eastAsia="Times New Roman" w:hAnsiTheme="minorHAnsi"/>
                <w:snapToGrid w:val="0"/>
                <w:kern w:val="16"/>
                <w:sz w:val="19"/>
                <w:szCs w:val="19"/>
              </w:rPr>
            </w:pPr>
            <w:r w:rsidRPr="00757CDB">
              <w:rPr>
                <w:rFonts w:asciiTheme="minorHAnsi" w:eastAsia="Times New Roman" w:hAnsiTheme="minorHAnsi"/>
                <w:snapToGrid w:val="0"/>
                <w:kern w:val="16"/>
                <w:sz w:val="19"/>
                <w:szCs w:val="19"/>
              </w:rPr>
              <w:t>Adverse pregnancy outcomes</w:t>
            </w:r>
          </w:p>
        </w:tc>
        <w:tc>
          <w:tcPr>
            <w:tcW w:w="992" w:type="dxa"/>
            <w:tcBorders>
              <w:top w:val="dotted" w:sz="2" w:space="0" w:color="auto"/>
              <w:left w:val="single" w:sz="4" w:space="0" w:color="auto"/>
              <w:bottom w:val="dotted" w:sz="2" w:space="0" w:color="auto"/>
              <w:right w:val="dotted" w:sz="2" w:space="0" w:color="auto"/>
            </w:tcBorders>
          </w:tcPr>
          <w:p w14:paraId="5EF020C6" w14:textId="77777777" w:rsidR="00A162B4" w:rsidRPr="00757CDB" w:rsidRDefault="00A162B4" w:rsidP="00910BDC">
            <w:pPr>
              <w:jc w:val="center"/>
              <w:rPr>
                <w:rFonts w:asciiTheme="minorHAnsi" w:hAnsiTheme="minorHAnsi"/>
                <w:sz w:val="19"/>
                <w:szCs w:val="19"/>
              </w:rPr>
            </w:pPr>
            <w:r w:rsidRPr="00757CDB">
              <w:rPr>
                <w:rFonts w:asciiTheme="minorHAnsi" w:hAnsiTheme="minorHAnsi"/>
                <w:sz w:val="19"/>
                <w:szCs w:val="19"/>
              </w:rPr>
              <w:sym w:font="Wingdings" w:char="F0FC"/>
            </w:r>
          </w:p>
        </w:tc>
        <w:tc>
          <w:tcPr>
            <w:tcW w:w="1134" w:type="dxa"/>
            <w:tcBorders>
              <w:top w:val="dotted" w:sz="2" w:space="0" w:color="auto"/>
              <w:left w:val="dotted" w:sz="2" w:space="0" w:color="auto"/>
              <w:bottom w:val="dotted" w:sz="2" w:space="0" w:color="auto"/>
            </w:tcBorders>
          </w:tcPr>
          <w:p w14:paraId="3D262F23" w14:textId="77777777" w:rsidR="00A162B4" w:rsidRPr="00757CDB" w:rsidRDefault="00A162B4" w:rsidP="00910BDC">
            <w:pPr>
              <w:jc w:val="center"/>
              <w:rPr>
                <w:rFonts w:asciiTheme="minorHAnsi" w:hAnsiTheme="minorHAnsi"/>
                <w:sz w:val="19"/>
                <w:szCs w:val="19"/>
              </w:rPr>
            </w:pPr>
            <w:r w:rsidRPr="00757CDB">
              <w:rPr>
                <w:rFonts w:asciiTheme="minorHAnsi" w:hAnsiTheme="minorHAnsi"/>
                <w:sz w:val="19"/>
                <w:szCs w:val="19"/>
              </w:rPr>
              <w:sym w:font="Wingdings" w:char="F0FC"/>
            </w:r>
          </w:p>
        </w:tc>
        <w:tc>
          <w:tcPr>
            <w:tcW w:w="992" w:type="dxa"/>
            <w:tcBorders>
              <w:top w:val="dotted" w:sz="2" w:space="0" w:color="auto"/>
              <w:left w:val="single" w:sz="4" w:space="0" w:color="auto"/>
              <w:bottom w:val="dotted" w:sz="2" w:space="0" w:color="auto"/>
              <w:right w:val="dotted" w:sz="2" w:space="0" w:color="auto"/>
            </w:tcBorders>
          </w:tcPr>
          <w:p w14:paraId="7CEB1812" w14:textId="77777777" w:rsidR="00A162B4" w:rsidRPr="00757CDB" w:rsidRDefault="00A162B4" w:rsidP="00910BDC">
            <w:pPr>
              <w:jc w:val="center"/>
              <w:rPr>
                <w:rFonts w:asciiTheme="minorHAnsi" w:hAnsiTheme="minorHAnsi"/>
                <w:sz w:val="19"/>
                <w:szCs w:val="19"/>
              </w:rPr>
            </w:pPr>
            <w:r w:rsidRPr="00757CDB">
              <w:rPr>
                <w:rFonts w:asciiTheme="minorHAnsi" w:hAnsiTheme="minorHAnsi"/>
                <w:sz w:val="19"/>
                <w:szCs w:val="19"/>
              </w:rPr>
              <w:sym w:font="Wingdings" w:char="F0FC"/>
            </w:r>
          </w:p>
        </w:tc>
        <w:tc>
          <w:tcPr>
            <w:tcW w:w="1134" w:type="dxa"/>
            <w:tcBorders>
              <w:top w:val="dotted" w:sz="2" w:space="0" w:color="auto"/>
              <w:left w:val="dotted" w:sz="2" w:space="0" w:color="auto"/>
              <w:bottom w:val="dotted" w:sz="2" w:space="0" w:color="auto"/>
            </w:tcBorders>
          </w:tcPr>
          <w:p w14:paraId="620759E1" w14:textId="77777777" w:rsidR="00A162B4" w:rsidRPr="00757CDB" w:rsidRDefault="00A162B4" w:rsidP="00910BDC">
            <w:pPr>
              <w:jc w:val="center"/>
              <w:rPr>
                <w:rFonts w:asciiTheme="minorHAnsi" w:hAnsiTheme="minorHAnsi"/>
                <w:sz w:val="19"/>
                <w:szCs w:val="19"/>
              </w:rPr>
            </w:pPr>
            <w:r w:rsidRPr="00757CDB">
              <w:rPr>
                <w:rFonts w:asciiTheme="minorHAnsi" w:hAnsiTheme="minorHAnsi"/>
                <w:sz w:val="19"/>
                <w:szCs w:val="19"/>
              </w:rPr>
              <w:t>–</w:t>
            </w:r>
          </w:p>
        </w:tc>
      </w:tr>
      <w:tr w:rsidR="00757CDB" w:rsidRPr="00757CDB" w14:paraId="6CB33F5A" w14:textId="77777777" w:rsidTr="00EA2C2E">
        <w:trPr>
          <w:trHeight w:val="122"/>
          <w:jc w:val="center"/>
        </w:trPr>
        <w:tc>
          <w:tcPr>
            <w:tcW w:w="1250" w:type="dxa"/>
            <w:vMerge/>
          </w:tcPr>
          <w:p w14:paraId="12535815" w14:textId="77777777" w:rsidR="00A162B4" w:rsidRPr="00757CDB" w:rsidRDefault="00A162B4" w:rsidP="00910BDC">
            <w:pPr>
              <w:pStyle w:val="Tabletext"/>
              <w:rPr>
                <w:rFonts w:asciiTheme="minorHAnsi" w:hAnsiTheme="minorHAnsi"/>
                <w:szCs w:val="19"/>
              </w:rPr>
            </w:pPr>
          </w:p>
        </w:tc>
        <w:tc>
          <w:tcPr>
            <w:tcW w:w="3135" w:type="dxa"/>
            <w:tcBorders>
              <w:top w:val="dotted" w:sz="2" w:space="0" w:color="auto"/>
              <w:bottom w:val="dotted" w:sz="2" w:space="0" w:color="auto"/>
              <w:right w:val="single" w:sz="4" w:space="0" w:color="auto"/>
            </w:tcBorders>
          </w:tcPr>
          <w:p w14:paraId="2266CB56" w14:textId="77777777" w:rsidR="00A162B4" w:rsidRPr="007B0533" w:rsidRDefault="00A162B4" w:rsidP="00910BDC">
            <w:pPr>
              <w:autoSpaceDE w:val="0"/>
              <w:autoSpaceDN w:val="0"/>
              <w:adjustRightInd w:val="0"/>
              <w:rPr>
                <w:rFonts w:asciiTheme="minorHAnsi" w:eastAsia="Times New Roman" w:hAnsiTheme="minorHAnsi"/>
                <w:snapToGrid w:val="0"/>
                <w:color w:val="000000" w:themeColor="text1"/>
                <w:kern w:val="16"/>
                <w:sz w:val="19"/>
                <w:szCs w:val="19"/>
              </w:rPr>
            </w:pPr>
            <w:r w:rsidRPr="007B0533">
              <w:rPr>
                <w:rFonts w:asciiTheme="minorHAnsi" w:eastAsia="Times New Roman" w:hAnsiTheme="minorHAnsi"/>
                <w:snapToGrid w:val="0"/>
                <w:color w:val="000000" w:themeColor="text1"/>
                <w:kern w:val="16"/>
                <w:sz w:val="19"/>
                <w:szCs w:val="19"/>
              </w:rPr>
              <w:t>Potential for male infertility</w:t>
            </w:r>
          </w:p>
        </w:tc>
        <w:tc>
          <w:tcPr>
            <w:tcW w:w="992" w:type="dxa"/>
            <w:tcBorders>
              <w:top w:val="dotted" w:sz="2" w:space="0" w:color="auto"/>
              <w:left w:val="single" w:sz="4" w:space="0" w:color="auto"/>
              <w:bottom w:val="dotted" w:sz="2" w:space="0" w:color="auto"/>
              <w:right w:val="dotted" w:sz="2" w:space="0" w:color="auto"/>
            </w:tcBorders>
          </w:tcPr>
          <w:p w14:paraId="5C937470" w14:textId="77777777" w:rsidR="00A162B4" w:rsidRPr="007B0533" w:rsidRDefault="00A162B4" w:rsidP="00910BDC">
            <w:pPr>
              <w:jc w:val="center"/>
              <w:rPr>
                <w:rFonts w:asciiTheme="minorHAnsi" w:hAnsiTheme="minorHAnsi"/>
                <w:color w:val="000000" w:themeColor="text1"/>
                <w:sz w:val="19"/>
                <w:szCs w:val="19"/>
              </w:rPr>
            </w:pPr>
            <w:r w:rsidRPr="007B0533">
              <w:rPr>
                <w:rFonts w:asciiTheme="minorHAnsi" w:hAnsiTheme="minorHAnsi"/>
                <w:color w:val="000000" w:themeColor="text1"/>
                <w:sz w:val="19"/>
                <w:szCs w:val="19"/>
              </w:rPr>
              <w:sym w:font="Wingdings" w:char="F0FC"/>
            </w:r>
          </w:p>
        </w:tc>
        <w:tc>
          <w:tcPr>
            <w:tcW w:w="1134" w:type="dxa"/>
            <w:tcBorders>
              <w:top w:val="dotted" w:sz="2" w:space="0" w:color="auto"/>
              <w:left w:val="dotted" w:sz="2" w:space="0" w:color="auto"/>
              <w:bottom w:val="dotted" w:sz="2" w:space="0" w:color="auto"/>
            </w:tcBorders>
          </w:tcPr>
          <w:p w14:paraId="1FE6D07F" w14:textId="77777777" w:rsidR="00A162B4" w:rsidRPr="007B0533" w:rsidRDefault="00A162B4" w:rsidP="00910BDC">
            <w:pPr>
              <w:jc w:val="center"/>
              <w:rPr>
                <w:rFonts w:asciiTheme="minorHAnsi" w:hAnsiTheme="minorHAnsi"/>
                <w:color w:val="000000" w:themeColor="text1"/>
                <w:sz w:val="19"/>
                <w:szCs w:val="19"/>
              </w:rPr>
            </w:pPr>
            <w:r w:rsidRPr="007B0533">
              <w:rPr>
                <w:rFonts w:asciiTheme="minorHAnsi" w:hAnsiTheme="minorHAnsi"/>
                <w:color w:val="000000" w:themeColor="text1"/>
                <w:sz w:val="19"/>
                <w:szCs w:val="19"/>
              </w:rPr>
              <w:sym w:font="Wingdings" w:char="F0FC"/>
            </w:r>
          </w:p>
        </w:tc>
        <w:tc>
          <w:tcPr>
            <w:tcW w:w="992" w:type="dxa"/>
            <w:tcBorders>
              <w:top w:val="dotted" w:sz="2" w:space="0" w:color="auto"/>
              <w:left w:val="single" w:sz="4" w:space="0" w:color="auto"/>
              <w:bottom w:val="dotted" w:sz="2" w:space="0" w:color="auto"/>
              <w:right w:val="dotted" w:sz="2" w:space="0" w:color="auto"/>
            </w:tcBorders>
          </w:tcPr>
          <w:p w14:paraId="74D94983" w14:textId="77777777" w:rsidR="00A162B4" w:rsidRPr="007B0533" w:rsidRDefault="00A162B4" w:rsidP="00910BDC">
            <w:pPr>
              <w:jc w:val="center"/>
              <w:rPr>
                <w:rFonts w:asciiTheme="minorHAnsi" w:hAnsiTheme="minorHAnsi"/>
                <w:color w:val="000000" w:themeColor="text1"/>
                <w:sz w:val="19"/>
                <w:szCs w:val="19"/>
              </w:rPr>
            </w:pPr>
            <w:r w:rsidRPr="007B0533">
              <w:rPr>
                <w:rFonts w:asciiTheme="minorHAnsi" w:hAnsiTheme="minorHAnsi"/>
                <w:color w:val="000000" w:themeColor="text1"/>
                <w:sz w:val="19"/>
                <w:szCs w:val="19"/>
              </w:rPr>
              <w:sym w:font="Wingdings" w:char="F0FC"/>
            </w:r>
          </w:p>
        </w:tc>
        <w:tc>
          <w:tcPr>
            <w:tcW w:w="1134" w:type="dxa"/>
            <w:tcBorders>
              <w:top w:val="dotted" w:sz="2" w:space="0" w:color="auto"/>
              <w:left w:val="dotted" w:sz="2" w:space="0" w:color="auto"/>
              <w:bottom w:val="dotted" w:sz="2" w:space="0" w:color="auto"/>
            </w:tcBorders>
          </w:tcPr>
          <w:p w14:paraId="4EE61B54" w14:textId="77777777" w:rsidR="00A162B4" w:rsidRPr="007B0533" w:rsidRDefault="00A162B4" w:rsidP="00910BDC">
            <w:pPr>
              <w:jc w:val="center"/>
              <w:rPr>
                <w:rFonts w:asciiTheme="minorHAnsi" w:hAnsiTheme="minorHAnsi"/>
                <w:color w:val="000000" w:themeColor="text1"/>
                <w:sz w:val="19"/>
                <w:szCs w:val="19"/>
              </w:rPr>
            </w:pPr>
          </w:p>
        </w:tc>
      </w:tr>
      <w:tr w:rsidR="00757CDB" w:rsidRPr="00757CDB" w14:paraId="54C74472" w14:textId="77777777" w:rsidTr="00EA2C2E">
        <w:trPr>
          <w:trHeight w:val="112"/>
          <w:jc w:val="center"/>
        </w:trPr>
        <w:tc>
          <w:tcPr>
            <w:tcW w:w="1250" w:type="dxa"/>
            <w:vMerge/>
          </w:tcPr>
          <w:p w14:paraId="339257BB" w14:textId="77777777" w:rsidR="00A162B4" w:rsidRPr="00757CDB" w:rsidRDefault="00A162B4" w:rsidP="00910BDC">
            <w:pPr>
              <w:pStyle w:val="Tabletext"/>
              <w:rPr>
                <w:rFonts w:asciiTheme="minorHAnsi" w:hAnsiTheme="minorHAnsi"/>
                <w:szCs w:val="19"/>
              </w:rPr>
            </w:pPr>
          </w:p>
        </w:tc>
        <w:tc>
          <w:tcPr>
            <w:tcW w:w="3135" w:type="dxa"/>
            <w:tcBorders>
              <w:top w:val="dotted" w:sz="2" w:space="0" w:color="auto"/>
              <w:bottom w:val="dotted" w:sz="4" w:space="0" w:color="auto"/>
              <w:right w:val="single" w:sz="4" w:space="0" w:color="auto"/>
            </w:tcBorders>
          </w:tcPr>
          <w:p w14:paraId="103C7A7A" w14:textId="77777777" w:rsidR="00A162B4" w:rsidRPr="00757CDB" w:rsidRDefault="00A162B4" w:rsidP="00910BDC">
            <w:pPr>
              <w:pStyle w:val="Summaryofsafetyconcerns"/>
              <w:keepNext/>
              <w:keepLines/>
              <w:rPr>
                <w:rFonts w:asciiTheme="minorHAnsi" w:hAnsiTheme="minorHAnsi"/>
                <w:b w:val="0"/>
                <w:sz w:val="19"/>
                <w:szCs w:val="19"/>
              </w:rPr>
            </w:pPr>
            <w:r w:rsidRPr="00757CDB">
              <w:rPr>
                <w:rFonts w:asciiTheme="minorHAnsi" w:hAnsiTheme="minorHAnsi"/>
                <w:b w:val="0"/>
                <w:sz w:val="19"/>
                <w:szCs w:val="19"/>
              </w:rPr>
              <w:t>Impaired growth and development of juvenile subjects</w:t>
            </w:r>
          </w:p>
        </w:tc>
        <w:tc>
          <w:tcPr>
            <w:tcW w:w="992" w:type="dxa"/>
            <w:tcBorders>
              <w:top w:val="dotted" w:sz="2" w:space="0" w:color="auto"/>
              <w:left w:val="single" w:sz="4" w:space="0" w:color="auto"/>
              <w:bottom w:val="dotted" w:sz="4" w:space="0" w:color="auto"/>
              <w:right w:val="dotted" w:sz="2" w:space="0" w:color="auto"/>
            </w:tcBorders>
          </w:tcPr>
          <w:p w14:paraId="7B33501E" w14:textId="77777777" w:rsidR="00A162B4" w:rsidRPr="00757CDB" w:rsidRDefault="00A162B4" w:rsidP="00910BDC">
            <w:pPr>
              <w:jc w:val="center"/>
              <w:rPr>
                <w:rFonts w:asciiTheme="minorHAnsi" w:hAnsiTheme="minorHAnsi"/>
                <w:sz w:val="19"/>
                <w:szCs w:val="19"/>
              </w:rPr>
            </w:pPr>
            <w:r w:rsidRPr="00757CDB">
              <w:rPr>
                <w:rFonts w:asciiTheme="minorHAnsi" w:hAnsiTheme="minorHAnsi"/>
                <w:sz w:val="19"/>
                <w:szCs w:val="19"/>
              </w:rPr>
              <w:sym w:font="Wingdings" w:char="F0FC"/>
            </w:r>
          </w:p>
        </w:tc>
        <w:tc>
          <w:tcPr>
            <w:tcW w:w="1134" w:type="dxa"/>
            <w:tcBorders>
              <w:top w:val="dotted" w:sz="2" w:space="0" w:color="auto"/>
              <w:left w:val="dotted" w:sz="2" w:space="0" w:color="auto"/>
              <w:bottom w:val="dotted" w:sz="4" w:space="0" w:color="auto"/>
            </w:tcBorders>
          </w:tcPr>
          <w:p w14:paraId="7A9578C5" w14:textId="77777777" w:rsidR="00A162B4" w:rsidRPr="00757CDB" w:rsidRDefault="00A162B4" w:rsidP="00910BDC">
            <w:pPr>
              <w:jc w:val="center"/>
              <w:rPr>
                <w:rFonts w:asciiTheme="minorHAnsi" w:hAnsiTheme="minorHAnsi"/>
                <w:sz w:val="19"/>
                <w:szCs w:val="19"/>
              </w:rPr>
            </w:pPr>
            <w:r w:rsidRPr="00757CDB">
              <w:rPr>
                <w:rFonts w:asciiTheme="minorHAnsi" w:hAnsiTheme="minorHAnsi"/>
                <w:sz w:val="19"/>
                <w:szCs w:val="19"/>
              </w:rPr>
              <w:sym w:font="Wingdings" w:char="F0FC"/>
            </w:r>
          </w:p>
        </w:tc>
        <w:tc>
          <w:tcPr>
            <w:tcW w:w="992" w:type="dxa"/>
            <w:tcBorders>
              <w:top w:val="dotted" w:sz="2" w:space="0" w:color="auto"/>
              <w:left w:val="single" w:sz="4" w:space="0" w:color="auto"/>
              <w:bottom w:val="dotted" w:sz="4" w:space="0" w:color="auto"/>
              <w:right w:val="dotted" w:sz="2" w:space="0" w:color="auto"/>
            </w:tcBorders>
          </w:tcPr>
          <w:p w14:paraId="534710BB" w14:textId="77777777" w:rsidR="00A162B4" w:rsidRPr="00757CDB" w:rsidRDefault="00A162B4" w:rsidP="00910BDC">
            <w:pPr>
              <w:jc w:val="center"/>
              <w:rPr>
                <w:rFonts w:asciiTheme="minorHAnsi" w:hAnsiTheme="minorHAnsi"/>
                <w:sz w:val="19"/>
                <w:szCs w:val="19"/>
              </w:rPr>
            </w:pPr>
            <w:r w:rsidRPr="00757CDB">
              <w:rPr>
                <w:rFonts w:asciiTheme="minorHAnsi" w:hAnsiTheme="minorHAnsi"/>
                <w:sz w:val="19"/>
                <w:szCs w:val="19"/>
              </w:rPr>
              <w:sym w:font="Wingdings" w:char="F0FC"/>
            </w:r>
          </w:p>
        </w:tc>
        <w:tc>
          <w:tcPr>
            <w:tcW w:w="1134" w:type="dxa"/>
            <w:tcBorders>
              <w:top w:val="dotted" w:sz="2" w:space="0" w:color="auto"/>
              <w:left w:val="dotted" w:sz="2" w:space="0" w:color="auto"/>
              <w:bottom w:val="dotted" w:sz="4" w:space="0" w:color="auto"/>
            </w:tcBorders>
            <w:vAlign w:val="center"/>
          </w:tcPr>
          <w:p w14:paraId="6859B6D0" w14:textId="77777777" w:rsidR="00A162B4" w:rsidRPr="00757CDB" w:rsidRDefault="00A162B4" w:rsidP="00910BDC">
            <w:pPr>
              <w:pStyle w:val="Tabletext"/>
              <w:jc w:val="center"/>
              <w:rPr>
                <w:rFonts w:asciiTheme="minorHAnsi" w:hAnsiTheme="minorHAnsi"/>
                <w:szCs w:val="19"/>
              </w:rPr>
            </w:pPr>
            <w:r w:rsidRPr="00757CDB">
              <w:rPr>
                <w:rFonts w:asciiTheme="minorHAnsi" w:hAnsiTheme="minorHAnsi"/>
                <w:szCs w:val="19"/>
              </w:rPr>
              <w:t>–</w:t>
            </w:r>
          </w:p>
        </w:tc>
      </w:tr>
      <w:tr w:rsidR="00757CDB" w:rsidRPr="00757CDB" w14:paraId="4FF56FAE" w14:textId="77777777" w:rsidTr="00EA2C2E">
        <w:trPr>
          <w:trHeight w:val="112"/>
          <w:jc w:val="center"/>
        </w:trPr>
        <w:tc>
          <w:tcPr>
            <w:tcW w:w="1250" w:type="dxa"/>
            <w:vMerge/>
          </w:tcPr>
          <w:p w14:paraId="7B999F0E" w14:textId="77777777" w:rsidR="00A162B4" w:rsidRPr="00757CDB" w:rsidRDefault="00A162B4" w:rsidP="00910BDC">
            <w:pPr>
              <w:pStyle w:val="Tabletext"/>
              <w:rPr>
                <w:rFonts w:asciiTheme="minorHAnsi" w:hAnsiTheme="minorHAnsi"/>
                <w:szCs w:val="19"/>
              </w:rPr>
            </w:pPr>
          </w:p>
        </w:tc>
        <w:tc>
          <w:tcPr>
            <w:tcW w:w="3135" w:type="dxa"/>
            <w:tcBorders>
              <w:top w:val="dotted" w:sz="4" w:space="0" w:color="auto"/>
              <w:bottom w:val="single" w:sz="4" w:space="0" w:color="auto"/>
              <w:right w:val="single" w:sz="4" w:space="0" w:color="auto"/>
            </w:tcBorders>
          </w:tcPr>
          <w:p w14:paraId="4F77CD87" w14:textId="743283F3" w:rsidR="00A162B4" w:rsidRPr="007B0533" w:rsidRDefault="00237EFA" w:rsidP="00910BDC">
            <w:pPr>
              <w:autoSpaceDE w:val="0"/>
              <w:autoSpaceDN w:val="0"/>
              <w:adjustRightInd w:val="0"/>
              <w:rPr>
                <w:rFonts w:asciiTheme="minorHAnsi" w:hAnsiTheme="minorHAnsi"/>
                <w:color w:val="000000" w:themeColor="text1"/>
                <w:sz w:val="19"/>
                <w:szCs w:val="19"/>
              </w:rPr>
            </w:pPr>
            <w:r>
              <w:rPr>
                <w:rFonts w:asciiTheme="minorHAnsi" w:hAnsiTheme="minorHAnsi"/>
                <w:bCs/>
                <w:color w:val="000000" w:themeColor="text1"/>
                <w:sz w:val="19"/>
                <w:szCs w:val="19"/>
              </w:rPr>
              <w:t>Paediatric off-label use -</w:t>
            </w:r>
            <w:r w:rsidR="00A162B4" w:rsidRPr="007B0533">
              <w:rPr>
                <w:rFonts w:asciiTheme="minorHAnsi" w:hAnsiTheme="minorHAnsi"/>
                <w:bCs/>
                <w:color w:val="000000" w:themeColor="text1"/>
                <w:sz w:val="19"/>
                <w:szCs w:val="19"/>
              </w:rPr>
              <w:t xml:space="preserve"> administration to child or adolescent who weighs less than 62.5 kg</w:t>
            </w:r>
          </w:p>
        </w:tc>
        <w:tc>
          <w:tcPr>
            <w:tcW w:w="992" w:type="dxa"/>
            <w:tcBorders>
              <w:top w:val="dotted" w:sz="4" w:space="0" w:color="auto"/>
              <w:left w:val="single" w:sz="4" w:space="0" w:color="auto"/>
              <w:bottom w:val="single" w:sz="4" w:space="0" w:color="auto"/>
              <w:right w:val="dotted" w:sz="2" w:space="0" w:color="auto"/>
            </w:tcBorders>
          </w:tcPr>
          <w:p w14:paraId="42148E2F" w14:textId="77777777" w:rsidR="00A162B4" w:rsidRPr="007B0533" w:rsidRDefault="00A162B4" w:rsidP="00910BDC">
            <w:pPr>
              <w:jc w:val="center"/>
              <w:rPr>
                <w:rFonts w:asciiTheme="minorHAnsi" w:hAnsiTheme="minorHAnsi"/>
                <w:color w:val="000000" w:themeColor="text1"/>
                <w:sz w:val="19"/>
                <w:szCs w:val="19"/>
              </w:rPr>
            </w:pPr>
            <w:r w:rsidRPr="007B0533">
              <w:rPr>
                <w:rFonts w:asciiTheme="minorHAnsi" w:hAnsiTheme="minorHAnsi"/>
                <w:color w:val="000000" w:themeColor="text1"/>
                <w:sz w:val="19"/>
                <w:szCs w:val="19"/>
              </w:rPr>
              <w:sym w:font="Wingdings" w:char="F0FC"/>
            </w:r>
          </w:p>
        </w:tc>
        <w:tc>
          <w:tcPr>
            <w:tcW w:w="1134" w:type="dxa"/>
            <w:tcBorders>
              <w:top w:val="dotted" w:sz="4" w:space="0" w:color="auto"/>
              <w:left w:val="dotted" w:sz="2" w:space="0" w:color="auto"/>
              <w:bottom w:val="single" w:sz="4" w:space="0" w:color="auto"/>
            </w:tcBorders>
          </w:tcPr>
          <w:p w14:paraId="299F6842" w14:textId="77777777" w:rsidR="00A162B4" w:rsidRPr="007B0533" w:rsidRDefault="00A162B4" w:rsidP="00910BDC">
            <w:pPr>
              <w:jc w:val="center"/>
              <w:rPr>
                <w:rFonts w:asciiTheme="minorHAnsi" w:hAnsiTheme="minorHAnsi"/>
                <w:color w:val="000000" w:themeColor="text1"/>
                <w:sz w:val="19"/>
                <w:szCs w:val="19"/>
              </w:rPr>
            </w:pPr>
          </w:p>
        </w:tc>
        <w:tc>
          <w:tcPr>
            <w:tcW w:w="992" w:type="dxa"/>
            <w:tcBorders>
              <w:top w:val="dotted" w:sz="4" w:space="0" w:color="auto"/>
              <w:left w:val="single" w:sz="4" w:space="0" w:color="auto"/>
              <w:bottom w:val="single" w:sz="4" w:space="0" w:color="auto"/>
              <w:right w:val="dotted" w:sz="2" w:space="0" w:color="auto"/>
            </w:tcBorders>
          </w:tcPr>
          <w:p w14:paraId="636F74E1" w14:textId="77777777" w:rsidR="00A162B4" w:rsidRPr="007B0533" w:rsidRDefault="00A162B4" w:rsidP="00910BDC">
            <w:pPr>
              <w:jc w:val="center"/>
              <w:rPr>
                <w:rFonts w:asciiTheme="minorHAnsi" w:hAnsiTheme="minorHAnsi"/>
                <w:color w:val="000000" w:themeColor="text1"/>
                <w:sz w:val="19"/>
                <w:szCs w:val="19"/>
              </w:rPr>
            </w:pPr>
            <w:r w:rsidRPr="007B0533">
              <w:rPr>
                <w:rFonts w:asciiTheme="minorHAnsi" w:hAnsiTheme="minorHAnsi"/>
                <w:color w:val="000000" w:themeColor="text1"/>
                <w:sz w:val="19"/>
                <w:szCs w:val="19"/>
              </w:rPr>
              <w:sym w:font="Wingdings" w:char="F0FC"/>
            </w:r>
          </w:p>
        </w:tc>
        <w:tc>
          <w:tcPr>
            <w:tcW w:w="1134" w:type="dxa"/>
            <w:tcBorders>
              <w:top w:val="dotted" w:sz="4" w:space="0" w:color="auto"/>
              <w:left w:val="dotted" w:sz="2" w:space="0" w:color="auto"/>
              <w:bottom w:val="single" w:sz="4" w:space="0" w:color="auto"/>
            </w:tcBorders>
            <w:vAlign w:val="center"/>
          </w:tcPr>
          <w:p w14:paraId="45E3D1D3" w14:textId="77777777" w:rsidR="00A162B4" w:rsidRPr="007B0533" w:rsidRDefault="00A162B4" w:rsidP="00910BDC">
            <w:pPr>
              <w:pStyle w:val="Tabletext"/>
              <w:jc w:val="center"/>
              <w:rPr>
                <w:rFonts w:asciiTheme="minorHAnsi" w:hAnsiTheme="minorHAnsi"/>
                <w:color w:val="000000" w:themeColor="text1"/>
                <w:szCs w:val="19"/>
              </w:rPr>
            </w:pPr>
            <w:r w:rsidRPr="007B0533">
              <w:rPr>
                <w:rFonts w:asciiTheme="minorHAnsi" w:hAnsiTheme="minorHAnsi"/>
                <w:color w:val="000000" w:themeColor="text1"/>
                <w:szCs w:val="19"/>
              </w:rPr>
              <w:sym w:font="Wingdings" w:char="F0FC"/>
            </w:r>
            <w:r w:rsidRPr="007B0533">
              <w:rPr>
                <w:rFonts w:asciiTheme="minorHAnsi" w:hAnsiTheme="minorHAnsi"/>
                <w:color w:val="000000" w:themeColor="text1"/>
                <w:szCs w:val="19"/>
              </w:rPr>
              <w:t xml:space="preserve"> *</w:t>
            </w:r>
          </w:p>
        </w:tc>
      </w:tr>
      <w:tr w:rsidR="00757CDB" w:rsidRPr="00757CDB" w14:paraId="5EFDAA2C" w14:textId="77777777" w:rsidTr="00EA2C2E">
        <w:trPr>
          <w:trHeight w:val="112"/>
          <w:jc w:val="center"/>
        </w:trPr>
        <w:tc>
          <w:tcPr>
            <w:tcW w:w="1250" w:type="dxa"/>
            <w:vMerge/>
          </w:tcPr>
          <w:p w14:paraId="15CA52DC" w14:textId="77777777" w:rsidR="00A162B4" w:rsidRPr="00757CDB" w:rsidRDefault="00A162B4" w:rsidP="00910BDC">
            <w:pPr>
              <w:pStyle w:val="Tabletext"/>
              <w:rPr>
                <w:rFonts w:asciiTheme="minorHAnsi" w:hAnsiTheme="minorHAnsi"/>
                <w:szCs w:val="19"/>
              </w:rPr>
            </w:pPr>
          </w:p>
        </w:tc>
        <w:tc>
          <w:tcPr>
            <w:tcW w:w="3135" w:type="dxa"/>
            <w:tcBorders>
              <w:top w:val="dotted" w:sz="4" w:space="0" w:color="auto"/>
              <w:bottom w:val="single" w:sz="4" w:space="0" w:color="auto"/>
              <w:right w:val="single" w:sz="4" w:space="0" w:color="auto"/>
            </w:tcBorders>
          </w:tcPr>
          <w:p w14:paraId="0DD983F0" w14:textId="77777777" w:rsidR="00A162B4" w:rsidRPr="007B0533" w:rsidRDefault="00A162B4" w:rsidP="00910BDC">
            <w:pPr>
              <w:autoSpaceDE w:val="0"/>
              <w:autoSpaceDN w:val="0"/>
              <w:adjustRightInd w:val="0"/>
              <w:rPr>
                <w:rFonts w:asciiTheme="minorHAnsi" w:hAnsiTheme="minorHAnsi"/>
                <w:bCs/>
                <w:color w:val="000000" w:themeColor="text1"/>
                <w:sz w:val="19"/>
                <w:szCs w:val="19"/>
              </w:rPr>
            </w:pPr>
            <w:r w:rsidRPr="007B0533">
              <w:rPr>
                <w:rFonts w:asciiTheme="minorHAnsi" w:hAnsiTheme="minorHAnsi"/>
                <w:bCs/>
                <w:color w:val="000000" w:themeColor="text1"/>
                <w:sz w:val="19"/>
                <w:szCs w:val="19"/>
              </w:rPr>
              <w:t>Weight gain</w:t>
            </w:r>
          </w:p>
        </w:tc>
        <w:tc>
          <w:tcPr>
            <w:tcW w:w="992" w:type="dxa"/>
            <w:tcBorders>
              <w:top w:val="dotted" w:sz="4" w:space="0" w:color="auto"/>
              <w:left w:val="single" w:sz="4" w:space="0" w:color="auto"/>
              <w:bottom w:val="single" w:sz="4" w:space="0" w:color="auto"/>
              <w:right w:val="dotted" w:sz="2" w:space="0" w:color="auto"/>
            </w:tcBorders>
          </w:tcPr>
          <w:p w14:paraId="6CA742A3" w14:textId="77777777" w:rsidR="00A162B4" w:rsidRPr="007B0533" w:rsidRDefault="00A162B4" w:rsidP="00910BDC">
            <w:pPr>
              <w:jc w:val="center"/>
              <w:rPr>
                <w:rFonts w:asciiTheme="minorHAnsi" w:hAnsiTheme="minorHAnsi"/>
                <w:color w:val="000000" w:themeColor="text1"/>
                <w:sz w:val="19"/>
                <w:szCs w:val="19"/>
              </w:rPr>
            </w:pPr>
            <w:r w:rsidRPr="007B0533">
              <w:rPr>
                <w:rFonts w:asciiTheme="minorHAnsi" w:hAnsiTheme="minorHAnsi"/>
                <w:color w:val="000000" w:themeColor="text1"/>
                <w:sz w:val="19"/>
                <w:szCs w:val="19"/>
              </w:rPr>
              <w:sym w:font="Wingdings" w:char="F0FC"/>
            </w:r>
          </w:p>
        </w:tc>
        <w:tc>
          <w:tcPr>
            <w:tcW w:w="1134" w:type="dxa"/>
            <w:tcBorders>
              <w:top w:val="dotted" w:sz="4" w:space="0" w:color="auto"/>
              <w:left w:val="dotted" w:sz="2" w:space="0" w:color="auto"/>
              <w:bottom w:val="single" w:sz="4" w:space="0" w:color="auto"/>
            </w:tcBorders>
          </w:tcPr>
          <w:p w14:paraId="67B446BF" w14:textId="77777777" w:rsidR="00A162B4" w:rsidRPr="007B0533" w:rsidRDefault="00A162B4" w:rsidP="00910BDC">
            <w:pPr>
              <w:jc w:val="center"/>
              <w:rPr>
                <w:rFonts w:asciiTheme="minorHAnsi" w:hAnsiTheme="minorHAnsi"/>
                <w:color w:val="000000" w:themeColor="text1"/>
                <w:sz w:val="19"/>
                <w:szCs w:val="19"/>
              </w:rPr>
            </w:pPr>
            <w:r w:rsidRPr="007B0533">
              <w:rPr>
                <w:rFonts w:asciiTheme="minorHAnsi" w:hAnsiTheme="minorHAnsi"/>
                <w:color w:val="000000" w:themeColor="text1"/>
                <w:sz w:val="19"/>
                <w:szCs w:val="19"/>
              </w:rPr>
              <w:sym w:font="Wingdings" w:char="F0FC"/>
            </w:r>
          </w:p>
        </w:tc>
        <w:tc>
          <w:tcPr>
            <w:tcW w:w="992" w:type="dxa"/>
            <w:tcBorders>
              <w:top w:val="dotted" w:sz="4" w:space="0" w:color="auto"/>
              <w:left w:val="single" w:sz="4" w:space="0" w:color="auto"/>
              <w:bottom w:val="single" w:sz="4" w:space="0" w:color="auto"/>
              <w:right w:val="dotted" w:sz="2" w:space="0" w:color="auto"/>
            </w:tcBorders>
          </w:tcPr>
          <w:p w14:paraId="0A0AFE02" w14:textId="77777777" w:rsidR="00A162B4" w:rsidRPr="007B0533" w:rsidRDefault="00A162B4" w:rsidP="00910BDC">
            <w:pPr>
              <w:jc w:val="center"/>
              <w:rPr>
                <w:rFonts w:asciiTheme="minorHAnsi" w:hAnsiTheme="minorHAnsi"/>
                <w:color w:val="000000" w:themeColor="text1"/>
                <w:sz w:val="19"/>
                <w:szCs w:val="19"/>
              </w:rPr>
            </w:pPr>
            <w:r w:rsidRPr="007B0533">
              <w:rPr>
                <w:rFonts w:asciiTheme="minorHAnsi" w:hAnsiTheme="minorHAnsi"/>
                <w:color w:val="000000" w:themeColor="text1"/>
                <w:sz w:val="19"/>
                <w:szCs w:val="19"/>
              </w:rPr>
              <w:t>–</w:t>
            </w:r>
          </w:p>
        </w:tc>
        <w:tc>
          <w:tcPr>
            <w:tcW w:w="1134" w:type="dxa"/>
            <w:tcBorders>
              <w:top w:val="dotted" w:sz="4" w:space="0" w:color="auto"/>
              <w:left w:val="dotted" w:sz="2" w:space="0" w:color="auto"/>
              <w:bottom w:val="single" w:sz="4" w:space="0" w:color="auto"/>
            </w:tcBorders>
          </w:tcPr>
          <w:p w14:paraId="62BF466D" w14:textId="77777777" w:rsidR="00A162B4" w:rsidRPr="007B0533" w:rsidRDefault="00A162B4" w:rsidP="00910BDC">
            <w:pPr>
              <w:pStyle w:val="Tabletext"/>
              <w:jc w:val="center"/>
              <w:rPr>
                <w:rFonts w:asciiTheme="minorHAnsi" w:hAnsiTheme="minorHAnsi"/>
                <w:color w:val="000000" w:themeColor="text1"/>
                <w:szCs w:val="19"/>
              </w:rPr>
            </w:pPr>
            <w:r w:rsidRPr="007B0533">
              <w:rPr>
                <w:rFonts w:asciiTheme="minorHAnsi" w:hAnsiTheme="minorHAnsi"/>
                <w:color w:val="000000" w:themeColor="text1"/>
                <w:szCs w:val="19"/>
              </w:rPr>
              <w:t>–</w:t>
            </w:r>
          </w:p>
        </w:tc>
      </w:tr>
      <w:tr w:rsidR="00757CDB" w:rsidRPr="00757CDB" w14:paraId="68BC7C85" w14:textId="77777777" w:rsidTr="00EA2C2E">
        <w:trPr>
          <w:trHeight w:val="112"/>
          <w:jc w:val="center"/>
        </w:trPr>
        <w:tc>
          <w:tcPr>
            <w:tcW w:w="1250" w:type="dxa"/>
            <w:vMerge/>
          </w:tcPr>
          <w:p w14:paraId="44764D60" w14:textId="77777777" w:rsidR="00A162B4" w:rsidRPr="00757CDB" w:rsidRDefault="00A162B4" w:rsidP="00910BDC">
            <w:pPr>
              <w:pStyle w:val="Tabletext"/>
              <w:rPr>
                <w:rFonts w:asciiTheme="minorHAnsi" w:hAnsiTheme="minorHAnsi"/>
                <w:szCs w:val="19"/>
              </w:rPr>
            </w:pPr>
          </w:p>
        </w:tc>
        <w:tc>
          <w:tcPr>
            <w:tcW w:w="3135" w:type="dxa"/>
            <w:tcBorders>
              <w:top w:val="dotted" w:sz="4" w:space="0" w:color="auto"/>
              <w:bottom w:val="single" w:sz="4" w:space="0" w:color="auto"/>
              <w:right w:val="single" w:sz="4" w:space="0" w:color="auto"/>
            </w:tcBorders>
          </w:tcPr>
          <w:p w14:paraId="09832B3A" w14:textId="622BE3F0" w:rsidR="00A162B4" w:rsidRPr="007B0533" w:rsidRDefault="00A162B4" w:rsidP="00910BDC">
            <w:pPr>
              <w:autoSpaceDE w:val="0"/>
              <w:autoSpaceDN w:val="0"/>
              <w:adjustRightInd w:val="0"/>
              <w:rPr>
                <w:rFonts w:asciiTheme="minorHAnsi" w:hAnsiTheme="minorHAnsi"/>
                <w:bCs/>
                <w:color w:val="000000" w:themeColor="text1"/>
                <w:sz w:val="19"/>
                <w:szCs w:val="19"/>
              </w:rPr>
            </w:pPr>
            <w:r w:rsidRPr="007B0533">
              <w:rPr>
                <w:rFonts w:asciiTheme="minorHAnsi" w:hAnsiTheme="minorHAnsi"/>
                <w:bCs/>
                <w:color w:val="000000" w:themeColor="text1"/>
                <w:sz w:val="19"/>
                <w:szCs w:val="19"/>
              </w:rPr>
              <w:t>Acu</w:t>
            </w:r>
            <w:r w:rsidR="00ED0BA0">
              <w:rPr>
                <w:rFonts w:asciiTheme="minorHAnsi" w:hAnsiTheme="minorHAnsi"/>
                <w:bCs/>
                <w:color w:val="000000" w:themeColor="text1"/>
                <w:sz w:val="19"/>
                <w:szCs w:val="19"/>
              </w:rPr>
              <w:t>te ischaemic cardiovascular</w:t>
            </w:r>
            <w:r w:rsidRPr="007B0533">
              <w:rPr>
                <w:rFonts w:asciiTheme="minorHAnsi" w:hAnsiTheme="minorHAnsi"/>
                <w:bCs/>
                <w:color w:val="000000" w:themeColor="text1"/>
                <w:sz w:val="19"/>
                <w:szCs w:val="19"/>
              </w:rPr>
              <w:t xml:space="preserve"> events in adult subjects</w:t>
            </w:r>
          </w:p>
        </w:tc>
        <w:tc>
          <w:tcPr>
            <w:tcW w:w="992" w:type="dxa"/>
            <w:tcBorders>
              <w:top w:val="dotted" w:sz="4" w:space="0" w:color="auto"/>
              <w:left w:val="single" w:sz="4" w:space="0" w:color="auto"/>
              <w:bottom w:val="single" w:sz="4" w:space="0" w:color="auto"/>
              <w:right w:val="dotted" w:sz="2" w:space="0" w:color="auto"/>
            </w:tcBorders>
          </w:tcPr>
          <w:p w14:paraId="081E1143" w14:textId="77777777" w:rsidR="00A162B4" w:rsidRPr="007B0533" w:rsidRDefault="00A162B4" w:rsidP="00910BDC">
            <w:pPr>
              <w:jc w:val="center"/>
              <w:rPr>
                <w:rFonts w:asciiTheme="minorHAnsi" w:hAnsiTheme="minorHAnsi"/>
                <w:color w:val="000000" w:themeColor="text1"/>
                <w:sz w:val="19"/>
                <w:szCs w:val="19"/>
              </w:rPr>
            </w:pPr>
            <w:r w:rsidRPr="007B0533">
              <w:rPr>
                <w:rFonts w:asciiTheme="minorHAnsi" w:hAnsiTheme="minorHAnsi"/>
                <w:color w:val="000000" w:themeColor="text1"/>
                <w:sz w:val="19"/>
                <w:szCs w:val="19"/>
              </w:rPr>
              <w:sym w:font="Wingdings" w:char="F0FC"/>
            </w:r>
          </w:p>
        </w:tc>
        <w:tc>
          <w:tcPr>
            <w:tcW w:w="1134" w:type="dxa"/>
            <w:tcBorders>
              <w:top w:val="dotted" w:sz="4" w:space="0" w:color="auto"/>
              <w:left w:val="dotted" w:sz="2" w:space="0" w:color="auto"/>
              <w:bottom w:val="single" w:sz="4" w:space="0" w:color="auto"/>
            </w:tcBorders>
          </w:tcPr>
          <w:p w14:paraId="0488EBDE" w14:textId="77777777" w:rsidR="00A162B4" w:rsidRPr="007B0533" w:rsidRDefault="00A162B4" w:rsidP="00910BDC">
            <w:pPr>
              <w:jc w:val="center"/>
              <w:rPr>
                <w:rFonts w:asciiTheme="minorHAnsi" w:hAnsiTheme="minorHAnsi"/>
                <w:color w:val="000000" w:themeColor="text1"/>
                <w:sz w:val="19"/>
                <w:szCs w:val="19"/>
              </w:rPr>
            </w:pPr>
            <w:r w:rsidRPr="007B0533">
              <w:rPr>
                <w:rFonts w:asciiTheme="minorHAnsi" w:hAnsiTheme="minorHAnsi"/>
                <w:color w:val="000000" w:themeColor="text1"/>
                <w:sz w:val="19"/>
                <w:szCs w:val="19"/>
              </w:rPr>
              <w:sym w:font="Wingdings" w:char="F0FC"/>
            </w:r>
          </w:p>
        </w:tc>
        <w:tc>
          <w:tcPr>
            <w:tcW w:w="992" w:type="dxa"/>
            <w:tcBorders>
              <w:top w:val="dotted" w:sz="4" w:space="0" w:color="auto"/>
              <w:left w:val="single" w:sz="4" w:space="0" w:color="auto"/>
              <w:bottom w:val="single" w:sz="4" w:space="0" w:color="auto"/>
              <w:right w:val="dotted" w:sz="2" w:space="0" w:color="auto"/>
            </w:tcBorders>
          </w:tcPr>
          <w:p w14:paraId="13CD63CA" w14:textId="77777777" w:rsidR="00A162B4" w:rsidRPr="007B0533" w:rsidRDefault="00A162B4" w:rsidP="00910BDC">
            <w:pPr>
              <w:jc w:val="center"/>
              <w:rPr>
                <w:rFonts w:asciiTheme="minorHAnsi" w:hAnsiTheme="minorHAnsi"/>
                <w:color w:val="000000" w:themeColor="text1"/>
                <w:sz w:val="19"/>
                <w:szCs w:val="19"/>
              </w:rPr>
            </w:pPr>
            <w:r w:rsidRPr="007B0533">
              <w:rPr>
                <w:rFonts w:asciiTheme="minorHAnsi" w:hAnsiTheme="minorHAnsi"/>
                <w:color w:val="000000" w:themeColor="text1"/>
                <w:sz w:val="19"/>
                <w:szCs w:val="19"/>
              </w:rPr>
              <w:t>–</w:t>
            </w:r>
          </w:p>
        </w:tc>
        <w:tc>
          <w:tcPr>
            <w:tcW w:w="1134" w:type="dxa"/>
            <w:tcBorders>
              <w:top w:val="dotted" w:sz="4" w:space="0" w:color="auto"/>
              <w:left w:val="dotted" w:sz="2" w:space="0" w:color="auto"/>
              <w:bottom w:val="single" w:sz="4" w:space="0" w:color="auto"/>
            </w:tcBorders>
          </w:tcPr>
          <w:p w14:paraId="497A0271" w14:textId="77777777" w:rsidR="00A162B4" w:rsidRPr="007B0533" w:rsidRDefault="00A162B4" w:rsidP="00910BDC">
            <w:pPr>
              <w:pStyle w:val="Tabletext"/>
              <w:jc w:val="center"/>
              <w:rPr>
                <w:rFonts w:asciiTheme="minorHAnsi" w:hAnsiTheme="minorHAnsi"/>
                <w:color w:val="000000" w:themeColor="text1"/>
                <w:szCs w:val="19"/>
              </w:rPr>
            </w:pPr>
            <w:r w:rsidRPr="007B0533">
              <w:rPr>
                <w:rFonts w:asciiTheme="minorHAnsi" w:hAnsiTheme="minorHAnsi"/>
                <w:color w:val="000000" w:themeColor="text1"/>
                <w:szCs w:val="19"/>
              </w:rPr>
              <w:t>–</w:t>
            </w:r>
          </w:p>
        </w:tc>
      </w:tr>
      <w:tr w:rsidR="00757CDB" w:rsidRPr="00757CDB" w14:paraId="2799BB85" w14:textId="77777777" w:rsidTr="00EA2C2E">
        <w:trPr>
          <w:trHeight w:val="178"/>
          <w:jc w:val="center"/>
        </w:trPr>
        <w:tc>
          <w:tcPr>
            <w:tcW w:w="1250" w:type="dxa"/>
          </w:tcPr>
          <w:p w14:paraId="2201E17F" w14:textId="77777777" w:rsidR="00A162B4" w:rsidRPr="00757CDB" w:rsidRDefault="00A162B4" w:rsidP="00910BDC">
            <w:pPr>
              <w:pStyle w:val="Tabletext"/>
              <w:rPr>
                <w:rFonts w:asciiTheme="minorHAnsi" w:hAnsiTheme="minorHAnsi"/>
                <w:szCs w:val="19"/>
              </w:rPr>
            </w:pPr>
            <w:r w:rsidRPr="00757CDB">
              <w:rPr>
                <w:rFonts w:asciiTheme="minorHAnsi" w:hAnsiTheme="minorHAnsi"/>
                <w:szCs w:val="19"/>
              </w:rPr>
              <w:t>Missing information</w:t>
            </w:r>
          </w:p>
        </w:tc>
        <w:tc>
          <w:tcPr>
            <w:tcW w:w="3135" w:type="dxa"/>
            <w:tcBorders>
              <w:top w:val="single" w:sz="4" w:space="0" w:color="auto"/>
              <w:bottom w:val="single" w:sz="8" w:space="0" w:color="auto"/>
              <w:right w:val="single" w:sz="4" w:space="0" w:color="auto"/>
            </w:tcBorders>
          </w:tcPr>
          <w:p w14:paraId="3D347D2F" w14:textId="77777777" w:rsidR="00A162B4" w:rsidRPr="00757CDB" w:rsidRDefault="00A162B4" w:rsidP="00910BDC">
            <w:pPr>
              <w:pStyle w:val="Tabletext"/>
              <w:rPr>
                <w:rFonts w:asciiTheme="minorHAnsi" w:hAnsiTheme="minorHAnsi"/>
                <w:szCs w:val="19"/>
              </w:rPr>
            </w:pPr>
            <w:r w:rsidRPr="00757CDB">
              <w:rPr>
                <w:rFonts w:asciiTheme="minorHAnsi" w:hAnsiTheme="minorHAnsi"/>
                <w:szCs w:val="19"/>
              </w:rPr>
              <w:t>None</w:t>
            </w:r>
          </w:p>
        </w:tc>
        <w:tc>
          <w:tcPr>
            <w:tcW w:w="992" w:type="dxa"/>
            <w:tcBorders>
              <w:top w:val="single" w:sz="4" w:space="0" w:color="auto"/>
              <w:left w:val="single" w:sz="4" w:space="0" w:color="auto"/>
              <w:bottom w:val="single" w:sz="8" w:space="0" w:color="auto"/>
              <w:right w:val="dotted" w:sz="2" w:space="0" w:color="auto"/>
            </w:tcBorders>
            <w:vAlign w:val="center"/>
          </w:tcPr>
          <w:p w14:paraId="21B348D2" w14:textId="77777777" w:rsidR="00A162B4" w:rsidRPr="00757CDB" w:rsidRDefault="00A162B4" w:rsidP="00910BDC">
            <w:pPr>
              <w:pStyle w:val="Tabletext"/>
              <w:jc w:val="center"/>
              <w:rPr>
                <w:rFonts w:asciiTheme="minorHAnsi" w:hAnsiTheme="minorHAnsi"/>
                <w:szCs w:val="19"/>
              </w:rPr>
            </w:pPr>
          </w:p>
        </w:tc>
        <w:tc>
          <w:tcPr>
            <w:tcW w:w="1134" w:type="dxa"/>
            <w:tcBorders>
              <w:top w:val="single" w:sz="4" w:space="0" w:color="auto"/>
              <w:left w:val="dotted" w:sz="2" w:space="0" w:color="auto"/>
              <w:bottom w:val="single" w:sz="8" w:space="0" w:color="auto"/>
            </w:tcBorders>
            <w:vAlign w:val="center"/>
          </w:tcPr>
          <w:p w14:paraId="75FD6479" w14:textId="77777777" w:rsidR="00A162B4" w:rsidRPr="00757CDB" w:rsidRDefault="00A162B4" w:rsidP="00910BDC">
            <w:pPr>
              <w:pStyle w:val="Tabletext"/>
              <w:jc w:val="center"/>
              <w:rPr>
                <w:rFonts w:asciiTheme="minorHAnsi" w:hAnsiTheme="minorHAnsi"/>
                <w:szCs w:val="19"/>
              </w:rPr>
            </w:pPr>
          </w:p>
        </w:tc>
        <w:tc>
          <w:tcPr>
            <w:tcW w:w="992" w:type="dxa"/>
            <w:tcBorders>
              <w:top w:val="single" w:sz="4" w:space="0" w:color="auto"/>
              <w:left w:val="single" w:sz="4" w:space="0" w:color="auto"/>
              <w:bottom w:val="single" w:sz="8" w:space="0" w:color="auto"/>
              <w:right w:val="dotted" w:sz="2" w:space="0" w:color="auto"/>
            </w:tcBorders>
            <w:vAlign w:val="center"/>
          </w:tcPr>
          <w:p w14:paraId="15045B0A" w14:textId="77777777" w:rsidR="00A162B4" w:rsidRPr="00757CDB" w:rsidRDefault="00A162B4" w:rsidP="00910BDC">
            <w:pPr>
              <w:pStyle w:val="Tabletext"/>
              <w:jc w:val="center"/>
              <w:rPr>
                <w:rFonts w:asciiTheme="minorHAnsi" w:hAnsiTheme="minorHAnsi"/>
                <w:szCs w:val="19"/>
              </w:rPr>
            </w:pPr>
          </w:p>
        </w:tc>
        <w:tc>
          <w:tcPr>
            <w:tcW w:w="1134" w:type="dxa"/>
            <w:tcBorders>
              <w:top w:val="single" w:sz="4" w:space="0" w:color="auto"/>
              <w:left w:val="dotted" w:sz="2" w:space="0" w:color="auto"/>
              <w:bottom w:val="single" w:sz="8" w:space="0" w:color="auto"/>
            </w:tcBorders>
            <w:vAlign w:val="center"/>
          </w:tcPr>
          <w:p w14:paraId="63254375" w14:textId="77777777" w:rsidR="00A162B4" w:rsidRPr="00757CDB" w:rsidRDefault="00A162B4" w:rsidP="00910BDC">
            <w:pPr>
              <w:pStyle w:val="Tabletext"/>
              <w:jc w:val="center"/>
              <w:rPr>
                <w:rFonts w:asciiTheme="minorHAnsi" w:hAnsiTheme="minorHAnsi"/>
                <w:szCs w:val="19"/>
              </w:rPr>
            </w:pPr>
          </w:p>
        </w:tc>
      </w:tr>
    </w:tbl>
    <w:p w14:paraId="69FF09CB" w14:textId="3698DA81" w:rsidR="00A162B4" w:rsidRDefault="00A162B4" w:rsidP="007B0533">
      <w:pPr>
        <w:pStyle w:val="TableDescription"/>
      </w:pPr>
      <w:r>
        <w:t xml:space="preserve">* Patient </w:t>
      </w:r>
      <w:r w:rsidR="00A05BF6">
        <w:t>A</w:t>
      </w:r>
      <w:r>
        <w:t xml:space="preserve">lert </w:t>
      </w:r>
      <w:r w:rsidR="00A05BF6">
        <w:t>C</w:t>
      </w:r>
      <w:r>
        <w:t>ard</w:t>
      </w:r>
    </w:p>
    <w:p w14:paraId="702EBFC2" w14:textId="77777777" w:rsidR="00A162B4" w:rsidRPr="00F07490" w:rsidRDefault="00A162B4" w:rsidP="00ED0BA0">
      <w:r w:rsidRPr="00F07490">
        <w:t>Routine pharmacovigilance measures are proposed</w:t>
      </w:r>
      <w:r>
        <w:t xml:space="preserve">. The sponsor has provided </w:t>
      </w:r>
      <w:r w:rsidRPr="00F07490">
        <w:t>targeted follow-up questionnaire</w:t>
      </w:r>
      <w:r>
        <w:t>s</w:t>
      </w:r>
      <w:r w:rsidRPr="00F07490">
        <w:t xml:space="preserve"> for </w:t>
      </w:r>
      <w:r>
        <w:t>the safety concerns identified during the European evaluation, and included non-melanoma skin cancer within the malignancy follow-up questionnaire.</w:t>
      </w:r>
    </w:p>
    <w:p w14:paraId="7A29E5DB" w14:textId="77777777" w:rsidR="00237EFA" w:rsidRDefault="00A162B4" w:rsidP="00ED0BA0">
      <w:r>
        <w:t>The a</w:t>
      </w:r>
      <w:r w:rsidRPr="00CF5348">
        <w:t xml:space="preserve">dditional pharmacovigilance </w:t>
      </w:r>
      <w:r>
        <w:t xml:space="preserve">activity will recruit 1200 patients with a </w:t>
      </w:r>
      <w:proofErr w:type="gramStart"/>
      <w:r>
        <w:t>five year</w:t>
      </w:r>
      <w:proofErr w:type="gramEnd"/>
      <w:r>
        <w:t xml:space="preserve"> follow-up per patient within the German </w:t>
      </w:r>
      <w:r w:rsidR="00ED0BA0">
        <w:t>r</w:t>
      </w:r>
      <w:r w:rsidR="00ED0BA0" w:rsidRPr="00ED0BA0">
        <w:t xml:space="preserve">heumatoid arthritis: observation of biologic therapy </w:t>
      </w:r>
      <w:r w:rsidR="00ED0BA0">
        <w:t>(</w:t>
      </w:r>
      <w:r>
        <w:t>RABBIT</w:t>
      </w:r>
      <w:r w:rsidR="00ED0BA0">
        <w:t>)</w:t>
      </w:r>
      <w:r>
        <w:t xml:space="preserve"> patient r</w:t>
      </w:r>
      <w:r>
        <w:rPr>
          <w:rFonts w:eastAsia="TimesNewRomanPSMT"/>
        </w:rPr>
        <w:t>egistry</w:t>
      </w:r>
      <w:r>
        <w:t xml:space="preserve"> to </w:t>
      </w:r>
      <w:r w:rsidRPr="00CF5348">
        <w:t>monitor all safety concerns</w:t>
      </w:r>
      <w:r w:rsidR="00237EFA">
        <w:t>.</w:t>
      </w:r>
    </w:p>
    <w:p w14:paraId="4E85208B" w14:textId="5B51D7DE" w:rsidR="00A162B4" w:rsidRDefault="00A162B4" w:rsidP="00ED0BA0">
      <w:r w:rsidRPr="00D438C8">
        <w:t>Routine risk minimisation measures include the PI</w:t>
      </w:r>
      <w:r>
        <w:t xml:space="preserve"> and</w:t>
      </w:r>
      <w:r w:rsidRPr="00D438C8">
        <w:t xml:space="preserve"> CMI</w:t>
      </w:r>
      <w:r>
        <w:t xml:space="preserve">, which are generally consistent with the reference product, and </w:t>
      </w:r>
      <w:r w:rsidRPr="00D438C8">
        <w:t xml:space="preserve">Instructions for </w:t>
      </w:r>
      <w:r>
        <w:t>Use (IFU).</w:t>
      </w:r>
    </w:p>
    <w:p w14:paraId="643E5CA5" w14:textId="796A251F" w:rsidR="00A162B4" w:rsidRDefault="00A162B4" w:rsidP="00ED0BA0">
      <w:r w:rsidRPr="00D438C8">
        <w:t xml:space="preserve">Additional risk minimisation in the form of a patient alert card </w:t>
      </w:r>
      <w:proofErr w:type="gramStart"/>
      <w:r w:rsidRPr="00D438C8">
        <w:t>is proposed</w:t>
      </w:r>
      <w:proofErr w:type="gramEnd"/>
      <w:r w:rsidRPr="00D438C8">
        <w:t xml:space="preserve"> to mitigate the risks of serious infections</w:t>
      </w:r>
      <w:r>
        <w:t xml:space="preserve">, </w:t>
      </w:r>
      <w:r w:rsidR="00A05BF6">
        <w:t>congestive heart failure</w:t>
      </w:r>
      <w:r w:rsidRPr="00D438C8">
        <w:t xml:space="preserve"> in adults</w:t>
      </w:r>
      <w:r>
        <w:t xml:space="preserve">, and </w:t>
      </w:r>
      <w:r w:rsidRPr="00CE129E">
        <w:t>administration to child or adolescent who weighs less than 62.5 kg</w:t>
      </w:r>
      <w:r>
        <w:t>.</w:t>
      </w:r>
    </w:p>
    <w:p w14:paraId="47751236" w14:textId="320243BF" w:rsidR="00A162B4" w:rsidRDefault="00A162B4" w:rsidP="00ED0BA0">
      <w:r>
        <w:t>The PI, CMI, IFU and</w:t>
      </w:r>
      <w:r w:rsidR="00A05BF6">
        <w:t xml:space="preserve"> the</w:t>
      </w:r>
      <w:r>
        <w:t xml:space="preserve"> </w:t>
      </w:r>
      <w:r w:rsidR="00A05BF6">
        <w:t>P</w:t>
      </w:r>
      <w:r>
        <w:t xml:space="preserve">atient </w:t>
      </w:r>
      <w:r w:rsidR="00A05BF6">
        <w:t>A</w:t>
      </w:r>
      <w:r>
        <w:t xml:space="preserve">lert </w:t>
      </w:r>
      <w:r w:rsidR="00A05BF6">
        <w:t>C</w:t>
      </w:r>
      <w:r>
        <w:t>ard will be included in each carton.</w:t>
      </w:r>
    </w:p>
    <w:p w14:paraId="71488D83" w14:textId="77777777" w:rsidR="00A162B4" w:rsidRPr="00D438C8" w:rsidRDefault="00A162B4" w:rsidP="00ED0BA0">
      <w:r w:rsidRPr="00D438C8">
        <w:t xml:space="preserve">The sponsor </w:t>
      </w:r>
      <w:r>
        <w:t xml:space="preserve">will no longer be obligated to supply </w:t>
      </w:r>
      <w:r w:rsidRPr="00D438C8">
        <w:t xml:space="preserve">the following additional risk minimisation tools </w:t>
      </w:r>
      <w:r>
        <w:t>(</w:t>
      </w:r>
      <w:r w:rsidRPr="00D438C8">
        <w:t>which are implemented for the reference product</w:t>
      </w:r>
      <w:r>
        <w:t>)</w:t>
      </w:r>
      <w:r w:rsidRPr="00D438C8">
        <w:t xml:space="preserve"> to reduce medication error</w:t>
      </w:r>
      <w:r>
        <w:t>s, as the submission for auto-injection presentation has been withdrawn</w:t>
      </w:r>
      <w:r w:rsidRPr="00D438C8">
        <w:t xml:space="preserve">: </w:t>
      </w:r>
      <w:r>
        <w:t>t</w:t>
      </w:r>
      <w:r w:rsidRPr="00D438C8">
        <w:t xml:space="preserve">eaching guide to facilitate training of the patients in the safe </w:t>
      </w:r>
      <w:r>
        <w:t>self-injection; a</w:t>
      </w:r>
      <w:r w:rsidRPr="00D438C8">
        <w:t xml:space="preserve"> needle-free demonstration device</w:t>
      </w:r>
      <w:r>
        <w:t>; and i</w:t>
      </w:r>
      <w:r w:rsidRPr="00D438C8">
        <w:t>nstructional materials to share with patients.</w:t>
      </w:r>
    </w:p>
    <w:p w14:paraId="77BF5942" w14:textId="77777777" w:rsidR="008E7846" w:rsidRPr="00B23300" w:rsidRDefault="00AA0ED0" w:rsidP="008E7846">
      <w:pPr>
        <w:pStyle w:val="Heading3"/>
      </w:pPr>
      <w:bookmarkStart w:id="65" w:name="_Toc247691531"/>
      <w:bookmarkStart w:id="66" w:name="_Toc314842515"/>
      <w:bookmarkStart w:id="67" w:name="_Toc196046505"/>
      <w:bookmarkStart w:id="68" w:name="_Toc196046949"/>
      <w:bookmarkStart w:id="69" w:name="_Toc66284494"/>
      <w:r w:rsidRPr="00B23300">
        <w:t>Risk-benefit a</w:t>
      </w:r>
      <w:r w:rsidR="008E7846" w:rsidRPr="00B23300">
        <w:t>nalysis</w:t>
      </w:r>
      <w:bookmarkEnd w:id="65"/>
      <w:bookmarkEnd w:id="66"/>
      <w:bookmarkEnd w:id="69"/>
    </w:p>
    <w:p w14:paraId="02D02BB2" w14:textId="77777777" w:rsidR="00D23139" w:rsidRPr="00B23300" w:rsidRDefault="007D53B6" w:rsidP="00D23139">
      <w:pPr>
        <w:pStyle w:val="Heading4"/>
      </w:pPr>
      <w:r w:rsidRPr="00B23300">
        <w:t>Delegate’s considerations</w:t>
      </w:r>
    </w:p>
    <w:p w14:paraId="65457C8E" w14:textId="038477D7" w:rsidR="004B4ADE" w:rsidRPr="00B23300" w:rsidRDefault="004B4ADE" w:rsidP="00127D9A">
      <w:r w:rsidRPr="00B23300">
        <w:t xml:space="preserve">This is the third biosimilar for </w:t>
      </w:r>
      <w:proofErr w:type="spellStart"/>
      <w:r w:rsidRPr="00B23300">
        <w:t>etanercept</w:t>
      </w:r>
      <w:proofErr w:type="spellEnd"/>
      <w:r w:rsidRPr="00B23300">
        <w:t xml:space="preserve">. In </w:t>
      </w:r>
      <w:proofErr w:type="gramStart"/>
      <w:r w:rsidRPr="00B23300">
        <w:t>general</w:t>
      </w:r>
      <w:proofErr w:type="gramEnd"/>
      <w:r w:rsidRPr="00B23300">
        <w:t xml:space="preserve"> terms</w:t>
      </w:r>
      <w:r w:rsidR="00A05BF6">
        <w:t>,</w:t>
      </w:r>
      <w:r w:rsidRPr="00B23300">
        <w:t xml:space="preserve"> the EU guidelines have been followed in the development program for this biosimilar however there are some challenges for this submission. The current proposal is to</w:t>
      </w:r>
      <w:r w:rsidR="00403436" w:rsidRPr="00B23300">
        <w:t xml:space="preserve"> register a 25 mg and 50 mg </w:t>
      </w:r>
      <w:r w:rsidR="001959EE" w:rsidRPr="00B23300">
        <w:t>PFS</w:t>
      </w:r>
      <w:r w:rsidRPr="00B23300">
        <w:t xml:space="preserve"> and the sponsor is claiming all indications that </w:t>
      </w:r>
      <w:proofErr w:type="gramStart"/>
      <w:r w:rsidRPr="00B23300">
        <w:t>have been approved</w:t>
      </w:r>
      <w:proofErr w:type="gramEnd"/>
      <w:r w:rsidRPr="00B23300">
        <w:t xml:space="preserve"> for the Australian reference product Enbrel.</w:t>
      </w:r>
    </w:p>
    <w:p w14:paraId="35C84ACC" w14:textId="18E4A5CB" w:rsidR="004B4ADE" w:rsidRPr="00B23300" w:rsidRDefault="004B4ADE" w:rsidP="00127D9A">
      <w:r w:rsidRPr="00B23300">
        <w:t xml:space="preserve">Physicochemical similarity of </w:t>
      </w:r>
      <w:proofErr w:type="spellStart"/>
      <w:r w:rsidRPr="00B23300">
        <w:t>Rymti</w:t>
      </w:r>
      <w:proofErr w:type="spellEnd"/>
      <w:r w:rsidR="00320363">
        <w:t>/</w:t>
      </w:r>
      <w:proofErr w:type="spellStart"/>
      <w:r w:rsidR="00320363">
        <w:t>Et</w:t>
      </w:r>
      <w:r w:rsidR="00E90060">
        <w:t>e</w:t>
      </w:r>
      <w:r w:rsidR="00320363">
        <w:t>ra</w:t>
      </w:r>
      <w:proofErr w:type="spellEnd"/>
      <w:r w:rsidRPr="00B23300">
        <w:t xml:space="preserve"> with Australian Enbrel is a standard requirement, however to link all the clinical data presented for </w:t>
      </w:r>
      <w:proofErr w:type="spellStart"/>
      <w:r w:rsidRPr="00B23300">
        <w:t>Rymti</w:t>
      </w:r>
      <w:proofErr w:type="spellEnd"/>
      <w:r w:rsidRPr="00B23300">
        <w:t xml:space="preserve"> with Australian Enbrel multiple comparisons of similarity of Japanese, Indian and European versions of Enbrel with Australian Enbrel was necessary. With each comparison there is a degree of uncertainty, however the quality evaluator was satisfied the requirements </w:t>
      </w:r>
      <w:proofErr w:type="gramStart"/>
      <w:r w:rsidRPr="00B23300">
        <w:t>were met</w:t>
      </w:r>
      <w:proofErr w:type="gramEnd"/>
      <w:r w:rsidRPr="00B23300">
        <w:t xml:space="preserve">. The </w:t>
      </w:r>
      <w:r w:rsidR="00ED228C" w:rsidRPr="00B23300">
        <w:t xml:space="preserve">quality </w:t>
      </w:r>
      <w:r w:rsidRPr="00B23300">
        <w:t xml:space="preserve">evaluator however noted differences in the physicochemical characteristics of </w:t>
      </w:r>
      <w:proofErr w:type="spellStart"/>
      <w:r w:rsidRPr="00B23300">
        <w:t>Rymti</w:t>
      </w:r>
      <w:proofErr w:type="spellEnd"/>
      <w:r w:rsidRPr="00B23300">
        <w:t xml:space="preserve"> that were unlikely to have negative clinical consequence. These differences obviate the need for clinical data to support the submission.</w:t>
      </w:r>
    </w:p>
    <w:p w14:paraId="5FEA4D92" w14:textId="3E3651A7" w:rsidR="004B4ADE" w:rsidRPr="00B23300" w:rsidRDefault="004B4ADE" w:rsidP="00127D9A">
      <w:r w:rsidRPr="00B23300">
        <w:t xml:space="preserve">The comparisons of the </w:t>
      </w:r>
      <w:r w:rsidR="004D7527" w:rsidRPr="00B23300">
        <w:t>PKs</w:t>
      </w:r>
      <w:r w:rsidRPr="00B23300">
        <w:t xml:space="preserve"> of Enbrel and </w:t>
      </w:r>
      <w:proofErr w:type="spellStart"/>
      <w:r w:rsidRPr="00B23300">
        <w:t>Rymti</w:t>
      </w:r>
      <w:proofErr w:type="spellEnd"/>
      <w:r w:rsidRPr="00B23300">
        <w:t xml:space="preserve"> </w:t>
      </w:r>
      <w:proofErr w:type="gramStart"/>
      <w:r w:rsidRPr="00B23300">
        <w:t>were conducted</w:t>
      </w:r>
      <w:proofErr w:type="gramEnd"/>
      <w:r w:rsidRPr="00B23300">
        <w:t xml:space="preserve"> in Japan with the 25 mg strength and India with the 50 mg strength. While in each comparison Enbrel and </w:t>
      </w:r>
      <w:proofErr w:type="spellStart"/>
      <w:r w:rsidRPr="00B23300">
        <w:t>Rymti</w:t>
      </w:r>
      <w:proofErr w:type="spellEnd"/>
      <w:r w:rsidRPr="00B23300">
        <w:t xml:space="preserve"> had similar kinetics and </w:t>
      </w:r>
      <w:proofErr w:type="gramStart"/>
      <w:r w:rsidRPr="00B23300">
        <w:t>could be considered</w:t>
      </w:r>
      <w:proofErr w:type="gramEnd"/>
      <w:r w:rsidRPr="00B23300">
        <w:t xml:space="preserve"> bioequivalent, the subject populations differed with a lower clearance in the Japanese population resulting in a higher exposure and longer </w:t>
      </w:r>
      <w:r w:rsidR="00A05BF6">
        <w:t>T</w:t>
      </w:r>
      <w:r w:rsidR="00A05BF6">
        <w:rPr>
          <w:vertAlign w:val="subscript"/>
        </w:rPr>
        <w:t>1/2</w:t>
      </w:r>
      <w:r w:rsidRPr="00B23300">
        <w:t xml:space="preserve"> than seen in the Indian population. A population </w:t>
      </w:r>
      <w:r w:rsidR="004D7527" w:rsidRPr="00B23300">
        <w:t>PK</w:t>
      </w:r>
      <w:r w:rsidRPr="00B23300">
        <w:t xml:space="preserve"> approach </w:t>
      </w:r>
      <w:proofErr w:type="gramStart"/>
      <w:r w:rsidRPr="00B23300">
        <w:t>was used</w:t>
      </w:r>
      <w:proofErr w:type="gramEnd"/>
      <w:r w:rsidRPr="00B23300">
        <w:t xml:space="preserve"> to explore this further. Simulations of the untested doses showed similar results for each population. Comparisons of historical outcomes for Enbrel showed the results for the Japanese population more closely aligned with European patients and Indian populations aligned more closely with US patients. Given the diversity of ethnicities within </w:t>
      </w:r>
      <w:proofErr w:type="gramStart"/>
      <w:r w:rsidRPr="00B23300">
        <w:t>Australia</w:t>
      </w:r>
      <w:proofErr w:type="gramEnd"/>
      <w:r w:rsidRPr="00B23300">
        <w:t xml:space="preserve"> this provides some reassurance that the </w:t>
      </w:r>
      <w:r w:rsidR="004D7527" w:rsidRPr="00B23300">
        <w:t>PK</w:t>
      </w:r>
      <w:r w:rsidR="00A00578" w:rsidRPr="00B23300">
        <w:t xml:space="preserve">s of </w:t>
      </w:r>
      <w:proofErr w:type="spellStart"/>
      <w:r w:rsidR="00A00578" w:rsidRPr="00B23300">
        <w:t>Rymti</w:t>
      </w:r>
      <w:proofErr w:type="spellEnd"/>
      <w:r w:rsidR="00A00578" w:rsidRPr="00B23300">
        <w:t xml:space="preserve"> should be </w:t>
      </w:r>
      <w:proofErr w:type="spellStart"/>
      <w:r w:rsidR="00A00578" w:rsidRPr="00B23300">
        <w:t>generalis</w:t>
      </w:r>
      <w:r w:rsidRPr="00B23300">
        <w:t>able</w:t>
      </w:r>
      <w:proofErr w:type="spellEnd"/>
      <w:r w:rsidRPr="00B23300">
        <w:t xml:space="preserve"> to Australian patients receiving Enbrel.</w:t>
      </w:r>
    </w:p>
    <w:p w14:paraId="3AAED599" w14:textId="7447C5D3" w:rsidR="004B4ADE" w:rsidRPr="00B23300" w:rsidRDefault="004B4ADE" w:rsidP="00127D9A">
      <w:r w:rsidRPr="00B23300">
        <w:t xml:space="preserve">The clinical trial </w:t>
      </w:r>
      <w:proofErr w:type="gramStart"/>
      <w:r w:rsidRPr="00B23300">
        <w:t>was adequately powered</w:t>
      </w:r>
      <w:proofErr w:type="gramEnd"/>
      <w:r w:rsidRPr="00B23300">
        <w:t xml:space="preserve">, and had an acceptable primary endpoint for comparison. Adequate justification </w:t>
      </w:r>
      <w:proofErr w:type="gramStart"/>
      <w:r w:rsidRPr="00B23300">
        <w:t>was provided</w:t>
      </w:r>
      <w:proofErr w:type="gramEnd"/>
      <w:r w:rsidRPr="00B23300">
        <w:t xml:space="preserve"> for the equivalence margin although it is noted that ± 15% would be considered just within the acceptable limits from a clinical perspective. The confidence limits of the point estimate ratio for ACR20 for </w:t>
      </w:r>
      <w:proofErr w:type="spellStart"/>
      <w:r w:rsidRPr="00B23300">
        <w:t>Rymti</w:t>
      </w:r>
      <w:proofErr w:type="spellEnd"/>
      <w:r w:rsidRPr="00B23300">
        <w:t xml:space="preserve"> </w:t>
      </w:r>
      <w:r w:rsidR="00EC51EB" w:rsidRPr="00B23300">
        <w:t>versus</w:t>
      </w:r>
      <w:r w:rsidRPr="00B23300">
        <w:t xml:space="preserve"> Enbrel was within those margins. The population demographics raise some challenges for generalisability to the Australian context given approximately half the patients were </w:t>
      </w:r>
      <w:proofErr w:type="gramStart"/>
      <w:r w:rsidRPr="00B23300">
        <w:t>Japanese,</w:t>
      </w:r>
      <w:proofErr w:type="gramEnd"/>
      <w:r w:rsidRPr="00B23300">
        <w:t xml:space="preserve"> however the aim of an equivalence trial in a biosimilar submission is to demonstrate therapeutic equivalence of the test and reference products.</w:t>
      </w:r>
    </w:p>
    <w:p w14:paraId="60451636" w14:textId="18CE8802" w:rsidR="004B4ADE" w:rsidRPr="00B23300" w:rsidRDefault="004B4ADE" w:rsidP="00127D9A">
      <w:r w:rsidRPr="00B23300">
        <w:t xml:space="preserve">The dosing of MTX received comment from the clinical evaluator. Lower median doses of MTX </w:t>
      </w:r>
      <w:proofErr w:type="gramStart"/>
      <w:r w:rsidRPr="00B23300">
        <w:t>were given</w:t>
      </w:r>
      <w:proofErr w:type="gramEnd"/>
      <w:r w:rsidRPr="00B23300">
        <w:t xml:space="preserve"> than are usually administered in the Australian clinical context. This is expected because the recommended starting dose in Japan is 6 </w:t>
      </w:r>
      <w:r w:rsidR="00E94CC2" w:rsidRPr="00B23300">
        <w:t>to</w:t>
      </w:r>
      <w:r w:rsidRPr="00B23300">
        <w:t xml:space="preserve"> 8 m</w:t>
      </w:r>
      <w:r w:rsidR="004C377A" w:rsidRPr="00B23300">
        <w:t xml:space="preserve">g/week with an escalation to 10 to </w:t>
      </w:r>
      <w:r w:rsidRPr="00B23300">
        <w:t>12 mg/week and a maximum of 16 mg/</w:t>
      </w:r>
      <w:proofErr w:type="gramStart"/>
      <w:r w:rsidRPr="00B23300">
        <w:t>week which the Japanese guidelines note</w:t>
      </w:r>
      <w:proofErr w:type="gramEnd"/>
      <w:r w:rsidRPr="00B23300">
        <w:t xml:space="preserve"> is tolerated by only about 30% of patients. Again, the aim of the study is to detect differences in efficacy that may be due to differences in the physicochemical characteristics of the </w:t>
      </w:r>
      <w:proofErr w:type="spellStart"/>
      <w:r w:rsidRPr="00B23300">
        <w:t>etanercept</w:t>
      </w:r>
      <w:proofErr w:type="spellEnd"/>
      <w:r w:rsidRPr="00B23300">
        <w:t xml:space="preserve"> versions rather than to assess the efficacy of </w:t>
      </w:r>
      <w:proofErr w:type="spellStart"/>
      <w:r w:rsidRPr="00B23300">
        <w:t>etanercept</w:t>
      </w:r>
      <w:proofErr w:type="spellEnd"/>
      <w:r w:rsidRPr="00B23300">
        <w:t xml:space="preserve"> as it </w:t>
      </w:r>
      <w:proofErr w:type="gramStart"/>
      <w:r w:rsidRPr="00B23300">
        <w:t>may be used</w:t>
      </w:r>
      <w:proofErr w:type="gramEnd"/>
      <w:r w:rsidRPr="00B23300">
        <w:t xml:space="preserve"> in the Australian context, noting </w:t>
      </w:r>
      <w:proofErr w:type="spellStart"/>
      <w:r w:rsidRPr="00B23300">
        <w:t>etanercept</w:t>
      </w:r>
      <w:proofErr w:type="spellEnd"/>
      <w:r w:rsidRPr="00B23300">
        <w:t xml:space="preserve"> is currently approved in Australia.</w:t>
      </w:r>
    </w:p>
    <w:p w14:paraId="55720855" w14:textId="77777777" w:rsidR="004B4ADE" w:rsidRPr="00B23300" w:rsidRDefault="004B4ADE" w:rsidP="00127D9A">
      <w:r w:rsidRPr="00B23300">
        <w:t xml:space="preserve">Other background therapies included NSAIDs and corticosteroids that could be down titrated according to patient response to the </w:t>
      </w:r>
      <w:proofErr w:type="spellStart"/>
      <w:r w:rsidRPr="00B23300">
        <w:t>etanercept</w:t>
      </w:r>
      <w:proofErr w:type="spellEnd"/>
      <w:r w:rsidRPr="00B23300">
        <w:t xml:space="preserve">. While this is reasonable for the safety of the patients in the study and consistent with clinical practice, variations in background therapy add some uncertainty to the comparisons of the </w:t>
      </w:r>
      <w:proofErr w:type="gramStart"/>
      <w:r w:rsidRPr="00B23300">
        <w:t xml:space="preserve">two </w:t>
      </w:r>
      <w:proofErr w:type="spellStart"/>
      <w:r w:rsidRPr="00B23300">
        <w:t>etanercept</w:t>
      </w:r>
      <w:proofErr w:type="spellEnd"/>
      <w:proofErr w:type="gramEnd"/>
      <w:r w:rsidRPr="00B23300">
        <w:t xml:space="preserve"> products.</w:t>
      </w:r>
    </w:p>
    <w:p w14:paraId="12B6823E" w14:textId="23D92529" w:rsidR="004B4ADE" w:rsidRPr="00B23300" w:rsidRDefault="004B4ADE" w:rsidP="00127D9A">
      <w:r w:rsidRPr="00B23300">
        <w:t>Of concern is the relatively high protocol deviation rate, which coupled with the early discontinuations reduces the power of the study to detect differences between the treatments. It is, however, noted the results from the per protocol analysis were in concord</w:t>
      </w:r>
      <w:r w:rsidR="00306859" w:rsidRPr="00B23300">
        <w:t>ance with the primary analysis.</w:t>
      </w:r>
    </w:p>
    <w:p w14:paraId="7EAF446F" w14:textId="4E98A09E" w:rsidR="004B4ADE" w:rsidRPr="00B23300" w:rsidRDefault="004B4ADE" w:rsidP="00127D9A">
      <w:r w:rsidRPr="00B23300">
        <w:t xml:space="preserve">The primary endpoint of the study of ACR20 at </w:t>
      </w:r>
      <w:r w:rsidR="00EA2DDA" w:rsidRPr="00B23300">
        <w:t>Week</w:t>
      </w:r>
      <w:r w:rsidRPr="00B23300">
        <w:t xml:space="preserve"> 24 was met with the treatment difference of -5.6% and a 95% CI of -11.6%, 0.5%, within the pre-defined equivalence range of -15% to 15%. By geographic </w:t>
      </w:r>
      <w:proofErr w:type="gramStart"/>
      <w:r w:rsidRPr="00B23300">
        <w:t>region</w:t>
      </w:r>
      <w:proofErr w:type="gramEnd"/>
      <w:r w:rsidRPr="00B23300">
        <w:t xml:space="preserve"> the proportions of responders differed although the difference between the groups favoured Enbrel in Japan and Europe in similar proportions to the overall result of the study, noting the study was not powered for comparison between regions. The small number of Indian patients (16 in each treatment group) limit the interpretation of the data for this region. The results for ACR20, 50 and 70 were general</w:t>
      </w:r>
      <w:r w:rsidR="001B3586" w:rsidRPr="00B23300">
        <w:t xml:space="preserve">ly similar between the groups. </w:t>
      </w:r>
      <w:r w:rsidRPr="00B23300">
        <w:t xml:space="preserve">For the DAS28 score of disease activity the main analysis at 24 </w:t>
      </w:r>
      <w:proofErr w:type="gramStart"/>
      <w:r w:rsidRPr="00B23300">
        <w:t>were derived</w:t>
      </w:r>
      <w:proofErr w:type="gramEnd"/>
      <w:r w:rsidRPr="00B23300">
        <w:t xml:space="preserve"> from pooled data from DAS28 calculated using either ESR or CRP depending on the investigator’s nominated measure of acute phase reactant. The scales differ (lower scores can be seen in DAS28 CRP compared with DAS28 ESR for the same disease activity) so pooling limits the interpretation of the magnitude of the differences between the two treatments however a sensitivity analysis for the DAS28 calculated using each method were in general agreement. Other measures of disease activity were consistent with the primary endpoint. Efficacy data for the Stage B of the pivotal study were not provided in the submission, and although a summary of the data show the efficacy is generally sustained over a </w:t>
      </w:r>
      <w:proofErr w:type="gramStart"/>
      <w:r w:rsidRPr="00B23300">
        <w:t>52</w:t>
      </w:r>
      <w:r w:rsidR="004C377A" w:rsidRPr="00B23300">
        <w:t xml:space="preserve"> </w:t>
      </w:r>
      <w:r w:rsidRPr="00B23300">
        <w:t>week</w:t>
      </w:r>
      <w:proofErr w:type="gramEnd"/>
      <w:r w:rsidRPr="00B23300">
        <w:t xml:space="preserve"> period these data were not fully evaluated. The switching part of the study Stage C is very small and the results are inconclusive.</w:t>
      </w:r>
    </w:p>
    <w:p w14:paraId="24E15435" w14:textId="4B1E34CA" w:rsidR="004B4ADE" w:rsidRPr="00B23300" w:rsidRDefault="004B4ADE" w:rsidP="00127D9A">
      <w:r w:rsidRPr="00B23300">
        <w:t xml:space="preserve">The safety profile of </w:t>
      </w:r>
      <w:proofErr w:type="spellStart"/>
      <w:r w:rsidRPr="00B23300">
        <w:t>etanercept</w:t>
      </w:r>
      <w:proofErr w:type="spellEnd"/>
      <w:r w:rsidRPr="00B23300">
        <w:t xml:space="preserve"> is well established. The Stages A and B provide safety data up to </w:t>
      </w:r>
      <w:r w:rsidR="00EA2DDA" w:rsidRPr="00B23300">
        <w:t>Week</w:t>
      </w:r>
      <w:r w:rsidRPr="00B23300">
        <w:t xml:space="preserve"> 52. The data mainly show differences in injection site reactions of various types with higher rates with Enbrel, although the rates seen for Enbrel in the pivotal study are similar to or lower than those reported in the </w:t>
      </w:r>
      <w:r w:rsidR="00D31271" w:rsidRPr="00B23300">
        <w:t>PI</w:t>
      </w:r>
      <w:r w:rsidRPr="00B23300">
        <w:t xml:space="preserve"> for Enbrel. The immunogenicity data interpretation is challenges by the use of two assays at different points in the clinical development program. A highly sensitive drug</w:t>
      </w:r>
      <w:r w:rsidR="004C377A" w:rsidRPr="00B23300">
        <w:t xml:space="preserve"> </w:t>
      </w:r>
      <w:r w:rsidRPr="00B23300">
        <w:t>insensitive assay used for the immunogenicity analysis in the pivotal study showed a significantly lower rate of ADA formation, particularly in the first 24 weeks of thera</w:t>
      </w:r>
      <w:r w:rsidR="009B7D6D" w:rsidRPr="00B23300">
        <w:t xml:space="preserve">py, and few patients developed </w:t>
      </w:r>
      <w:proofErr w:type="spellStart"/>
      <w:proofErr w:type="gramStart"/>
      <w:r w:rsidR="009B7D6D" w:rsidRPr="00B23300">
        <w:t>nAB</w:t>
      </w:r>
      <w:proofErr w:type="spellEnd"/>
      <w:proofErr w:type="gramEnd"/>
      <w:r w:rsidRPr="00B23300">
        <w:t xml:space="preserve">. The formation of ADA does not appear to have an impact on efficacy, but it is unclear whether there is any contribution to the differences in ISR. Another difference between Enbrel and </w:t>
      </w:r>
      <w:proofErr w:type="spellStart"/>
      <w:r w:rsidRPr="00B23300">
        <w:t>Rymti</w:t>
      </w:r>
      <w:proofErr w:type="spellEnd"/>
      <w:r w:rsidRPr="00B23300">
        <w:t xml:space="preserve"> is the latex cover on the needle of Enbrel, which may also have contributed to injection site reactions.</w:t>
      </w:r>
    </w:p>
    <w:p w14:paraId="73682EB9" w14:textId="58B58BA4" w:rsidR="004B4ADE" w:rsidRPr="00B23300" w:rsidRDefault="004B4ADE" w:rsidP="00127D9A">
      <w:r w:rsidRPr="00B23300">
        <w:t xml:space="preserve">As noted above, the sponsor proposes to extrapolate the findings of the study to all indications based on a common mechanism of action of </w:t>
      </w:r>
      <w:proofErr w:type="spellStart"/>
      <w:r w:rsidRPr="00B23300">
        <w:t>etanercept</w:t>
      </w:r>
      <w:proofErr w:type="spellEnd"/>
      <w:r w:rsidRPr="00B23300">
        <w:t xml:space="preserve"> in all indications: a binding of soluble TNF to cell surface receptors and through binding transmembrane TNF, inhibiting subsequent signal transduction and adhesion molecule expression. The sponsor provided a rationale and justification around the use of the </w:t>
      </w:r>
      <w:r w:rsidR="002B2E3A" w:rsidRPr="00B23300">
        <w:t>RA</w:t>
      </w:r>
      <w:r w:rsidRPr="00B23300">
        <w:t xml:space="preserve"> model as suitably sensitive model for the indications requested that </w:t>
      </w:r>
      <w:proofErr w:type="gramStart"/>
      <w:r w:rsidRPr="00B23300">
        <w:t>was considered</w:t>
      </w:r>
      <w:proofErr w:type="gramEnd"/>
      <w:r w:rsidRPr="00B23300">
        <w:t xml:space="preserve"> acceptable by the clinical evaluator. </w:t>
      </w:r>
      <w:r w:rsidR="002B2E3A" w:rsidRPr="00B23300">
        <w:t>RA</w:t>
      </w:r>
      <w:r w:rsidRPr="00B23300">
        <w:t xml:space="preserve"> </w:t>
      </w:r>
      <w:proofErr w:type="gramStart"/>
      <w:r w:rsidRPr="00B23300">
        <w:t>has been previously accepted</w:t>
      </w:r>
      <w:proofErr w:type="gramEnd"/>
      <w:r w:rsidRPr="00B23300">
        <w:t xml:space="preserve"> as a suitable model for assessing the therapeutic equivalence of biosimilar TNF inhibitors and the rationale based on mechanism is reasonable and acceptable.</w:t>
      </w:r>
    </w:p>
    <w:p w14:paraId="7ED55542" w14:textId="60B58FA0" w:rsidR="004B4ADE" w:rsidRPr="00B23300" w:rsidRDefault="004B4ADE" w:rsidP="00127D9A">
      <w:r w:rsidRPr="00B23300">
        <w:t xml:space="preserve">The indications proposed include radiographic claims. The inclusion of the radiographic claims has been justified </w:t>
      </w:r>
      <w:proofErr w:type="gramStart"/>
      <w:r w:rsidRPr="00B23300">
        <w:t>on the basis of</w:t>
      </w:r>
      <w:proofErr w:type="gramEnd"/>
      <w:r w:rsidRPr="00B23300">
        <w:t xml:space="preserve"> the consistency of the reduction in other markers of clinical disease activity that would equate with a reduction in risk of bony erosion and joint destruction and has been accepted by the </w:t>
      </w:r>
      <w:r w:rsidR="00ED228C" w:rsidRPr="00B23300">
        <w:t xml:space="preserve">clinical </w:t>
      </w:r>
      <w:r w:rsidRPr="00B23300">
        <w:t>evaluator.</w:t>
      </w:r>
    </w:p>
    <w:p w14:paraId="5934AE1A" w14:textId="77777777" w:rsidR="004B4ADE" w:rsidRPr="00B23300" w:rsidRDefault="004B4ADE" w:rsidP="00127D9A">
      <w:r w:rsidRPr="00B23300">
        <w:t xml:space="preserve">The indications proposed include monotherapy based on the mechanism of action and that monotherapy </w:t>
      </w:r>
      <w:proofErr w:type="gramStart"/>
      <w:r w:rsidRPr="00B23300">
        <w:t>has been demonstrated</w:t>
      </w:r>
      <w:proofErr w:type="gramEnd"/>
      <w:r w:rsidRPr="00B23300">
        <w:t xml:space="preserve"> for </w:t>
      </w:r>
      <w:proofErr w:type="spellStart"/>
      <w:r w:rsidRPr="00B23300">
        <w:t>etanercept</w:t>
      </w:r>
      <w:proofErr w:type="spellEnd"/>
      <w:r w:rsidRPr="00B23300">
        <w:t xml:space="preserve">. There is no indication in the submission that </w:t>
      </w:r>
      <w:proofErr w:type="spellStart"/>
      <w:r w:rsidRPr="00B23300">
        <w:t>Rymti</w:t>
      </w:r>
      <w:proofErr w:type="spellEnd"/>
      <w:r w:rsidRPr="00B23300">
        <w:t xml:space="preserve"> would behave differently in the monotherapy setting, therefore this proposal </w:t>
      </w:r>
      <w:proofErr w:type="gramStart"/>
      <w:r w:rsidRPr="00B23300">
        <w:t>is considered</w:t>
      </w:r>
      <w:proofErr w:type="gramEnd"/>
      <w:r w:rsidRPr="00B23300">
        <w:t xml:space="preserve"> reasonable.</w:t>
      </w:r>
    </w:p>
    <w:p w14:paraId="5507EF4A" w14:textId="05CD3117" w:rsidR="004B4ADE" w:rsidRPr="00B23300" w:rsidRDefault="004B4ADE" w:rsidP="00127D9A">
      <w:r w:rsidRPr="00B23300">
        <w:t xml:space="preserve">The indications proposed include the paediatric indications for </w:t>
      </w:r>
      <w:proofErr w:type="spellStart"/>
      <w:r w:rsidRPr="00B23300">
        <w:t>etanercept</w:t>
      </w:r>
      <w:proofErr w:type="spellEnd"/>
      <w:r w:rsidRPr="00B23300">
        <w:t xml:space="preserve"> however the full dosing for these indications is not possible because the sponsor only proposes</w:t>
      </w:r>
      <w:r w:rsidR="00403436" w:rsidRPr="00B23300">
        <w:t xml:space="preserve"> to register the fixed dose </w:t>
      </w:r>
      <w:r w:rsidR="001959EE" w:rsidRPr="00B23300">
        <w:t>PFS</w:t>
      </w:r>
      <w:r w:rsidRPr="00B23300">
        <w:t xml:space="preserve"> for each strength. These syringes are not graduated and </w:t>
      </w:r>
      <w:proofErr w:type="gramStart"/>
      <w:r w:rsidRPr="00B23300">
        <w:t>are intended</w:t>
      </w:r>
      <w:proofErr w:type="gramEnd"/>
      <w:r w:rsidRPr="00B23300">
        <w:t xml:space="preserve"> for delivery of the full dose. The paediatric indications </w:t>
      </w:r>
      <w:proofErr w:type="gramStart"/>
      <w:r w:rsidRPr="00B23300">
        <w:t>are dosed</w:t>
      </w:r>
      <w:proofErr w:type="gramEnd"/>
      <w:r w:rsidRPr="00B23300">
        <w:t xml:space="preserve"> according to weight, so for the majority of children the proposed 25</w:t>
      </w:r>
      <w:r w:rsidR="002268E0" w:rsidRPr="00B23300">
        <w:t xml:space="preserve"> </w:t>
      </w:r>
      <w:r w:rsidRPr="00B23300">
        <w:t xml:space="preserve">mg and 50 mg strengths are unsuitable. In the indications section of the proposed </w:t>
      </w:r>
      <w:proofErr w:type="spellStart"/>
      <w:r w:rsidRPr="00B23300">
        <w:t>Rymti</w:t>
      </w:r>
      <w:proofErr w:type="spellEnd"/>
      <w:r w:rsidRPr="00B23300">
        <w:t xml:space="preserve"> PI the sponsor proposes to limit the use of </w:t>
      </w:r>
      <w:proofErr w:type="spellStart"/>
      <w:r w:rsidRPr="00B23300">
        <w:t>Rymti</w:t>
      </w:r>
      <w:proofErr w:type="spellEnd"/>
      <w:r w:rsidRPr="00B23300">
        <w:t xml:space="preserve"> for the paediatric indications to children and adolescents who weight &gt; 62.5 kg. This would seem reasonable given the constraints of the chosen strengths. The currently proposed dosing instructions have some inconsistency with this limitation of the paediatric indications by weight however </w:t>
      </w:r>
      <w:proofErr w:type="gramStart"/>
      <w:r w:rsidRPr="00B23300">
        <w:t>these could be easily amended by the sponsor</w:t>
      </w:r>
      <w:proofErr w:type="gramEnd"/>
      <w:r w:rsidRPr="00B23300">
        <w:t>.</w:t>
      </w:r>
    </w:p>
    <w:p w14:paraId="072902BD" w14:textId="050F96AF" w:rsidR="00456765" w:rsidRPr="00B23300" w:rsidRDefault="004B4ADE" w:rsidP="00127D9A">
      <w:r w:rsidRPr="00B23300">
        <w:t xml:space="preserve">The artwork of the cartons proposed is unacceptable from a clinical perspective. Although generally compliant with the labelling order the colour scheme and two of the three dimensions of the cartons are identical by strength. These products will be stored in a pharmacy refrigerator rather than on a shelf. There is the potential for confusion and medication error because of their similarity. In addition, there are no stability data to support any temperature excursions if an error were to </w:t>
      </w:r>
      <w:proofErr w:type="gramStart"/>
      <w:r w:rsidRPr="00B23300">
        <w:t>be detected</w:t>
      </w:r>
      <w:proofErr w:type="gramEnd"/>
      <w:r w:rsidRPr="00B23300">
        <w:t>. The 25</w:t>
      </w:r>
      <w:r w:rsidR="00CF61EA" w:rsidRPr="00B23300">
        <w:t>°C</w:t>
      </w:r>
      <w:r w:rsidR="00CF61EA" w:rsidRPr="00B23300">
        <w:rPr>
          <w:rFonts w:ascii="Times New Roman" w:hAnsi="Times New Roman"/>
        </w:rPr>
        <w:t xml:space="preserve"> </w:t>
      </w:r>
      <w:r w:rsidRPr="00B23300">
        <w:t xml:space="preserve">stability data are for a </w:t>
      </w:r>
      <w:proofErr w:type="gramStart"/>
      <w:r w:rsidRPr="00B23300">
        <w:t>one</w:t>
      </w:r>
      <w:r w:rsidR="00150E1B" w:rsidRPr="00B23300">
        <w:t xml:space="preserve"> </w:t>
      </w:r>
      <w:r w:rsidRPr="00B23300">
        <w:t>time</w:t>
      </w:r>
      <w:proofErr w:type="gramEnd"/>
      <w:r w:rsidRPr="00B23300">
        <w:t xml:space="preserve"> removal from refrigeration only. The sponsor should address this issue in the pre-</w:t>
      </w:r>
      <w:r w:rsidR="00172AD7" w:rsidRPr="005E6B60">
        <w:t xml:space="preserve">Advisory Committee on Medicines </w:t>
      </w:r>
      <w:r w:rsidR="0058636B" w:rsidRPr="005E6B60">
        <w:t>(</w:t>
      </w:r>
      <w:r w:rsidRPr="005E6B60">
        <w:t>ACM</w:t>
      </w:r>
      <w:r w:rsidR="0058636B" w:rsidRPr="005E6B60">
        <w:t>)</w:t>
      </w:r>
      <w:r w:rsidRPr="00B23300">
        <w:t xml:space="preserve"> response.</w:t>
      </w:r>
    </w:p>
    <w:p w14:paraId="4B5AD38B" w14:textId="77777777" w:rsidR="00D23139" w:rsidRPr="00B23300" w:rsidRDefault="00D23139" w:rsidP="00D23139">
      <w:pPr>
        <w:pStyle w:val="Heading4"/>
      </w:pPr>
      <w:r w:rsidRPr="00B23300">
        <w:t>Proposed action</w:t>
      </w:r>
    </w:p>
    <w:p w14:paraId="3FF5DDA3" w14:textId="0674E72B" w:rsidR="00257CB2" w:rsidRPr="005E6B60" w:rsidRDefault="00257CB2" w:rsidP="00127D9A">
      <w:r w:rsidRPr="005E6B60">
        <w:t xml:space="preserve">Subject to the ACM’s advice and the sponsor’s responses to </w:t>
      </w:r>
      <w:proofErr w:type="gramStart"/>
      <w:r w:rsidRPr="005E6B60">
        <w:t>questions</w:t>
      </w:r>
      <w:proofErr w:type="gramEnd"/>
      <w:r w:rsidRPr="005E6B60">
        <w:t xml:space="preserve"> no specific issues are identified that indicate a negative benefit risk profile for </w:t>
      </w:r>
      <w:proofErr w:type="spellStart"/>
      <w:r w:rsidRPr="005E6B60">
        <w:t>Rymti</w:t>
      </w:r>
      <w:proofErr w:type="spellEnd"/>
      <w:r w:rsidRPr="005E6B60">
        <w:t xml:space="preserve"> and that would preclude registration.</w:t>
      </w:r>
    </w:p>
    <w:p w14:paraId="1DBB7D53" w14:textId="77777777" w:rsidR="007D53B6" w:rsidRPr="005E6B60" w:rsidRDefault="007D53B6" w:rsidP="00DA266F">
      <w:pPr>
        <w:pStyle w:val="Heading4"/>
        <w:spacing w:before="240"/>
      </w:pPr>
      <w:r w:rsidRPr="005E6B60">
        <w:t>Questions for sponsor</w:t>
      </w:r>
    </w:p>
    <w:p w14:paraId="51AE5A8D" w14:textId="6602BE86" w:rsidR="00221219" w:rsidRPr="005E6B60" w:rsidRDefault="00221219" w:rsidP="00127D9A">
      <w:pPr>
        <w:pStyle w:val="Numberbullet0"/>
        <w:rPr>
          <w:b/>
          <w:i/>
        </w:rPr>
      </w:pPr>
      <w:r w:rsidRPr="005E6B60">
        <w:rPr>
          <w:b/>
          <w:i/>
        </w:rPr>
        <w:t xml:space="preserve">Please provide an update on the international regulatory status of </w:t>
      </w:r>
      <w:proofErr w:type="spellStart"/>
      <w:r w:rsidRPr="005E6B60">
        <w:rPr>
          <w:b/>
          <w:i/>
        </w:rPr>
        <w:t>Rymti</w:t>
      </w:r>
      <w:proofErr w:type="spellEnd"/>
      <w:r w:rsidRPr="005E6B60">
        <w:rPr>
          <w:b/>
          <w:i/>
        </w:rPr>
        <w:t xml:space="preserve"> internationally. Please include in your response an account of issues raised by </w:t>
      </w:r>
      <w:proofErr w:type="gramStart"/>
      <w:r w:rsidRPr="005E6B60">
        <w:rPr>
          <w:b/>
          <w:i/>
        </w:rPr>
        <w:t>the EMA and how the sponsor has</w:t>
      </w:r>
      <w:r w:rsidR="00900D27" w:rsidRPr="005E6B60">
        <w:rPr>
          <w:b/>
          <w:i/>
        </w:rPr>
        <w:t xml:space="preserve"> or p</w:t>
      </w:r>
      <w:r w:rsidRPr="005E6B60">
        <w:rPr>
          <w:b/>
          <w:i/>
        </w:rPr>
        <w:t>roposes to address those issues</w:t>
      </w:r>
      <w:proofErr w:type="gramEnd"/>
      <w:r w:rsidRPr="005E6B60">
        <w:rPr>
          <w:b/>
          <w:i/>
        </w:rPr>
        <w:t>.</w:t>
      </w:r>
    </w:p>
    <w:p w14:paraId="36E5FFBC" w14:textId="669B2A90" w:rsidR="00E4763B" w:rsidRPr="00B23300" w:rsidRDefault="00E4763B" w:rsidP="000E6E6F">
      <w:r w:rsidRPr="005E6B60">
        <w:t xml:space="preserve">As requested, the international regulatory status of </w:t>
      </w:r>
      <w:proofErr w:type="spellStart"/>
      <w:r w:rsidRPr="005E6B60">
        <w:t>Rymti</w:t>
      </w:r>
      <w:proofErr w:type="spellEnd"/>
      <w:r w:rsidRPr="005E6B60">
        <w:t xml:space="preserve"> </w:t>
      </w:r>
      <w:proofErr w:type="gramStart"/>
      <w:r w:rsidRPr="005E6B60">
        <w:t>is provided</w:t>
      </w:r>
      <w:proofErr w:type="gramEnd"/>
      <w:r w:rsidRPr="005E6B60">
        <w:t xml:space="preserve"> in </w:t>
      </w:r>
      <w:r w:rsidR="009E54C3" w:rsidRPr="00B23300">
        <w:fldChar w:fldCharType="begin"/>
      </w:r>
      <w:r w:rsidR="009E54C3" w:rsidRPr="00B23300">
        <w:instrText xml:space="preserve"> REF _Ref57802695 \h </w:instrText>
      </w:r>
      <w:r w:rsidR="00B23300">
        <w:instrText xml:space="preserve"> \* MERGEFORMAT </w:instrText>
      </w:r>
      <w:r w:rsidR="009E54C3" w:rsidRPr="00B23300">
        <w:fldChar w:fldCharType="separate"/>
      </w:r>
      <w:r w:rsidR="009E54C3" w:rsidRPr="00B23300">
        <w:t xml:space="preserve">Table </w:t>
      </w:r>
      <w:r w:rsidR="009E54C3" w:rsidRPr="00B23300">
        <w:rPr>
          <w:noProof/>
        </w:rPr>
        <w:t>10</w:t>
      </w:r>
      <w:r w:rsidR="009E54C3" w:rsidRPr="00B23300">
        <w:fldChar w:fldCharType="end"/>
      </w:r>
      <w:r w:rsidRPr="00B23300">
        <w:t>. The same is also provided in the updated sequence 0003 section 1.11</w:t>
      </w:r>
      <w:proofErr w:type="gramStart"/>
      <w:r w:rsidRPr="00B23300">
        <w:t>;</w:t>
      </w:r>
      <w:proofErr w:type="gramEnd"/>
      <w:r w:rsidRPr="00B23300">
        <w:t xml:space="preserve"> </w:t>
      </w:r>
      <w:r w:rsidR="00976B85" w:rsidRPr="00B23300">
        <w:t>foreign regulatory information section.</w:t>
      </w:r>
      <w:bookmarkStart w:id="70" w:name="_Ref65068686"/>
      <w:r w:rsidR="00201012">
        <w:rPr>
          <w:rStyle w:val="FootnoteReference"/>
        </w:rPr>
        <w:footnoteReference w:id="10"/>
      </w:r>
      <w:bookmarkEnd w:id="70"/>
    </w:p>
    <w:p w14:paraId="0A86AF91" w14:textId="46A0B7BB" w:rsidR="00E4763B" w:rsidRDefault="00D95242" w:rsidP="00DA266F">
      <w:pPr>
        <w:pStyle w:val="TableTitle"/>
      </w:pPr>
      <w:bookmarkStart w:id="71" w:name="_Ref57802695"/>
      <w:r w:rsidRPr="00B23300">
        <w:t xml:space="preserve">Table </w:t>
      </w:r>
      <w:fldSimple w:instr=" SEQ Table \* ARABIC ">
        <w:r w:rsidRPr="00B23300">
          <w:rPr>
            <w:noProof/>
          </w:rPr>
          <w:t>10</w:t>
        </w:r>
      </w:fldSimple>
      <w:bookmarkEnd w:id="71"/>
      <w:r w:rsidR="005300EA" w:rsidRPr="00B23300">
        <w:t>:</w:t>
      </w:r>
      <w:r w:rsidR="00E4763B" w:rsidRPr="00B23300">
        <w:t xml:space="preserve"> International regulatory status of </w:t>
      </w:r>
      <w:proofErr w:type="spellStart"/>
      <w:r w:rsidR="00E4763B" w:rsidRPr="00B23300">
        <w:t>Rymti</w:t>
      </w:r>
      <w:proofErr w:type="spellEnd"/>
    </w:p>
    <w:p w14:paraId="1EA3E62C" w14:textId="00422B89" w:rsidR="008B7998" w:rsidRPr="00B23300" w:rsidRDefault="00F44B44" w:rsidP="00DA266F">
      <w:r>
        <w:rPr>
          <w:noProof/>
          <w:lang w:eastAsia="en-AU"/>
        </w:rPr>
        <w:drawing>
          <wp:inline distT="0" distB="0" distL="0" distR="0" wp14:anchorId="3814809C" wp14:editId="26ADC6C7">
            <wp:extent cx="5400040" cy="5846445"/>
            <wp:effectExtent l="0" t="0" r="0" b="1905"/>
            <wp:docPr id="2" name="Picture 2" title="International regulatory status of Rym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400040" cy="5846445"/>
                    </a:xfrm>
                    <a:prstGeom prst="rect">
                      <a:avLst/>
                    </a:prstGeom>
                  </pic:spPr>
                </pic:pic>
              </a:graphicData>
            </a:graphic>
          </wp:inline>
        </w:drawing>
      </w:r>
    </w:p>
    <w:p w14:paraId="001B0C03" w14:textId="21282CB7" w:rsidR="00514617" w:rsidRPr="00B23300" w:rsidRDefault="00514617" w:rsidP="00DA266F">
      <w:pPr>
        <w:pStyle w:val="TableDescription"/>
        <w:spacing w:before="0"/>
      </w:pPr>
      <w:r w:rsidRPr="00B23300">
        <w:t>BS: Biosimilar</w:t>
      </w:r>
    </w:p>
    <w:p w14:paraId="782FB8C7" w14:textId="78481358" w:rsidR="002C61D2" w:rsidRPr="005E6B60" w:rsidRDefault="002C61D2" w:rsidP="000E6E6F">
      <w:r w:rsidRPr="00B23300">
        <w:t xml:space="preserve">Deferrals, withdrawals and rejections: </w:t>
      </w:r>
      <w:r w:rsidR="00976B85" w:rsidRPr="00B23300">
        <w:t>none</w:t>
      </w:r>
      <w:r w:rsidRPr="00B23300">
        <w:t xml:space="preserve">. Assurance is given that this application </w:t>
      </w:r>
      <w:proofErr w:type="gramStart"/>
      <w:r w:rsidRPr="00B23300">
        <w:t>has not been refused for market approval or withdrawn in any region or country</w:t>
      </w:r>
      <w:proofErr w:type="gramEnd"/>
      <w:r w:rsidRPr="00B23300">
        <w:t>.</w:t>
      </w:r>
    </w:p>
    <w:p w14:paraId="6966C86E" w14:textId="3B43971B" w:rsidR="002C61D2" w:rsidRPr="00B23300" w:rsidRDefault="002C61D2" w:rsidP="000E6E6F">
      <w:r w:rsidRPr="00B23300">
        <w:t xml:space="preserve">The account of issues (outstanding) raised by EMA and their </w:t>
      </w:r>
      <w:proofErr w:type="spellStart"/>
      <w:r w:rsidRPr="00B23300">
        <w:t>a</w:t>
      </w:r>
      <w:r w:rsidR="009666E8" w:rsidRPr="00B23300">
        <w:t>ddressal</w:t>
      </w:r>
      <w:proofErr w:type="spellEnd"/>
      <w:r w:rsidR="009666E8" w:rsidRPr="00B23300">
        <w:t xml:space="preserve"> is provided under the s</w:t>
      </w:r>
      <w:r w:rsidRPr="00B23300">
        <w:t xml:space="preserve">ponsor’s response to question </w:t>
      </w:r>
      <w:proofErr w:type="gramStart"/>
      <w:r w:rsidRPr="00B23300">
        <w:t>2</w:t>
      </w:r>
      <w:proofErr w:type="gramEnd"/>
      <w:r w:rsidRPr="00B23300">
        <w:t>.</w:t>
      </w:r>
    </w:p>
    <w:p w14:paraId="28D4AF89" w14:textId="7E2354AC" w:rsidR="00221219" w:rsidRPr="00B23300" w:rsidRDefault="00221219" w:rsidP="004A7B8A">
      <w:pPr>
        <w:pStyle w:val="Numberbullet0"/>
        <w:rPr>
          <w:b/>
          <w:i/>
        </w:rPr>
      </w:pPr>
      <w:r w:rsidRPr="00B23300">
        <w:rPr>
          <w:b/>
          <w:i/>
        </w:rPr>
        <w:t xml:space="preserve">Please briefly outline the issues raised by </w:t>
      </w:r>
      <w:proofErr w:type="gramStart"/>
      <w:r w:rsidRPr="00B23300">
        <w:rPr>
          <w:b/>
          <w:i/>
        </w:rPr>
        <w:t>the EMA and how the sponsor proposes to address these</w:t>
      </w:r>
      <w:proofErr w:type="gramEnd"/>
      <w:r w:rsidRPr="00B23300">
        <w:rPr>
          <w:b/>
          <w:i/>
        </w:rPr>
        <w:t>.</w:t>
      </w:r>
    </w:p>
    <w:p w14:paraId="5E06833E" w14:textId="22174E71" w:rsidR="002C61D2" w:rsidRDefault="002C61D2" w:rsidP="000E6E6F">
      <w:r w:rsidRPr="00B23300">
        <w:t xml:space="preserve">Lupin received questions from the </w:t>
      </w:r>
      <w:r w:rsidR="00BA71C4" w:rsidRPr="005E6B60">
        <w:t xml:space="preserve">Committee </w:t>
      </w:r>
      <w:proofErr w:type="gramStart"/>
      <w:r w:rsidR="00BA71C4" w:rsidRPr="005E6B60">
        <w:t>For Medicinal Products For</w:t>
      </w:r>
      <w:proofErr w:type="gramEnd"/>
      <w:r w:rsidR="00BA71C4" w:rsidRPr="005E6B60">
        <w:t xml:space="preserve"> Human Use </w:t>
      </w:r>
      <w:r w:rsidRPr="005E6B60">
        <w:t>(CHMP)</w:t>
      </w:r>
      <w:r w:rsidRPr="00B23300">
        <w:t xml:space="preserve"> as part of the </w:t>
      </w:r>
      <w:r w:rsidR="00F77BBD">
        <w:t>second</w:t>
      </w:r>
      <w:r w:rsidR="00F77BBD" w:rsidRPr="00B23300">
        <w:t xml:space="preserve"> </w:t>
      </w:r>
      <w:r w:rsidRPr="00B23300">
        <w:t xml:space="preserve">Day 180 </w:t>
      </w:r>
      <w:r w:rsidR="00EA36D0" w:rsidRPr="005E6B60">
        <w:t>list of outstanding issues</w:t>
      </w:r>
      <w:r w:rsidR="00F77BBD">
        <w:t>.</w:t>
      </w:r>
      <w:r w:rsidR="00411FDB">
        <w:t xml:space="preserve"> </w:t>
      </w:r>
      <w:r w:rsidRPr="00B23300">
        <w:t xml:space="preserve">The issues raised by the EMA during the </w:t>
      </w:r>
      <w:r w:rsidR="00F77BBD">
        <w:t>second</w:t>
      </w:r>
      <w:r w:rsidR="00F77BBD" w:rsidRPr="00B23300">
        <w:t xml:space="preserve"> </w:t>
      </w:r>
      <w:r w:rsidRPr="00B23300">
        <w:t xml:space="preserve">set of Day 180 </w:t>
      </w:r>
      <w:r w:rsidR="00F77BBD">
        <w:t>list of outstanding issues</w:t>
      </w:r>
      <w:r w:rsidR="00F77BBD" w:rsidRPr="00B23300">
        <w:t xml:space="preserve"> </w:t>
      </w:r>
      <w:proofErr w:type="gramStart"/>
      <w:r w:rsidR="009666E8" w:rsidRPr="00B23300">
        <w:t>are provided</w:t>
      </w:r>
      <w:proofErr w:type="gramEnd"/>
      <w:r w:rsidR="009666E8" w:rsidRPr="00B23300">
        <w:t xml:space="preserve"> below, along with s</w:t>
      </w:r>
      <w:r w:rsidRPr="00B23300">
        <w:t>ponsor’s responses for their resolution:</w:t>
      </w:r>
    </w:p>
    <w:p w14:paraId="6D682802" w14:textId="77777777" w:rsidR="00201012" w:rsidRPr="00201012" w:rsidRDefault="00B22CE9" w:rsidP="00201012">
      <w:pPr>
        <w:pStyle w:val="Numberbullet0"/>
        <w:numPr>
          <w:ilvl w:val="0"/>
          <w:numId w:val="0"/>
        </w:numPr>
        <w:ind w:left="425" w:hanging="425"/>
        <w:rPr>
          <w:b/>
          <w:i/>
        </w:rPr>
      </w:pPr>
      <w:r>
        <w:t>[Information redacted]</w:t>
      </w:r>
    </w:p>
    <w:p w14:paraId="025EEC38" w14:textId="3E58BD6F" w:rsidR="00221219" w:rsidRPr="005E6B60" w:rsidRDefault="00221219" w:rsidP="006614B2">
      <w:pPr>
        <w:pStyle w:val="Numberbullet0"/>
        <w:rPr>
          <w:b/>
          <w:i/>
        </w:rPr>
      </w:pPr>
      <w:r w:rsidRPr="005E6B60">
        <w:rPr>
          <w:b/>
          <w:i/>
        </w:rPr>
        <w:t xml:space="preserve">Please provide amended artwork to address </w:t>
      </w:r>
      <w:r w:rsidR="009666E8" w:rsidRPr="005E6B60">
        <w:rPr>
          <w:b/>
          <w:i/>
        </w:rPr>
        <w:t>Delegate</w:t>
      </w:r>
      <w:r w:rsidRPr="005E6B60">
        <w:rPr>
          <w:b/>
          <w:i/>
        </w:rPr>
        <w:t xml:space="preserve"> and the RMP evaluator share concern regarding the potential for medication errors because of the similarity of the cartons proposed for the 25 mg and 50 mg strengths.</w:t>
      </w:r>
    </w:p>
    <w:p w14:paraId="44D87D93" w14:textId="2AE22D6F" w:rsidR="002C61D2" w:rsidRPr="005E6B60" w:rsidRDefault="002C61D2" w:rsidP="000E6E6F">
      <w:r w:rsidRPr="005E6B60">
        <w:t xml:space="preserve">As per the </w:t>
      </w:r>
      <w:r w:rsidR="009666E8" w:rsidRPr="005E6B60">
        <w:t>Delegate</w:t>
      </w:r>
      <w:r w:rsidRPr="005E6B60">
        <w:t>’s an</w:t>
      </w:r>
      <w:r w:rsidR="009666E8" w:rsidRPr="005E6B60">
        <w:t>d RMP evaluator’s request, the s</w:t>
      </w:r>
      <w:r w:rsidRPr="005E6B60">
        <w:t xml:space="preserve">ponsor has amended the carton and label proposed for the 50 mg strength to a different colour tone to avoid potential medication errors. Clean and annotated copies of the amended 50 mg strength artwork </w:t>
      </w:r>
      <w:proofErr w:type="gramStart"/>
      <w:r w:rsidRPr="005E6B60">
        <w:t>is provided</w:t>
      </w:r>
      <w:proofErr w:type="gramEnd"/>
      <w:r w:rsidRPr="005E6B60">
        <w:t xml:space="preserve"> under section 1.3.1</w:t>
      </w:r>
      <w:r w:rsidR="000D05A4">
        <w:t xml:space="preserve"> in sponsor submitted dossier.</w:t>
      </w:r>
      <w:r w:rsidR="00201012" w:rsidRPr="00201012">
        <w:rPr>
          <w:vertAlign w:val="superscript"/>
        </w:rPr>
        <w:fldChar w:fldCharType="begin"/>
      </w:r>
      <w:r w:rsidR="00201012" w:rsidRPr="00201012">
        <w:rPr>
          <w:vertAlign w:val="superscript"/>
        </w:rPr>
        <w:instrText xml:space="preserve"> NOTEREF _Ref65068686 \h </w:instrText>
      </w:r>
      <w:r w:rsidR="00201012">
        <w:rPr>
          <w:vertAlign w:val="superscript"/>
        </w:rPr>
        <w:instrText xml:space="preserve"> \* MERGEFORMAT </w:instrText>
      </w:r>
      <w:r w:rsidR="00201012" w:rsidRPr="00201012">
        <w:rPr>
          <w:vertAlign w:val="superscript"/>
        </w:rPr>
      </w:r>
      <w:r w:rsidR="00201012" w:rsidRPr="00201012">
        <w:rPr>
          <w:vertAlign w:val="superscript"/>
        </w:rPr>
        <w:fldChar w:fldCharType="separate"/>
      </w:r>
      <w:r w:rsidR="00201012" w:rsidRPr="00201012">
        <w:rPr>
          <w:vertAlign w:val="superscript"/>
        </w:rPr>
        <w:t>10</w:t>
      </w:r>
      <w:r w:rsidR="00201012" w:rsidRPr="00201012">
        <w:rPr>
          <w:vertAlign w:val="superscript"/>
        </w:rPr>
        <w:fldChar w:fldCharType="end"/>
      </w:r>
    </w:p>
    <w:p w14:paraId="010164CD" w14:textId="118F7C70" w:rsidR="00221219" w:rsidRPr="005E6B60" w:rsidRDefault="00221219" w:rsidP="004A7B8A">
      <w:pPr>
        <w:pStyle w:val="Numberbullet0"/>
        <w:rPr>
          <w:b/>
          <w:i/>
        </w:rPr>
      </w:pPr>
      <w:r w:rsidRPr="005E6B60">
        <w:rPr>
          <w:b/>
          <w:i/>
        </w:rPr>
        <w:t xml:space="preserve">Is the sponsor undertaking further studies of the stability of the </w:t>
      </w:r>
      <w:proofErr w:type="spellStart"/>
      <w:r w:rsidRPr="005E6B60">
        <w:rPr>
          <w:b/>
          <w:i/>
        </w:rPr>
        <w:t>Rymti</w:t>
      </w:r>
      <w:proofErr w:type="spellEnd"/>
      <w:r w:rsidRPr="005E6B60">
        <w:rPr>
          <w:b/>
          <w:i/>
        </w:rPr>
        <w:t xml:space="preserve"> formulation to establish whether an in</w:t>
      </w:r>
      <w:r w:rsidR="00150E1B" w:rsidRPr="005E6B60">
        <w:rPr>
          <w:b/>
          <w:i/>
        </w:rPr>
        <w:t xml:space="preserve"> </w:t>
      </w:r>
      <w:r w:rsidRPr="005E6B60">
        <w:rPr>
          <w:b/>
          <w:i/>
        </w:rPr>
        <w:t>use temperature excursion can be permitted?</w:t>
      </w:r>
    </w:p>
    <w:p w14:paraId="2604860C" w14:textId="23B7ED98" w:rsidR="001D34AB" w:rsidRPr="00B23300" w:rsidRDefault="009666E8" w:rsidP="000E6E6F">
      <w:r w:rsidRPr="005E6B60">
        <w:t>The s</w:t>
      </w:r>
      <w:r w:rsidR="001D34AB" w:rsidRPr="005E6B60">
        <w:t>ponsor provides the assurance that, stability study is already in progress to support the in</w:t>
      </w:r>
      <w:r w:rsidR="00150E1B" w:rsidRPr="005E6B60">
        <w:t xml:space="preserve"> </w:t>
      </w:r>
      <w:r w:rsidR="001D34AB" w:rsidRPr="005E6B60">
        <w:t>use temperature excursion covering the durati</w:t>
      </w:r>
      <w:r w:rsidR="00EC51EB" w:rsidRPr="005E6B60">
        <w:t>on up to end</w:t>
      </w:r>
      <w:r w:rsidR="00150E1B" w:rsidRPr="005E6B60">
        <w:t xml:space="preserve"> </w:t>
      </w:r>
      <w:r w:rsidR="00EC51EB" w:rsidRPr="005E6B60">
        <w:t>of shelf life (that is</w:t>
      </w:r>
      <w:r w:rsidR="001D34AB" w:rsidRPr="005E6B60">
        <w:t xml:space="preserve"> 24</w:t>
      </w:r>
      <w:r w:rsidR="00F77BBD">
        <w:t> </w:t>
      </w:r>
      <w:r w:rsidR="001D34AB" w:rsidRPr="005E6B60">
        <w:t>months) with temperature excursion at 1, 12, 18 and 24 months’ time</w:t>
      </w:r>
      <w:r w:rsidR="00150E1B" w:rsidRPr="005E6B60">
        <w:t xml:space="preserve"> </w:t>
      </w:r>
      <w:r w:rsidR="00776621" w:rsidRPr="005E6B60">
        <w:t>points at 25.0</w:t>
      </w:r>
      <w:r w:rsidR="00F77BBD">
        <w:t> </w:t>
      </w:r>
      <w:r w:rsidR="00776621" w:rsidRPr="005E6B60">
        <w:t>±</w:t>
      </w:r>
      <w:r w:rsidR="00F77BBD">
        <w:t> </w:t>
      </w:r>
      <w:r w:rsidR="00776621" w:rsidRPr="005E6B60">
        <w:t>2.0</w:t>
      </w:r>
      <w:r w:rsidR="001D34AB" w:rsidRPr="005E6B60">
        <w:t>°C / 60.0 ± 5.0 %</w:t>
      </w:r>
      <w:r w:rsidR="00513464" w:rsidRPr="005E6B60">
        <w:t xml:space="preserve"> relative humidity</w:t>
      </w:r>
      <w:r w:rsidR="001D34AB" w:rsidRPr="005E6B60">
        <w:t xml:space="preserve"> </w:t>
      </w:r>
      <w:r w:rsidR="00513464" w:rsidRPr="005E6B60">
        <w:t>(</w:t>
      </w:r>
      <w:r w:rsidR="001D34AB" w:rsidRPr="00B23300">
        <w:t>RH</w:t>
      </w:r>
      <w:r w:rsidR="00513464" w:rsidRPr="00B23300">
        <w:t>)</w:t>
      </w:r>
      <w:r w:rsidR="001D34AB" w:rsidRPr="00B23300">
        <w:t xml:space="preserve">. </w:t>
      </w:r>
      <w:r w:rsidR="008E0DEA" w:rsidRPr="00B23300">
        <w:t>The sponsor</w:t>
      </w:r>
      <w:r w:rsidR="001D34AB" w:rsidRPr="00B23300">
        <w:t xml:space="preserve"> also would like to inform the </w:t>
      </w:r>
      <w:r w:rsidR="00146217" w:rsidRPr="00B23300">
        <w:t>agency</w:t>
      </w:r>
      <w:r w:rsidR="001D34AB" w:rsidRPr="00B23300">
        <w:t xml:space="preserve"> that results from 12 months stability time</w:t>
      </w:r>
      <w:r w:rsidR="00150E1B" w:rsidRPr="00B23300">
        <w:t xml:space="preserve"> </w:t>
      </w:r>
      <w:r w:rsidR="001D34AB" w:rsidRPr="00B23300">
        <w:t>point after</w:t>
      </w:r>
      <w:r w:rsidR="00E0506F" w:rsidRPr="00B23300">
        <w:t xml:space="preserve"> the temperature excursions at one</w:t>
      </w:r>
      <w:r w:rsidR="009B7D6D" w:rsidRPr="00B23300">
        <w:t xml:space="preserve"> month and 12 months (two</w:t>
      </w:r>
      <w:r w:rsidR="001D34AB" w:rsidRPr="00B23300">
        <w:t xml:space="preserve"> points temperature excursion) </w:t>
      </w:r>
      <w:proofErr w:type="gramStart"/>
      <w:r w:rsidR="001D34AB" w:rsidRPr="00B23300">
        <w:t>has already been submitted</w:t>
      </w:r>
      <w:proofErr w:type="gramEnd"/>
      <w:r w:rsidR="001D34AB" w:rsidRPr="00B23300">
        <w:t xml:space="preserve">, as a reply to question 20 of the </w:t>
      </w:r>
      <w:r w:rsidR="00146217" w:rsidRPr="00B23300">
        <w:t xml:space="preserve">quality evaluation report, </w:t>
      </w:r>
      <w:r w:rsidR="001D34AB" w:rsidRPr="00B23300">
        <w:t xml:space="preserve">in the </w:t>
      </w:r>
      <w:r w:rsidR="00FB1412" w:rsidRPr="00B23300">
        <w:t xml:space="preserve">response to </w:t>
      </w:r>
      <w:r w:rsidR="003349EF">
        <w:t>a TGA request for information</w:t>
      </w:r>
      <w:r w:rsidR="001D34AB" w:rsidRPr="00B23300">
        <w:t xml:space="preserve"> submitted 30 May 2019.</w:t>
      </w:r>
    </w:p>
    <w:p w14:paraId="16974058" w14:textId="78924801" w:rsidR="001D34AB" w:rsidRPr="00B23300" w:rsidRDefault="009666E8" w:rsidP="000E6E6F">
      <w:r w:rsidRPr="00B23300">
        <w:t>The s</w:t>
      </w:r>
      <w:r w:rsidR="001D34AB" w:rsidRPr="00B23300">
        <w:t>ponsor additionally provides a commitment to submit the results of this study up to the end of shelf life, 24 months data, as a post approval activity using an appropriate variation route.</w:t>
      </w:r>
    </w:p>
    <w:p w14:paraId="2BCC9D7E" w14:textId="6ED70781" w:rsidR="001D34AB" w:rsidRPr="00B23300" w:rsidRDefault="001D34AB" w:rsidP="000E6E6F">
      <w:r w:rsidRPr="00B23300">
        <w:t xml:space="preserve">Furthermore, we would like to inform the </w:t>
      </w:r>
      <w:r w:rsidR="00146217" w:rsidRPr="00B23300">
        <w:t xml:space="preserve">agency </w:t>
      </w:r>
      <w:r w:rsidRPr="00B23300">
        <w:t>that currently, 18 months temperature ex</w:t>
      </w:r>
      <w:r w:rsidR="00031814" w:rsidRPr="00B23300">
        <w:t xml:space="preserve">cursion data </w:t>
      </w:r>
      <w:proofErr w:type="gramStart"/>
      <w:r w:rsidR="00031814" w:rsidRPr="00B23300">
        <w:t>is completed</w:t>
      </w:r>
      <w:proofErr w:type="gramEnd"/>
      <w:r w:rsidR="00031814" w:rsidRPr="00B23300">
        <w:t xml:space="preserve"> with three</w:t>
      </w:r>
      <w:r w:rsidRPr="00B23300">
        <w:t xml:space="preserve"> times point of temperature excursion at </w:t>
      </w:r>
      <w:r w:rsidR="00BB66E8" w:rsidRPr="00B23300">
        <w:t>one</w:t>
      </w:r>
      <w:r w:rsidRPr="00B23300">
        <w:t xml:space="preserve">, 12 and 18 months. This data </w:t>
      </w:r>
      <w:proofErr w:type="gramStart"/>
      <w:r w:rsidRPr="00B23300">
        <w:t>can be submitted</w:t>
      </w:r>
      <w:proofErr w:type="gramEnd"/>
      <w:r w:rsidRPr="00B23300">
        <w:t xml:space="preserve"> to the </w:t>
      </w:r>
      <w:r w:rsidR="00146217" w:rsidRPr="00B23300">
        <w:t xml:space="preserve">agency </w:t>
      </w:r>
      <w:r w:rsidRPr="00B23300">
        <w:t>upon request.</w:t>
      </w:r>
    </w:p>
    <w:p w14:paraId="3616413A" w14:textId="3F58E261" w:rsidR="007D53B6" w:rsidRPr="00B23300" w:rsidRDefault="007D53B6" w:rsidP="007D53B6">
      <w:pPr>
        <w:pStyle w:val="Heading4"/>
      </w:pPr>
      <w:r w:rsidRPr="00B23300">
        <w:t xml:space="preserve">Request for </w:t>
      </w:r>
      <w:r w:rsidR="00933D92" w:rsidRPr="00B23300">
        <w:t>Advisory Committee on Medicines</w:t>
      </w:r>
    </w:p>
    <w:p w14:paraId="3DA4B73D" w14:textId="36403FB2" w:rsidR="00986B2A" w:rsidRPr="00B23300" w:rsidRDefault="00986B2A" w:rsidP="006614B2">
      <w:r w:rsidRPr="00B23300">
        <w:t>The Delegate request</w:t>
      </w:r>
      <w:r w:rsidR="00F77BBD">
        <w:t>ed</w:t>
      </w:r>
      <w:r w:rsidRPr="00B23300">
        <w:t xml:space="preserve"> advice from ACM</w:t>
      </w:r>
      <w:r w:rsidR="00F77BBD">
        <w:t xml:space="preserve"> with the following </w:t>
      </w:r>
      <w:r w:rsidRPr="00B23300">
        <w:t>questions.</w:t>
      </w:r>
    </w:p>
    <w:p w14:paraId="71887BEC" w14:textId="32F25F9A" w:rsidR="001C7919" w:rsidRPr="00B23300" w:rsidRDefault="001C7919" w:rsidP="004403BD">
      <w:pPr>
        <w:pStyle w:val="Numberbullet0"/>
        <w:numPr>
          <w:ilvl w:val="0"/>
          <w:numId w:val="49"/>
        </w:numPr>
      </w:pPr>
      <w:r w:rsidRPr="00B23300">
        <w:t xml:space="preserve">Please comment on the clinical trial evidence presented to support the efficacy and safety of </w:t>
      </w:r>
      <w:proofErr w:type="spellStart"/>
      <w:r w:rsidRPr="00B23300">
        <w:t>Rymti</w:t>
      </w:r>
      <w:proofErr w:type="spellEnd"/>
      <w:r w:rsidRPr="00B23300">
        <w:t xml:space="preserve">, including whether sufficient data </w:t>
      </w:r>
      <w:proofErr w:type="gramStart"/>
      <w:r w:rsidRPr="00B23300">
        <w:t>have been presented</w:t>
      </w:r>
      <w:proofErr w:type="gramEnd"/>
      <w:r w:rsidRPr="00B23300">
        <w:t>. Does the committee have any specific concerns about the approach of the sponsor?</w:t>
      </w:r>
    </w:p>
    <w:p w14:paraId="54857093" w14:textId="7615E3F2" w:rsidR="001C7919" w:rsidRPr="00B23300" w:rsidRDefault="001C7919" w:rsidP="004403BD">
      <w:pPr>
        <w:pStyle w:val="Numberbullet0"/>
      </w:pPr>
      <w:r w:rsidRPr="00B23300">
        <w:t xml:space="preserve">Switching statements are not routinely included in the </w:t>
      </w:r>
      <w:r w:rsidR="00D31271" w:rsidRPr="00B23300">
        <w:t>PI</w:t>
      </w:r>
      <w:r w:rsidRPr="00B23300">
        <w:t xml:space="preserve"> for </w:t>
      </w:r>
      <w:proofErr w:type="spellStart"/>
      <w:r w:rsidRPr="00B23300">
        <w:t>biosimilars</w:t>
      </w:r>
      <w:proofErr w:type="spellEnd"/>
      <w:r w:rsidRPr="00B23300">
        <w:t xml:space="preserve">. Does the committee have any concerns about the data on switching between </w:t>
      </w:r>
      <w:proofErr w:type="spellStart"/>
      <w:r w:rsidRPr="00B23300">
        <w:t>Rymti</w:t>
      </w:r>
      <w:proofErr w:type="spellEnd"/>
      <w:r w:rsidRPr="00B23300">
        <w:t xml:space="preserve"> and Enbrel? </w:t>
      </w:r>
      <w:proofErr w:type="gramStart"/>
      <w:r w:rsidRPr="00B23300">
        <w:t xml:space="preserve">Is the </w:t>
      </w:r>
      <w:r w:rsidR="00146217" w:rsidRPr="00B23300">
        <w:t xml:space="preserve">precautionary </w:t>
      </w:r>
      <w:r w:rsidRPr="00B23300">
        <w:t>statement warranted</w:t>
      </w:r>
      <w:proofErr w:type="gramEnd"/>
      <w:r w:rsidRPr="00B23300">
        <w:t>?</w:t>
      </w:r>
    </w:p>
    <w:p w14:paraId="13AE33EF" w14:textId="22BD4ED3" w:rsidR="001C7919" w:rsidRPr="00B23300" w:rsidRDefault="001C7919" w:rsidP="004403BD">
      <w:pPr>
        <w:pStyle w:val="Numberbullet0"/>
      </w:pPr>
      <w:r w:rsidRPr="00B23300">
        <w:t xml:space="preserve">The committee </w:t>
      </w:r>
      <w:proofErr w:type="gramStart"/>
      <w:r w:rsidRPr="00B23300">
        <w:t>is also requested</w:t>
      </w:r>
      <w:proofErr w:type="gramEnd"/>
      <w:r w:rsidRPr="00B23300">
        <w:t xml:space="preserve"> to provide advice on any other issues that it thinks may be relevant to a decision on whether or not to approve this application.</w:t>
      </w:r>
    </w:p>
    <w:p w14:paraId="780B84B2" w14:textId="77777777" w:rsidR="008E7846" w:rsidRPr="00B23300" w:rsidRDefault="008E7846" w:rsidP="007D53B6">
      <w:pPr>
        <w:pStyle w:val="Heading4"/>
      </w:pPr>
      <w:r w:rsidRPr="00B23300">
        <w:t xml:space="preserve">Advisory Committee </w:t>
      </w:r>
      <w:r w:rsidR="007D53B6" w:rsidRPr="00B23300">
        <w:t>c</w:t>
      </w:r>
      <w:r w:rsidRPr="00B23300">
        <w:t>onsiderations</w:t>
      </w:r>
      <w:r w:rsidR="00456765" w:rsidRPr="00B23300">
        <w:rPr>
          <w:rStyle w:val="FootnoteReference"/>
        </w:rPr>
        <w:footnoteReference w:id="11"/>
      </w:r>
    </w:p>
    <w:p w14:paraId="6CEEA390" w14:textId="4FF98B2C" w:rsidR="008E7846" w:rsidRPr="005E6B60" w:rsidRDefault="00456765" w:rsidP="006614B2">
      <w:r w:rsidRPr="00B23300">
        <w:t>The ACM, having considered the evaluations and the Delegate’s overview, as well as the sponsor’s response to these documents, advised the following:</w:t>
      </w:r>
    </w:p>
    <w:p w14:paraId="1A05B1BE" w14:textId="071FB879" w:rsidR="003B6242" w:rsidRPr="00B23300" w:rsidRDefault="00786C57" w:rsidP="004403BD">
      <w:pPr>
        <w:pStyle w:val="Numberbullet0"/>
        <w:numPr>
          <w:ilvl w:val="0"/>
          <w:numId w:val="50"/>
        </w:numPr>
        <w:rPr>
          <w:b/>
          <w:i/>
        </w:rPr>
      </w:pPr>
      <w:r w:rsidRPr="00B23300">
        <w:rPr>
          <w:b/>
          <w:i/>
        </w:rPr>
        <w:t xml:space="preserve">Please comment on the clinical trial evidence presented to support the efficacy and safety of </w:t>
      </w:r>
      <w:proofErr w:type="spellStart"/>
      <w:r w:rsidRPr="00B23300">
        <w:rPr>
          <w:b/>
          <w:i/>
        </w:rPr>
        <w:t>Rymti</w:t>
      </w:r>
      <w:proofErr w:type="spellEnd"/>
      <w:r w:rsidRPr="00B23300">
        <w:rPr>
          <w:b/>
          <w:i/>
        </w:rPr>
        <w:t xml:space="preserve">, including whether sufficient data </w:t>
      </w:r>
      <w:proofErr w:type="gramStart"/>
      <w:r w:rsidRPr="00B23300">
        <w:rPr>
          <w:b/>
          <w:i/>
        </w:rPr>
        <w:t>have been presented</w:t>
      </w:r>
      <w:proofErr w:type="gramEnd"/>
      <w:r w:rsidRPr="00B23300">
        <w:rPr>
          <w:b/>
          <w:i/>
        </w:rPr>
        <w:t>. Does the committee have any specific concerns about the approach of the sponsor?</w:t>
      </w:r>
    </w:p>
    <w:p w14:paraId="238FCDCC" w14:textId="07DCB19E" w:rsidR="004403BD" w:rsidRPr="00B23300" w:rsidRDefault="00786C57" w:rsidP="004403BD">
      <w:pPr>
        <w:pStyle w:val="Numberbullet0"/>
        <w:numPr>
          <w:ilvl w:val="0"/>
          <w:numId w:val="0"/>
        </w:numPr>
      </w:pPr>
      <w:r w:rsidRPr="00B23300">
        <w:t xml:space="preserve">The ACM was of the view that the supporting evidence for safety of </w:t>
      </w:r>
      <w:proofErr w:type="spellStart"/>
      <w:r w:rsidRPr="00B23300">
        <w:t>R</w:t>
      </w:r>
      <w:r w:rsidR="00F15F5B" w:rsidRPr="00B23300">
        <w:t>ymti</w:t>
      </w:r>
      <w:proofErr w:type="spellEnd"/>
      <w:r w:rsidRPr="00B23300">
        <w:t xml:space="preserve"> was adequate, but less robust than the data supplied for other applications of a similar nature. The ACM noted that in the sponsor’s pre-ACM response, the sponsor has undertaken the conduct of a further study to address concerns about </w:t>
      </w:r>
      <w:proofErr w:type="spellStart"/>
      <w:r w:rsidRPr="00B23300">
        <w:t>misfold</w:t>
      </w:r>
      <w:proofErr w:type="spellEnd"/>
      <w:r w:rsidRPr="00B23300">
        <w:t xml:space="preserve"> levels of the </w:t>
      </w:r>
      <w:proofErr w:type="spellStart"/>
      <w:r w:rsidRPr="00B23300">
        <w:t>etanercept</w:t>
      </w:r>
      <w:proofErr w:type="spellEnd"/>
      <w:r w:rsidRPr="00B23300">
        <w:t xml:space="preserve"> </w:t>
      </w:r>
      <w:r w:rsidR="00F77BBD">
        <w:t>investigation medicinal product</w:t>
      </w:r>
      <w:r w:rsidR="00F77BBD" w:rsidRPr="00B23300">
        <w:t xml:space="preserve"> </w:t>
      </w:r>
      <w:r w:rsidRPr="00B23300">
        <w:t xml:space="preserve">for the EMA, and agrees with the Delegate that this data </w:t>
      </w:r>
      <w:proofErr w:type="gramStart"/>
      <w:r w:rsidRPr="00B23300">
        <w:t>should also be supplied</w:t>
      </w:r>
      <w:proofErr w:type="gramEnd"/>
      <w:r w:rsidRPr="00B23300">
        <w:t xml:space="preserve"> to the TGA for consideration. Despite this, the ACM agreed overall that the data provided fulfils the EU criteria for biosimilar products and adequately supports the efficacy of the product.</w:t>
      </w:r>
    </w:p>
    <w:p w14:paraId="488260FF" w14:textId="446457DB" w:rsidR="00786C57" w:rsidRPr="00B23300" w:rsidRDefault="00786C57" w:rsidP="004403BD">
      <w:pPr>
        <w:pStyle w:val="Numberbullet0"/>
        <w:rPr>
          <w:b/>
          <w:i/>
        </w:rPr>
      </w:pPr>
      <w:r w:rsidRPr="00B23300">
        <w:rPr>
          <w:b/>
          <w:i/>
        </w:rPr>
        <w:t>Switching statements are not routinely included</w:t>
      </w:r>
      <w:r w:rsidR="003B6242" w:rsidRPr="00B23300">
        <w:rPr>
          <w:b/>
          <w:i/>
        </w:rPr>
        <w:t xml:space="preserve"> in the </w:t>
      </w:r>
      <w:r w:rsidR="00D31271" w:rsidRPr="00B23300">
        <w:rPr>
          <w:b/>
          <w:i/>
        </w:rPr>
        <w:t>PI</w:t>
      </w:r>
      <w:r w:rsidR="003B6242" w:rsidRPr="00B23300">
        <w:rPr>
          <w:b/>
          <w:i/>
        </w:rPr>
        <w:t xml:space="preserve"> for </w:t>
      </w:r>
      <w:proofErr w:type="spellStart"/>
      <w:r w:rsidRPr="00B23300">
        <w:rPr>
          <w:b/>
          <w:i/>
        </w:rPr>
        <w:t>biosimilars</w:t>
      </w:r>
      <w:proofErr w:type="spellEnd"/>
      <w:r w:rsidRPr="00B23300">
        <w:rPr>
          <w:b/>
          <w:i/>
        </w:rPr>
        <w:t>. Does the committee have any concerns abou</w:t>
      </w:r>
      <w:r w:rsidR="003B6242" w:rsidRPr="00B23300">
        <w:rPr>
          <w:b/>
          <w:i/>
        </w:rPr>
        <w:t xml:space="preserve">t the data on switching between </w:t>
      </w:r>
      <w:proofErr w:type="spellStart"/>
      <w:r w:rsidRPr="00B23300">
        <w:rPr>
          <w:b/>
          <w:i/>
        </w:rPr>
        <w:t>Rymti</w:t>
      </w:r>
      <w:proofErr w:type="spellEnd"/>
      <w:r w:rsidRPr="00B23300">
        <w:rPr>
          <w:b/>
          <w:i/>
        </w:rPr>
        <w:t xml:space="preserve"> and Enbrel? </w:t>
      </w:r>
      <w:proofErr w:type="gramStart"/>
      <w:r w:rsidRPr="00B23300">
        <w:rPr>
          <w:b/>
          <w:i/>
        </w:rPr>
        <w:t xml:space="preserve">Is the </w:t>
      </w:r>
      <w:r w:rsidR="00146217" w:rsidRPr="00B23300">
        <w:rPr>
          <w:b/>
          <w:i/>
        </w:rPr>
        <w:t>precautionary</w:t>
      </w:r>
      <w:r w:rsidRPr="00B23300">
        <w:rPr>
          <w:b/>
          <w:i/>
        </w:rPr>
        <w:t xml:space="preserve"> statement warranted</w:t>
      </w:r>
      <w:proofErr w:type="gramEnd"/>
      <w:r w:rsidRPr="00B23300">
        <w:rPr>
          <w:b/>
          <w:i/>
        </w:rPr>
        <w:t>?</w:t>
      </w:r>
    </w:p>
    <w:p w14:paraId="4CCFF951" w14:textId="6392AE79" w:rsidR="003B6242" w:rsidRPr="00B23300" w:rsidRDefault="00786C57" w:rsidP="00716104">
      <w:pPr>
        <w:pStyle w:val="ListBullet"/>
        <w:numPr>
          <w:ilvl w:val="0"/>
          <w:numId w:val="0"/>
        </w:numPr>
      </w:pPr>
      <w:r w:rsidRPr="00B23300">
        <w:t xml:space="preserve">The ACM noted that numerous small differences existed in terms of quality and manufacturing between </w:t>
      </w:r>
      <w:proofErr w:type="spellStart"/>
      <w:r w:rsidRPr="00B23300">
        <w:t>R</w:t>
      </w:r>
      <w:r w:rsidR="00F15F5B" w:rsidRPr="00B23300">
        <w:t>ymti</w:t>
      </w:r>
      <w:proofErr w:type="spellEnd"/>
      <w:r w:rsidRPr="00B23300">
        <w:t xml:space="preserve"> and other </w:t>
      </w:r>
      <w:proofErr w:type="spellStart"/>
      <w:r w:rsidRPr="00B23300">
        <w:t>etanercept</w:t>
      </w:r>
      <w:proofErr w:type="spellEnd"/>
      <w:r w:rsidRPr="00B23300">
        <w:t xml:space="preserve"> products. The ACM expressed concern that, as the number of biosimilar products increases, each with small and distinct differences from the originator, there is a theoretical risk that switching between multiple products could compound the effect of those differences, leading to unanticipated therapeutic effects. However, the ACM concluded that, as limited switching data </w:t>
      </w:r>
      <w:proofErr w:type="gramStart"/>
      <w:r w:rsidRPr="00B23300">
        <w:t>have been</w:t>
      </w:r>
      <w:r w:rsidR="003B6242" w:rsidRPr="00B23300">
        <w:t xml:space="preserve"> provided</w:t>
      </w:r>
      <w:proofErr w:type="gramEnd"/>
      <w:r w:rsidR="003B6242" w:rsidRPr="00B23300">
        <w:t xml:space="preserve"> in the dossier, there is limited evidence to show that switching between </w:t>
      </w:r>
      <w:proofErr w:type="spellStart"/>
      <w:r w:rsidR="003B6242" w:rsidRPr="00B23300">
        <w:t>R</w:t>
      </w:r>
      <w:r w:rsidR="00F15F5B" w:rsidRPr="00B23300">
        <w:t>ymti</w:t>
      </w:r>
      <w:proofErr w:type="spellEnd"/>
      <w:r w:rsidR="003B6242" w:rsidRPr="00B23300">
        <w:t xml:space="preserve"> and other </w:t>
      </w:r>
      <w:proofErr w:type="spellStart"/>
      <w:r w:rsidR="003B6242" w:rsidRPr="00B23300">
        <w:t>etanercept</w:t>
      </w:r>
      <w:proofErr w:type="spellEnd"/>
      <w:r w:rsidR="003B6242" w:rsidRPr="00B23300">
        <w:t xml:space="preserve"> products would adversely impact treatment outcomes. For this reason, the ACM expressed support for the sponsor’s proposal for inclusion of a switching statement that outlines the limitations of the data in the</w:t>
      </w:r>
      <w:r w:rsidR="00146217" w:rsidRPr="00B23300">
        <w:t xml:space="preserve"> precautions </w:t>
      </w:r>
      <w:r w:rsidR="003B6242" w:rsidRPr="00B23300">
        <w:t xml:space="preserve">section of the </w:t>
      </w:r>
      <w:r w:rsidR="00D31271" w:rsidRPr="00B23300">
        <w:t>PI</w:t>
      </w:r>
      <w:r w:rsidR="003B6242" w:rsidRPr="00B23300">
        <w:t xml:space="preserve"> on this occasion, although a switching statement is not routinely required for </w:t>
      </w:r>
      <w:proofErr w:type="spellStart"/>
      <w:r w:rsidR="003B6242" w:rsidRPr="00B23300">
        <w:t>biosimilars</w:t>
      </w:r>
      <w:proofErr w:type="spellEnd"/>
      <w:r w:rsidR="003B6242" w:rsidRPr="00B23300">
        <w:t>.</w:t>
      </w:r>
    </w:p>
    <w:p w14:paraId="619C7ABB" w14:textId="77777777" w:rsidR="003B6242" w:rsidRPr="00B23300" w:rsidRDefault="003B6242" w:rsidP="00716104">
      <w:pPr>
        <w:pStyle w:val="Numberbullet0"/>
        <w:rPr>
          <w:b/>
          <w:i/>
        </w:rPr>
      </w:pPr>
      <w:r w:rsidRPr="00B23300">
        <w:rPr>
          <w:b/>
          <w:i/>
        </w:rPr>
        <w:t xml:space="preserve">The committee </w:t>
      </w:r>
      <w:proofErr w:type="gramStart"/>
      <w:r w:rsidRPr="00B23300">
        <w:rPr>
          <w:b/>
          <w:i/>
        </w:rPr>
        <w:t>is also requested</w:t>
      </w:r>
      <w:proofErr w:type="gramEnd"/>
      <w:r w:rsidRPr="00B23300">
        <w:rPr>
          <w:b/>
          <w:i/>
        </w:rPr>
        <w:t xml:space="preserve"> to provide advice on any other issues that it thinks may be relevant to a decision on whether or not to approve this application.</w:t>
      </w:r>
    </w:p>
    <w:p w14:paraId="4B1D3DC3" w14:textId="6E741D41" w:rsidR="003B6242" w:rsidRPr="00B23300" w:rsidRDefault="003B6242" w:rsidP="00CB7C00">
      <w:r w:rsidRPr="00B23300">
        <w:t xml:space="preserve">The ACM discussed the use of </w:t>
      </w:r>
      <w:proofErr w:type="spellStart"/>
      <w:r w:rsidRPr="00B23300">
        <w:t>R</w:t>
      </w:r>
      <w:r w:rsidR="00F15F5B" w:rsidRPr="00B23300">
        <w:t>ymti</w:t>
      </w:r>
      <w:proofErr w:type="spellEnd"/>
      <w:r w:rsidRPr="00B23300">
        <w:t xml:space="preserve"> in paediatric patients despite the population not being included in the clinical studies. The ACM was concerned the product as presented is not suitable for use in weight based dosing for younger children. The ACM was of the view that while use in younger children </w:t>
      </w:r>
      <w:proofErr w:type="gramStart"/>
      <w:r w:rsidRPr="00B23300">
        <w:t>was not recommended</w:t>
      </w:r>
      <w:proofErr w:type="gramEnd"/>
      <w:r w:rsidRPr="00B23300">
        <w:t xml:space="preserve">, it was reasonable to support the use of </w:t>
      </w:r>
      <w:proofErr w:type="spellStart"/>
      <w:r w:rsidRPr="00B23300">
        <w:t>R</w:t>
      </w:r>
      <w:r w:rsidR="00F15F5B" w:rsidRPr="00B23300">
        <w:t>ymti</w:t>
      </w:r>
      <w:proofErr w:type="spellEnd"/>
      <w:r w:rsidRPr="00B23300">
        <w:t xml:space="preserve"> in adolescents provided their weight exceeds 62.5 kilograms.</w:t>
      </w:r>
    </w:p>
    <w:p w14:paraId="3BD735E9" w14:textId="1EC30E9A" w:rsidR="003B6242" w:rsidRPr="00CB7C00" w:rsidRDefault="003B6242">
      <w:pPr>
        <w:pStyle w:val="ListBullet2"/>
        <w:numPr>
          <w:ilvl w:val="0"/>
          <w:numId w:val="0"/>
        </w:numPr>
        <w:rPr>
          <w:b/>
        </w:rPr>
      </w:pPr>
      <w:r w:rsidRPr="00CB7C00">
        <w:rPr>
          <w:b/>
        </w:rPr>
        <w:t xml:space="preserve">General </w:t>
      </w:r>
      <w:r w:rsidR="00146217" w:rsidRPr="00CB7C00">
        <w:rPr>
          <w:b/>
        </w:rPr>
        <w:t>advice</w:t>
      </w:r>
    </w:p>
    <w:p w14:paraId="4A3BFDD7" w14:textId="6E55B1F3" w:rsidR="00786C57" w:rsidRPr="00B23300" w:rsidRDefault="003B6242" w:rsidP="00CB7C00">
      <w:r w:rsidRPr="00B23300">
        <w:t xml:space="preserve">The ACM noted the sponsor’s withdrawal of its request for registration of the auto-injector pen late in the submission. The ACM was of the view that enabling the product to be </w:t>
      </w:r>
      <w:proofErr w:type="spellStart"/>
      <w:proofErr w:type="gramStart"/>
      <w:r w:rsidRPr="00B23300">
        <w:t>self</w:t>
      </w:r>
      <w:r w:rsidR="00150E1B" w:rsidRPr="00B23300">
        <w:t xml:space="preserve"> </w:t>
      </w:r>
      <w:r w:rsidRPr="00B23300">
        <w:t>administered</w:t>
      </w:r>
      <w:proofErr w:type="spellEnd"/>
      <w:proofErr w:type="gramEnd"/>
      <w:r w:rsidRPr="00B23300">
        <w:t xml:space="preserve"> using an auto-injector pen would be highly desirable and that the sponsor should be encouraged to address any impediments to the registration of </w:t>
      </w:r>
      <w:proofErr w:type="spellStart"/>
      <w:r w:rsidRPr="00B23300">
        <w:t>R</w:t>
      </w:r>
      <w:r w:rsidR="00F15F5B" w:rsidRPr="00B23300">
        <w:t>ymti</w:t>
      </w:r>
      <w:proofErr w:type="spellEnd"/>
      <w:r w:rsidRPr="00B23300">
        <w:t xml:space="preserve"> in such a dose form.</w:t>
      </w:r>
    </w:p>
    <w:p w14:paraId="7A8604E8" w14:textId="195EAC61" w:rsidR="008E7846" w:rsidRPr="00B23300" w:rsidRDefault="008E7846" w:rsidP="008E7846">
      <w:pPr>
        <w:pStyle w:val="Heading3"/>
      </w:pPr>
      <w:bookmarkStart w:id="72" w:name="_Toc247691532"/>
      <w:bookmarkStart w:id="73" w:name="_Toc314842516"/>
      <w:bookmarkStart w:id="74" w:name="_Toc66284495"/>
      <w:bookmarkEnd w:id="30"/>
      <w:bookmarkEnd w:id="67"/>
      <w:bookmarkEnd w:id="68"/>
      <w:r w:rsidRPr="00B23300">
        <w:t>Outcome</w:t>
      </w:r>
      <w:bookmarkEnd w:id="72"/>
      <w:bookmarkEnd w:id="73"/>
      <w:bookmarkEnd w:id="74"/>
    </w:p>
    <w:p w14:paraId="02773664" w14:textId="16EE6F07" w:rsidR="007D53B6" w:rsidRDefault="007D53B6" w:rsidP="006614B2">
      <w:bookmarkStart w:id="75" w:name="_Toc247691533"/>
      <w:bookmarkStart w:id="76" w:name="_Toc314842517"/>
      <w:r w:rsidRPr="00B23300">
        <w:t xml:space="preserve">Based on a review of quality, safety and efficacy, </w:t>
      </w:r>
      <w:r w:rsidR="003279F7">
        <w:t xml:space="preserve">the </w:t>
      </w:r>
      <w:r w:rsidRPr="00B23300">
        <w:t xml:space="preserve">TGA approved the registration of </w:t>
      </w:r>
      <w:proofErr w:type="spellStart"/>
      <w:r w:rsidR="00AC1246" w:rsidRPr="00B23300">
        <w:t>Rymti</w:t>
      </w:r>
      <w:proofErr w:type="spellEnd"/>
      <w:r w:rsidR="003F6534">
        <w:t>/</w:t>
      </w:r>
      <w:proofErr w:type="spellStart"/>
      <w:r w:rsidR="00AC1246" w:rsidRPr="00B23300">
        <w:t>Etera</w:t>
      </w:r>
      <w:proofErr w:type="spellEnd"/>
      <w:r w:rsidR="00AC1246" w:rsidRPr="00B23300">
        <w:t xml:space="preserve"> </w:t>
      </w:r>
      <w:r w:rsidR="000748B1" w:rsidRPr="00B23300">
        <w:t>for</w:t>
      </w:r>
      <w:r w:rsidR="001E714A" w:rsidRPr="00B23300">
        <w:t xml:space="preserve"> </w:t>
      </w:r>
      <w:r w:rsidR="00716104" w:rsidRPr="00B23300">
        <w:t>25 mg and 50 mg</w:t>
      </w:r>
      <w:r w:rsidRPr="00B23300">
        <w:t xml:space="preserve"> </w:t>
      </w:r>
      <w:r w:rsidR="000748B1" w:rsidRPr="00B23300">
        <w:t>for subcutaneous injection</w:t>
      </w:r>
      <w:r w:rsidRPr="00B23300">
        <w:t xml:space="preserve">, indicated </w:t>
      </w:r>
      <w:proofErr w:type="gramStart"/>
      <w:r w:rsidRPr="00B23300">
        <w:t>for</w:t>
      </w:r>
      <w:proofErr w:type="gramEnd"/>
      <w:r w:rsidRPr="00B23300">
        <w:t>:</w:t>
      </w:r>
    </w:p>
    <w:p w14:paraId="64FB26AF" w14:textId="77777777" w:rsidR="00F82110" w:rsidRPr="00B23300" w:rsidRDefault="00F82110" w:rsidP="001B57C6">
      <w:pPr>
        <w:ind w:left="720"/>
        <w:rPr>
          <w:i/>
        </w:rPr>
      </w:pPr>
      <w:r w:rsidRPr="00B23300">
        <w:rPr>
          <w:b/>
          <w:i/>
        </w:rPr>
        <w:t>Adults</w:t>
      </w:r>
    </w:p>
    <w:p w14:paraId="12080622" w14:textId="77777777" w:rsidR="00F82110" w:rsidRPr="00B23300" w:rsidRDefault="00F82110" w:rsidP="001B57C6">
      <w:pPr>
        <w:ind w:left="720"/>
      </w:pPr>
      <w:r w:rsidRPr="00B23300">
        <w:rPr>
          <w:b/>
          <w:i/>
        </w:rPr>
        <w:t>Rheumatoid arthritis</w:t>
      </w:r>
    </w:p>
    <w:p w14:paraId="58DFF1CF" w14:textId="31223166" w:rsidR="00F82110" w:rsidRPr="00431339" w:rsidRDefault="00F82110" w:rsidP="001B57C6">
      <w:pPr>
        <w:ind w:left="720"/>
        <w:rPr>
          <w:i/>
        </w:rPr>
      </w:pPr>
      <w:r w:rsidRPr="00B23300">
        <w:rPr>
          <w:i/>
        </w:rPr>
        <w:t xml:space="preserve">Active, adult </w:t>
      </w:r>
      <w:r w:rsidRPr="00431339">
        <w:rPr>
          <w:i/>
        </w:rPr>
        <w:t>rheumatoid arthritis (RA)</w:t>
      </w:r>
      <w:r w:rsidRPr="00B23300">
        <w:rPr>
          <w:i/>
        </w:rPr>
        <w:t xml:space="preserve"> in patients who have had inadequate response to one or more </w:t>
      </w:r>
      <w:proofErr w:type="gramStart"/>
      <w:r w:rsidRPr="00431339">
        <w:rPr>
          <w:i/>
        </w:rPr>
        <w:t>disease modifying</w:t>
      </w:r>
      <w:proofErr w:type="gramEnd"/>
      <w:r w:rsidRPr="00431339">
        <w:rPr>
          <w:i/>
        </w:rPr>
        <w:t xml:space="preserve"> </w:t>
      </w:r>
      <w:proofErr w:type="spellStart"/>
      <w:r w:rsidRPr="00431339">
        <w:rPr>
          <w:i/>
        </w:rPr>
        <w:t>antirheumatic</w:t>
      </w:r>
      <w:proofErr w:type="spellEnd"/>
      <w:r w:rsidRPr="00431339">
        <w:rPr>
          <w:i/>
        </w:rPr>
        <w:t xml:space="preserve"> drugs (DMARDs).</w:t>
      </w:r>
      <w:r w:rsidRPr="00B23300">
        <w:rPr>
          <w:i/>
        </w:rPr>
        <w:t xml:space="preserve"> </w:t>
      </w:r>
      <w:proofErr w:type="spellStart"/>
      <w:r w:rsidR="000A2325">
        <w:rPr>
          <w:i/>
        </w:rPr>
        <w:t>Rymti</w:t>
      </w:r>
      <w:proofErr w:type="spellEnd"/>
      <w:r w:rsidR="003279F7">
        <w:rPr>
          <w:i/>
        </w:rPr>
        <w:t>/</w:t>
      </w:r>
      <w:proofErr w:type="spellStart"/>
      <w:r w:rsidRPr="00B23300">
        <w:rPr>
          <w:i/>
        </w:rPr>
        <w:t>Etera</w:t>
      </w:r>
      <w:proofErr w:type="spellEnd"/>
      <w:r w:rsidRPr="00B23300">
        <w:rPr>
          <w:i/>
        </w:rPr>
        <w:t xml:space="preserve"> </w:t>
      </w:r>
      <w:proofErr w:type="gramStart"/>
      <w:r w:rsidRPr="00B23300">
        <w:rPr>
          <w:i/>
        </w:rPr>
        <w:t>can be used</w:t>
      </w:r>
      <w:proofErr w:type="gramEnd"/>
      <w:r w:rsidRPr="00B23300">
        <w:rPr>
          <w:i/>
        </w:rPr>
        <w:t xml:space="preserve"> in combination with methotrexate.</w:t>
      </w:r>
    </w:p>
    <w:p w14:paraId="224C7987" w14:textId="77777777" w:rsidR="00F82110" w:rsidRPr="00431339" w:rsidRDefault="00F82110" w:rsidP="001B57C6">
      <w:pPr>
        <w:ind w:left="720"/>
        <w:rPr>
          <w:i/>
        </w:rPr>
      </w:pPr>
      <w:r w:rsidRPr="00431339">
        <w:rPr>
          <w:i/>
        </w:rPr>
        <w:t>Severe, active RA in adults to slow progression of disease associated structural damage in patients at high risk of erosive disease.</w:t>
      </w:r>
    </w:p>
    <w:p w14:paraId="6ADEF606" w14:textId="77777777" w:rsidR="00F82110" w:rsidRPr="00431339" w:rsidRDefault="00F82110" w:rsidP="001B57C6">
      <w:pPr>
        <w:ind w:left="720"/>
      </w:pPr>
      <w:r w:rsidRPr="00431339">
        <w:rPr>
          <w:b/>
          <w:i/>
        </w:rPr>
        <w:t>Psoriatic arthritis</w:t>
      </w:r>
    </w:p>
    <w:p w14:paraId="0691370C" w14:textId="77777777" w:rsidR="00F82110" w:rsidRPr="00431339" w:rsidRDefault="00F82110" w:rsidP="001B57C6">
      <w:pPr>
        <w:ind w:left="720"/>
        <w:rPr>
          <w:i/>
        </w:rPr>
      </w:pPr>
      <w:r w:rsidRPr="00431339">
        <w:rPr>
          <w:i/>
        </w:rPr>
        <w:t xml:space="preserve">The signs and symptoms of active and progressive psoriatic arthritis in adults, when the response to previous disease modifying </w:t>
      </w:r>
      <w:proofErr w:type="spellStart"/>
      <w:r w:rsidRPr="00431339">
        <w:rPr>
          <w:i/>
        </w:rPr>
        <w:t>antirheumatic</w:t>
      </w:r>
      <w:proofErr w:type="spellEnd"/>
      <w:r w:rsidRPr="00431339">
        <w:rPr>
          <w:i/>
        </w:rPr>
        <w:t xml:space="preserve"> therapy has been inadequate. </w:t>
      </w:r>
      <w:proofErr w:type="spellStart"/>
      <w:r w:rsidRPr="00431339">
        <w:rPr>
          <w:i/>
        </w:rPr>
        <w:t>Etanercept</w:t>
      </w:r>
      <w:proofErr w:type="spellEnd"/>
      <w:r w:rsidRPr="00431339">
        <w:rPr>
          <w:i/>
        </w:rPr>
        <w:t xml:space="preserve"> </w:t>
      </w:r>
      <w:proofErr w:type="gramStart"/>
      <w:r w:rsidRPr="00431339">
        <w:rPr>
          <w:i/>
        </w:rPr>
        <w:t>has been shown</w:t>
      </w:r>
      <w:proofErr w:type="gramEnd"/>
      <w:r w:rsidRPr="00431339">
        <w:rPr>
          <w:i/>
        </w:rPr>
        <w:t xml:space="preserve"> to reduce the rate of progression of joint damage as measured by X-ray and to improve physical function.</w:t>
      </w:r>
    </w:p>
    <w:p w14:paraId="0BF98C5F" w14:textId="77777777" w:rsidR="00F82110" w:rsidRPr="00431339" w:rsidRDefault="00F82110" w:rsidP="001B57C6">
      <w:pPr>
        <w:ind w:left="720"/>
      </w:pPr>
      <w:r w:rsidRPr="00431339">
        <w:rPr>
          <w:b/>
          <w:i/>
        </w:rPr>
        <w:t>Plaque psoriasis</w:t>
      </w:r>
    </w:p>
    <w:p w14:paraId="7F8AD726" w14:textId="77777777" w:rsidR="00F82110" w:rsidRPr="00431339" w:rsidRDefault="00F82110" w:rsidP="001B57C6">
      <w:pPr>
        <w:ind w:left="720"/>
        <w:rPr>
          <w:i/>
        </w:rPr>
      </w:pPr>
      <w:r w:rsidRPr="00431339">
        <w:rPr>
          <w:i/>
        </w:rPr>
        <w:t>Adult patients with moderate to severe chronic plaque psoriasis, who are candidates for phototherapy or systemic therapy.</w:t>
      </w:r>
    </w:p>
    <w:p w14:paraId="0C6CC751" w14:textId="77777777" w:rsidR="00F82110" w:rsidRPr="00431339" w:rsidRDefault="00F82110" w:rsidP="001B57C6">
      <w:pPr>
        <w:ind w:left="720"/>
      </w:pPr>
      <w:r w:rsidRPr="00431339">
        <w:rPr>
          <w:b/>
          <w:i/>
        </w:rPr>
        <w:t>Ankylosing spondylitis</w:t>
      </w:r>
    </w:p>
    <w:p w14:paraId="4427214D" w14:textId="77777777" w:rsidR="00F82110" w:rsidRPr="00B23300" w:rsidRDefault="00F82110" w:rsidP="001B57C6">
      <w:pPr>
        <w:ind w:left="720"/>
        <w:rPr>
          <w:i/>
        </w:rPr>
      </w:pPr>
      <w:r w:rsidRPr="00431339">
        <w:rPr>
          <w:i/>
        </w:rPr>
        <w:t>The signs and symptoms of active ankylosing spondylitis (AS)</w:t>
      </w:r>
      <w:r w:rsidRPr="00B23300">
        <w:rPr>
          <w:i/>
        </w:rPr>
        <w:t xml:space="preserve"> in adults.</w:t>
      </w:r>
    </w:p>
    <w:p w14:paraId="2C356DA0" w14:textId="77777777" w:rsidR="00F82110" w:rsidRPr="00431339" w:rsidRDefault="00F82110" w:rsidP="001B57C6">
      <w:pPr>
        <w:ind w:left="720"/>
      </w:pPr>
      <w:r w:rsidRPr="00431339">
        <w:rPr>
          <w:b/>
          <w:i/>
        </w:rPr>
        <w:t xml:space="preserve">Non-radiographic axial </w:t>
      </w:r>
      <w:proofErr w:type="spellStart"/>
      <w:r w:rsidRPr="00431339">
        <w:rPr>
          <w:b/>
          <w:i/>
        </w:rPr>
        <w:t>spondyloarthritis</w:t>
      </w:r>
      <w:proofErr w:type="spellEnd"/>
    </w:p>
    <w:p w14:paraId="18BB671F" w14:textId="77777777" w:rsidR="00F82110" w:rsidRDefault="00F82110" w:rsidP="001B57C6">
      <w:pPr>
        <w:ind w:left="720"/>
        <w:rPr>
          <w:i/>
        </w:rPr>
      </w:pPr>
      <w:r w:rsidRPr="00431339">
        <w:rPr>
          <w:i/>
        </w:rPr>
        <w:t>Treatment of adults with active;</w:t>
      </w:r>
      <w:r>
        <w:rPr>
          <w:i/>
        </w:rPr>
        <w:t>*</w:t>
      </w:r>
      <w:r w:rsidRPr="00B23300">
        <w:rPr>
          <w:i/>
        </w:rPr>
        <w:t xml:space="preserve"> </w:t>
      </w:r>
      <w:r w:rsidRPr="00431339">
        <w:rPr>
          <w:i/>
        </w:rPr>
        <w:t xml:space="preserve">non-radiographic axial </w:t>
      </w:r>
      <w:proofErr w:type="spellStart"/>
      <w:r w:rsidRPr="00431339">
        <w:rPr>
          <w:i/>
        </w:rPr>
        <w:t>spondyloarthritis</w:t>
      </w:r>
      <w:proofErr w:type="spellEnd"/>
      <w:r w:rsidRPr="00431339">
        <w:rPr>
          <w:i/>
        </w:rPr>
        <w:t xml:space="preserve"> (</w:t>
      </w:r>
      <w:proofErr w:type="spellStart"/>
      <w:r w:rsidRPr="00431339">
        <w:rPr>
          <w:i/>
        </w:rPr>
        <w:t>nr</w:t>
      </w:r>
      <w:proofErr w:type="spellEnd"/>
      <w:r w:rsidRPr="00431339">
        <w:rPr>
          <w:i/>
        </w:rPr>
        <w:t xml:space="preserve">-axial </w:t>
      </w:r>
      <w:proofErr w:type="spellStart"/>
      <w:r w:rsidRPr="00431339">
        <w:rPr>
          <w:i/>
        </w:rPr>
        <w:t>SpA</w:t>
      </w:r>
      <w:proofErr w:type="spellEnd"/>
      <w:r w:rsidRPr="00431339">
        <w:rPr>
          <w:i/>
        </w:rPr>
        <w:t>)</w:t>
      </w:r>
      <w:r w:rsidRPr="00B23300">
        <w:rPr>
          <w:i/>
        </w:rPr>
        <w:t xml:space="preserve"> with objective signs of inflammation as indicated by elevated </w:t>
      </w:r>
      <w:r w:rsidRPr="00431339">
        <w:rPr>
          <w:i/>
        </w:rPr>
        <w:t>C-reactive protein (CRP</w:t>
      </w:r>
      <w:r w:rsidRPr="00B23300">
        <w:rPr>
          <w:i/>
        </w:rPr>
        <w:t>) and/</w:t>
      </w:r>
      <w:r w:rsidRPr="00431339">
        <w:rPr>
          <w:i/>
        </w:rPr>
        <w:t>or magnetic resonance imaging (MRI)</w:t>
      </w:r>
      <w:r w:rsidRPr="00B23300">
        <w:rPr>
          <w:i/>
        </w:rPr>
        <w:t xml:space="preserve"> change who have had an inadequate response to </w:t>
      </w:r>
      <w:r w:rsidRPr="00431339">
        <w:rPr>
          <w:i/>
        </w:rPr>
        <w:t>non-steroidal anti-inflammatory drugs (NSAIDs).</w:t>
      </w:r>
    </w:p>
    <w:p w14:paraId="686FDB7D" w14:textId="77777777" w:rsidR="00F82110" w:rsidRPr="00940051" w:rsidRDefault="00F82110" w:rsidP="001B57C6">
      <w:pPr>
        <w:pStyle w:val="ListBullet"/>
        <w:numPr>
          <w:ilvl w:val="0"/>
          <w:numId w:val="0"/>
        </w:numPr>
        <w:ind w:left="720"/>
        <w:rPr>
          <w:i/>
        </w:rPr>
      </w:pPr>
      <w:r w:rsidRPr="00940051">
        <w:rPr>
          <w:i/>
        </w:rPr>
        <w:t xml:space="preserve">* Active disease </w:t>
      </w:r>
      <w:proofErr w:type="gramStart"/>
      <w:r w:rsidRPr="00940051">
        <w:rPr>
          <w:i/>
        </w:rPr>
        <w:t>is defined</w:t>
      </w:r>
      <w:proofErr w:type="gramEnd"/>
      <w:r w:rsidRPr="00940051">
        <w:rPr>
          <w:i/>
        </w:rPr>
        <w:t xml:space="preserve"> as a </w:t>
      </w:r>
      <w:r w:rsidRPr="009D6E99">
        <w:rPr>
          <w:i/>
        </w:rPr>
        <w:t>Bath Ankylosing Spondylitis Disease Activity Index</w:t>
      </w:r>
      <w:r w:rsidRPr="00940051">
        <w:rPr>
          <w:i/>
        </w:rPr>
        <w:t xml:space="preserve"> (BASDAI) score of ≥ 4.</w:t>
      </w:r>
    </w:p>
    <w:p w14:paraId="26443256" w14:textId="77777777" w:rsidR="00F82110" w:rsidRPr="00431339" w:rsidRDefault="00F82110" w:rsidP="001B57C6">
      <w:pPr>
        <w:ind w:left="720"/>
        <w:rPr>
          <w:i/>
        </w:rPr>
      </w:pPr>
      <w:r w:rsidRPr="00431339">
        <w:rPr>
          <w:b/>
          <w:i/>
        </w:rPr>
        <w:t>Children and adolescents</w:t>
      </w:r>
    </w:p>
    <w:p w14:paraId="214BE49C" w14:textId="5C28F0C8" w:rsidR="00F82110" w:rsidRPr="00B23300" w:rsidRDefault="00F82110" w:rsidP="001B57C6">
      <w:pPr>
        <w:ind w:left="720"/>
        <w:rPr>
          <w:i/>
        </w:rPr>
      </w:pPr>
      <w:r w:rsidRPr="00431339">
        <w:rPr>
          <w:i/>
        </w:rPr>
        <w:t xml:space="preserve">Children and adolescents weighing less than 62.5 kg should not receive </w:t>
      </w:r>
      <w:proofErr w:type="spellStart"/>
      <w:r w:rsidRPr="00431339">
        <w:rPr>
          <w:i/>
        </w:rPr>
        <w:t>Rymti</w:t>
      </w:r>
      <w:proofErr w:type="spellEnd"/>
      <w:r w:rsidRPr="00431339">
        <w:rPr>
          <w:i/>
        </w:rPr>
        <w:t xml:space="preserve">, </w:t>
      </w:r>
      <w:proofErr w:type="spellStart"/>
      <w:r w:rsidRPr="00431339">
        <w:rPr>
          <w:i/>
        </w:rPr>
        <w:t>Etera</w:t>
      </w:r>
      <w:proofErr w:type="spellEnd"/>
      <w:r w:rsidRPr="00431339">
        <w:rPr>
          <w:i/>
        </w:rPr>
        <w:t xml:space="preserve">. These patients should be accurately dosed on </w:t>
      </w:r>
      <w:proofErr w:type="gramStart"/>
      <w:r w:rsidRPr="00431339">
        <w:rPr>
          <w:i/>
        </w:rPr>
        <w:t>a</w:t>
      </w:r>
      <w:proofErr w:type="gramEnd"/>
      <w:r w:rsidRPr="00431339">
        <w:rPr>
          <w:i/>
        </w:rPr>
        <w:t xml:space="preserve"> mg/kg basis with other </w:t>
      </w:r>
      <w:proofErr w:type="spellStart"/>
      <w:r w:rsidRPr="00431339">
        <w:rPr>
          <w:i/>
        </w:rPr>
        <w:t>etanercept</w:t>
      </w:r>
      <w:proofErr w:type="spellEnd"/>
      <w:r w:rsidRPr="00431339">
        <w:rPr>
          <w:i/>
        </w:rPr>
        <w:t xml:space="preserve"> products.</w:t>
      </w:r>
      <w:r w:rsidR="00716A5D" w:rsidRPr="00716A5D">
        <w:rPr>
          <w:i/>
          <w:vertAlign w:val="superscript"/>
        </w:rPr>
        <w:fldChar w:fldCharType="begin"/>
      </w:r>
      <w:r w:rsidR="00716A5D" w:rsidRPr="00716A5D">
        <w:rPr>
          <w:i/>
          <w:vertAlign w:val="superscript"/>
        </w:rPr>
        <w:instrText xml:space="preserve"> NOTEREF _Ref58234121 \h </w:instrText>
      </w:r>
      <w:r w:rsidR="00716A5D">
        <w:rPr>
          <w:i/>
          <w:vertAlign w:val="superscript"/>
        </w:rPr>
        <w:instrText xml:space="preserve"> \* MERGEFORMAT </w:instrText>
      </w:r>
      <w:r w:rsidR="00716A5D" w:rsidRPr="00716A5D">
        <w:rPr>
          <w:i/>
          <w:vertAlign w:val="superscript"/>
        </w:rPr>
      </w:r>
      <w:r w:rsidR="00716A5D" w:rsidRPr="00716A5D">
        <w:rPr>
          <w:i/>
          <w:vertAlign w:val="superscript"/>
        </w:rPr>
        <w:fldChar w:fldCharType="separate"/>
      </w:r>
      <w:r w:rsidR="00716A5D" w:rsidRPr="00716A5D">
        <w:rPr>
          <w:i/>
          <w:vertAlign w:val="superscript"/>
        </w:rPr>
        <w:t>2</w:t>
      </w:r>
      <w:r w:rsidR="00716A5D" w:rsidRPr="00716A5D">
        <w:rPr>
          <w:i/>
          <w:vertAlign w:val="superscript"/>
        </w:rPr>
        <w:fldChar w:fldCharType="end"/>
      </w:r>
    </w:p>
    <w:p w14:paraId="778E0691" w14:textId="77777777" w:rsidR="00F82110" w:rsidRPr="00431339" w:rsidRDefault="00F82110" w:rsidP="001B57C6">
      <w:pPr>
        <w:ind w:left="720"/>
      </w:pPr>
      <w:r w:rsidRPr="00431339">
        <w:rPr>
          <w:b/>
          <w:i/>
        </w:rPr>
        <w:t>Juvenile idiopathic arthritis</w:t>
      </w:r>
    </w:p>
    <w:p w14:paraId="1E9ED6F9" w14:textId="77777777" w:rsidR="00F82110" w:rsidRPr="00431339" w:rsidRDefault="00F82110" w:rsidP="001B57C6">
      <w:pPr>
        <w:ind w:left="720"/>
        <w:rPr>
          <w:i/>
        </w:rPr>
      </w:pPr>
      <w:r w:rsidRPr="00431339">
        <w:rPr>
          <w:i/>
        </w:rPr>
        <w:t xml:space="preserve">Active polyarthritis (rheumatoid factor positive or negative) in children and </w:t>
      </w:r>
      <w:proofErr w:type="gramStart"/>
      <w:r w:rsidRPr="00431339">
        <w:rPr>
          <w:i/>
        </w:rPr>
        <w:t>adolescents,</w:t>
      </w:r>
      <w:proofErr w:type="gramEnd"/>
      <w:r w:rsidRPr="00431339">
        <w:rPr>
          <w:i/>
        </w:rPr>
        <w:t xml:space="preserve"> aged two to 17 years, who have had an inadequate response to one or more DMARDs.</w:t>
      </w:r>
    </w:p>
    <w:p w14:paraId="4EA9D052" w14:textId="77777777" w:rsidR="00F82110" w:rsidRPr="00431339" w:rsidRDefault="00F82110" w:rsidP="001B57C6">
      <w:pPr>
        <w:ind w:left="720"/>
        <w:rPr>
          <w:i/>
        </w:rPr>
      </w:pPr>
      <w:r w:rsidRPr="00431339">
        <w:rPr>
          <w:i/>
        </w:rPr>
        <w:t xml:space="preserve">Active extended </w:t>
      </w:r>
      <w:proofErr w:type="spellStart"/>
      <w:r w:rsidRPr="00431339">
        <w:rPr>
          <w:i/>
        </w:rPr>
        <w:t>oligoarthritis</w:t>
      </w:r>
      <w:proofErr w:type="spellEnd"/>
      <w:r w:rsidRPr="00431339">
        <w:rPr>
          <w:i/>
        </w:rPr>
        <w:t xml:space="preserve"> in children and adolescents, aged two to 17 years, who have had an inadequate response to, or who have proved intolerant to, methotrexate.</w:t>
      </w:r>
    </w:p>
    <w:p w14:paraId="63A9A6AA" w14:textId="77777777" w:rsidR="00F82110" w:rsidRPr="00431339" w:rsidRDefault="00F82110" w:rsidP="001B57C6">
      <w:pPr>
        <w:ind w:left="720"/>
        <w:rPr>
          <w:i/>
        </w:rPr>
      </w:pPr>
      <w:r w:rsidRPr="00431339">
        <w:rPr>
          <w:i/>
        </w:rPr>
        <w:t xml:space="preserve">Active </w:t>
      </w:r>
      <w:proofErr w:type="spellStart"/>
      <w:r w:rsidRPr="00431339">
        <w:rPr>
          <w:i/>
        </w:rPr>
        <w:t>enthesitis</w:t>
      </w:r>
      <w:proofErr w:type="spellEnd"/>
      <w:r w:rsidRPr="00431339">
        <w:rPr>
          <w:i/>
        </w:rPr>
        <w:t xml:space="preserve"> related arthritis in adolescents, aged 12 to 17</w:t>
      </w:r>
      <w:r>
        <w:rPr>
          <w:i/>
        </w:rPr>
        <w:t> </w:t>
      </w:r>
      <w:r w:rsidRPr="00431339">
        <w:rPr>
          <w:i/>
        </w:rPr>
        <w:t>years, who have had an inadequate response to, or who have proved intolerant to, conventional therapy.</w:t>
      </w:r>
    </w:p>
    <w:p w14:paraId="7E6BAF88" w14:textId="77777777" w:rsidR="00F82110" w:rsidRPr="00431339" w:rsidRDefault="00F82110" w:rsidP="001B57C6">
      <w:pPr>
        <w:ind w:left="720"/>
        <w:rPr>
          <w:i/>
        </w:rPr>
      </w:pPr>
      <w:r w:rsidRPr="00431339">
        <w:rPr>
          <w:i/>
        </w:rPr>
        <w:t>Active psoriatic arthritis in adolescents, aged 12 to 17 years, who have had an inadequate response to, or who have proved intolerant to, methotrexate.</w:t>
      </w:r>
    </w:p>
    <w:p w14:paraId="0439E434" w14:textId="77777777" w:rsidR="00F82110" w:rsidRPr="00431339" w:rsidRDefault="00F82110" w:rsidP="001B57C6">
      <w:pPr>
        <w:ind w:left="720"/>
        <w:rPr>
          <w:i/>
        </w:rPr>
      </w:pPr>
      <w:proofErr w:type="spellStart"/>
      <w:r w:rsidRPr="00431339">
        <w:rPr>
          <w:i/>
        </w:rPr>
        <w:t>Etanercept</w:t>
      </w:r>
      <w:proofErr w:type="spellEnd"/>
      <w:r w:rsidRPr="00431339">
        <w:rPr>
          <w:i/>
        </w:rPr>
        <w:t xml:space="preserve"> </w:t>
      </w:r>
      <w:proofErr w:type="gramStart"/>
      <w:r w:rsidRPr="00431339">
        <w:rPr>
          <w:i/>
        </w:rPr>
        <w:t>has not been studied</w:t>
      </w:r>
      <w:proofErr w:type="gramEnd"/>
      <w:r w:rsidRPr="00431339">
        <w:rPr>
          <w:i/>
        </w:rPr>
        <w:t xml:space="preserve"> in children aged less than two</w:t>
      </w:r>
      <w:r>
        <w:rPr>
          <w:i/>
        </w:rPr>
        <w:t> </w:t>
      </w:r>
      <w:r w:rsidRPr="00431339">
        <w:rPr>
          <w:i/>
        </w:rPr>
        <w:t>years.</w:t>
      </w:r>
    </w:p>
    <w:p w14:paraId="3BF452AB" w14:textId="77777777" w:rsidR="00F82110" w:rsidRPr="00431339" w:rsidRDefault="00F82110" w:rsidP="001B57C6">
      <w:pPr>
        <w:ind w:left="720"/>
      </w:pPr>
      <w:r w:rsidRPr="00431339">
        <w:rPr>
          <w:b/>
          <w:i/>
        </w:rPr>
        <w:t>Paediatric plaque psoriasis</w:t>
      </w:r>
    </w:p>
    <w:p w14:paraId="4EBD1F81" w14:textId="4532BCEA" w:rsidR="00F82110" w:rsidRPr="00B23300" w:rsidRDefault="00F82110" w:rsidP="001B57C6">
      <w:pPr>
        <w:ind w:left="720"/>
      </w:pPr>
      <w:r w:rsidRPr="00431339">
        <w:rPr>
          <w:i/>
        </w:rPr>
        <w:t xml:space="preserve">Chronic, severe plaque psoriasis in children and adolescents from four to 17 years, who are inadequately controlled by, or are intolerant to, other systemic therapies or phototherapies. Duration of therapy to be no longer than 24 weeks and treatment to </w:t>
      </w:r>
      <w:proofErr w:type="gramStart"/>
      <w:r w:rsidRPr="00431339">
        <w:rPr>
          <w:i/>
        </w:rPr>
        <w:t>be ceased</w:t>
      </w:r>
      <w:proofErr w:type="gramEnd"/>
      <w:r w:rsidRPr="00431339">
        <w:rPr>
          <w:i/>
        </w:rPr>
        <w:t xml:space="preserve"> after 12 weeks if a significant psoriasis area and severity index (PASI)</w:t>
      </w:r>
      <w:r w:rsidRPr="00B23300">
        <w:rPr>
          <w:i/>
        </w:rPr>
        <w:t xml:space="preserve"> response is not achieved.</w:t>
      </w:r>
    </w:p>
    <w:p w14:paraId="3670990F" w14:textId="77777777" w:rsidR="00D23139" w:rsidRPr="00B23300" w:rsidRDefault="00D23139" w:rsidP="00D23139">
      <w:pPr>
        <w:pStyle w:val="Heading4"/>
      </w:pPr>
      <w:r w:rsidRPr="00B23300">
        <w:t>Specific conditions of registration applying to these goods</w:t>
      </w:r>
    </w:p>
    <w:p w14:paraId="30A4C137" w14:textId="49AFB73C" w:rsidR="008F1606" w:rsidRPr="00B23300" w:rsidRDefault="008F1606" w:rsidP="00536C46">
      <w:pPr>
        <w:pStyle w:val="ListBullet"/>
      </w:pPr>
      <w:r w:rsidRPr="00B23300">
        <w:t xml:space="preserve">All batches of </w:t>
      </w:r>
      <w:proofErr w:type="spellStart"/>
      <w:r w:rsidRPr="00B23300">
        <w:t>R</w:t>
      </w:r>
      <w:r w:rsidR="00F15F5B" w:rsidRPr="00B23300">
        <w:t>ymti</w:t>
      </w:r>
      <w:proofErr w:type="spellEnd"/>
      <w:r w:rsidR="00181CFC">
        <w:t>/</w:t>
      </w:r>
      <w:proofErr w:type="spellStart"/>
      <w:r w:rsidRPr="00B23300">
        <w:t>E</w:t>
      </w:r>
      <w:r w:rsidR="00F15F5B" w:rsidRPr="00B23300">
        <w:t>tera</w:t>
      </w:r>
      <w:proofErr w:type="spellEnd"/>
      <w:r w:rsidR="00333EE4" w:rsidRPr="00B23300">
        <w:t xml:space="preserve"> (</w:t>
      </w:r>
      <w:proofErr w:type="spellStart"/>
      <w:r w:rsidR="00333EE4" w:rsidRPr="00B23300">
        <w:t>etanercept</w:t>
      </w:r>
      <w:proofErr w:type="spellEnd"/>
      <w:r w:rsidR="00333EE4" w:rsidRPr="00B23300">
        <w:t xml:space="preserve">) imported into or </w:t>
      </w:r>
      <w:r w:rsidRPr="00B23300">
        <w:t xml:space="preserve">manufactured in Australia must comply with the product details and specifications approved during evaluation and detailed in the </w:t>
      </w:r>
      <w:r w:rsidR="00146217" w:rsidRPr="005E6B60">
        <w:t xml:space="preserve">certified product details </w:t>
      </w:r>
      <w:r w:rsidRPr="005E6B60">
        <w:t>(CPD).</w:t>
      </w:r>
    </w:p>
    <w:p w14:paraId="3B952C47" w14:textId="05BB93C9" w:rsidR="008F1606" w:rsidRPr="005E6B60" w:rsidRDefault="008F1606" w:rsidP="00536C46">
      <w:pPr>
        <w:pStyle w:val="ListBullet"/>
        <w:numPr>
          <w:ilvl w:val="0"/>
          <w:numId w:val="0"/>
        </w:numPr>
        <w:ind w:left="360"/>
      </w:pPr>
      <w:r w:rsidRPr="00B23300">
        <w:t xml:space="preserve">The </w:t>
      </w:r>
      <w:r w:rsidR="00324C32" w:rsidRPr="00B23300">
        <w:t>CPD</w:t>
      </w:r>
      <w:r w:rsidRPr="00B23300">
        <w:t xml:space="preserve">, as described in Guidance 7: </w:t>
      </w:r>
      <w:r w:rsidR="00146217" w:rsidRPr="00B23300">
        <w:t xml:space="preserve">certified product details of the </w:t>
      </w:r>
      <w:r w:rsidR="00146217" w:rsidRPr="005E6B60">
        <w:t xml:space="preserve">Australian regulatory guidelines for prescription medicines </w:t>
      </w:r>
      <w:r w:rsidRPr="005E6B60">
        <w:t>(ARGPM)</w:t>
      </w:r>
      <w:r w:rsidRPr="00B23300">
        <w:t xml:space="preserve"> </w:t>
      </w:r>
      <w:r w:rsidR="00106BE6" w:rsidRPr="00B23300">
        <w:t>(</w:t>
      </w:r>
      <w:r w:rsidRPr="00B23300">
        <w:t>http://www.tga.gov.au/industry/pm-argpm-guidance-7.htm</w:t>
      </w:r>
      <w:r w:rsidR="00106BE6" w:rsidRPr="00B23300">
        <w:t>)</w:t>
      </w:r>
      <w:r w:rsidRPr="00B23300">
        <w:t xml:space="preserve">, in PDF format, for the above products </w:t>
      </w:r>
      <w:proofErr w:type="gramStart"/>
      <w:r w:rsidRPr="00B23300">
        <w:t>should be provided</w:t>
      </w:r>
      <w:proofErr w:type="gramEnd"/>
      <w:r w:rsidRPr="00B23300">
        <w:t xml:space="preserve"> upon registration of these therapeutic goods. In addition, an updated CPD should be provided when</w:t>
      </w:r>
      <w:r w:rsidRPr="005E6B60">
        <w:t xml:space="preserve"> changes to finished product specifications and test methods are approved in a Category 3 application or notified through a </w:t>
      </w:r>
      <w:proofErr w:type="spellStart"/>
      <w:proofErr w:type="gramStart"/>
      <w:r w:rsidRPr="005E6B60">
        <w:t>self</w:t>
      </w:r>
      <w:r w:rsidR="00150E1B" w:rsidRPr="005E6B60">
        <w:t xml:space="preserve"> </w:t>
      </w:r>
      <w:r w:rsidRPr="005E6B60">
        <w:t>assessable</w:t>
      </w:r>
      <w:proofErr w:type="spellEnd"/>
      <w:proofErr w:type="gramEnd"/>
      <w:r w:rsidRPr="005E6B60">
        <w:t xml:space="preserve"> change.</w:t>
      </w:r>
    </w:p>
    <w:p w14:paraId="64D07CB4" w14:textId="4729075D" w:rsidR="008F1606" w:rsidRPr="00B23300" w:rsidRDefault="0073783C" w:rsidP="00536C46">
      <w:pPr>
        <w:pStyle w:val="ListBullet"/>
      </w:pPr>
      <w:r w:rsidRPr="005E6B60">
        <w:t>Up to five</w:t>
      </w:r>
      <w:r w:rsidR="008F1606" w:rsidRPr="005E6B60">
        <w:t xml:space="preserve"> initial batches of </w:t>
      </w:r>
      <w:proofErr w:type="spellStart"/>
      <w:r w:rsidR="008F1606" w:rsidRPr="005E6B60">
        <w:t>R</w:t>
      </w:r>
      <w:r w:rsidR="00F15F5B" w:rsidRPr="005E6B60">
        <w:t>ymti</w:t>
      </w:r>
      <w:proofErr w:type="spellEnd"/>
      <w:r w:rsidR="00181CFC">
        <w:t>/</w:t>
      </w:r>
      <w:proofErr w:type="spellStart"/>
      <w:r w:rsidR="008F1606" w:rsidRPr="005E6B60">
        <w:t>E</w:t>
      </w:r>
      <w:r w:rsidR="00F15F5B" w:rsidRPr="005E6B60">
        <w:t>tera</w:t>
      </w:r>
      <w:proofErr w:type="spellEnd"/>
      <w:r w:rsidR="00333EE4" w:rsidRPr="005E6B60">
        <w:t xml:space="preserve"> (</w:t>
      </w:r>
      <w:proofErr w:type="spellStart"/>
      <w:r w:rsidR="00333EE4" w:rsidRPr="005E6B60">
        <w:t>etanercept</w:t>
      </w:r>
      <w:proofErr w:type="spellEnd"/>
      <w:r w:rsidR="00333EE4" w:rsidRPr="005E6B60">
        <w:t xml:space="preserve">) imported into or </w:t>
      </w:r>
      <w:r w:rsidR="008F1606" w:rsidRPr="005E6B60">
        <w:t xml:space="preserve">manufactured in Australia is not released for sale until samples and/or the manufacturer’s release data have been assessed and endorsed for release by the TGA Laboratories Branch. Outcomes of laboratory testing are published biannually in the TGA </w:t>
      </w:r>
      <w:r w:rsidR="00146217" w:rsidRPr="005E6B60">
        <w:t xml:space="preserve">database of laboratory testing results </w:t>
      </w:r>
      <w:hyperlink r:id="rId22" w:history="1">
        <w:r w:rsidR="008F1606" w:rsidRPr="00B23300">
          <w:rPr>
            <w:rStyle w:val="Hyperlink"/>
            <w:color w:val="auto"/>
            <w:u w:val="none"/>
          </w:rPr>
          <w:t>http://www.tga.gov.au/ws-labs-index</w:t>
        </w:r>
      </w:hyperlink>
      <w:r w:rsidR="008F1606" w:rsidRPr="00B23300">
        <w:t>.</w:t>
      </w:r>
    </w:p>
    <w:p w14:paraId="7A759C95" w14:textId="22D16CF9" w:rsidR="008F1606" w:rsidRPr="00B23300" w:rsidRDefault="008F1606" w:rsidP="00536C46">
      <w:pPr>
        <w:pStyle w:val="ListBullet"/>
        <w:numPr>
          <w:ilvl w:val="0"/>
          <w:numId w:val="0"/>
        </w:numPr>
        <w:ind w:left="360"/>
      </w:pPr>
      <w:r w:rsidRPr="00B23300">
        <w:t xml:space="preserve">This batch release condition will be reviewed and may be modified </w:t>
      </w:r>
      <w:proofErr w:type="gramStart"/>
      <w:r w:rsidRPr="00B23300">
        <w:t>on the basis of</w:t>
      </w:r>
      <w:proofErr w:type="gramEnd"/>
      <w:r w:rsidRPr="00B23300">
        <w:t xml:space="preserve"> actual batch quality and consistency. This condition remains in place until </w:t>
      </w:r>
      <w:r w:rsidR="009B48C6" w:rsidRPr="00B23300">
        <w:t xml:space="preserve">sponsor </w:t>
      </w:r>
      <w:proofErr w:type="gramStart"/>
      <w:r w:rsidRPr="00B23300">
        <w:t>are notified</w:t>
      </w:r>
      <w:proofErr w:type="gramEnd"/>
      <w:r w:rsidRPr="00B23300">
        <w:t xml:space="preserve"> in writing of any variation.</w:t>
      </w:r>
    </w:p>
    <w:p w14:paraId="0D050415" w14:textId="3DAF9FE9" w:rsidR="008F1606" w:rsidRPr="00B23300" w:rsidRDefault="008F1606" w:rsidP="00536C46">
      <w:pPr>
        <w:pStyle w:val="ListBullet"/>
      </w:pPr>
      <w:r w:rsidRPr="00B23300">
        <w:t xml:space="preserve">The following clinical study report </w:t>
      </w:r>
      <w:proofErr w:type="gramStart"/>
      <w:r w:rsidRPr="00B23300">
        <w:t>must be submitted</w:t>
      </w:r>
      <w:proofErr w:type="gramEnd"/>
      <w:r w:rsidRPr="00B23300">
        <w:t xml:space="preserve"> to the TGA, as soon as possible after completion, for evaluat</w:t>
      </w:r>
      <w:r w:rsidR="00E0506F" w:rsidRPr="00B23300">
        <w:t>ion as Category 1</w:t>
      </w:r>
      <w:r w:rsidR="00CE7A26" w:rsidRPr="00B23300">
        <w:t xml:space="preserve"> submission: S</w:t>
      </w:r>
      <w:r w:rsidRPr="00B23300">
        <w:t>tudy CTRI/2019/01/016851</w:t>
      </w:r>
      <w:r w:rsidR="000E087A" w:rsidRPr="00B23300">
        <w:t>.</w:t>
      </w:r>
    </w:p>
    <w:p w14:paraId="147A482A" w14:textId="4FFBEB1D" w:rsidR="008F1606" w:rsidRPr="00B23300" w:rsidRDefault="008F1606" w:rsidP="00536C46">
      <w:pPr>
        <w:pStyle w:val="ListBullet"/>
      </w:pPr>
      <w:r w:rsidRPr="00B23300">
        <w:t xml:space="preserve">The </w:t>
      </w:r>
      <w:proofErr w:type="spellStart"/>
      <w:r w:rsidRPr="00B23300">
        <w:t>etanercept</w:t>
      </w:r>
      <w:proofErr w:type="spellEnd"/>
      <w:r w:rsidRPr="00B23300">
        <w:t xml:space="preserve"> EU-RMP (version 0.4, dated 20 June 2019, data lock point 29 May 2019), with </w:t>
      </w:r>
      <w:r w:rsidR="00146217" w:rsidRPr="00B23300">
        <w:t xml:space="preserve">Australian specific annex </w:t>
      </w:r>
      <w:r w:rsidRPr="00B23300">
        <w:t>(version 0.3, dated 21 August 2019), included with submission PM-2018-03223-1-3, and any subsequent revisions, as agreed with the TA will be implemented in Australia.</w:t>
      </w:r>
    </w:p>
    <w:p w14:paraId="322F1F04" w14:textId="5A3718C0" w:rsidR="008F1606" w:rsidRPr="00B23300" w:rsidRDefault="008F1606" w:rsidP="00536C46">
      <w:pPr>
        <w:pStyle w:val="ListBullet"/>
        <w:numPr>
          <w:ilvl w:val="0"/>
          <w:numId w:val="0"/>
        </w:numPr>
        <w:ind w:left="360"/>
      </w:pPr>
      <w:r w:rsidRPr="00B23300">
        <w:t>An obligatory component of risk management plan</w:t>
      </w:r>
      <w:r w:rsidR="00146217" w:rsidRPr="00B23300">
        <w:t xml:space="preserve">s is routine pharmacovigilance. </w:t>
      </w:r>
      <w:r w:rsidRPr="00B23300">
        <w:t xml:space="preserve">Routine pharmacovigilance includes the submission of </w:t>
      </w:r>
      <w:r w:rsidRPr="00431339">
        <w:t>periodic safety update reports (PSURs).</w:t>
      </w:r>
    </w:p>
    <w:p w14:paraId="54C5B94A" w14:textId="77777777" w:rsidR="008F1606" w:rsidRPr="00431339" w:rsidRDefault="008F1606" w:rsidP="00536C46">
      <w:pPr>
        <w:pStyle w:val="ListBullet"/>
        <w:numPr>
          <w:ilvl w:val="0"/>
          <w:numId w:val="0"/>
        </w:numPr>
        <w:ind w:left="360"/>
      </w:pPr>
      <w:r w:rsidRPr="00B23300">
        <w:t xml:space="preserve">Reports are to </w:t>
      </w:r>
      <w:proofErr w:type="gramStart"/>
      <w:r w:rsidRPr="00B23300">
        <w:t>be provided</w:t>
      </w:r>
      <w:proofErr w:type="gramEnd"/>
      <w:r w:rsidRPr="00B23300">
        <w:t xml:space="preserve"> in line with the current published list of EU reference dates and frequency of submission of PSURs until the period covered by such reports is not less than three years from the date of this approval letter.</w:t>
      </w:r>
    </w:p>
    <w:p w14:paraId="406227BF" w14:textId="278B5604" w:rsidR="008F1606" w:rsidRPr="00431339" w:rsidRDefault="008F1606" w:rsidP="00536C46">
      <w:pPr>
        <w:pStyle w:val="ListBullet"/>
        <w:numPr>
          <w:ilvl w:val="0"/>
          <w:numId w:val="0"/>
        </w:numPr>
        <w:ind w:left="360"/>
      </w:pPr>
      <w:r w:rsidRPr="00431339">
        <w:t xml:space="preserve">The reports are </w:t>
      </w:r>
      <w:proofErr w:type="gramStart"/>
      <w:r w:rsidRPr="00431339">
        <w:t>to at least meet</w:t>
      </w:r>
      <w:proofErr w:type="gramEnd"/>
      <w:r w:rsidRPr="00431339">
        <w:t xml:space="preserve"> the requirements for PSURs as described in the </w:t>
      </w:r>
      <w:r w:rsidR="009528C5" w:rsidRPr="00431339">
        <w:t>EMA</w:t>
      </w:r>
      <w:r w:rsidR="00146217" w:rsidRPr="00431339">
        <w:t xml:space="preserve">’s guideline </w:t>
      </w:r>
      <w:r w:rsidR="00440D46" w:rsidRPr="00431339">
        <w:t>on Good Pharmacovigilance P</w:t>
      </w:r>
      <w:r w:rsidRPr="00431339">
        <w:t>ractices (GVP)</w:t>
      </w:r>
      <w:r w:rsidRPr="00B23300">
        <w:t xml:space="preserve"> Module VII</w:t>
      </w:r>
      <w:r w:rsidR="00150E1B" w:rsidRPr="00B23300">
        <w:t xml:space="preserve"> </w:t>
      </w:r>
      <w:r w:rsidRPr="00B23300">
        <w:t xml:space="preserve">periodic safety update report (Rev 1), Part VII.B </w:t>
      </w:r>
      <w:r w:rsidR="00146217" w:rsidRPr="00B23300">
        <w:t>structures and processes</w:t>
      </w:r>
      <w:r w:rsidRPr="00B23300">
        <w:t>. Note that submission of a PSUR does not constitute an application to vary the registration.</w:t>
      </w:r>
    </w:p>
    <w:p w14:paraId="347A8D9B" w14:textId="6DB892E3" w:rsidR="008E7846" w:rsidRPr="00431339" w:rsidRDefault="00A80B5B" w:rsidP="00D23139">
      <w:pPr>
        <w:pStyle w:val="Heading2"/>
      </w:pPr>
      <w:bookmarkStart w:id="77" w:name="_Toc66284496"/>
      <w:r w:rsidRPr="00431339">
        <w:t xml:space="preserve">Attachment 1. </w:t>
      </w:r>
      <w:r w:rsidR="008E7846" w:rsidRPr="00431339">
        <w:t xml:space="preserve">Product </w:t>
      </w:r>
      <w:r w:rsidR="00AA0ED0" w:rsidRPr="00431339">
        <w:t>I</w:t>
      </w:r>
      <w:r w:rsidR="008E7846" w:rsidRPr="00431339">
        <w:t>nformation</w:t>
      </w:r>
      <w:bookmarkEnd w:id="75"/>
      <w:bookmarkEnd w:id="76"/>
      <w:bookmarkEnd w:id="77"/>
    </w:p>
    <w:p w14:paraId="5C974966" w14:textId="0BC7DF46" w:rsidR="00C80137" w:rsidRPr="00B23300" w:rsidRDefault="006136D7" w:rsidP="005F2CB7">
      <w:pPr>
        <w:sectPr w:rsidR="00C80137" w:rsidRPr="00B23300" w:rsidSect="00B452CE">
          <w:headerReference w:type="even" r:id="rId23"/>
          <w:headerReference w:type="default" r:id="rId24"/>
          <w:headerReference w:type="first" r:id="rId25"/>
          <w:footerReference w:type="first" r:id="rId26"/>
          <w:pgSz w:w="11906" w:h="16838" w:code="9"/>
          <w:pgMar w:top="834" w:right="1701" w:bottom="1191" w:left="1701" w:header="907" w:footer="216" w:gutter="0"/>
          <w:cols w:space="708"/>
          <w:docGrid w:linePitch="360"/>
        </w:sectPr>
      </w:pPr>
      <w:r w:rsidRPr="00431339">
        <w:t xml:space="preserve">The PI for </w:t>
      </w:r>
      <w:proofErr w:type="spellStart"/>
      <w:r w:rsidR="00993B0E" w:rsidRPr="00431339">
        <w:t>Rymti</w:t>
      </w:r>
      <w:proofErr w:type="spellEnd"/>
      <w:r w:rsidR="00993B0E">
        <w:t xml:space="preserve"> </w:t>
      </w:r>
      <w:r w:rsidRPr="00431339">
        <w:t xml:space="preserve">approved with the </w:t>
      </w:r>
      <w:proofErr w:type="gramStart"/>
      <w:r w:rsidRPr="00431339">
        <w:t xml:space="preserve">submission which is described in this </w:t>
      </w:r>
      <w:proofErr w:type="spellStart"/>
      <w:r w:rsidRPr="00431339">
        <w:t>AusPAR</w:t>
      </w:r>
      <w:proofErr w:type="spellEnd"/>
      <w:proofErr w:type="gramEnd"/>
      <w:r w:rsidRPr="00431339">
        <w:t xml:space="preserve"> is at Attachment 1. For the most recent </w:t>
      </w:r>
      <w:r w:rsidRPr="005E6B60">
        <w:t xml:space="preserve">PI, please refer to the TGA website at </w:t>
      </w:r>
      <w:r w:rsidR="007C6B9B" w:rsidRPr="005E6B60">
        <w:t>&lt;</w:t>
      </w:r>
      <w:hyperlink r:id="rId27" w:history="1">
        <w:r w:rsidR="007C6B9B" w:rsidRPr="00B23300">
          <w:rPr>
            <w:rStyle w:val="Hyperlink"/>
          </w:rPr>
          <w:t>https://www.tga.gov.au/product-information-pi</w:t>
        </w:r>
      </w:hyperlink>
      <w:r w:rsidR="007C6B9B" w:rsidRPr="00B23300">
        <w:t xml:space="preserve">&gt;. </w:t>
      </w:r>
      <w:r w:rsidRPr="00B23300">
        <w:t xml:space="preserve">The PI for </w:t>
      </w:r>
      <w:proofErr w:type="spellStart"/>
      <w:r w:rsidR="00993B0E" w:rsidRPr="00B23300">
        <w:t>Etera</w:t>
      </w:r>
      <w:proofErr w:type="spellEnd"/>
      <w:r w:rsidR="00993B0E" w:rsidRPr="00B23300">
        <w:t xml:space="preserve"> </w:t>
      </w:r>
      <w:r w:rsidRPr="00B23300">
        <w:t>is identical except for the product name.</w:t>
      </w: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B23300" w14:paraId="002E7F2E" w14:textId="77777777" w:rsidTr="00A05FA4">
        <w:trPr>
          <w:trHeight w:hRule="exact" w:val="704"/>
        </w:trPr>
        <w:tc>
          <w:tcPr>
            <w:tcW w:w="9175" w:type="dxa"/>
          </w:tcPr>
          <w:p w14:paraId="32E7C2F2" w14:textId="77777777" w:rsidR="001C32CD" w:rsidRPr="00B23300" w:rsidRDefault="001C32CD" w:rsidP="00A05FA4">
            <w:pPr>
              <w:pStyle w:val="TGASignoff"/>
            </w:pPr>
            <w:r w:rsidRPr="00B23300">
              <w:t>Therapeutic Goods Administration</w:t>
            </w:r>
          </w:p>
        </w:tc>
      </w:tr>
      <w:tr w:rsidR="001C32CD" w:rsidRPr="004C239D" w14:paraId="7A20186F" w14:textId="77777777" w:rsidTr="00A05FA4">
        <w:trPr>
          <w:trHeight w:val="1221"/>
        </w:trPr>
        <w:tc>
          <w:tcPr>
            <w:tcW w:w="9175" w:type="dxa"/>
            <w:tcMar>
              <w:top w:w="28" w:type="dxa"/>
            </w:tcMar>
          </w:tcPr>
          <w:p w14:paraId="12D1C335" w14:textId="77777777" w:rsidR="001C32CD" w:rsidRPr="00B23300" w:rsidRDefault="001C32CD" w:rsidP="00A05FA4">
            <w:pPr>
              <w:pStyle w:val="Address"/>
            </w:pPr>
            <w:r w:rsidRPr="00B23300">
              <w:t>PO Box 100 Woden ACT 2606 Australia</w:t>
            </w:r>
          </w:p>
          <w:p w14:paraId="143A8447" w14:textId="77777777" w:rsidR="001C32CD" w:rsidRPr="00B23300" w:rsidRDefault="001C32CD" w:rsidP="00A05FA4">
            <w:pPr>
              <w:pStyle w:val="Address"/>
            </w:pPr>
            <w:r w:rsidRPr="00B23300">
              <w:t xml:space="preserve">Email: </w:t>
            </w:r>
            <w:hyperlink r:id="rId28" w:history="1">
              <w:r w:rsidRPr="00B23300">
                <w:rPr>
                  <w:rStyle w:val="Hyperlink"/>
                </w:rPr>
                <w:t>info@tga.gov.au</w:t>
              </w:r>
            </w:hyperlink>
            <w:r w:rsidRPr="00B23300">
              <w:t xml:space="preserve">  Phone: 1800 020 653  Fax: 02 6232 8605</w:t>
            </w:r>
          </w:p>
          <w:p w14:paraId="23F1463B" w14:textId="77777777" w:rsidR="001C32CD" w:rsidRPr="004C239D" w:rsidRDefault="00DA266F" w:rsidP="00A05FA4">
            <w:pPr>
              <w:pStyle w:val="Address"/>
              <w:spacing w:line="260" w:lineRule="atLeast"/>
              <w:rPr>
                <w:b/>
                <w:color w:val="0000FF"/>
                <w:u w:val="single"/>
              </w:rPr>
            </w:pPr>
            <w:hyperlink r:id="rId29" w:history="1">
              <w:r w:rsidR="007C6B9B" w:rsidRPr="00B23300">
                <w:rPr>
                  <w:rStyle w:val="Hyperlink"/>
                  <w:b/>
                </w:rPr>
                <w:t>https://www.tga.gov.au</w:t>
              </w:r>
            </w:hyperlink>
          </w:p>
        </w:tc>
      </w:tr>
    </w:tbl>
    <w:p w14:paraId="3C5645EC" w14:textId="77777777" w:rsidR="00774E1D" w:rsidRPr="008A5E0B" w:rsidRDefault="00774E1D" w:rsidP="004C239D"/>
    <w:sectPr w:rsidR="00774E1D" w:rsidRPr="008A5E0B" w:rsidSect="001C32CD">
      <w:headerReference w:type="even" r:id="rId30"/>
      <w:headerReference w:type="default" r:id="rId31"/>
      <w:footerReference w:type="default" r:id="rId32"/>
      <w:headerReference w:type="first" r:id="rId33"/>
      <w:footerReference w:type="first" r:id="rId34"/>
      <w:pgSz w:w="11906" w:h="16838" w:code="9"/>
      <w:pgMar w:top="13467" w:right="1701" w:bottom="426" w:left="1701" w:header="907" w:footer="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7390F" w16cex:dateUtc="2021-01-11T15:22:00Z"/>
  <w16cex:commentExtensible w16cex:durableId="23A73B01" w16cex:dateUtc="2021-01-11T15:30:00Z"/>
  <w16cex:commentExtensible w16cex:durableId="23A7388A" w16cex:dateUtc="2021-01-11T15:20:00Z"/>
  <w16cex:commentExtensible w16cex:durableId="23A73F02" w16cex:dateUtc="2021-01-11T15:47:00Z"/>
  <w16cex:commentExtensible w16cex:durableId="23A7412F" w16cex:dateUtc="2021-01-11T15:57:00Z"/>
  <w16cex:commentExtensible w16cex:durableId="23A980EC" w16cex:dateUtc="2021-01-13T08:53:00Z"/>
  <w16cex:commentExtensible w16cex:durableId="23A98218" w16cex:dateUtc="2021-01-13T08:58:00Z"/>
  <w16cex:commentExtensible w16cex:durableId="23A9ADED" w16cex:dateUtc="2021-01-13T12:05:00Z"/>
  <w16cex:commentExtensible w16cex:durableId="23A9827B" w16cex:dateUtc="2021-01-13T09:00:00Z"/>
  <w16cex:commentExtensible w16cex:durableId="23A98310" w16cex:dateUtc="2021-01-13T09:02:00Z"/>
  <w16cex:commentExtensible w16cex:durableId="23A74DFA" w16cex:dateUtc="2021-01-11T16:51:00Z"/>
  <w16cex:commentExtensible w16cex:durableId="23A745F7" w16cex:dateUtc="2021-01-11T16:17:00Z"/>
  <w16cex:commentExtensible w16cex:durableId="23A74824" w16cex:dateUtc="2021-01-11T16:26:00Z"/>
  <w16cex:commentExtensible w16cex:durableId="23A74AF6" w16cex:dateUtc="2021-01-11T16: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D8985F4" w16cid:durableId="23A7390F"/>
  <w16cid:commentId w16cid:paraId="1E00053A" w16cid:durableId="23A73B01"/>
  <w16cid:commentId w16cid:paraId="561D24F5" w16cid:durableId="23A7388A"/>
  <w16cid:commentId w16cid:paraId="55C1C14F" w16cid:durableId="23A73F02"/>
  <w16cid:commentId w16cid:paraId="137B56EA" w16cid:durableId="23A7412F"/>
  <w16cid:commentId w16cid:paraId="4811BCCF" w16cid:durableId="23A980EC"/>
  <w16cid:commentId w16cid:paraId="6D37EA71" w16cid:durableId="23A98218"/>
  <w16cid:commentId w16cid:paraId="174BB83D" w16cid:durableId="23A9ADED"/>
  <w16cid:commentId w16cid:paraId="71A4ECDB" w16cid:durableId="23A9827B"/>
  <w16cid:commentId w16cid:paraId="64C35DF6" w16cid:durableId="23A98310"/>
  <w16cid:commentId w16cid:paraId="2B7F7828" w16cid:durableId="23A74DFA"/>
  <w16cid:commentId w16cid:paraId="296BC092" w16cid:durableId="23A745F7"/>
  <w16cid:commentId w16cid:paraId="578F3B48" w16cid:durableId="23A74824"/>
  <w16cid:commentId w16cid:paraId="6B21FC58" w16cid:durableId="23A74AF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1E86CC" w14:textId="77777777" w:rsidR="00A60BD0" w:rsidRDefault="00A60BD0" w:rsidP="00C40A36">
      <w:pPr>
        <w:spacing w:after="0"/>
      </w:pPr>
      <w:r>
        <w:separator/>
      </w:r>
    </w:p>
  </w:endnote>
  <w:endnote w:type="continuationSeparator" w:id="0">
    <w:p w14:paraId="1175F1A8" w14:textId="77777777" w:rsidR="00A60BD0" w:rsidRDefault="00A60BD0"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
    <w:panose1 w:val="020B0604020202030204"/>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MS Minngs">
    <w:altName w:val="Arial Unicode MS"/>
    <w:panose1 w:val="00000000000000000000"/>
    <w:charset w:val="80"/>
    <w:family w:val="roman"/>
    <w:notTrueType/>
    <w:pitch w:val="fixed"/>
    <w:sig w:usb0="00000001" w:usb1="08070000" w:usb2="00000010" w:usb3="00000000" w:csb0="00020000" w:csb1="00000000"/>
  </w:font>
  <w:font w:name="Wingdings 3">
    <w:panose1 w:val="05040102010807070707"/>
    <w:charset w:val="02"/>
    <w:family w:val="roman"/>
    <w:pitch w:val="variable"/>
    <w:sig w:usb0="00000000" w:usb1="10000000" w:usb2="00000000" w:usb3="00000000" w:csb0="80000000" w:csb1="00000000"/>
  </w:font>
  <w:font w:name="MS ??">
    <w:altName w:val="MS Mincho"/>
    <w:panose1 w:val="00000000000000000000"/>
    <w:charset w:val="80"/>
    <w:family w:val="auto"/>
    <w:notTrueType/>
    <w:pitch w:val="variable"/>
    <w:sig w:usb0="00000001" w:usb1="08070000" w:usb2="00000010" w:usb3="00000000" w:csb0="00020000" w:csb1="00000000"/>
  </w:font>
  <w:font w:name="TimesNewRomanPSMT">
    <w:altName w:val="Yu Gothic"/>
    <w:panose1 w:val="00000000000000000000"/>
    <w:charset w:val="00"/>
    <w:family w:val="roman"/>
    <w:notTrueType/>
    <w:pitch w:val="default"/>
    <w:sig w:usb0="00000083" w:usb1="08070000" w:usb2="00000010" w:usb3="00000000" w:csb0="00020009"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371"/>
      <w:gridCol w:w="1490"/>
    </w:tblGrid>
    <w:tr w:rsidR="00A60BD0" w:rsidRPr="00487162" w14:paraId="68012AE9" w14:textId="77777777" w:rsidTr="00DB750B">
      <w:trPr>
        <w:trHeight w:val="269"/>
      </w:trPr>
      <w:tc>
        <w:tcPr>
          <w:tcW w:w="7371" w:type="dxa"/>
          <w:tcMar>
            <w:top w:w="142" w:type="dxa"/>
            <w:bottom w:w="0" w:type="dxa"/>
          </w:tcMar>
        </w:tcPr>
        <w:p w14:paraId="1613BE6C" w14:textId="38079261" w:rsidR="00A60BD0" w:rsidRPr="00487162" w:rsidRDefault="00A60BD0" w:rsidP="00BE4865">
          <w:pPr>
            <w:pStyle w:val="Footer"/>
          </w:pPr>
          <w:proofErr w:type="spellStart"/>
          <w:r w:rsidRPr="00487162">
            <w:t>AusPA</w:t>
          </w:r>
          <w:r>
            <w:t>R</w:t>
          </w:r>
          <w:proofErr w:type="spellEnd"/>
          <w:r>
            <w:t xml:space="preserve"> - </w:t>
          </w:r>
          <w:proofErr w:type="spellStart"/>
          <w:r>
            <w:t>Rymti</w:t>
          </w:r>
          <w:proofErr w:type="spellEnd"/>
          <w:r>
            <w:t>/</w:t>
          </w:r>
          <w:proofErr w:type="spellStart"/>
          <w:r w:rsidRPr="00CC0765">
            <w:t>Etera</w:t>
          </w:r>
          <w:proofErr w:type="spellEnd"/>
          <w:r w:rsidRPr="00CC0765">
            <w:t xml:space="preserve"> </w:t>
          </w:r>
          <w:r>
            <w:t>-</w:t>
          </w:r>
          <w:r w:rsidRPr="00460036">
            <w:t xml:space="preserve"> </w:t>
          </w:r>
          <w:proofErr w:type="spellStart"/>
          <w:r w:rsidR="004D0378">
            <w:t>e</w:t>
          </w:r>
          <w:r w:rsidRPr="00CC0765">
            <w:t>tanercept</w:t>
          </w:r>
          <w:proofErr w:type="spellEnd"/>
          <w:r w:rsidRPr="00CC0765">
            <w:t xml:space="preserve"> </w:t>
          </w:r>
          <w:r>
            <w:t xml:space="preserve">- </w:t>
          </w:r>
          <w:r w:rsidRPr="00CC0765">
            <w:t>Lupin Australia Pty Ltd</w:t>
          </w:r>
          <w:r>
            <w:t xml:space="preserve"> - PM-2018</w:t>
          </w:r>
          <w:r w:rsidRPr="00487162">
            <w:t>-</w:t>
          </w:r>
          <w:r>
            <w:t>03223-1-3</w:t>
          </w:r>
          <w:r>
            <w:br/>
            <w:t>FINAL</w:t>
          </w:r>
          <w:r w:rsidRPr="00487162">
            <w:t xml:space="preserve"> </w:t>
          </w:r>
          <w:r>
            <w:t>24 February 2021</w:t>
          </w:r>
        </w:p>
      </w:tc>
      <w:tc>
        <w:tcPr>
          <w:tcW w:w="1490" w:type="dxa"/>
          <w:tcMar>
            <w:top w:w="142" w:type="dxa"/>
            <w:bottom w:w="0" w:type="dxa"/>
          </w:tcMar>
        </w:tcPr>
        <w:p w14:paraId="0E7CE245" w14:textId="3245B90D" w:rsidR="00A60BD0" w:rsidRPr="00487162" w:rsidRDefault="00A60BD0" w:rsidP="00DB750B">
          <w:pPr>
            <w:pStyle w:val="Footer"/>
            <w:jc w:val="right"/>
          </w:pPr>
          <w:r w:rsidRPr="00487162">
            <w:t xml:space="preserve">Page </w:t>
          </w:r>
          <w:r>
            <w:fldChar w:fldCharType="begin"/>
          </w:r>
          <w:r>
            <w:instrText xml:space="preserve"> PAGE  \* Arabic </w:instrText>
          </w:r>
          <w:r>
            <w:fldChar w:fldCharType="separate"/>
          </w:r>
          <w:r w:rsidR="00DA266F">
            <w:rPr>
              <w:noProof/>
            </w:rPr>
            <w:t>20</w:t>
          </w:r>
          <w:r>
            <w:fldChar w:fldCharType="end"/>
          </w:r>
          <w:r w:rsidRPr="00487162">
            <w:t xml:space="preserve"> of </w:t>
          </w:r>
          <w:fldSimple w:instr=" NUMPAGES  \* Arabic ">
            <w:r w:rsidR="00DA266F">
              <w:rPr>
                <w:noProof/>
              </w:rPr>
              <w:t>41</w:t>
            </w:r>
          </w:fldSimple>
        </w:p>
      </w:tc>
    </w:tr>
  </w:tbl>
  <w:p w14:paraId="0FD80F2E" w14:textId="77777777" w:rsidR="00A60BD0" w:rsidRDefault="00A60BD0" w:rsidP="003D1E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A60BD0" w:rsidRPr="00487162" w14:paraId="63E67C2E" w14:textId="77777777" w:rsidTr="00E45619">
      <w:trPr>
        <w:trHeight w:val="269"/>
      </w:trPr>
      <w:tc>
        <w:tcPr>
          <w:tcW w:w="4519" w:type="dxa"/>
          <w:tcBorders>
            <w:top w:val="single" w:sz="4" w:space="0" w:color="auto"/>
          </w:tcBorders>
          <w:tcMar>
            <w:top w:w="142" w:type="dxa"/>
            <w:bottom w:w="0" w:type="dxa"/>
          </w:tcMar>
        </w:tcPr>
        <w:p w14:paraId="22180CB0" w14:textId="77777777" w:rsidR="00A60BD0" w:rsidRPr="00487162" w:rsidRDefault="00A60BD0" w:rsidP="00FE1DEE">
          <w:pPr>
            <w:pStyle w:val="Footer"/>
          </w:pPr>
          <w:r w:rsidRPr="00487162">
            <w:t>Document title, Part #, Section # - Section title</w:t>
          </w:r>
        </w:p>
        <w:p w14:paraId="0FAB93AF" w14:textId="77777777" w:rsidR="00A60BD0" w:rsidRPr="00487162" w:rsidRDefault="00A60BD0" w:rsidP="00FE1DEE">
          <w:pPr>
            <w:pStyle w:val="Footer"/>
          </w:pPr>
          <w:r w:rsidRPr="00487162">
            <w:t>V1.0 October 2010</w:t>
          </w:r>
        </w:p>
      </w:tc>
      <w:tc>
        <w:tcPr>
          <w:tcW w:w="4342" w:type="dxa"/>
          <w:tcBorders>
            <w:top w:val="single" w:sz="4" w:space="0" w:color="auto"/>
          </w:tcBorders>
          <w:tcMar>
            <w:top w:w="142" w:type="dxa"/>
            <w:bottom w:w="0" w:type="dxa"/>
          </w:tcMar>
        </w:tcPr>
        <w:p w14:paraId="444D4896" w14:textId="076D412A" w:rsidR="00A60BD0" w:rsidRPr="00487162" w:rsidRDefault="00A60BD0" w:rsidP="00E45619">
          <w:pPr>
            <w:pStyle w:val="Footer"/>
            <w:jc w:val="right"/>
          </w:pPr>
          <w:r w:rsidRPr="00487162">
            <w:t xml:space="preserve">Page </w:t>
          </w:r>
          <w:r>
            <w:fldChar w:fldCharType="begin"/>
          </w:r>
          <w:r>
            <w:instrText xml:space="preserve"> PAGE   \* MERGEFORMAT </w:instrText>
          </w:r>
          <w:r>
            <w:fldChar w:fldCharType="separate"/>
          </w:r>
          <w:r>
            <w:rPr>
              <w:noProof/>
            </w:rPr>
            <w:t>i</w:t>
          </w:r>
          <w:r>
            <w:rPr>
              <w:noProof/>
            </w:rPr>
            <w:fldChar w:fldCharType="end"/>
          </w:r>
          <w:r w:rsidRPr="00487162">
            <w:t xml:space="preserve"> of </w:t>
          </w:r>
          <w:fldSimple w:instr=" NUMPAGES  ">
            <w:r>
              <w:rPr>
                <w:noProof/>
              </w:rPr>
              <w:t>43</w:t>
            </w:r>
          </w:fldSimple>
        </w:p>
      </w:tc>
    </w:tr>
  </w:tbl>
  <w:p w14:paraId="1C36DAD0" w14:textId="77777777" w:rsidR="00A60BD0" w:rsidRDefault="00A60B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FE1F0" w14:textId="77777777" w:rsidR="00A60BD0" w:rsidRPr="001C32CD" w:rsidRDefault="00A60BD0" w:rsidP="001C32C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A60BD0" w14:paraId="188F7463" w14:textId="77777777" w:rsidTr="0010601F">
      <w:trPr>
        <w:trHeight w:val="108"/>
      </w:trPr>
      <w:tc>
        <w:tcPr>
          <w:tcW w:w="8875" w:type="dxa"/>
          <w:gridSpan w:val="2"/>
          <w:tcBorders>
            <w:bottom w:val="single" w:sz="4" w:space="0" w:color="auto"/>
          </w:tcBorders>
          <w:tcMar>
            <w:right w:w="284" w:type="dxa"/>
          </w:tcMar>
        </w:tcPr>
        <w:p w14:paraId="2459BA2D" w14:textId="77777777" w:rsidR="00A60BD0" w:rsidRDefault="00A60BD0" w:rsidP="006E08B3">
          <w:pPr>
            <w:pStyle w:val="Heading3"/>
          </w:pPr>
          <w:r>
            <w:t>Copyright</w:t>
          </w:r>
        </w:p>
        <w:p w14:paraId="214809BF" w14:textId="77777777" w:rsidR="00A60BD0" w:rsidRDefault="00A60BD0" w:rsidP="006E08B3">
          <w:r>
            <w:rPr>
              <w:rFonts w:cs="Arial"/>
            </w:rPr>
            <w:t>©</w:t>
          </w:r>
          <w:r>
            <w:t xml:space="preserve"> Commonwealth of Australia [add year]</w:t>
          </w:r>
        </w:p>
        <w:p w14:paraId="63AA9D1B" w14:textId="77777777" w:rsidR="00A60BD0" w:rsidRDefault="00A60BD0" w:rsidP="006E08B3"/>
        <w:p w14:paraId="235A01E8" w14:textId="77777777" w:rsidR="00A60BD0" w:rsidRDefault="00A60BD0"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14:paraId="4F07E6BD" w14:textId="77777777" w:rsidR="00A60BD0" w:rsidRDefault="00A60BD0" w:rsidP="006E08B3"/>
        <w:p w14:paraId="7D2BC91B" w14:textId="77777777" w:rsidR="00A60BD0" w:rsidRDefault="00A60BD0" w:rsidP="006E08B3">
          <w:pPr>
            <w:pStyle w:val="Heading3"/>
          </w:pPr>
          <w:r>
            <w:t>Confidentiality</w:t>
          </w:r>
        </w:p>
        <w:p w14:paraId="13CF18F5" w14:textId="77777777" w:rsidR="00A60BD0" w:rsidRDefault="00A60BD0" w:rsidP="006E08B3">
          <w:r>
            <w:t xml:space="preserve">All submissions received </w:t>
          </w:r>
          <w:proofErr w:type="gramStart"/>
          <w:r>
            <w:t>will be placed</w:t>
          </w:r>
          <w:proofErr w:type="gramEnd"/>
          <w:r>
            <w:t xml:space="preserve"> on the TGA’s Internet site, unless marked confidential. Any confidential material contained within your submission </w:t>
          </w:r>
          <w:proofErr w:type="gramStart"/>
          <w:r>
            <w:t>should be provided</w:t>
          </w:r>
          <w:proofErr w:type="gramEnd"/>
          <w:r>
            <w:t xml:space="preserve"> under a separate cover and clearly marked “IN CONFIDENCE”. Reasons for a claim to confidentiality must be included in the space provided on the TGA submission coversheet.</w:t>
          </w:r>
        </w:p>
        <w:p w14:paraId="0AFD2422" w14:textId="77777777" w:rsidR="00A60BD0" w:rsidRDefault="00A60BD0" w:rsidP="006E08B3"/>
        <w:p w14:paraId="2C5FD783" w14:textId="77777777" w:rsidR="00A60BD0" w:rsidRDefault="00A60BD0" w:rsidP="006E08B3">
          <w:r>
            <w:t xml:space="preserve">For submission made by individuals, all personal details, other than your name, </w:t>
          </w:r>
          <w:proofErr w:type="gramStart"/>
          <w:r>
            <w:t>will be removed</w:t>
          </w:r>
          <w:proofErr w:type="gramEnd"/>
          <w:r>
            <w:t xml:space="preserve"> from your submission before it is published on the TGA’s Internet site.</w:t>
          </w:r>
        </w:p>
        <w:p w14:paraId="73DB880A" w14:textId="77777777" w:rsidR="00A60BD0" w:rsidRDefault="00A60BD0" w:rsidP="006E08B3"/>
        <w:p w14:paraId="47FEE477" w14:textId="77777777" w:rsidR="00A60BD0" w:rsidRDefault="00A60BD0" w:rsidP="006E08B3">
          <w:r>
            <w:t xml:space="preserve">In addition, a list of parties making submissions </w:t>
          </w:r>
          <w:proofErr w:type="gramStart"/>
          <w:r>
            <w:t>will be published</w:t>
          </w:r>
          <w:proofErr w:type="gramEnd"/>
          <w:r>
            <w:t xml:space="preserve">. If you do not wish to be identified with your </w:t>
          </w:r>
          <w:proofErr w:type="gramStart"/>
          <w:r>
            <w:t>submission</w:t>
          </w:r>
          <w:proofErr w:type="gramEnd"/>
          <w:r>
            <w:t xml:space="preserve"> you must specifically request this in the space provided </w:t>
          </w:r>
          <w:proofErr w:type="spellStart"/>
          <w:r>
            <w:t>ib</w:t>
          </w:r>
          <w:proofErr w:type="spellEnd"/>
          <w:r>
            <w:t xml:space="preserve"> the submission coversheet.</w:t>
          </w:r>
        </w:p>
      </w:tc>
    </w:tr>
    <w:tr w:rsidR="00A60BD0" w14:paraId="7355AA11" w14:textId="77777777" w:rsidTr="0010601F">
      <w:trPr>
        <w:trHeight w:val="417"/>
      </w:trPr>
      <w:tc>
        <w:tcPr>
          <w:tcW w:w="4519" w:type="dxa"/>
          <w:tcBorders>
            <w:top w:val="single" w:sz="4" w:space="0" w:color="auto"/>
          </w:tcBorders>
          <w:tcMar>
            <w:top w:w="142" w:type="dxa"/>
            <w:bottom w:w="0" w:type="dxa"/>
          </w:tcMar>
        </w:tcPr>
        <w:p w14:paraId="5270B48F" w14:textId="77777777" w:rsidR="00A60BD0" w:rsidRDefault="00A60BD0" w:rsidP="006E08B3">
          <w:r>
            <w:t>Document title, Part #, Section # - Section title</w:t>
          </w:r>
        </w:p>
        <w:p w14:paraId="48CBAD70" w14:textId="77777777" w:rsidR="00A60BD0" w:rsidRDefault="00A60BD0" w:rsidP="006E08B3">
          <w:r>
            <w:t>V1.0 October 2010</w:t>
          </w:r>
        </w:p>
      </w:tc>
      <w:tc>
        <w:tcPr>
          <w:tcW w:w="4356" w:type="dxa"/>
          <w:tcBorders>
            <w:top w:val="single" w:sz="4" w:space="0" w:color="auto"/>
          </w:tcBorders>
          <w:tcMar>
            <w:top w:w="142" w:type="dxa"/>
            <w:bottom w:w="0" w:type="dxa"/>
          </w:tcMar>
        </w:tcPr>
        <w:p w14:paraId="48C97336" w14:textId="1FBE5C5D" w:rsidR="00A60BD0" w:rsidRDefault="00A60BD0" w:rsidP="006E08B3">
          <w:pPr>
            <w:jc w:val="right"/>
          </w:pPr>
          <w:r>
            <w:t xml:space="preserve">Page </w:t>
          </w:r>
          <w:r>
            <w:fldChar w:fldCharType="begin"/>
          </w:r>
          <w:r>
            <w:instrText xml:space="preserve"> PAGE   \* MERGEFORMAT </w:instrText>
          </w:r>
          <w:r>
            <w:fldChar w:fldCharType="separate"/>
          </w:r>
          <w:r>
            <w:rPr>
              <w:noProof/>
            </w:rPr>
            <w:t>i</w:t>
          </w:r>
          <w:r>
            <w:rPr>
              <w:noProof/>
            </w:rPr>
            <w:fldChar w:fldCharType="end"/>
          </w:r>
          <w:r>
            <w:t xml:space="preserve"> of </w:t>
          </w:r>
          <w:fldSimple w:instr=" NUMPAGES  \* Arabic ">
            <w:r>
              <w:rPr>
                <w:noProof/>
              </w:rPr>
              <w:t>43</w:t>
            </w:r>
          </w:fldSimple>
          <w:r>
            <w:t xml:space="preserve">  </w:t>
          </w:r>
        </w:p>
      </w:tc>
    </w:tr>
  </w:tbl>
  <w:p w14:paraId="386A4B02" w14:textId="77777777" w:rsidR="00A60BD0" w:rsidRDefault="00A60BD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607AAA" w14:textId="77777777" w:rsidR="00A60BD0" w:rsidRDefault="00A60BD0" w:rsidP="00C40A36">
      <w:pPr>
        <w:spacing w:after="0"/>
      </w:pPr>
      <w:r>
        <w:separator/>
      </w:r>
    </w:p>
  </w:footnote>
  <w:footnote w:type="continuationSeparator" w:id="0">
    <w:p w14:paraId="5FB710E7" w14:textId="77777777" w:rsidR="00A60BD0" w:rsidRDefault="00A60BD0" w:rsidP="00C40A36">
      <w:pPr>
        <w:spacing w:after="0"/>
      </w:pPr>
      <w:r>
        <w:continuationSeparator/>
      </w:r>
    </w:p>
  </w:footnote>
  <w:footnote w:id="1">
    <w:p w14:paraId="638BACC0" w14:textId="77777777" w:rsidR="00A60BD0" w:rsidRDefault="00A60BD0">
      <w:pPr>
        <w:pStyle w:val="FootnoteText"/>
      </w:pPr>
      <w:r>
        <w:rPr>
          <w:rStyle w:val="FootnoteReference"/>
        </w:rPr>
        <w:footnoteRef/>
      </w:r>
      <w:r>
        <w:t xml:space="preserve"> </w:t>
      </w:r>
      <w:r w:rsidRPr="00460036">
        <w:t xml:space="preserve">The </w:t>
      </w:r>
      <w:r w:rsidRPr="00460036">
        <w:rPr>
          <w:b/>
        </w:rPr>
        <w:t>Black Triangle Scheme</w:t>
      </w:r>
      <w:r w:rsidRPr="00460036">
        <w:t xml:space="preserve"> provides a simple means for practitioners and patients to identify certain types of new prescription medicines, including those </w:t>
      </w:r>
      <w:proofErr w:type="gramStart"/>
      <w:r w:rsidRPr="00460036">
        <w:t>being used</w:t>
      </w:r>
      <w:proofErr w:type="gramEnd"/>
      <w:r w:rsidRPr="00460036">
        <w:t xml:space="preserve"> in new ways and to encourage the reporting of adverse events associated with their use. The Black Triangle does not denote that there are known safety problems, just that the TGA is encouraging adverse event reporting to help us build up the full picture of a medicine's safety profile.</w:t>
      </w:r>
    </w:p>
  </w:footnote>
  <w:footnote w:id="2">
    <w:p w14:paraId="5CF028E8" w14:textId="7CAFCC77" w:rsidR="00A60BD0" w:rsidRDefault="00A60BD0">
      <w:pPr>
        <w:pStyle w:val="FootnoteText"/>
      </w:pPr>
      <w:r>
        <w:rPr>
          <w:rStyle w:val="FootnoteReference"/>
        </w:rPr>
        <w:footnoteRef/>
      </w:r>
      <w:r>
        <w:t xml:space="preserve"> </w:t>
      </w:r>
      <w:r w:rsidRPr="00D00D1C">
        <w:t>The wording of the indications</w:t>
      </w:r>
      <w:r>
        <w:t xml:space="preserve"> for </w:t>
      </w:r>
      <w:proofErr w:type="spellStart"/>
      <w:r>
        <w:t>Rymti</w:t>
      </w:r>
      <w:proofErr w:type="spellEnd"/>
      <w:r>
        <w:t>/</w:t>
      </w:r>
      <w:proofErr w:type="spellStart"/>
      <w:r>
        <w:t>Etera</w:t>
      </w:r>
      <w:proofErr w:type="spellEnd"/>
      <w:r w:rsidRPr="00D00D1C">
        <w:t xml:space="preserve"> is not identical to the</w:t>
      </w:r>
      <w:r>
        <w:t xml:space="preserve"> wording of the</w:t>
      </w:r>
      <w:r w:rsidRPr="00D00D1C">
        <w:t xml:space="preserve"> </w:t>
      </w:r>
      <w:r>
        <w:t xml:space="preserve">indications of the comparator (originator) product, </w:t>
      </w:r>
      <w:r w:rsidRPr="00D00D1C">
        <w:t>Enbrel. These sentences are at variance with the Enbrel indications.</w:t>
      </w:r>
    </w:p>
  </w:footnote>
  <w:footnote w:id="3">
    <w:p w14:paraId="291081EA" w14:textId="2F70A373" w:rsidR="00A60BD0" w:rsidRDefault="00A60BD0">
      <w:pPr>
        <w:pStyle w:val="FootnoteText"/>
      </w:pPr>
      <w:r>
        <w:rPr>
          <w:rStyle w:val="FootnoteReference"/>
        </w:rPr>
        <w:footnoteRef/>
      </w:r>
      <w:r>
        <w:t xml:space="preserve"> Enbrel (</w:t>
      </w:r>
      <w:proofErr w:type="spellStart"/>
      <w:r>
        <w:t>etanercept</w:t>
      </w:r>
      <w:proofErr w:type="spellEnd"/>
      <w:r>
        <w:t xml:space="preserve">) </w:t>
      </w:r>
      <w:proofErr w:type="gramStart"/>
      <w:r>
        <w:t>was first registered</w:t>
      </w:r>
      <w:proofErr w:type="gramEnd"/>
      <w:r>
        <w:t xml:space="preserve"> in Australia on 18 March </w:t>
      </w:r>
      <w:r w:rsidRPr="006C663A">
        <w:t>2003</w:t>
      </w:r>
      <w:r>
        <w:t xml:space="preserve"> (ARTG number </w:t>
      </w:r>
      <w:r w:rsidRPr="006C663A">
        <w:t>90456</w:t>
      </w:r>
      <w:r>
        <w:t xml:space="preserve">). </w:t>
      </w:r>
      <w:r w:rsidRPr="006879F6">
        <w:rPr>
          <w:i/>
        </w:rPr>
        <w:t xml:space="preserve">Enbrel </w:t>
      </w:r>
      <w:proofErr w:type="gramStart"/>
      <w:r w:rsidRPr="006879F6">
        <w:rPr>
          <w:i/>
        </w:rPr>
        <w:t>is indicated</w:t>
      </w:r>
      <w:proofErr w:type="gramEnd"/>
      <w:r w:rsidRPr="006879F6">
        <w:rPr>
          <w:i/>
        </w:rPr>
        <w:t xml:space="preserve"> for the treatment of rheumatoid arthritis, psoriatic arthritis, plaque</w:t>
      </w:r>
      <w:r>
        <w:rPr>
          <w:i/>
        </w:rPr>
        <w:t xml:space="preserve"> </w:t>
      </w:r>
      <w:r w:rsidRPr="006879F6">
        <w:rPr>
          <w:i/>
        </w:rPr>
        <w:t>psoriasis, ankylosing spondylitis, non-radiographic ax</w:t>
      </w:r>
      <w:r>
        <w:rPr>
          <w:i/>
        </w:rPr>
        <w:t xml:space="preserve">ial </w:t>
      </w:r>
      <w:proofErr w:type="spellStart"/>
      <w:r>
        <w:rPr>
          <w:i/>
        </w:rPr>
        <w:t>spondyloarthritis</w:t>
      </w:r>
      <w:proofErr w:type="spellEnd"/>
      <w:r>
        <w:rPr>
          <w:i/>
        </w:rPr>
        <w:t xml:space="preserve">, juvenile </w:t>
      </w:r>
      <w:r w:rsidRPr="006879F6">
        <w:rPr>
          <w:i/>
        </w:rPr>
        <w:t>idiopathic arthritis and paediatric plaque psoriasis.</w:t>
      </w:r>
    </w:p>
  </w:footnote>
  <w:footnote w:id="4">
    <w:p w14:paraId="777E1967" w14:textId="7E285003" w:rsidR="00A60BD0" w:rsidRDefault="00A60BD0">
      <w:pPr>
        <w:pStyle w:val="FootnoteText"/>
      </w:pPr>
      <w:r>
        <w:rPr>
          <w:rStyle w:val="FootnoteReference"/>
        </w:rPr>
        <w:footnoteRef/>
      </w:r>
      <w:r>
        <w:t xml:space="preserve"> </w:t>
      </w:r>
      <w:r w:rsidRPr="006A012D">
        <w:rPr>
          <w:szCs w:val="16"/>
        </w:rPr>
        <w:t xml:space="preserve">Defined as at least 6 tender and swollen joints (of 68/66 joints examined) at screening and randomisation; as well as a DAS28 score of </w:t>
      </w:r>
      <w:r w:rsidRPr="006A012D">
        <w:rPr>
          <w:szCs w:val="16"/>
          <w:u w:val="single"/>
        </w:rPr>
        <w:t>&gt;</w:t>
      </w:r>
      <w:r w:rsidRPr="006A012D">
        <w:rPr>
          <w:szCs w:val="16"/>
        </w:rPr>
        <w:t xml:space="preserve"> 3.2 mg/L and be ACR Global Functional Class I, II or III at screening.</w:t>
      </w:r>
    </w:p>
  </w:footnote>
  <w:footnote w:id="5">
    <w:p w14:paraId="009C24D9" w14:textId="14DDCA71" w:rsidR="00A60BD0" w:rsidRDefault="00A60BD0" w:rsidP="004D153E">
      <w:pPr>
        <w:pStyle w:val="FootnoteText"/>
      </w:pPr>
      <w:r>
        <w:rPr>
          <w:rStyle w:val="FootnoteReference"/>
        </w:rPr>
        <w:footnoteRef/>
      </w:r>
      <w:r>
        <w:t xml:space="preserve"> </w:t>
      </w:r>
      <w:r w:rsidRPr="00DE323E">
        <w:t xml:space="preserve">The </w:t>
      </w:r>
      <w:r w:rsidRPr="006A012D">
        <w:rPr>
          <w:b/>
        </w:rPr>
        <w:t>Disease Activity Score 28</w:t>
      </w:r>
      <w:r w:rsidRPr="00DE323E">
        <w:t xml:space="preserve"> (</w:t>
      </w:r>
      <w:r w:rsidRPr="006A012D">
        <w:rPr>
          <w:b/>
        </w:rPr>
        <w:t>DAS28</w:t>
      </w:r>
      <w:r w:rsidRPr="00DE323E">
        <w:t xml:space="preserve">) is a system developed and validated by the European League </w:t>
      </w:r>
      <w:proofErr w:type="gramStart"/>
      <w:r w:rsidRPr="00DE323E">
        <w:t>Against</w:t>
      </w:r>
      <w:proofErr w:type="gramEnd"/>
      <w:r w:rsidRPr="00DE323E">
        <w:t xml:space="preserve"> Rheumatism (EULAR) to measure the progress and improvement of rheumatoid arthritis. Calculation of a DAS28 score involves the combination of an examination of 28 specified joints for tenderness upon touching and swelling, the erythrocyte sedimentation rate (ESR) via blood sample, and the patient’s subjective assessment of disease activity during the preceding 7 days on a scale between 0 (‘no activity’)</w:t>
      </w:r>
      <w:r>
        <w:t xml:space="preserve"> </w:t>
      </w:r>
      <w:r w:rsidRPr="00DE323E">
        <w:t xml:space="preserve">and 100 (‘highest activity possible’. DAS28 </w:t>
      </w:r>
      <w:proofErr w:type="gramStart"/>
      <w:r w:rsidRPr="00DE323E">
        <w:t>is often used</w:t>
      </w:r>
      <w:proofErr w:type="gramEnd"/>
      <w:r w:rsidRPr="00DE323E">
        <w:t xml:space="preserve"> in clinical trials for the development of rheumatoid arthritis (RA). DAS28 values range from 2.0 to 10.0; higher values mean a higher disease activity.</w:t>
      </w:r>
    </w:p>
  </w:footnote>
  <w:footnote w:id="6">
    <w:p w14:paraId="43C3916C" w14:textId="2857DC91" w:rsidR="00A60BD0" w:rsidRDefault="00A60BD0" w:rsidP="003B19DC">
      <w:pPr>
        <w:pStyle w:val="FootnoteText"/>
      </w:pPr>
      <w:r>
        <w:rPr>
          <w:rStyle w:val="FootnoteReference"/>
        </w:rPr>
        <w:footnoteRef/>
      </w:r>
      <w:r>
        <w:t xml:space="preserve"> T</w:t>
      </w:r>
      <w:r w:rsidRPr="003B19DC">
        <w:t xml:space="preserve">he </w:t>
      </w:r>
      <w:r w:rsidRPr="006A012D">
        <w:rPr>
          <w:b/>
        </w:rPr>
        <w:t>New York Heart Association</w:t>
      </w:r>
      <w:r w:rsidRPr="003B19DC">
        <w:t xml:space="preserve"> (</w:t>
      </w:r>
      <w:r w:rsidRPr="006A012D">
        <w:rPr>
          <w:b/>
        </w:rPr>
        <w:t>NYHA</w:t>
      </w:r>
      <w:r>
        <w:t>) Functional Classification</w:t>
      </w:r>
      <w:r w:rsidRPr="003B19DC">
        <w:t>. It places patients in one of four categories based on how much they are limited during physical activity</w:t>
      </w:r>
      <w:r>
        <w:t>: I. No limitation of physical activity. Ordinary physical activity does not cause undue fatigue, palpitation, dyspnoea (shortness of breath). II. Slight limitation of physical activity. Comfortable at rest. Ordinary physical activity results in fatigue, palpitation, dyspnoea (shortness of breath). III. Marked limitation of physical activity. Comfortable at rest. Less than ordinary activity causes fatigue, palpitation, or dyspnoea. IV. Unable to carry on any physical activity without discomfort. Symptoms of heart failure at rest. If any physical activity is undertaken, discomfort increases.</w:t>
      </w:r>
    </w:p>
  </w:footnote>
  <w:footnote w:id="7">
    <w:p w14:paraId="4E2FDCCC" w14:textId="2D9EF526" w:rsidR="00A60BD0" w:rsidRDefault="00A60BD0">
      <w:pPr>
        <w:pStyle w:val="FootnoteText"/>
      </w:pPr>
      <w:r>
        <w:rPr>
          <w:rStyle w:val="FootnoteReference"/>
        </w:rPr>
        <w:footnoteRef/>
      </w:r>
      <w:r>
        <w:t xml:space="preserve"> </w:t>
      </w:r>
      <w:r w:rsidRPr="00E0292E">
        <w:t xml:space="preserve">The </w:t>
      </w:r>
      <w:r w:rsidRPr="006A012D">
        <w:rPr>
          <w:b/>
        </w:rPr>
        <w:t>ACR</w:t>
      </w:r>
      <w:r w:rsidRPr="00E0292E">
        <w:t xml:space="preserve"> (</w:t>
      </w:r>
      <w:r w:rsidRPr="006A012D">
        <w:rPr>
          <w:b/>
        </w:rPr>
        <w:t>American College of Rheumatology</w:t>
      </w:r>
      <w:r w:rsidRPr="00E0292E">
        <w:t xml:space="preserve">) </w:t>
      </w:r>
      <w:r w:rsidRPr="006A012D">
        <w:rPr>
          <w:b/>
        </w:rPr>
        <w:t>criteria</w:t>
      </w:r>
      <w:r w:rsidRPr="00E0292E">
        <w:t xml:space="preserve"> are a standardised measure of disease improvement widely used in rheumatology trials, but less so clinically. </w:t>
      </w:r>
      <w:proofErr w:type="gramStart"/>
      <w:r w:rsidRPr="00E0292E">
        <w:t xml:space="preserve">The </w:t>
      </w:r>
      <w:r w:rsidRPr="006A012D">
        <w:rPr>
          <w:b/>
        </w:rPr>
        <w:t>ACR20</w:t>
      </w:r>
      <w:r w:rsidRPr="00E0292E">
        <w:t xml:space="preserve"> is a composite measure defined as both improvement of 20% in the number of tender and number of swollen joints, and a 20% improvement in three of the following five criteria: patient global assessment, physician global assessment, a patient functional ability measure (most often the Health Assessment Questionnaire (HAQ), Visual Analog Scale (VAS) for Pain, and erythrocyte sedimentation rate (ESR) or C-reactive protein (CRP).</w:t>
      </w:r>
      <w:proofErr w:type="gramEnd"/>
      <w:r w:rsidRPr="00E0292E">
        <w:t xml:space="preserve"> </w:t>
      </w:r>
      <w:r w:rsidRPr="00C17BF6">
        <w:t>ACR50 and ACR70 are the same instruments with an improvement of 50% and 70% respectively.</w:t>
      </w:r>
    </w:p>
  </w:footnote>
  <w:footnote w:id="8">
    <w:p w14:paraId="732B3A2C" w14:textId="6DB7532C" w:rsidR="00A60BD0" w:rsidRPr="006A012D" w:rsidRDefault="00A60BD0">
      <w:pPr>
        <w:pStyle w:val="FootnoteText"/>
        <w:rPr>
          <w:lang w:val="en-US"/>
        </w:rPr>
      </w:pPr>
      <w:r>
        <w:rPr>
          <w:rStyle w:val="FootnoteReference"/>
        </w:rPr>
        <w:footnoteRef/>
      </w:r>
      <w:r>
        <w:t xml:space="preserve"> </w:t>
      </w:r>
      <w:proofErr w:type="spellStart"/>
      <w:r w:rsidRPr="006A012D">
        <w:rPr>
          <w:b/>
        </w:rPr>
        <w:t>Hy’s</w:t>
      </w:r>
      <w:proofErr w:type="spellEnd"/>
      <w:r w:rsidRPr="006A012D">
        <w:rPr>
          <w:b/>
        </w:rPr>
        <w:t xml:space="preserve"> Law</w:t>
      </w:r>
      <w:r w:rsidRPr="005F6D3B">
        <w:t xml:space="preserve">: Evidence of hepatocellular injury with a rise in alanine aminotransferase (ALT) and/or aspartate aminotransferase (AST) &gt; 3 x the upper limit of normal (ULN) and total bilirubin &gt; 2 x ULN, and no other reason to explain rise in aminotransferases and total bilirubin. </w:t>
      </w:r>
      <w:proofErr w:type="spellStart"/>
      <w:r w:rsidRPr="005F6D3B">
        <w:t>Hy's</w:t>
      </w:r>
      <w:proofErr w:type="spellEnd"/>
      <w:r w:rsidRPr="005F6D3B">
        <w:t xml:space="preserve"> law is a rule of thumb that a patient is at high risk of a fatal drug-induced liver injury if given a medication that causes hepatocellular injury with jaundice.</w:t>
      </w:r>
    </w:p>
  </w:footnote>
  <w:footnote w:id="9">
    <w:p w14:paraId="083EAA09" w14:textId="77777777" w:rsidR="00A60BD0" w:rsidRDefault="00A60BD0" w:rsidP="001D4161">
      <w:pPr>
        <w:pStyle w:val="FootnoteText"/>
      </w:pPr>
      <w:r>
        <w:rPr>
          <w:rStyle w:val="FootnoteReference"/>
        </w:rPr>
        <w:footnoteRef/>
      </w:r>
      <w:r>
        <w:t xml:space="preserve"> Routine risk minimisation activities may be limited to ensuring that suitable warnings are included in the product information or by careful use of labelling and packaging.</w:t>
      </w:r>
    </w:p>
    <w:p w14:paraId="670DC4DA" w14:textId="77777777" w:rsidR="00A60BD0" w:rsidRDefault="00A60BD0" w:rsidP="001D4161">
      <w:pPr>
        <w:pStyle w:val="FootnoteText"/>
      </w:pPr>
      <w:r>
        <w:t>Routine pharmacovigilance practices involve the following activities:</w:t>
      </w:r>
    </w:p>
    <w:p w14:paraId="1645D822" w14:textId="77777777" w:rsidR="00A60BD0" w:rsidRDefault="00A60BD0" w:rsidP="00DA266F">
      <w:pPr>
        <w:pStyle w:val="FootnoteText"/>
        <w:ind w:left="284" w:hanging="284"/>
      </w:pPr>
      <w:r>
        <w:t>•</w:t>
      </w:r>
      <w:r>
        <w:tab/>
        <w:t>All suspected adverse reactions that are reported to the personnel of the company are collected and collated in an accessible manner;</w:t>
      </w:r>
    </w:p>
    <w:p w14:paraId="10814A46" w14:textId="77777777" w:rsidR="00A60BD0" w:rsidRDefault="00A60BD0" w:rsidP="00DA266F">
      <w:pPr>
        <w:pStyle w:val="FootnoteText"/>
        <w:ind w:left="284" w:hanging="284"/>
      </w:pPr>
      <w:r>
        <w:t>•</w:t>
      </w:r>
      <w:r>
        <w:tab/>
        <w:t>Reporting to regulatory authorities;</w:t>
      </w:r>
    </w:p>
    <w:p w14:paraId="431DFC86" w14:textId="4B0B2291" w:rsidR="00A60BD0" w:rsidRDefault="00A60BD0" w:rsidP="00DA266F">
      <w:pPr>
        <w:pStyle w:val="FootnoteText"/>
        <w:ind w:left="284" w:hanging="284"/>
      </w:pPr>
      <w:r>
        <w:t>•</w:t>
      </w:r>
      <w:r>
        <w:tab/>
        <w:t>Continuous monitoring of the safety profiles of approved products including signal detection and updating of labelling;</w:t>
      </w:r>
    </w:p>
  </w:footnote>
  <w:footnote w:id="10">
    <w:p w14:paraId="69BCC8BA" w14:textId="4C8176F8" w:rsidR="00A60BD0" w:rsidRDefault="00A60BD0">
      <w:pPr>
        <w:pStyle w:val="FootnoteText"/>
      </w:pPr>
      <w:r>
        <w:rPr>
          <w:rStyle w:val="FootnoteReference"/>
        </w:rPr>
        <w:footnoteRef/>
      </w:r>
      <w:r>
        <w:t xml:space="preserve"> </w:t>
      </w:r>
      <w:r w:rsidRPr="00201012">
        <w:t xml:space="preserve">Inclusion of these is beyond the scope of the </w:t>
      </w:r>
      <w:proofErr w:type="spellStart"/>
      <w:r w:rsidRPr="00201012">
        <w:t>AusPAR</w:t>
      </w:r>
      <w:proofErr w:type="spellEnd"/>
      <w:r w:rsidRPr="00201012">
        <w:t>.</w:t>
      </w:r>
    </w:p>
  </w:footnote>
  <w:footnote w:id="11">
    <w:p w14:paraId="0D98C69C" w14:textId="77777777" w:rsidR="00A60BD0" w:rsidRDefault="00A60BD0" w:rsidP="00456765">
      <w:pPr>
        <w:pStyle w:val="FootnoteText"/>
      </w:pPr>
      <w:r>
        <w:rPr>
          <w:rStyle w:val="FootnoteReference"/>
        </w:rPr>
        <w:footnoteRef/>
      </w:r>
      <w:r>
        <w:t xml:space="preserve"> The ACM provides independent medical and scientific advice to the Minister for Health and the Therapeutic Goods Administration (TGA) on issues relating to the safety, quality and efficacy of medicines supplied in Australia including issues relating to pre-market and post-market functions for medicines.</w:t>
      </w:r>
    </w:p>
    <w:p w14:paraId="3907FA5B" w14:textId="77777777" w:rsidR="00A60BD0" w:rsidRPr="00456765" w:rsidRDefault="00A60BD0" w:rsidP="00456765">
      <w:pPr>
        <w:pStyle w:val="FootnoteText"/>
        <w:rPr>
          <w:lang w:val="en-US"/>
        </w:rPr>
      </w:pPr>
      <w:r>
        <w:t xml:space="preserve">The Committee </w:t>
      </w:r>
      <w:proofErr w:type="gramStart"/>
      <w:r>
        <w:t>is established</w:t>
      </w:r>
      <w:proofErr w:type="gramEnd"/>
      <w:r>
        <w:t xml:space="preserve"> under Regulation 35 of the Therapeutic Goods Regulations 1990. </w:t>
      </w:r>
      <w:proofErr w:type="gramStart"/>
      <w:r>
        <w:t>Members are appointed by the Minister</w:t>
      </w:r>
      <w:proofErr w:type="gramEnd"/>
      <w:r>
        <w:t xml:space="preserve">. The ACM was established in January 2017 replacing </w:t>
      </w:r>
      <w:r w:rsidRPr="009E0C19">
        <w:t>Advisory Committee on Prescription Medicines (ACPM</w:t>
      </w:r>
      <w:proofErr w:type="gramStart"/>
      <w:r w:rsidRPr="009E0C19">
        <w:t xml:space="preserve">) </w:t>
      </w:r>
      <w:r>
        <w:t>which</w:t>
      </w:r>
      <w:proofErr w:type="gramEnd"/>
      <w:r>
        <w:t xml:space="preserve"> </w:t>
      </w:r>
      <w:r w:rsidRPr="009E0C19">
        <w:t>was formed in January 2010</w:t>
      </w:r>
      <w:r>
        <w:t>. ACM encompass pre and post-market advice for medicines, following the consolidation of the previous functions of the Advisory Committee on Prescription Medicines (ACPM), the Advisory Committee on the Safety of Medicines (ACSOM) and the Advisory Committee on Non-Prescription Medicines (ACNM). Membership comprises of professionals with specific scientific, medical or clinical expertise, as well as appropriate consumer health issues relating to medicines.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7DAF91" w14:textId="77777777" w:rsidR="00A60BD0" w:rsidRDefault="00A60BD0" w:rsidP="00E45619">
    <w:pPr>
      <w:pStyle w:val="Header"/>
    </w:pPr>
    <w:r>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A72B8C" w14:textId="77777777" w:rsidR="00A60BD0" w:rsidRDefault="00A60BD0">
    <w:pPr>
      <w:rPr>
        <w:noProof/>
        <w:lang w:eastAsia="en-AU"/>
      </w:rPr>
    </w:pPr>
    <w:r w:rsidRPr="00347824">
      <w:rPr>
        <w:noProof/>
        <w:lang w:eastAsia="en-AU"/>
      </w:rPr>
      <w:drawing>
        <wp:anchor distT="0" distB="0" distL="114300" distR="114300" simplePos="0" relativeHeight="251659264" behindDoc="1" locked="0" layoutInCell="1" allowOverlap="1" wp14:anchorId="6B924626" wp14:editId="659A17B0">
          <wp:simplePos x="0" y="0"/>
          <wp:positionH relativeFrom="column">
            <wp:posOffset>-1089660</wp:posOffset>
          </wp:positionH>
          <wp:positionV relativeFrom="paragraph">
            <wp:posOffset>-585470</wp:posOffset>
          </wp:positionV>
          <wp:extent cx="7572375" cy="10706100"/>
          <wp:effectExtent l="19050" t="0" r="0" b="0"/>
          <wp:wrapNone/>
          <wp:docPr id="14"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14:paraId="113E939F" w14:textId="77777777" w:rsidR="00A60BD0" w:rsidRDefault="00A60BD0" w:rsidP="00593AD1">
    <w:pPr>
      <w:pStyle w:val="HeaderNoLi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4A0B6" w14:textId="77777777" w:rsidR="00A60BD0" w:rsidRDefault="00A60BD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07C3A" w14:textId="77777777" w:rsidR="00A60BD0" w:rsidRDefault="00A60BD0">
    <w:pPr>
      <w:pStyle w:val="Header"/>
    </w:pPr>
    <w:r>
      <w:t>Therapeutic Goods Administration</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DAC981" w14:textId="77777777" w:rsidR="00A60BD0" w:rsidRDefault="00A60BD0">
    <w:pPr>
      <w:pStyle w:val="Header"/>
    </w:pPr>
    <w:r>
      <w:t>Therapeutic Goods Administration</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670DB" w14:textId="77777777" w:rsidR="00A60BD0" w:rsidRDefault="00A60BD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AB5A0" w14:textId="77777777" w:rsidR="00A60BD0" w:rsidRDefault="00A60BD0" w:rsidP="004C239D">
    <w:pPr>
      <w:pStyle w:val="HeaderNoLine"/>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76F0B" w14:textId="77777777" w:rsidR="00A60BD0" w:rsidRDefault="00A60BD0" w:rsidP="006E08B3">
    <w:r>
      <w:t>Therapeutic Goods Administration</w:t>
    </w:r>
  </w:p>
  <w:p w14:paraId="5B6BC6FF" w14:textId="77777777" w:rsidR="00A60BD0" w:rsidRDefault="00A60BD0" w:rsidP="006D03E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91305CF8"/>
    <w:lvl w:ilvl="0">
      <w:start w:val="1"/>
      <w:numFmt w:val="lowerRoman"/>
      <w:pStyle w:val="ListNumber2"/>
      <w:lvlText w:val="(%1)"/>
      <w:lvlJc w:val="left"/>
      <w:pPr>
        <w:ind w:left="720" w:hanging="360"/>
      </w:pPr>
      <w:rPr>
        <w:rFonts w:hint="default"/>
      </w:rPr>
    </w:lvl>
  </w:abstractNum>
  <w:abstractNum w:abstractNumId="1"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3" w15:restartNumberingAfterBreak="0">
    <w:nsid w:val="FFFFFF89"/>
    <w:multiLevelType w:val="singleLevel"/>
    <w:tmpl w:val="8D661498"/>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B8320B0A"/>
    <w:lvl w:ilvl="0">
      <w:numFmt w:val="bullet"/>
      <w:lvlText w:val="*"/>
      <w:lvlJc w:val="left"/>
    </w:lvl>
  </w:abstractNum>
  <w:abstractNum w:abstractNumId="5" w15:restartNumberingAfterBreak="0">
    <w:nsid w:val="00000402"/>
    <w:multiLevelType w:val="multilevel"/>
    <w:tmpl w:val="00000885"/>
    <w:lvl w:ilvl="0">
      <w:numFmt w:val="bullet"/>
      <w:lvlText w:val=""/>
      <w:lvlJc w:val="left"/>
      <w:pPr>
        <w:ind w:left="567" w:hanging="272"/>
      </w:pPr>
      <w:rPr>
        <w:rFonts w:ascii="Symbol" w:hAnsi="Symbol" w:cs="Symbol"/>
        <w:b w:val="0"/>
        <w:bCs w:val="0"/>
        <w:w w:val="100"/>
        <w:position w:val="2"/>
        <w:sz w:val="24"/>
        <w:szCs w:val="24"/>
      </w:rPr>
    </w:lvl>
    <w:lvl w:ilvl="1">
      <w:numFmt w:val="bullet"/>
      <w:lvlText w:val="•"/>
      <w:lvlJc w:val="left"/>
      <w:pPr>
        <w:ind w:left="1434" w:hanging="272"/>
      </w:pPr>
    </w:lvl>
    <w:lvl w:ilvl="2">
      <w:numFmt w:val="bullet"/>
      <w:lvlText w:val="•"/>
      <w:lvlJc w:val="left"/>
      <w:pPr>
        <w:ind w:left="2309" w:hanging="272"/>
      </w:pPr>
    </w:lvl>
    <w:lvl w:ilvl="3">
      <w:numFmt w:val="bullet"/>
      <w:lvlText w:val="•"/>
      <w:lvlJc w:val="left"/>
      <w:pPr>
        <w:ind w:left="3183" w:hanging="272"/>
      </w:pPr>
    </w:lvl>
    <w:lvl w:ilvl="4">
      <w:numFmt w:val="bullet"/>
      <w:lvlText w:val="•"/>
      <w:lvlJc w:val="left"/>
      <w:pPr>
        <w:ind w:left="4058" w:hanging="272"/>
      </w:pPr>
    </w:lvl>
    <w:lvl w:ilvl="5">
      <w:numFmt w:val="bullet"/>
      <w:lvlText w:val="•"/>
      <w:lvlJc w:val="left"/>
      <w:pPr>
        <w:ind w:left="4933" w:hanging="272"/>
      </w:pPr>
    </w:lvl>
    <w:lvl w:ilvl="6">
      <w:numFmt w:val="bullet"/>
      <w:lvlText w:val="•"/>
      <w:lvlJc w:val="left"/>
      <w:pPr>
        <w:ind w:left="5807" w:hanging="272"/>
      </w:pPr>
    </w:lvl>
    <w:lvl w:ilvl="7">
      <w:numFmt w:val="bullet"/>
      <w:lvlText w:val="•"/>
      <w:lvlJc w:val="left"/>
      <w:pPr>
        <w:ind w:left="6682" w:hanging="272"/>
      </w:pPr>
    </w:lvl>
    <w:lvl w:ilvl="8">
      <w:numFmt w:val="bullet"/>
      <w:lvlText w:val="•"/>
      <w:lvlJc w:val="left"/>
      <w:pPr>
        <w:ind w:left="7557" w:hanging="272"/>
      </w:pPr>
    </w:lvl>
  </w:abstractNum>
  <w:abstractNum w:abstractNumId="6" w15:restartNumberingAfterBreak="0">
    <w:nsid w:val="01DA439E"/>
    <w:multiLevelType w:val="hybridMultilevel"/>
    <w:tmpl w:val="9460AFF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80017AB"/>
    <w:multiLevelType w:val="hybridMultilevel"/>
    <w:tmpl w:val="7FB83D2E"/>
    <w:lvl w:ilvl="0" w:tplc="CB98220E">
      <w:numFmt w:val="bullet"/>
      <w:lvlText w:val="-"/>
      <w:lvlJc w:val="left"/>
      <w:pPr>
        <w:ind w:left="1080" w:hanging="72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9108CD"/>
    <w:multiLevelType w:val="hybridMultilevel"/>
    <w:tmpl w:val="F07C7BCA"/>
    <w:lvl w:ilvl="0" w:tplc="7E7496A6">
      <w:start w:val="1"/>
      <w:numFmt w:val="bullet"/>
      <w:pStyle w:val="Bulletlis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EEB086A"/>
    <w:multiLevelType w:val="hybridMultilevel"/>
    <w:tmpl w:val="DB12D5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1" w15:restartNumberingAfterBreak="0">
    <w:nsid w:val="10524D56"/>
    <w:multiLevelType w:val="hybridMultilevel"/>
    <w:tmpl w:val="313AF5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1F3578D"/>
    <w:multiLevelType w:val="hybridMultilevel"/>
    <w:tmpl w:val="1D92BB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68F13E9"/>
    <w:multiLevelType w:val="multilevel"/>
    <w:tmpl w:val="D3D6787C"/>
    <w:styleLink w:val="ListBullets"/>
    <w:lvl w:ilvl="0">
      <w:start w:val="1"/>
      <w:numFmt w:val="bullet"/>
      <w:pStyle w:val="ListBullet"/>
      <w:lvlText w:val="•"/>
      <w:lvlJc w:val="left"/>
      <w:pPr>
        <w:ind w:left="360" w:hanging="360"/>
      </w:pPr>
      <w:rPr>
        <w:rFonts w:ascii="Arial" w:hAnsi="Aria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4" w15:restartNumberingAfterBreak="0">
    <w:nsid w:val="16E8023C"/>
    <w:multiLevelType w:val="hybridMultilevel"/>
    <w:tmpl w:val="60AABDE4"/>
    <w:lvl w:ilvl="0" w:tplc="899A42F0">
      <w:start w:val="1"/>
      <w:numFmt w:val="lowerRoman"/>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066740A"/>
    <w:multiLevelType w:val="hybridMultilevel"/>
    <w:tmpl w:val="4AC4A154"/>
    <w:lvl w:ilvl="0" w:tplc="AAAE3F22">
      <w:start w:val="1"/>
      <w:numFmt w:val="bullet"/>
      <w:pStyle w:val="Bullet1"/>
      <w:lvlText w:val="•"/>
      <w:lvlJc w:val="left"/>
      <w:pPr>
        <w:tabs>
          <w:tab w:val="num" w:pos="284"/>
        </w:tabs>
        <w:ind w:left="284" w:hanging="284"/>
      </w:pPr>
      <w:rPr>
        <w:rFonts w:ascii="Times New Roman" w:hAnsi="Times New Roman" w:hint="default"/>
      </w:rPr>
    </w:lvl>
    <w:lvl w:ilvl="1" w:tplc="0C090003" w:tentative="1">
      <w:start w:val="1"/>
      <w:numFmt w:val="bullet"/>
      <w:lvlText w:val="o"/>
      <w:lvlJc w:val="left"/>
      <w:pPr>
        <w:tabs>
          <w:tab w:val="num" w:pos="1724"/>
        </w:tabs>
        <w:ind w:left="1724" w:hanging="360"/>
      </w:pPr>
      <w:rPr>
        <w:rFonts w:ascii="Courier New" w:hAnsi="Courier New"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37D773CE"/>
    <w:multiLevelType w:val="hybridMultilevel"/>
    <w:tmpl w:val="344001F4"/>
    <w:lvl w:ilvl="0" w:tplc="7390E164">
      <w:start w:val="5"/>
      <w:numFmt w:val="bullet"/>
      <w:lvlText w:val="-"/>
      <w:lvlJc w:val="left"/>
      <w:pPr>
        <w:ind w:left="720" w:hanging="36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9E72012"/>
    <w:multiLevelType w:val="hybridMultilevel"/>
    <w:tmpl w:val="2A60EB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A2F5CDC"/>
    <w:multiLevelType w:val="hybridMultilevel"/>
    <w:tmpl w:val="CB4A66DE"/>
    <w:lvl w:ilvl="0" w:tplc="CB98220E">
      <w:numFmt w:val="bullet"/>
      <w:lvlText w:val="-"/>
      <w:lvlJc w:val="left"/>
      <w:pPr>
        <w:ind w:left="1080" w:hanging="72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3ED1867"/>
    <w:multiLevelType w:val="hybridMultilevel"/>
    <w:tmpl w:val="B6FEA6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674266F"/>
    <w:multiLevelType w:val="multilevel"/>
    <w:tmpl w:val="522E4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4F6188"/>
    <w:multiLevelType w:val="hybridMultilevel"/>
    <w:tmpl w:val="D456A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9B15D7"/>
    <w:multiLevelType w:val="hybridMultilevel"/>
    <w:tmpl w:val="3D2E60CC"/>
    <w:lvl w:ilvl="0" w:tplc="04CEB5FC">
      <w:start w:val="1"/>
      <w:numFmt w:val="bullet"/>
      <w:pStyle w:val="Bulletpoint"/>
      <w:lvlText w:val=""/>
      <w:lvlJc w:val="left"/>
      <w:pPr>
        <w:tabs>
          <w:tab w:val="num" w:pos="369"/>
        </w:tabs>
        <w:ind w:left="369" w:hanging="227"/>
      </w:pPr>
      <w:rPr>
        <w:rFonts w:ascii="Symbol" w:hAnsi="Symbol" w:hint="default"/>
        <w:position w:val="0"/>
        <w:sz w:val="22"/>
        <w:szCs w:val="22"/>
      </w:rPr>
    </w:lvl>
    <w:lvl w:ilvl="1" w:tplc="0C090003" w:tentative="1">
      <w:start w:val="1"/>
      <w:numFmt w:val="bullet"/>
      <w:lvlText w:val="o"/>
      <w:lvlJc w:val="left"/>
      <w:pPr>
        <w:tabs>
          <w:tab w:val="num" w:pos="1440"/>
        </w:tabs>
        <w:ind w:left="1440" w:hanging="360"/>
      </w:pPr>
      <w:rPr>
        <w:rFonts w:ascii="Courier New" w:hAnsi="Courier New" w:cs="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Symbo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Symbo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C407B49"/>
    <w:multiLevelType w:val="hybridMultilevel"/>
    <w:tmpl w:val="010698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EB41F2F"/>
    <w:multiLevelType w:val="hybridMultilevel"/>
    <w:tmpl w:val="E79C11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07279CB"/>
    <w:multiLevelType w:val="hybridMultilevel"/>
    <w:tmpl w:val="324839D4"/>
    <w:lvl w:ilvl="0" w:tplc="E5EACD22">
      <w:numFmt w:val="bullet"/>
      <w:lvlText w:val="•"/>
      <w:lvlJc w:val="left"/>
      <w:pPr>
        <w:ind w:left="720" w:hanging="720"/>
      </w:pPr>
      <w:rPr>
        <w:rFonts w:ascii="Cambria" w:eastAsia="Cambria" w:hAnsi="Cambria"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48F3226"/>
    <w:multiLevelType w:val="hybridMultilevel"/>
    <w:tmpl w:val="E08E2CB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9F97C7F"/>
    <w:multiLevelType w:val="hybridMultilevel"/>
    <w:tmpl w:val="8E84F25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C810102"/>
    <w:multiLevelType w:val="hybridMultilevel"/>
    <w:tmpl w:val="7932FD8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3BA1AE4"/>
    <w:multiLevelType w:val="multilevel"/>
    <w:tmpl w:val="5FFCB852"/>
    <w:lvl w:ilvl="0">
      <w:start w:val="19"/>
      <w:numFmt w:val="decimal"/>
      <w:suff w:val="space"/>
      <w:lvlText w:val="Recommendation %1."/>
      <w:lvlJc w:val="left"/>
      <w:pPr>
        <w:ind w:left="360" w:hanging="360"/>
      </w:pPr>
      <w:rPr>
        <w:rFonts w:asciiTheme="majorHAnsi" w:hAnsiTheme="majorHAnsi" w:hint="default"/>
        <w:b w:val="0"/>
        <w:sz w:val="23"/>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A3E1ED9"/>
    <w:multiLevelType w:val="hybridMultilevel"/>
    <w:tmpl w:val="3B4659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7606DC0"/>
    <w:multiLevelType w:val="hybridMultilevel"/>
    <w:tmpl w:val="8780E0A6"/>
    <w:lvl w:ilvl="0" w:tplc="4224B92E">
      <w:numFmt w:val="bullet"/>
      <w:lvlText w:val="•"/>
      <w:lvlJc w:val="left"/>
      <w:pPr>
        <w:ind w:left="360" w:hanging="360"/>
      </w:pPr>
      <w:rPr>
        <w:rFonts w:ascii="Cambria" w:eastAsia="Cambria" w:hAnsi="Cambria"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7A72338A"/>
    <w:multiLevelType w:val="hybridMultilevel"/>
    <w:tmpl w:val="096256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3"/>
  </w:num>
  <w:num w:numId="4">
    <w:abstractNumId w:val="13"/>
  </w:num>
  <w:num w:numId="5">
    <w:abstractNumId w:val="1"/>
  </w:num>
  <w:num w:numId="6">
    <w:abstractNumId w:val="13"/>
  </w:num>
  <w:num w:numId="7">
    <w:abstractNumId w:val="13"/>
  </w:num>
  <w:num w:numId="8">
    <w:abstractNumId w:val="10"/>
  </w:num>
  <w:num w:numId="9">
    <w:abstractNumId w:val="10"/>
  </w:num>
  <w:num w:numId="10">
    <w:abstractNumId w:val="10"/>
  </w:num>
  <w:num w:numId="11">
    <w:abstractNumId w:val="10"/>
  </w:num>
  <w:num w:numId="12">
    <w:abstractNumId w:val="4"/>
    <w:lvlOverride w:ilvl="0">
      <w:lvl w:ilvl="0">
        <w:numFmt w:val="bullet"/>
        <w:lvlText w:val="•"/>
        <w:legacy w:legacy="1" w:legacySpace="0" w:legacyIndent="0"/>
        <w:lvlJc w:val="left"/>
        <w:rPr>
          <w:rFonts w:ascii="Helv" w:hAnsi="Helv" w:hint="default"/>
        </w:rPr>
      </w:lvl>
    </w:lvlOverride>
  </w:num>
  <w:num w:numId="13">
    <w:abstractNumId w:val="13"/>
  </w:num>
  <w:num w:numId="14">
    <w:abstractNumId w:val="13"/>
  </w:num>
  <w:num w:numId="15">
    <w:abstractNumId w:val="13"/>
  </w:num>
  <w:num w:numId="16">
    <w:abstractNumId w:val="10"/>
  </w:num>
  <w:num w:numId="17">
    <w:abstractNumId w:val="10"/>
  </w:num>
  <w:num w:numId="18">
    <w:abstractNumId w:val="10"/>
  </w:num>
  <w:num w:numId="19">
    <w:abstractNumId w:val="13"/>
  </w:num>
  <w:num w:numId="20">
    <w:abstractNumId w:val="13"/>
  </w:num>
  <w:num w:numId="21">
    <w:abstractNumId w:val="13"/>
  </w:num>
  <w:num w:numId="22">
    <w:abstractNumId w:val="10"/>
  </w:num>
  <w:num w:numId="23">
    <w:abstractNumId w:val="10"/>
  </w:num>
  <w:num w:numId="24">
    <w:abstractNumId w:val="10"/>
  </w:num>
  <w:num w:numId="25">
    <w:abstractNumId w:val="10"/>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6">
    <w:abstractNumId w:val="10"/>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7">
    <w:abstractNumId w:val="24"/>
  </w:num>
  <w:num w:numId="28">
    <w:abstractNumId w:val="31"/>
  </w:num>
  <w:num w:numId="29">
    <w:abstractNumId w:val="12"/>
  </w:num>
  <w:num w:numId="30">
    <w:abstractNumId w:val="18"/>
  </w:num>
  <w:num w:numId="31">
    <w:abstractNumId w:val="7"/>
  </w:num>
  <w:num w:numId="32">
    <w:abstractNumId w:val="25"/>
  </w:num>
  <w:num w:numId="33">
    <w:abstractNumId w:val="22"/>
  </w:num>
  <w:num w:numId="34">
    <w:abstractNumId w:val="32"/>
  </w:num>
  <w:num w:numId="35">
    <w:abstractNumId w:val="11"/>
  </w:num>
  <w:num w:numId="36">
    <w:abstractNumId w:val="5"/>
  </w:num>
  <w:num w:numId="37">
    <w:abstractNumId w:val="0"/>
  </w:num>
  <w:num w:numId="38">
    <w:abstractNumId w:val="14"/>
  </w:num>
  <w:num w:numId="39">
    <w:abstractNumId w:val="30"/>
  </w:num>
  <w:num w:numId="40">
    <w:abstractNumId w:val="6"/>
  </w:num>
  <w:num w:numId="41">
    <w:abstractNumId w:val="15"/>
  </w:num>
  <w:num w:numId="42">
    <w:abstractNumId w:val="26"/>
  </w:num>
  <w:num w:numId="43">
    <w:abstractNumId w:val="16"/>
  </w:num>
  <w:num w:numId="44">
    <w:abstractNumId w:val="21"/>
  </w:num>
  <w:num w:numId="45">
    <w:abstractNumId w:val="28"/>
  </w:num>
  <w:num w:numId="46">
    <w:abstractNumId w:val="17"/>
  </w:num>
  <w:num w:numId="47">
    <w:abstractNumId w:val="9"/>
  </w:num>
  <w:num w:numId="48">
    <w:abstractNumId w:val="19"/>
  </w:num>
  <w:num w:numId="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3"/>
  </w:num>
  <w:num w:numId="52">
    <w:abstractNumId w:val="8"/>
  </w:num>
  <w:num w:numId="53">
    <w:abstractNumId w:val="29"/>
  </w:num>
  <w:num w:numId="54">
    <w:abstractNumId w:val="20"/>
  </w:num>
  <w:num w:numId="55">
    <w:abstractNumId w:val="2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44"/>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F4C"/>
    <w:rsid w:val="000012F7"/>
    <w:rsid w:val="00001347"/>
    <w:rsid w:val="00002031"/>
    <w:rsid w:val="00004734"/>
    <w:rsid w:val="00005688"/>
    <w:rsid w:val="00006B22"/>
    <w:rsid w:val="00006FAB"/>
    <w:rsid w:val="0001086D"/>
    <w:rsid w:val="0001276A"/>
    <w:rsid w:val="00013EC9"/>
    <w:rsid w:val="00017F10"/>
    <w:rsid w:val="000205DD"/>
    <w:rsid w:val="000230E2"/>
    <w:rsid w:val="00024021"/>
    <w:rsid w:val="000246AE"/>
    <w:rsid w:val="00025169"/>
    <w:rsid w:val="00025C67"/>
    <w:rsid w:val="00026316"/>
    <w:rsid w:val="00026DA8"/>
    <w:rsid w:val="00030B2D"/>
    <w:rsid w:val="00031814"/>
    <w:rsid w:val="0003273D"/>
    <w:rsid w:val="000341E4"/>
    <w:rsid w:val="000360FE"/>
    <w:rsid w:val="0003679D"/>
    <w:rsid w:val="00044772"/>
    <w:rsid w:val="0004541C"/>
    <w:rsid w:val="00045E10"/>
    <w:rsid w:val="00050CAD"/>
    <w:rsid w:val="0005268E"/>
    <w:rsid w:val="0005362A"/>
    <w:rsid w:val="0005559E"/>
    <w:rsid w:val="0005659F"/>
    <w:rsid w:val="00056ECA"/>
    <w:rsid w:val="000604D6"/>
    <w:rsid w:val="00060FEF"/>
    <w:rsid w:val="0006160B"/>
    <w:rsid w:val="00061DC8"/>
    <w:rsid w:val="00063E64"/>
    <w:rsid w:val="000641B5"/>
    <w:rsid w:val="00065F91"/>
    <w:rsid w:val="0007255F"/>
    <w:rsid w:val="0007300D"/>
    <w:rsid w:val="000734D8"/>
    <w:rsid w:val="00073999"/>
    <w:rsid w:val="000748B1"/>
    <w:rsid w:val="00075738"/>
    <w:rsid w:val="00076BC2"/>
    <w:rsid w:val="00077775"/>
    <w:rsid w:val="00081E06"/>
    <w:rsid w:val="000825CC"/>
    <w:rsid w:val="00083D16"/>
    <w:rsid w:val="000848D6"/>
    <w:rsid w:val="00084C39"/>
    <w:rsid w:val="00084EE3"/>
    <w:rsid w:val="00085356"/>
    <w:rsid w:val="000859B0"/>
    <w:rsid w:val="000862F6"/>
    <w:rsid w:val="00090471"/>
    <w:rsid w:val="000918EF"/>
    <w:rsid w:val="00093050"/>
    <w:rsid w:val="00093721"/>
    <w:rsid w:val="00093E67"/>
    <w:rsid w:val="000952AA"/>
    <w:rsid w:val="00096AA7"/>
    <w:rsid w:val="000A2325"/>
    <w:rsid w:val="000A3AED"/>
    <w:rsid w:val="000A5D9C"/>
    <w:rsid w:val="000A6317"/>
    <w:rsid w:val="000A7498"/>
    <w:rsid w:val="000B1411"/>
    <w:rsid w:val="000B2F98"/>
    <w:rsid w:val="000B3532"/>
    <w:rsid w:val="000B3A75"/>
    <w:rsid w:val="000B74A6"/>
    <w:rsid w:val="000B7C1A"/>
    <w:rsid w:val="000C00C2"/>
    <w:rsid w:val="000C10F3"/>
    <w:rsid w:val="000C2B20"/>
    <w:rsid w:val="000C335C"/>
    <w:rsid w:val="000C3DB4"/>
    <w:rsid w:val="000C690F"/>
    <w:rsid w:val="000D05A4"/>
    <w:rsid w:val="000D1295"/>
    <w:rsid w:val="000D391B"/>
    <w:rsid w:val="000D3D6D"/>
    <w:rsid w:val="000D4FC7"/>
    <w:rsid w:val="000D501F"/>
    <w:rsid w:val="000E087A"/>
    <w:rsid w:val="000E3F4E"/>
    <w:rsid w:val="000E529C"/>
    <w:rsid w:val="000E5762"/>
    <w:rsid w:val="000E6196"/>
    <w:rsid w:val="000E68D2"/>
    <w:rsid w:val="000E6E6F"/>
    <w:rsid w:val="000F11C8"/>
    <w:rsid w:val="000F183E"/>
    <w:rsid w:val="000F2E3B"/>
    <w:rsid w:val="000F3A57"/>
    <w:rsid w:val="000F4869"/>
    <w:rsid w:val="000F5B42"/>
    <w:rsid w:val="000F6E6F"/>
    <w:rsid w:val="000F798A"/>
    <w:rsid w:val="0010454E"/>
    <w:rsid w:val="0010601F"/>
    <w:rsid w:val="00106A6B"/>
    <w:rsid w:val="00106BE6"/>
    <w:rsid w:val="0010788A"/>
    <w:rsid w:val="00107A31"/>
    <w:rsid w:val="00107E74"/>
    <w:rsid w:val="00110388"/>
    <w:rsid w:val="001107D6"/>
    <w:rsid w:val="00110EA5"/>
    <w:rsid w:val="00111397"/>
    <w:rsid w:val="00112F56"/>
    <w:rsid w:val="00117B5B"/>
    <w:rsid w:val="00124ACD"/>
    <w:rsid w:val="00125318"/>
    <w:rsid w:val="00127935"/>
    <w:rsid w:val="00127D9A"/>
    <w:rsid w:val="00127DB8"/>
    <w:rsid w:val="001305A2"/>
    <w:rsid w:val="00130A56"/>
    <w:rsid w:val="00133115"/>
    <w:rsid w:val="00133238"/>
    <w:rsid w:val="00133A1B"/>
    <w:rsid w:val="00133FAA"/>
    <w:rsid w:val="001361CF"/>
    <w:rsid w:val="0014197B"/>
    <w:rsid w:val="001447CD"/>
    <w:rsid w:val="001455F9"/>
    <w:rsid w:val="00146217"/>
    <w:rsid w:val="00150E1B"/>
    <w:rsid w:val="001516B1"/>
    <w:rsid w:val="00151D8B"/>
    <w:rsid w:val="0015327F"/>
    <w:rsid w:val="00153985"/>
    <w:rsid w:val="00154EBB"/>
    <w:rsid w:val="00156316"/>
    <w:rsid w:val="00157B15"/>
    <w:rsid w:val="001610D4"/>
    <w:rsid w:val="00161181"/>
    <w:rsid w:val="00161848"/>
    <w:rsid w:val="00162D14"/>
    <w:rsid w:val="00163780"/>
    <w:rsid w:val="00165389"/>
    <w:rsid w:val="00171ED4"/>
    <w:rsid w:val="00172AD7"/>
    <w:rsid w:val="00173530"/>
    <w:rsid w:val="0017693F"/>
    <w:rsid w:val="0018110E"/>
    <w:rsid w:val="00181684"/>
    <w:rsid w:val="00181CFC"/>
    <w:rsid w:val="00182335"/>
    <w:rsid w:val="00182C69"/>
    <w:rsid w:val="001843C6"/>
    <w:rsid w:val="001850E0"/>
    <w:rsid w:val="00185541"/>
    <w:rsid w:val="00191668"/>
    <w:rsid w:val="00191B65"/>
    <w:rsid w:val="0019253D"/>
    <w:rsid w:val="00192BF1"/>
    <w:rsid w:val="0019321D"/>
    <w:rsid w:val="001959EE"/>
    <w:rsid w:val="001A03AF"/>
    <w:rsid w:val="001A06A2"/>
    <w:rsid w:val="001A2158"/>
    <w:rsid w:val="001A525F"/>
    <w:rsid w:val="001A6F0F"/>
    <w:rsid w:val="001B09F9"/>
    <w:rsid w:val="001B0EFC"/>
    <w:rsid w:val="001B3586"/>
    <w:rsid w:val="001B42C1"/>
    <w:rsid w:val="001B57C6"/>
    <w:rsid w:val="001B5C90"/>
    <w:rsid w:val="001B6448"/>
    <w:rsid w:val="001B776C"/>
    <w:rsid w:val="001C32CD"/>
    <w:rsid w:val="001C4B54"/>
    <w:rsid w:val="001C4D79"/>
    <w:rsid w:val="001C7919"/>
    <w:rsid w:val="001D2984"/>
    <w:rsid w:val="001D34AB"/>
    <w:rsid w:val="001D4161"/>
    <w:rsid w:val="001D5D7E"/>
    <w:rsid w:val="001D660D"/>
    <w:rsid w:val="001D692E"/>
    <w:rsid w:val="001D7C7E"/>
    <w:rsid w:val="001E07CF"/>
    <w:rsid w:val="001E59F1"/>
    <w:rsid w:val="001E714A"/>
    <w:rsid w:val="001F1105"/>
    <w:rsid w:val="001F1791"/>
    <w:rsid w:val="001F2CEE"/>
    <w:rsid w:val="001F49EB"/>
    <w:rsid w:val="001F5C01"/>
    <w:rsid w:val="001F6CBA"/>
    <w:rsid w:val="00201012"/>
    <w:rsid w:val="00201D4E"/>
    <w:rsid w:val="002020C3"/>
    <w:rsid w:val="00202966"/>
    <w:rsid w:val="00204F24"/>
    <w:rsid w:val="002076C9"/>
    <w:rsid w:val="00212123"/>
    <w:rsid w:val="002122D5"/>
    <w:rsid w:val="00215427"/>
    <w:rsid w:val="00220B8A"/>
    <w:rsid w:val="00221219"/>
    <w:rsid w:val="00221B2F"/>
    <w:rsid w:val="00222631"/>
    <w:rsid w:val="00224EA4"/>
    <w:rsid w:val="002257F3"/>
    <w:rsid w:val="002268E0"/>
    <w:rsid w:val="00233370"/>
    <w:rsid w:val="00233456"/>
    <w:rsid w:val="002339A5"/>
    <w:rsid w:val="002350BA"/>
    <w:rsid w:val="00235332"/>
    <w:rsid w:val="00237EFA"/>
    <w:rsid w:val="00242286"/>
    <w:rsid w:val="00242DC7"/>
    <w:rsid w:val="0024361F"/>
    <w:rsid w:val="00243E48"/>
    <w:rsid w:val="00250271"/>
    <w:rsid w:val="0025119C"/>
    <w:rsid w:val="00257848"/>
    <w:rsid w:val="002578E8"/>
    <w:rsid w:val="00257CB2"/>
    <w:rsid w:val="0026515C"/>
    <w:rsid w:val="0026634B"/>
    <w:rsid w:val="0027084A"/>
    <w:rsid w:val="00273A5E"/>
    <w:rsid w:val="00280265"/>
    <w:rsid w:val="00286434"/>
    <w:rsid w:val="00286C59"/>
    <w:rsid w:val="00291957"/>
    <w:rsid w:val="002942D1"/>
    <w:rsid w:val="0029501A"/>
    <w:rsid w:val="00295212"/>
    <w:rsid w:val="002A09F2"/>
    <w:rsid w:val="002A2F21"/>
    <w:rsid w:val="002A3721"/>
    <w:rsid w:val="002B1638"/>
    <w:rsid w:val="002B2D63"/>
    <w:rsid w:val="002B2E3A"/>
    <w:rsid w:val="002B3624"/>
    <w:rsid w:val="002B77F6"/>
    <w:rsid w:val="002B7E83"/>
    <w:rsid w:val="002C1A2A"/>
    <w:rsid w:val="002C24D4"/>
    <w:rsid w:val="002C482F"/>
    <w:rsid w:val="002C4A14"/>
    <w:rsid w:val="002C61D2"/>
    <w:rsid w:val="002D0952"/>
    <w:rsid w:val="002D102E"/>
    <w:rsid w:val="002D338E"/>
    <w:rsid w:val="002D3605"/>
    <w:rsid w:val="002D43B7"/>
    <w:rsid w:val="002E3316"/>
    <w:rsid w:val="002E40B3"/>
    <w:rsid w:val="002E4C9A"/>
    <w:rsid w:val="002E7148"/>
    <w:rsid w:val="002E74DF"/>
    <w:rsid w:val="002F04F6"/>
    <w:rsid w:val="002F1115"/>
    <w:rsid w:val="002F11F8"/>
    <w:rsid w:val="002F3105"/>
    <w:rsid w:val="002F3F56"/>
    <w:rsid w:val="002F44B5"/>
    <w:rsid w:val="002F5122"/>
    <w:rsid w:val="002F56CA"/>
    <w:rsid w:val="002F6013"/>
    <w:rsid w:val="00300706"/>
    <w:rsid w:val="00303939"/>
    <w:rsid w:val="00304062"/>
    <w:rsid w:val="0030477F"/>
    <w:rsid w:val="00306859"/>
    <w:rsid w:val="0030725E"/>
    <w:rsid w:val="003119B4"/>
    <w:rsid w:val="00311AC0"/>
    <w:rsid w:val="00313149"/>
    <w:rsid w:val="00316AE2"/>
    <w:rsid w:val="003176FC"/>
    <w:rsid w:val="00320363"/>
    <w:rsid w:val="00321B2A"/>
    <w:rsid w:val="00322AA1"/>
    <w:rsid w:val="00324C32"/>
    <w:rsid w:val="0032583B"/>
    <w:rsid w:val="00327883"/>
    <w:rsid w:val="003279F7"/>
    <w:rsid w:val="003303BA"/>
    <w:rsid w:val="0033186C"/>
    <w:rsid w:val="003337BB"/>
    <w:rsid w:val="00333EE4"/>
    <w:rsid w:val="00334421"/>
    <w:rsid w:val="003349EF"/>
    <w:rsid w:val="00335504"/>
    <w:rsid w:val="00335CBF"/>
    <w:rsid w:val="00336C7A"/>
    <w:rsid w:val="00337B90"/>
    <w:rsid w:val="00340C18"/>
    <w:rsid w:val="003418CC"/>
    <w:rsid w:val="0034356E"/>
    <w:rsid w:val="00343769"/>
    <w:rsid w:val="003442FD"/>
    <w:rsid w:val="003475AE"/>
    <w:rsid w:val="00347824"/>
    <w:rsid w:val="0035029E"/>
    <w:rsid w:val="00350567"/>
    <w:rsid w:val="003521E8"/>
    <w:rsid w:val="00353221"/>
    <w:rsid w:val="003547D0"/>
    <w:rsid w:val="003560F5"/>
    <w:rsid w:val="003573C3"/>
    <w:rsid w:val="00360EDF"/>
    <w:rsid w:val="00364439"/>
    <w:rsid w:val="003645A3"/>
    <w:rsid w:val="00370CE3"/>
    <w:rsid w:val="0037149A"/>
    <w:rsid w:val="003728F3"/>
    <w:rsid w:val="00372C66"/>
    <w:rsid w:val="003735BC"/>
    <w:rsid w:val="0037496E"/>
    <w:rsid w:val="0037576A"/>
    <w:rsid w:val="003779EB"/>
    <w:rsid w:val="00377CD5"/>
    <w:rsid w:val="00380EE7"/>
    <w:rsid w:val="003811A6"/>
    <w:rsid w:val="00381BF5"/>
    <w:rsid w:val="00383221"/>
    <w:rsid w:val="00386150"/>
    <w:rsid w:val="003874CE"/>
    <w:rsid w:val="00387964"/>
    <w:rsid w:val="0039038C"/>
    <w:rsid w:val="00390900"/>
    <w:rsid w:val="00397F63"/>
    <w:rsid w:val="003A09B5"/>
    <w:rsid w:val="003A4788"/>
    <w:rsid w:val="003A6283"/>
    <w:rsid w:val="003A7F6C"/>
    <w:rsid w:val="003B19DC"/>
    <w:rsid w:val="003B1EF5"/>
    <w:rsid w:val="003B318F"/>
    <w:rsid w:val="003B3826"/>
    <w:rsid w:val="003B4D60"/>
    <w:rsid w:val="003B6242"/>
    <w:rsid w:val="003B7991"/>
    <w:rsid w:val="003B7E39"/>
    <w:rsid w:val="003C011C"/>
    <w:rsid w:val="003C0994"/>
    <w:rsid w:val="003C579B"/>
    <w:rsid w:val="003C58DC"/>
    <w:rsid w:val="003C7556"/>
    <w:rsid w:val="003C75DB"/>
    <w:rsid w:val="003D07D3"/>
    <w:rsid w:val="003D1964"/>
    <w:rsid w:val="003D1CFA"/>
    <w:rsid w:val="003D1E62"/>
    <w:rsid w:val="003E0B99"/>
    <w:rsid w:val="003E1EE8"/>
    <w:rsid w:val="003E2486"/>
    <w:rsid w:val="003E3208"/>
    <w:rsid w:val="003E43B9"/>
    <w:rsid w:val="003E491D"/>
    <w:rsid w:val="003E6281"/>
    <w:rsid w:val="003E6D69"/>
    <w:rsid w:val="003F0B04"/>
    <w:rsid w:val="003F2E79"/>
    <w:rsid w:val="003F6534"/>
    <w:rsid w:val="003F7E44"/>
    <w:rsid w:val="0040134E"/>
    <w:rsid w:val="00401F04"/>
    <w:rsid w:val="0040300E"/>
    <w:rsid w:val="00403436"/>
    <w:rsid w:val="00403C04"/>
    <w:rsid w:val="00405E91"/>
    <w:rsid w:val="00411DD4"/>
    <w:rsid w:val="00411FDB"/>
    <w:rsid w:val="00413240"/>
    <w:rsid w:val="00415BA0"/>
    <w:rsid w:val="0042028A"/>
    <w:rsid w:val="0042119B"/>
    <w:rsid w:val="00431339"/>
    <w:rsid w:val="00431667"/>
    <w:rsid w:val="004334C7"/>
    <w:rsid w:val="004376D0"/>
    <w:rsid w:val="00437D1C"/>
    <w:rsid w:val="00437D84"/>
    <w:rsid w:val="004403BD"/>
    <w:rsid w:val="00440A2D"/>
    <w:rsid w:val="00440D46"/>
    <w:rsid w:val="00441C3F"/>
    <w:rsid w:val="00442DE2"/>
    <w:rsid w:val="00444D1A"/>
    <w:rsid w:val="00446082"/>
    <w:rsid w:val="0045008A"/>
    <w:rsid w:val="00450EF3"/>
    <w:rsid w:val="0045186A"/>
    <w:rsid w:val="004536FB"/>
    <w:rsid w:val="0045632E"/>
    <w:rsid w:val="004564A7"/>
    <w:rsid w:val="00456765"/>
    <w:rsid w:val="00460036"/>
    <w:rsid w:val="0046024C"/>
    <w:rsid w:val="004617BF"/>
    <w:rsid w:val="00462CE1"/>
    <w:rsid w:val="00463658"/>
    <w:rsid w:val="004637A0"/>
    <w:rsid w:val="00463C6E"/>
    <w:rsid w:val="00463D4C"/>
    <w:rsid w:val="004641C1"/>
    <w:rsid w:val="004657F3"/>
    <w:rsid w:val="00465D2B"/>
    <w:rsid w:val="00470CA6"/>
    <w:rsid w:val="004722CC"/>
    <w:rsid w:val="0047585B"/>
    <w:rsid w:val="00475FE7"/>
    <w:rsid w:val="00476825"/>
    <w:rsid w:val="00482A4A"/>
    <w:rsid w:val="00485268"/>
    <w:rsid w:val="00490483"/>
    <w:rsid w:val="004936E4"/>
    <w:rsid w:val="0049406C"/>
    <w:rsid w:val="004943D4"/>
    <w:rsid w:val="00494E60"/>
    <w:rsid w:val="004950DC"/>
    <w:rsid w:val="00497487"/>
    <w:rsid w:val="004A0AF1"/>
    <w:rsid w:val="004A2771"/>
    <w:rsid w:val="004A5006"/>
    <w:rsid w:val="004A6189"/>
    <w:rsid w:val="004A7390"/>
    <w:rsid w:val="004A762E"/>
    <w:rsid w:val="004A7B8A"/>
    <w:rsid w:val="004A7E76"/>
    <w:rsid w:val="004B0416"/>
    <w:rsid w:val="004B4ADE"/>
    <w:rsid w:val="004B513F"/>
    <w:rsid w:val="004B7B61"/>
    <w:rsid w:val="004B7B76"/>
    <w:rsid w:val="004C239D"/>
    <w:rsid w:val="004C27F1"/>
    <w:rsid w:val="004C2DCA"/>
    <w:rsid w:val="004C377A"/>
    <w:rsid w:val="004C3B4F"/>
    <w:rsid w:val="004C4FBE"/>
    <w:rsid w:val="004C61D2"/>
    <w:rsid w:val="004D0378"/>
    <w:rsid w:val="004D153E"/>
    <w:rsid w:val="004D38CC"/>
    <w:rsid w:val="004D66BB"/>
    <w:rsid w:val="004D7527"/>
    <w:rsid w:val="004D7E3A"/>
    <w:rsid w:val="004E3D11"/>
    <w:rsid w:val="004E6ACA"/>
    <w:rsid w:val="004E7C97"/>
    <w:rsid w:val="004F0ABD"/>
    <w:rsid w:val="004F0C4A"/>
    <w:rsid w:val="004F0F38"/>
    <w:rsid w:val="004F212D"/>
    <w:rsid w:val="004F47D6"/>
    <w:rsid w:val="004F5F3D"/>
    <w:rsid w:val="004F77B5"/>
    <w:rsid w:val="00500337"/>
    <w:rsid w:val="00501921"/>
    <w:rsid w:val="005067C1"/>
    <w:rsid w:val="00507CD3"/>
    <w:rsid w:val="005131DE"/>
    <w:rsid w:val="00513464"/>
    <w:rsid w:val="00514617"/>
    <w:rsid w:val="005148A4"/>
    <w:rsid w:val="0051587B"/>
    <w:rsid w:val="00520F33"/>
    <w:rsid w:val="00521586"/>
    <w:rsid w:val="005250B0"/>
    <w:rsid w:val="00527784"/>
    <w:rsid w:val="005300EA"/>
    <w:rsid w:val="00530354"/>
    <w:rsid w:val="00533790"/>
    <w:rsid w:val="0053625B"/>
    <w:rsid w:val="00536C46"/>
    <w:rsid w:val="005406B7"/>
    <w:rsid w:val="00540E39"/>
    <w:rsid w:val="00542C48"/>
    <w:rsid w:val="005434C6"/>
    <w:rsid w:val="00543B39"/>
    <w:rsid w:val="0054418D"/>
    <w:rsid w:val="00546154"/>
    <w:rsid w:val="00546FD7"/>
    <w:rsid w:val="00550096"/>
    <w:rsid w:val="00551193"/>
    <w:rsid w:val="00555280"/>
    <w:rsid w:val="00557FF9"/>
    <w:rsid w:val="00560C1E"/>
    <w:rsid w:val="00562327"/>
    <w:rsid w:val="00565DA4"/>
    <w:rsid w:val="00570BCD"/>
    <w:rsid w:val="005711D5"/>
    <w:rsid w:val="00571B56"/>
    <w:rsid w:val="0057340F"/>
    <w:rsid w:val="00574064"/>
    <w:rsid w:val="00574262"/>
    <w:rsid w:val="00575902"/>
    <w:rsid w:val="00576378"/>
    <w:rsid w:val="00577130"/>
    <w:rsid w:val="00577945"/>
    <w:rsid w:val="00577E38"/>
    <w:rsid w:val="00577F4C"/>
    <w:rsid w:val="00582A58"/>
    <w:rsid w:val="00584A07"/>
    <w:rsid w:val="00585322"/>
    <w:rsid w:val="005857C6"/>
    <w:rsid w:val="0058636B"/>
    <w:rsid w:val="005868C5"/>
    <w:rsid w:val="005921A9"/>
    <w:rsid w:val="00592F6E"/>
    <w:rsid w:val="0059317A"/>
    <w:rsid w:val="00593AD1"/>
    <w:rsid w:val="00594B06"/>
    <w:rsid w:val="0059506E"/>
    <w:rsid w:val="00596793"/>
    <w:rsid w:val="005A4213"/>
    <w:rsid w:val="005A68B6"/>
    <w:rsid w:val="005B2015"/>
    <w:rsid w:val="005B29C0"/>
    <w:rsid w:val="005B4BAE"/>
    <w:rsid w:val="005C50BF"/>
    <w:rsid w:val="005C5570"/>
    <w:rsid w:val="005C5B66"/>
    <w:rsid w:val="005C6535"/>
    <w:rsid w:val="005C6BF3"/>
    <w:rsid w:val="005C79A4"/>
    <w:rsid w:val="005C7A85"/>
    <w:rsid w:val="005D5442"/>
    <w:rsid w:val="005D6280"/>
    <w:rsid w:val="005E0A0B"/>
    <w:rsid w:val="005E2A78"/>
    <w:rsid w:val="005E6B60"/>
    <w:rsid w:val="005F2CB7"/>
    <w:rsid w:val="005F2E32"/>
    <w:rsid w:val="005F6D3B"/>
    <w:rsid w:val="00603F32"/>
    <w:rsid w:val="00603F40"/>
    <w:rsid w:val="00605AD4"/>
    <w:rsid w:val="0061081F"/>
    <w:rsid w:val="00610DCD"/>
    <w:rsid w:val="00612251"/>
    <w:rsid w:val="006136D7"/>
    <w:rsid w:val="006179F7"/>
    <w:rsid w:val="00625A6E"/>
    <w:rsid w:val="00625D4F"/>
    <w:rsid w:val="0063187C"/>
    <w:rsid w:val="00632398"/>
    <w:rsid w:val="00640FC3"/>
    <w:rsid w:val="00642020"/>
    <w:rsid w:val="00642064"/>
    <w:rsid w:val="006422F4"/>
    <w:rsid w:val="00642E07"/>
    <w:rsid w:val="006430EE"/>
    <w:rsid w:val="0064588D"/>
    <w:rsid w:val="006475CC"/>
    <w:rsid w:val="00651C30"/>
    <w:rsid w:val="0065337B"/>
    <w:rsid w:val="0065419D"/>
    <w:rsid w:val="0065741C"/>
    <w:rsid w:val="006603BC"/>
    <w:rsid w:val="006604D8"/>
    <w:rsid w:val="006614B2"/>
    <w:rsid w:val="00662B4E"/>
    <w:rsid w:val="00664A5B"/>
    <w:rsid w:val="00665B39"/>
    <w:rsid w:val="0066716C"/>
    <w:rsid w:val="0066735C"/>
    <w:rsid w:val="00671983"/>
    <w:rsid w:val="0067598F"/>
    <w:rsid w:val="0067606C"/>
    <w:rsid w:val="006763D2"/>
    <w:rsid w:val="00677A3F"/>
    <w:rsid w:val="00680C08"/>
    <w:rsid w:val="006812C6"/>
    <w:rsid w:val="00686599"/>
    <w:rsid w:val="006867F4"/>
    <w:rsid w:val="00687024"/>
    <w:rsid w:val="006879F6"/>
    <w:rsid w:val="00687E69"/>
    <w:rsid w:val="00690148"/>
    <w:rsid w:val="006916A0"/>
    <w:rsid w:val="006931B1"/>
    <w:rsid w:val="006933ED"/>
    <w:rsid w:val="006A012D"/>
    <w:rsid w:val="006A15C0"/>
    <w:rsid w:val="006A1F00"/>
    <w:rsid w:val="006A3149"/>
    <w:rsid w:val="006A58A8"/>
    <w:rsid w:val="006A6CF7"/>
    <w:rsid w:val="006B63A6"/>
    <w:rsid w:val="006C3E2A"/>
    <w:rsid w:val="006C4151"/>
    <w:rsid w:val="006C45C2"/>
    <w:rsid w:val="006C50C9"/>
    <w:rsid w:val="006C5653"/>
    <w:rsid w:val="006C56AD"/>
    <w:rsid w:val="006C642F"/>
    <w:rsid w:val="006C65E4"/>
    <w:rsid w:val="006C663A"/>
    <w:rsid w:val="006D03E5"/>
    <w:rsid w:val="006D4732"/>
    <w:rsid w:val="006D4F85"/>
    <w:rsid w:val="006D5C54"/>
    <w:rsid w:val="006D5D3E"/>
    <w:rsid w:val="006E08B3"/>
    <w:rsid w:val="006E2432"/>
    <w:rsid w:val="006E50B0"/>
    <w:rsid w:val="006E643B"/>
    <w:rsid w:val="006F17AC"/>
    <w:rsid w:val="006F25B8"/>
    <w:rsid w:val="006F2992"/>
    <w:rsid w:val="006F44AC"/>
    <w:rsid w:val="006F572E"/>
    <w:rsid w:val="00700495"/>
    <w:rsid w:val="007046D6"/>
    <w:rsid w:val="007047FA"/>
    <w:rsid w:val="00705DB0"/>
    <w:rsid w:val="007063FA"/>
    <w:rsid w:val="00706BE6"/>
    <w:rsid w:val="00706F1A"/>
    <w:rsid w:val="007075D0"/>
    <w:rsid w:val="007127B5"/>
    <w:rsid w:val="0071509A"/>
    <w:rsid w:val="00716104"/>
    <w:rsid w:val="00716A5D"/>
    <w:rsid w:val="00717ED8"/>
    <w:rsid w:val="00721A58"/>
    <w:rsid w:val="00722B57"/>
    <w:rsid w:val="007273D0"/>
    <w:rsid w:val="00727D37"/>
    <w:rsid w:val="00730F8A"/>
    <w:rsid w:val="00734700"/>
    <w:rsid w:val="00735A8C"/>
    <w:rsid w:val="0073783C"/>
    <w:rsid w:val="0074253D"/>
    <w:rsid w:val="00742630"/>
    <w:rsid w:val="0074429B"/>
    <w:rsid w:val="00746CCD"/>
    <w:rsid w:val="007509E7"/>
    <w:rsid w:val="0075612D"/>
    <w:rsid w:val="00757CDB"/>
    <w:rsid w:val="007608DC"/>
    <w:rsid w:val="007615BC"/>
    <w:rsid w:val="00761AD4"/>
    <w:rsid w:val="00761BB8"/>
    <w:rsid w:val="00761CCC"/>
    <w:rsid w:val="00762F05"/>
    <w:rsid w:val="007652FF"/>
    <w:rsid w:val="0076597F"/>
    <w:rsid w:val="0076753C"/>
    <w:rsid w:val="00767B47"/>
    <w:rsid w:val="00770CAC"/>
    <w:rsid w:val="00770EF1"/>
    <w:rsid w:val="00773EF7"/>
    <w:rsid w:val="00774E1D"/>
    <w:rsid w:val="007765D8"/>
    <w:rsid w:val="00776621"/>
    <w:rsid w:val="0077675A"/>
    <w:rsid w:val="00780355"/>
    <w:rsid w:val="007813A2"/>
    <w:rsid w:val="007819FD"/>
    <w:rsid w:val="00784623"/>
    <w:rsid w:val="00785717"/>
    <w:rsid w:val="00785721"/>
    <w:rsid w:val="00786C57"/>
    <w:rsid w:val="00792948"/>
    <w:rsid w:val="007932E1"/>
    <w:rsid w:val="00793A59"/>
    <w:rsid w:val="00793FFE"/>
    <w:rsid w:val="00794250"/>
    <w:rsid w:val="007A050A"/>
    <w:rsid w:val="007A2706"/>
    <w:rsid w:val="007A3281"/>
    <w:rsid w:val="007A46F5"/>
    <w:rsid w:val="007A5F32"/>
    <w:rsid w:val="007A6505"/>
    <w:rsid w:val="007A7A8D"/>
    <w:rsid w:val="007B0533"/>
    <w:rsid w:val="007B14C5"/>
    <w:rsid w:val="007B467A"/>
    <w:rsid w:val="007B6132"/>
    <w:rsid w:val="007B6D1B"/>
    <w:rsid w:val="007B6E9F"/>
    <w:rsid w:val="007C1216"/>
    <w:rsid w:val="007C1AF7"/>
    <w:rsid w:val="007C5168"/>
    <w:rsid w:val="007C6B9B"/>
    <w:rsid w:val="007D42FB"/>
    <w:rsid w:val="007D53B6"/>
    <w:rsid w:val="007E4BE1"/>
    <w:rsid w:val="007F01AA"/>
    <w:rsid w:val="007F0283"/>
    <w:rsid w:val="007F356C"/>
    <w:rsid w:val="008000C1"/>
    <w:rsid w:val="00800689"/>
    <w:rsid w:val="008017F0"/>
    <w:rsid w:val="00805D27"/>
    <w:rsid w:val="008069CA"/>
    <w:rsid w:val="00806DCB"/>
    <w:rsid w:val="008075C5"/>
    <w:rsid w:val="00813DEF"/>
    <w:rsid w:val="008158DF"/>
    <w:rsid w:val="00817ED4"/>
    <w:rsid w:val="00821776"/>
    <w:rsid w:val="00827B4E"/>
    <w:rsid w:val="008311E9"/>
    <w:rsid w:val="008321F5"/>
    <w:rsid w:val="00832369"/>
    <w:rsid w:val="00832A11"/>
    <w:rsid w:val="00833845"/>
    <w:rsid w:val="00834660"/>
    <w:rsid w:val="00836BC2"/>
    <w:rsid w:val="00837A0E"/>
    <w:rsid w:val="00841C54"/>
    <w:rsid w:val="00844BE1"/>
    <w:rsid w:val="0085156D"/>
    <w:rsid w:val="00851761"/>
    <w:rsid w:val="00851CA3"/>
    <w:rsid w:val="00852B28"/>
    <w:rsid w:val="008541A7"/>
    <w:rsid w:val="0085641B"/>
    <w:rsid w:val="00857136"/>
    <w:rsid w:val="0086232A"/>
    <w:rsid w:val="00863B5E"/>
    <w:rsid w:val="00864B6B"/>
    <w:rsid w:val="00865389"/>
    <w:rsid w:val="00865488"/>
    <w:rsid w:val="00865631"/>
    <w:rsid w:val="0086603D"/>
    <w:rsid w:val="00866DE7"/>
    <w:rsid w:val="00875A6B"/>
    <w:rsid w:val="00876305"/>
    <w:rsid w:val="00876F7C"/>
    <w:rsid w:val="008773A6"/>
    <w:rsid w:val="00881AC9"/>
    <w:rsid w:val="00883691"/>
    <w:rsid w:val="00884D06"/>
    <w:rsid w:val="00885B11"/>
    <w:rsid w:val="00886D15"/>
    <w:rsid w:val="00887DD8"/>
    <w:rsid w:val="00891BA9"/>
    <w:rsid w:val="00894752"/>
    <w:rsid w:val="008948DC"/>
    <w:rsid w:val="00894B70"/>
    <w:rsid w:val="00895AFA"/>
    <w:rsid w:val="00896018"/>
    <w:rsid w:val="008960DD"/>
    <w:rsid w:val="0089635C"/>
    <w:rsid w:val="0089708C"/>
    <w:rsid w:val="008A26C9"/>
    <w:rsid w:val="008A2B9D"/>
    <w:rsid w:val="008A3D81"/>
    <w:rsid w:val="008A3D9F"/>
    <w:rsid w:val="008A5E0B"/>
    <w:rsid w:val="008A6D59"/>
    <w:rsid w:val="008B1065"/>
    <w:rsid w:val="008B2C28"/>
    <w:rsid w:val="008B4B03"/>
    <w:rsid w:val="008B4F4C"/>
    <w:rsid w:val="008B596F"/>
    <w:rsid w:val="008B7998"/>
    <w:rsid w:val="008C01E5"/>
    <w:rsid w:val="008C159F"/>
    <w:rsid w:val="008C1623"/>
    <w:rsid w:val="008C1850"/>
    <w:rsid w:val="008C3FF4"/>
    <w:rsid w:val="008C51A9"/>
    <w:rsid w:val="008C6DA3"/>
    <w:rsid w:val="008D1C58"/>
    <w:rsid w:val="008D2E6C"/>
    <w:rsid w:val="008D51B6"/>
    <w:rsid w:val="008D69CC"/>
    <w:rsid w:val="008E0DEA"/>
    <w:rsid w:val="008E7846"/>
    <w:rsid w:val="008F02E5"/>
    <w:rsid w:val="008F1606"/>
    <w:rsid w:val="008F1CCC"/>
    <w:rsid w:val="008F2967"/>
    <w:rsid w:val="008F3B72"/>
    <w:rsid w:val="008F60D8"/>
    <w:rsid w:val="008F6943"/>
    <w:rsid w:val="00900D27"/>
    <w:rsid w:val="0090108A"/>
    <w:rsid w:val="009019A3"/>
    <w:rsid w:val="00902A21"/>
    <w:rsid w:val="00903941"/>
    <w:rsid w:val="0090498E"/>
    <w:rsid w:val="00910BDC"/>
    <w:rsid w:val="00910BE4"/>
    <w:rsid w:val="0091523F"/>
    <w:rsid w:val="00916DFC"/>
    <w:rsid w:val="00916F63"/>
    <w:rsid w:val="00920330"/>
    <w:rsid w:val="009219D7"/>
    <w:rsid w:val="00922C96"/>
    <w:rsid w:val="00922D53"/>
    <w:rsid w:val="00923B70"/>
    <w:rsid w:val="00924482"/>
    <w:rsid w:val="0092462D"/>
    <w:rsid w:val="0092495C"/>
    <w:rsid w:val="009251D4"/>
    <w:rsid w:val="00925B9F"/>
    <w:rsid w:val="009267F7"/>
    <w:rsid w:val="00930237"/>
    <w:rsid w:val="0093060B"/>
    <w:rsid w:val="009318DD"/>
    <w:rsid w:val="00931AC0"/>
    <w:rsid w:val="00933D92"/>
    <w:rsid w:val="009364A0"/>
    <w:rsid w:val="009367C6"/>
    <w:rsid w:val="00936ED0"/>
    <w:rsid w:val="00937C17"/>
    <w:rsid w:val="00940A89"/>
    <w:rsid w:val="00941F77"/>
    <w:rsid w:val="00942874"/>
    <w:rsid w:val="00945DBC"/>
    <w:rsid w:val="00946EA5"/>
    <w:rsid w:val="00950F1F"/>
    <w:rsid w:val="009528C5"/>
    <w:rsid w:val="00953CC6"/>
    <w:rsid w:val="00954416"/>
    <w:rsid w:val="009544F2"/>
    <w:rsid w:val="00954E66"/>
    <w:rsid w:val="00960520"/>
    <w:rsid w:val="00963C08"/>
    <w:rsid w:val="00964800"/>
    <w:rsid w:val="009666E8"/>
    <w:rsid w:val="0097485E"/>
    <w:rsid w:val="009752A5"/>
    <w:rsid w:val="00976B85"/>
    <w:rsid w:val="00977041"/>
    <w:rsid w:val="0098585A"/>
    <w:rsid w:val="00986B2A"/>
    <w:rsid w:val="009905D0"/>
    <w:rsid w:val="00992084"/>
    <w:rsid w:val="00993B0E"/>
    <w:rsid w:val="00995576"/>
    <w:rsid w:val="009964DD"/>
    <w:rsid w:val="009A097F"/>
    <w:rsid w:val="009A245E"/>
    <w:rsid w:val="009A2ECF"/>
    <w:rsid w:val="009A4592"/>
    <w:rsid w:val="009A4CED"/>
    <w:rsid w:val="009A5BE1"/>
    <w:rsid w:val="009A690D"/>
    <w:rsid w:val="009B113E"/>
    <w:rsid w:val="009B1D12"/>
    <w:rsid w:val="009B230E"/>
    <w:rsid w:val="009B416B"/>
    <w:rsid w:val="009B48C6"/>
    <w:rsid w:val="009B5FF0"/>
    <w:rsid w:val="009B7D6D"/>
    <w:rsid w:val="009C0086"/>
    <w:rsid w:val="009C2D4F"/>
    <w:rsid w:val="009C4BD5"/>
    <w:rsid w:val="009D21F0"/>
    <w:rsid w:val="009D39BF"/>
    <w:rsid w:val="009D3EC7"/>
    <w:rsid w:val="009D4EE1"/>
    <w:rsid w:val="009D64B5"/>
    <w:rsid w:val="009D6E99"/>
    <w:rsid w:val="009D7244"/>
    <w:rsid w:val="009D7285"/>
    <w:rsid w:val="009D7479"/>
    <w:rsid w:val="009D7B77"/>
    <w:rsid w:val="009E0BB0"/>
    <w:rsid w:val="009E37EE"/>
    <w:rsid w:val="009E3FBB"/>
    <w:rsid w:val="009E54C3"/>
    <w:rsid w:val="009E7DAF"/>
    <w:rsid w:val="009F16A4"/>
    <w:rsid w:val="009F40ED"/>
    <w:rsid w:val="009F6809"/>
    <w:rsid w:val="009F7353"/>
    <w:rsid w:val="00A00578"/>
    <w:rsid w:val="00A030A5"/>
    <w:rsid w:val="00A03B39"/>
    <w:rsid w:val="00A04F85"/>
    <w:rsid w:val="00A05BF6"/>
    <w:rsid w:val="00A05FA4"/>
    <w:rsid w:val="00A102E4"/>
    <w:rsid w:val="00A104F2"/>
    <w:rsid w:val="00A1064A"/>
    <w:rsid w:val="00A1219C"/>
    <w:rsid w:val="00A12C42"/>
    <w:rsid w:val="00A144D3"/>
    <w:rsid w:val="00A14DF7"/>
    <w:rsid w:val="00A162B4"/>
    <w:rsid w:val="00A1760C"/>
    <w:rsid w:val="00A17632"/>
    <w:rsid w:val="00A2110C"/>
    <w:rsid w:val="00A2139B"/>
    <w:rsid w:val="00A22D57"/>
    <w:rsid w:val="00A24B8F"/>
    <w:rsid w:val="00A27EE5"/>
    <w:rsid w:val="00A31319"/>
    <w:rsid w:val="00A31C79"/>
    <w:rsid w:val="00A3246D"/>
    <w:rsid w:val="00A36FA7"/>
    <w:rsid w:val="00A37739"/>
    <w:rsid w:val="00A42128"/>
    <w:rsid w:val="00A42604"/>
    <w:rsid w:val="00A44DDB"/>
    <w:rsid w:val="00A4583B"/>
    <w:rsid w:val="00A47004"/>
    <w:rsid w:val="00A475B7"/>
    <w:rsid w:val="00A4784C"/>
    <w:rsid w:val="00A47AF7"/>
    <w:rsid w:val="00A47C3E"/>
    <w:rsid w:val="00A50226"/>
    <w:rsid w:val="00A50A01"/>
    <w:rsid w:val="00A512FB"/>
    <w:rsid w:val="00A51D9A"/>
    <w:rsid w:val="00A51F53"/>
    <w:rsid w:val="00A55065"/>
    <w:rsid w:val="00A566A6"/>
    <w:rsid w:val="00A60BAD"/>
    <w:rsid w:val="00A60BD0"/>
    <w:rsid w:val="00A653ED"/>
    <w:rsid w:val="00A66674"/>
    <w:rsid w:val="00A67F06"/>
    <w:rsid w:val="00A7276F"/>
    <w:rsid w:val="00A731A0"/>
    <w:rsid w:val="00A738EB"/>
    <w:rsid w:val="00A7469C"/>
    <w:rsid w:val="00A75C14"/>
    <w:rsid w:val="00A75E77"/>
    <w:rsid w:val="00A77F87"/>
    <w:rsid w:val="00A80B5B"/>
    <w:rsid w:val="00A847CF"/>
    <w:rsid w:val="00A84810"/>
    <w:rsid w:val="00A84E36"/>
    <w:rsid w:val="00A964D1"/>
    <w:rsid w:val="00AA0ED0"/>
    <w:rsid w:val="00AA18D6"/>
    <w:rsid w:val="00AA4D94"/>
    <w:rsid w:val="00AA540A"/>
    <w:rsid w:val="00AA7DF7"/>
    <w:rsid w:val="00AB2D08"/>
    <w:rsid w:val="00AC1246"/>
    <w:rsid w:val="00AC2B40"/>
    <w:rsid w:val="00AC2BB2"/>
    <w:rsid w:val="00AC2C3C"/>
    <w:rsid w:val="00AC3F58"/>
    <w:rsid w:val="00AC512D"/>
    <w:rsid w:val="00AD0083"/>
    <w:rsid w:val="00AD09C4"/>
    <w:rsid w:val="00AD3935"/>
    <w:rsid w:val="00AD3EEA"/>
    <w:rsid w:val="00AD4F1A"/>
    <w:rsid w:val="00AD6265"/>
    <w:rsid w:val="00AD78DD"/>
    <w:rsid w:val="00AE0019"/>
    <w:rsid w:val="00AE00F9"/>
    <w:rsid w:val="00AE08F9"/>
    <w:rsid w:val="00AE55B3"/>
    <w:rsid w:val="00AE65EB"/>
    <w:rsid w:val="00AE67A7"/>
    <w:rsid w:val="00AE7336"/>
    <w:rsid w:val="00AF0D79"/>
    <w:rsid w:val="00AF1D94"/>
    <w:rsid w:val="00AF2D45"/>
    <w:rsid w:val="00AF60C5"/>
    <w:rsid w:val="00AF7CBD"/>
    <w:rsid w:val="00B009C6"/>
    <w:rsid w:val="00B01548"/>
    <w:rsid w:val="00B03A20"/>
    <w:rsid w:val="00B07132"/>
    <w:rsid w:val="00B103D6"/>
    <w:rsid w:val="00B12433"/>
    <w:rsid w:val="00B130C5"/>
    <w:rsid w:val="00B13EBD"/>
    <w:rsid w:val="00B161B8"/>
    <w:rsid w:val="00B20DC2"/>
    <w:rsid w:val="00B21D29"/>
    <w:rsid w:val="00B21E1F"/>
    <w:rsid w:val="00B22CE9"/>
    <w:rsid w:val="00B23300"/>
    <w:rsid w:val="00B24A92"/>
    <w:rsid w:val="00B25034"/>
    <w:rsid w:val="00B250BF"/>
    <w:rsid w:val="00B2558F"/>
    <w:rsid w:val="00B27FD2"/>
    <w:rsid w:val="00B30908"/>
    <w:rsid w:val="00B317DF"/>
    <w:rsid w:val="00B33588"/>
    <w:rsid w:val="00B33863"/>
    <w:rsid w:val="00B33F54"/>
    <w:rsid w:val="00B371D5"/>
    <w:rsid w:val="00B37D17"/>
    <w:rsid w:val="00B4175E"/>
    <w:rsid w:val="00B41C85"/>
    <w:rsid w:val="00B42F06"/>
    <w:rsid w:val="00B43F5C"/>
    <w:rsid w:val="00B452CE"/>
    <w:rsid w:val="00B456D2"/>
    <w:rsid w:val="00B50FC7"/>
    <w:rsid w:val="00B531D5"/>
    <w:rsid w:val="00B54C25"/>
    <w:rsid w:val="00B606B1"/>
    <w:rsid w:val="00B607C6"/>
    <w:rsid w:val="00B61CDB"/>
    <w:rsid w:val="00B61FEE"/>
    <w:rsid w:val="00B63E1D"/>
    <w:rsid w:val="00B65F68"/>
    <w:rsid w:val="00B66ABB"/>
    <w:rsid w:val="00B66CEA"/>
    <w:rsid w:val="00B671C3"/>
    <w:rsid w:val="00B673F8"/>
    <w:rsid w:val="00B678A5"/>
    <w:rsid w:val="00B719D1"/>
    <w:rsid w:val="00B73652"/>
    <w:rsid w:val="00B74295"/>
    <w:rsid w:val="00B76B91"/>
    <w:rsid w:val="00B77EB1"/>
    <w:rsid w:val="00B80417"/>
    <w:rsid w:val="00B811C6"/>
    <w:rsid w:val="00B85491"/>
    <w:rsid w:val="00B855B0"/>
    <w:rsid w:val="00B85C84"/>
    <w:rsid w:val="00B92AA0"/>
    <w:rsid w:val="00B92E08"/>
    <w:rsid w:val="00B95EF3"/>
    <w:rsid w:val="00BA17D7"/>
    <w:rsid w:val="00BA1BDC"/>
    <w:rsid w:val="00BA71C4"/>
    <w:rsid w:val="00BB0989"/>
    <w:rsid w:val="00BB2445"/>
    <w:rsid w:val="00BB56BB"/>
    <w:rsid w:val="00BB66E8"/>
    <w:rsid w:val="00BC42A0"/>
    <w:rsid w:val="00BC622A"/>
    <w:rsid w:val="00BC75EC"/>
    <w:rsid w:val="00BD1EEC"/>
    <w:rsid w:val="00BD2B89"/>
    <w:rsid w:val="00BD5944"/>
    <w:rsid w:val="00BE0149"/>
    <w:rsid w:val="00BE0987"/>
    <w:rsid w:val="00BE0A78"/>
    <w:rsid w:val="00BE3FF4"/>
    <w:rsid w:val="00BE4865"/>
    <w:rsid w:val="00BE5CFC"/>
    <w:rsid w:val="00BE67D8"/>
    <w:rsid w:val="00BE79F0"/>
    <w:rsid w:val="00BF046D"/>
    <w:rsid w:val="00BF1190"/>
    <w:rsid w:val="00BF3695"/>
    <w:rsid w:val="00BF3774"/>
    <w:rsid w:val="00BF4618"/>
    <w:rsid w:val="00BF5D04"/>
    <w:rsid w:val="00BF64D0"/>
    <w:rsid w:val="00C009AA"/>
    <w:rsid w:val="00C04547"/>
    <w:rsid w:val="00C04E3B"/>
    <w:rsid w:val="00C05036"/>
    <w:rsid w:val="00C07607"/>
    <w:rsid w:val="00C1164D"/>
    <w:rsid w:val="00C15A94"/>
    <w:rsid w:val="00C164BC"/>
    <w:rsid w:val="00C16861"/>
    <w:rsid w:val="00C17BF6"/>
    <w:rsid w:val="00C346AB"/>
    <w:rsid w:val="00C34A49"/>
    <w:rsid w:val="00C36666"/>
    <w:rsid w:val="00C404A6"/>
    <w:rsid w:val="00C408D1"/>
    <w:rsid w:val="00C40A36"/>
    <w:rsid w:val="00C44333"/>
    <w:rsid w:val="00C44419"/>
    <w:rsid w:val="00C45E7B"/>
    <w:rsid w:val="00C471B1"/>
    <w:rsid w:val="00C508E7"/>
    <w:rsid w:val="00C510C1"/>
    <w:rsid w:val="00C5157B"/>
    <w:rsid w:val="00C525A2"/>
    <w:rsid w:val="00C52E24"/>
    <w:rsid w:val="00C57466"/>
    <w:rsid w:val="00C611A4"/>
    <w:rsid w:val="00C6316B"/>
    <w:rsid w:val="00C634A9"/>
    <w:rsid w:val="00C64586"/>
    <w:rsid w:val="00C70A36"/>
    <w:rsid w:val="00C70D53"/>
    <w:rsid w:val="00C718F6"/>
    <w:rsid w:val="00C73D0B"/>
    <w:rsid w:val="00C73D97"/>
    <w:rsid w:val="00C7493F"/>
    <w:rsid w:val="00C74CC4"/>
    <w:rsid w:val="00C74F5C"/>
    <w:rsid w:val="00C76D58"/>
    <w:rsid w:val="00C772FF"/>
    <w:rsid w:val="00C77BE5"/>
    <w:rsid w:val="00C80137"/>
    <w:rsid w:val="00C801AF"/>
    <w:rsid w:val="00C80256"/>
    <w:rsid w:val="00C81C3C"/>
    <w:rsid w:val="00C83400"/>
    <w:rsid w:val="00C926B6"/>
    <w:rsid w:val="00C94B38"/>
    <w:rsid w:val="00C94CD4"/>
    <w:rsid w:val="00C96589"/>
    <w:rsid w:val="00C9747E"/>
    <w:rsid w:val="00CA0545"/>
    <w:rsid w:val="00CA0E6B"/>
    <w:rsid w:val="00CA1F33"/>
    <w:rsid w:val="00CA2AE1"/>
    <w:rsid w:val="00CA6188"/>
    <w:rsid w:val="00CB0B04"/>
    <w:rsid w:val="00CB6BC0"/>
    <w:rsid w:val="00CB7C00"/>
    <w:rsid w:val="00CB7FA2"/>
    <w:rsid w:val="00CC0765"/>
    <w:rsid w:val="00CC13F9"/>
    <w:rsid w:val="00CC1B7C"/>
    <w:rsid w:val="00CC1C74"/>
    <w:rsid w:val="00CC4BE8"/>
    <w:rsid w:val="00CC727F"/>
    <w:rsid w:val="00CD1123"/>
    <w:rsid w:val="00CD4859"/>
    <w:rsid w:val="00CD7D52"/>
    <w:rsid w:val="00CE155D"/>
    <w:rsid w:val="00CE26C3"/>
    <w:rsid w:val="00CE56A9"/>
    <w:rsid w:val="00CE5AAB"/>
    <w:rsid w:val="00CE6B4D"/>
    <w:rsid w:val="00CE7A26"/>
    <w:rsid w:val="00CF15C3"/>
    <w:rsid w:val="00CF1EC1"/>
    <w:rsid w:val="00CF2B6F"/>
    <w:rsid w:val="00CF2D9D"/>
    <w:rsid w:val="00CF2F3E"/>
    <w:rsid w:val="00CF58B6"/>
    <w:rsid w:val="00CF5DAD"/>
    <w:rsid w:val="00CF5F1B"/>
    <w:rsid w:val="00CF61EA"/>
    <w:rsid w:val="00D0062D"/>
    <w:rsid w:val="00D00D1C"/>
    <w:rsid w:val="00D017ED"/>
    <w:rsid w:val="00D040D3"/>
    <w:rsid w:val="00D04C65"/>
    <w:rsid w:val="00D06D5E"/>
    <w:rsid w:val="00D117CE"/>
    <w:rsid w:val="00D153D8"/>
    <w:rsid w:val="00D201D2"/>
    <w:rsid w:val="00D20591"/>
    <w:rsid w:val="00D224FE"/>
    <w:rsid w:val="00D23139"/>
    <w:rsid w:val="00D27FA4"/>
    <w:rsid w:val="00D3014E"/>
    <w:rsid w:val="00D31271"/>
    <w:rsid w:val="00D329C4"/>
    <w:rsid w:val="00D344AC"/>
    <w:rsid w:val="00D40C68"/>
    <w:rsid w:val="00D4196E"/>
    <w:rsid w:val="00D425BB"/>
    <w:rsid w:val="00D42701"/>
    <w:rsid w:val="00D42CE8"/>
    <w:rsid w:val="00D4448F"/>
    <w:rsid w:val="00D453FA"/>
    <w:rsid w:val="00D45E25"/>
    <w:rsid w:val="00D47A3D"/>
    <w:rsid w:val="00D5113E"/>
    <w:rsid w:val="00D51ED4"/>
    <w:rsid w:val="00D52B57"/>
    <w:rsid w:val="00D6376C"/>
    <w:rsid w:val="00D6493E"/>
    <w:rsid w:val="00D7195D"/>
    <w:rsid w:val="00D7301E"/>
    <w:rsid w:val="00D7343A"/>
    <w:rsid w:val="00D73C40"/>
    <w:rsid w:val="00D7764C"/>
    <w:rsid w:val="00D80512"/>
    <w:rsid w:val="00D82ED6"/>
    <w:rsid w:val="00D83AE1"/>
    <w:rsid w:val="00D845AE"/>
    <w:rsid w:val="00D84E4D"/>
    <w:rsid w:val="00D855D4"/>
    <w:rsid w:val="00D902C9"/>
    <w:rsid w:val="00D925DB"/>
    <w:rsid w:val="00D93466"/>
    <w:rsid w:val="00D93D8E"/>
    <w:rsid w:val="00D93DA9"/>
    <w:rsid w:val="00D95242"/>
    <w:rsid w:val="00DA1124"/>
    <w:rsid w:val="00DA157E"/>
    <w:rsid w:val="00DA1CFC"/>
    <w:rsid w:val="00DA266F"/>
    <w:rsid w:val="00DA27F1"/>
    <w:rsid w:val="00DA329A"/>
    <w:rsid w:val="00DA64CB"/>
    <w:rsid w:val="00DA6826"/>
    <w:rsid w:val="00DB06B8"/>
    <w:rsid w:val="00DB178D"/>
    <w:rsid w:val="00DB34CF"/>
    <w:rsid w:val="00DB4129"/>
    <w:rsid w:val="00DB59D8"/>
    <w:rsid w:val="00DB6124"/>
    <w:rsid w:val="00DB63B1"/>
    <w:rsid w:val="00DB750B"/>
    <w:rsid w:val="00DB75B7"/>
    <w:rsid w:val="00DB7E16"/>
    <w:rsid w:val="00DC0113"/>
    <w:rsid w:val="00DC0A2F"/>
    <w:rsid w:val="00DC1948"/>
    <w:rsid w:val="00DC3A35"/>
    <w:rsid w:val="00DC6E02"/>
    <w:rsid w:val="00DD1216"/>
    <w:rsid w:val="00DD28CD"/>
    <w:rsid w:val="00DD387D"/>
    <w:rsid w:val="00DD680E"/>
    <w:rsid w:val="00DE02AE"/>
    <w:rsid w:val="00DE3231"/>
    <w:rsid w:val="00DE323E"/>
    <w:rsid w:val="00DE39D1"/>
    <w:rsid w:val="00DE7F0F"/>
    <w:rsid w:val="00DF1D7F"/>
    <w:rsid w:val="00DF2D76"/>
    <w:rsid w:val="00DF49EE"/>
    <w:rsid w:val="00DF4BE4"/>
    <w:rsid w:val="00DF7430"/>
    <w:rsid w:val="00E01921"/>
    <w:rsid w:val="00E02382"/>
    <w:rsid w:val="00E02833"/>
    <w:rsid w:val="00E0292E"/>
    <w:rsid w:val="00E02FB4"/>
    <w:rsid w:val="00E03FF4"/>
    <w:rsid w:val="00E04383"/>
    <w:rsid w:val="00E0506F"/>
    <w:rsid w:val="00E06BA0"/>
    <w:rsid w:val="00E1073C"/>
    <w:rsid w:val="00E13AF6"/>
    <w:rsid w:val="00E13FC7"/>
    <w:rsid w:val="00E13FDA"/>
    <w:rsid w:val="00E14971"/>
    <w:rsid w:val="00E16874"/>
    <w:rsid w:val="00E20570"/>
    <w:rsid w:val="00E20571"/>
    <w:rsid w:val="00E22366"/>
    <w:rsid w:val="00E235F7"/>
    <w:rsid w:val="00E23659"/>
    <w:rsid w:val="00E239D4"/>
    <w:rsid w:val="00E26130"/>
    <w:rsid w:val="00E27792"/>
    <w:rsid w:val="00E348F1"/>
    <w:rsid w:val="00E34E07"/>
    <w:rsid w:val="00E365FC"/>
    <w:rsid w:val="00E369A0"/>
    <w:rsid w:val="00E37988"/>
    <w:rsid w:val="00E40B22"/>
    <w:rsid w:val="00E43D9A"/>
    <w:rsid w:val="00E44575"/>
    <w:rsid w:val="00E44ED1"/>
    <w:rsid w:val="00E451AF"/>
    <w:rsid w:val="00E45619"/>
    <w:rsid w:val="00E4588F"/>
    <w:rsid w:val="00E46DA3"/>
    <w:rsid w:val="00E4763B"/>
    <w:rsid w:val="00E50C70"/>
    <w:rsid w:val="00E51BB1"/>
    <w:rsid w:val="00E55C97"/>
    <w:rsid w:val="00E55CB0"/>
    <w:rsid w:val="00E56E59"/>
    <w:rsid w:val="00E624A5"/>
    <w:rsid w:val="00E64BA4"/>
    <w:rsid w:val="00E7196D"/>
    <w:rsid w:val="00E72BF2"/>
    <w:rsid w:val="00E7344E"/>
    <w:rsid w:val="00E75DAE"/>
    <w:rsid w:val="00E75FEF"/>
    <w:rsid w:val="00E77045"/>
    <w:rsid w:val="00E77E53"/>
    <w:rsid w:val="00E814CC"/>
    <w:rsid w:val="00E82665"/>
    <w:rsid w:val="00E833B6"/>
    <w:rsid w:val="00E836DB"/>
    <w:rsid w:val="00E83CB1"/>
    <w:rsid w:val="00E842E0"/>
    <w:rsid w:val="00E8569E"/>
    <w:rsid w:val="00E90060"/>
    <w:rsid w:val="00E90D1F"/>
    <w:rsid w:val="00E91693"/>
    <w:rsid w:val="00E9459E"/>
    <w:rsid w:val="00E94CC2"/>
    <w:rsid w:val="00E954EA"/>
    <w:rsid w:val="00E967F8"/>
    <w:rsid w:val="00E971EF"/>
    <w:rsid w:val="00E9748A"/>
    <w:rsid w:val="00EA2BBF"/>
    <w:rsid w:val="00EA2C2E"/>
    <w:rsid w:val="00EA2DDA"/>
    <w:rsid w:val="00EA36D0"/>
    <w:rsid w:val="00EB0798"/>
    <w:rsid w:val="00EB0951"/>
    <w:rsid w:val="00EB2739"/>
    <w:rsid w:val="00EB40AD"/>
    <w:rsid w:val="00EB586E"/>
    <w:rsid w:val="00EB5FC8"/>
    <w:rsid w:val="00EB6058"/>
    <w:rsid w:val="00EC2F62"/>
    <w:rsid w:val="00EC463D"/>
    <w:rsid w:val="00EC4D9D"/>
    <w:rsid w:val="00EC51EB"/>
    <w:rsid w:val="00EC54F1"/>
    <w:rsid w:val="00EC5CDE"/>
    <w:rsid w:val="00EC7A85"/>
    <w:rsid w:val="00ED0BA0"/>
    <w:rsid w:val="00ED228C"/>
    <w:rsid w:val="00ED2922"/>
    <w:rsid w:val="00ED3CAD"/>
    <w:rsid w:val="00ED3D83"/>
    <w:rsid w:val="00ED5A41"/>
    <w:rsid w:val="00ED6FDE"/>
    <w:rsid w:val="00EE05B7"/>
    <w:rsid w:val="00EE1DE8"/>
    <w:rsid w:val="00EE27C2"/>
    <w:rsid w:val="00EE683E"/>
    <w:rsid w:val="00EE75DC"/>
    <w:rsid w:val="00EF4BAD"/>
    <w:rsid w:val="00EF5548"/>
    <w:rsid w:val="00EF59DC"/>
    <w:rsid w:val="00EF5F95"/>
    <w:rsid w:val="00EF6DC4"/>
    <w:rsid w:val="00EF7079"/>
    <w:rsid w:val="00F032C2"/>
    <w:rsid w:val="00F033EC"/>
    <w:rsid w:val="00F04F35"/>
    <w:rsid w:val="00F04F68"/>
    <w:rsid w:val="00F0680B"/>
    <w:rsid w:val="00F077EF"/>
    <w:rsid w:val="00F12670"/>
    <w:rsid w:val="00F14B27"/>
    <w:rsid w:val="00F15F5B"/>
    <w:rsid w:val="00F15F82"/>
    <w:rsid w:val="00F1640E"/>
    <w:rsid w:val="00F215BA"/>
    <w:rsid w:val="00F21CFA"/>
    <w:rsid w:val="00F258FF"/>
    <w:rsid w:val="00F26565"/>
    <w:rsid w:val="00F26D97"/>
    <w:rsid w:val="00F3148D"/>
    <w:rsid w:val="00F325C5"/>
    <w:rsid w:val="00F32FE0"/>
    <w:rsid w:val="00F35298"/>
    <w:rsid w:val="00F43436"/>
    <w:rsid w:val="00F43619"/>
    <w:rsid w:val="00F43882"/>
    <w:rsid w:val="00F44B44"/>
    <w:rsid w:val="00F45102"/>
    <w:rsid w:val="00F463D7"/>
    <w:rsid w:val="00F47333"/>
    <w:rsid w:val="00F4778A"/>
    <w:rsid w:val="00F47E37"/>
    <w:rsid w:val="00F51C9D"/>
    <w:rsid w:val="00F51D65"/>
    <w:rsid w:val="00F53C07"/>
    <w:rsid w:val="00F54B65"/>
    <w:rsid w:val="00F5669F"/>
    <w:rsid w:val="00F572CA"/>
    <w:rsid w:val="00F57606"/>
    <w:rsid w:val="00F60FDF"/>
    <w:rsid w:val="00F640B6"/>
    <w:rsid w:val="00F66DF2"/>
    <w:rsid w:val="00F67EFC"/>
    <w:rsid w:val="00F71124"/>
    <w:rsid w:val="00F7285E"/>
    <w:rsid w:val="00F75DF5"/>
    <w:rsid w:val="00F779C3"/>
    <w:rsid w:val="00F77BBD"/>
    <w:rsid w:val="00F80AAA"/>
    <w:rsid w:val="00F80E40"/>
    <w:rsid w:val="00F816D1"/>
    <w:rsid w:val="00F82110"/>
    <w:rsid w:val="00F8247F"/>
    <w:rsid w:val="00F83C24"/>
    <w:rsid w:val="00F848D9"/>
    <w:rsid w:val="00F84BE0"/>
    <w:rsid w:val="00F85731"/>
    <w:rsid w:val="00F86F8B"/>
    <w:rsid w:val="00F93E86"/>
    <w:rsid w:val="00F95134"/>
    <w:rsid w:val="00FA0447"/>
    <w:rsid w:val="00FA5069"/>
    <w:rsid w:val="00FA5263"/>
    <w:rsid w:val="00FA5816"/>
    <w:rsid w:val="00FA5B82"/>
    <w:rsid w:val="00FA639E"/>
    <w:rsid w:val="00FB1412"/>
    <w:rsid w:val="00FB7A51"/>
    <w:rsid w:val="00FB7B99"/>
    <w:rsid w:val="00FC0ED3"/>
    <w:rsid w:val="00FC1FCA"/>
    <w:rsid w:val="00FC25E4"/>
    <w:rsid w:val="00FC4EF7"/>
    <w:rsid w:val="00FD0824"/>
    <w:rsid w:val="00FD119B"/>
    <w:rsid w:val="00FD1EDC"/>
    <w:rsid w:val="00FD31D1"/>
    <w:rsid w:val="00FD6916"/>
    <w:rsid w:val="00FE1DEE"/>
    <w:rsid w:val="00FE781E"/>
    <w:rsid w:val="00FF2126"/>
    <w:rsid w:val="00FF5755"/>
    <w:rsid w:val="00FF595B"/>
    <w:rsid w:val="00FF69BE"/>
    <w:rsid w:val="00FF6BF9"/>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bidi="mr-IN"/>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79806272"/>
  <w15:docId w15:val="{2C497F5B-701A-49AD-897E-D42E565CA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1">
    <w:lsdException w:name="Normal" w:uiPriority="1"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qFormat="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53985"/>
    <w:pPr>
      <w:spacing w:before="120" w:after="120" w:line="240" w:lineRule="atLeast"/>
    </w:pPr>
    <w:rPr>
      <w:rFonts w:ascii="Cambria" w:eastAsia="Cambria" w:hAnsi="Cambria" w:cs="Times New Roman"/>
    </w:rPr>
  </w:style>
  <w:style w:type="paragraph" w:styleId="Heading1">
    <w:name w:val="heading 1"/>
    <w:basedOn w:val="Heading2"/>
    <w:next w:val="Normal"/>
    <w:link w:val="Heading1Char"/>
    <w:qFormat/>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uiPriority w:val="9"/>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qFormat/>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qFormat/>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qFormat/>
    <w:rsid w:val="00F3148D"/>
    <w:pPr>
      <w:spacing w:after="0" w:line="240" w:lineRule="auto"/>
    </w:pPr>
    <w:rPr>
      <w:rFonts w:ascii="Arial" w:hAnsi="Arial"/>
      <w:noProof/>
      <w:sz w:val="14"/>
      <w:lang w:eastAsia="en-AU"/>
    </w:rPr>
  </w:style>
  <w:style w:type="paragraph" w:customStyle="1" w:styleId="AxisTitle">
    <w:name w:val="Axis Title"/>
    <w:basedOn w:val="Normal"/>
    <w:qFormat/>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qFormat/>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qFormat/>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uiPriority w:val="9"/>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qFormat/>
    <w:rsid w:val="00F3148D"/>
    <w:rPr>
      <w:sz w:val="14"/>
    </w:rPr>
  </w:style>
  <w:style w:type="paragraph" w:customStyle="1" w:styleId="LegalCopy">
    <w:name w:val="Legal Copy"/>
    <w:basedOn w:val="Footer"/>
    <w:qFormat/>
    <w:rsid w:val="00F3148D"/>
  </w:style>
  <w:style w:type="paragraph" w:customStyle="1" w:styleId="LegalSubheading">
    <w:name w:val="Legal Subheading"/>
    <w:basedOn w:val="Footer"/>
    <w:qFormat/>
    <w:rsid w:val="00C74F5C"/>
    <w:pPr>
      <w:outlineLvl w:val="1"/>
    </w:pPr>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133FAA"/>
    <w:pPr>
      <w:numPr>
        <w:numId w:val="21"/>
      </w:numPr>
    </w:pPr>
  </w:style>
  <w:style w:type="paragraph" w:styleId="ListBullet2">
    <w:name w:val="List Bullet 2"/>
    <w:basedOn w:val="Normal"/>
    <w:uiPriority w:val="99"/>
    <w:qFormat/>
    <w:rsid w:val="004C2DCA"/>
    <w:pPr>
      <w:numPr>
        <w:ilvl w:val="1"/>
        <w:numId w:val="21"/>
      </w:numPr>
    </w:pPr>
  </w:style>
  <w:style w:type="paragraph" w:styleId="ListBullet3">
    <w:name w:val="List Bullet 3"/>
    <w:basedOn w:val="Normal"/>
    <w:uiPriority w:val="99"/>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C74F5C"/>
    <w:pPr>
      <w:spacing w:before="240"/>
      <w:outlineLvl w:val="1"/>
    </w:pPr>
    <w:rPr>
      <w:rFonts w:ascii="Arial" w:hAnsi="Arial"/>
      <w:b/>
      <w:sz w:val="32"/>
    </w:rPr>
  </w:style>
  <w:style w:type="paragraph" w:customStyle="1" w:styleId="Notes">
    <w:name w:val="Notes"/>
    <w:basedOn w:val="Normal"/>
    <w:qFormat/>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24"/>
      </w:numPr>
    </w:pPr>
  </w:style>
  <w:style w:type="paragraph" w:customStyle="1" w:styleId="Numberbullet2">
    <w:name w:val="Number bullet 2"/>
    <w:basedOn w:val="ListBullet2"/>
    <w:qFormat/>
    <w:rsid w:val="004C2DCA"/>
    <w:pPr>
      <w:numPr>
        <w:numId w:val="24"/>
      </w:numPr>
    </w:pPr>
  </w:style>
  <w:style w:type="paragraph" w:customStyle="1" w:styleId="Numberbullet3">
    <w:name w:val="Number bullet 3"/>
    <w:basedOn w:val="ListBullet3"/>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133FAA"/>
    <w:pPr>
      <w:framePr w:hSpace="180" w:wrap="around" w:vAnchor="page" w:hAnchor="text" w:y="3316"/>
      <w:numPr>
        <w:ilvl w:val="1"/>
      </w:numPr>
      <w:spacing w:after="360"/>
      <w:ind w:left="170"/>
    </w:pPr>
    <w:rPr>
      <w:rFonts w:ascii="Arial" w:eastAsia="Times New Roman" w:hAnsi="Arial"/>
      <w:bCs/>
      <w:iCs/>
      <w:color w:val="FFFFFF" w:themeColor="background1"/>
      <w:sz w:val="40"/>
      <w:szCs w:val="24"/>
    </w:rPr>
  </w:style>
  <w:style w:type="character" w:customStyle="1" w:styleId="SubtitleChar">
    <w:name w:val="Subtitle Char"/>
    <w:basedOn w:val="DefaultParagraphFont"/>
    <w:link w:val="Subtitle"/>
    <w:uiPriority w:val="11"/>
    <w:rsid w:val="00133FAA"/>
    <w:rPr>
      <w:rFonts w:ascii="Arial" w:eastAsia="Times New Roman" w:hAnsi="Arial" w:cs="Times New Roman"/>
      <w:bCs/>
      <w:iCs/>
      <w:color w:val="FFFFFF" w:themeColor="background1"/>
      <w:sz w:val="40"/>
      <w:szCs w:val="24"/>
    </w:rPr>
  </w:style>
  <w:style w:type="paragraph" w:customStyle="1" w:styleId="TableDescription">
    <w:name w:val="Table Description"/>
    <w:basedOn w:val="FigureDescription"/>
    <w:rsid w:val="00500337"/>
    <w:pPr>
      <w:spacing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qFormat/>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qFormat/>
    <w:rsid w:val="002E40B3"/>
    <w:pPr>
      <w:keepNext/>
    </w:pPr>
    <w:rPr>
      <w:b/>
    </w:rPr>
  </w:style>
  <w:style w:type="paragraph" w:customStyle="1" w:styleId="TGASignoff">
    <w:name w:val="TGA Signoff"/>
    <w:basedOn w:val="Normal"/>
    <w:qFormat/>
    <w:rsid w:val="00F3148D"/>
    <w:pPr>
      <w:jc w:val="center"/>
    </w:pPr>
    <w:rPr>
      <w:rFonts w:ascii="Arial" w:hAnsi="Arial"/>
      <w:b/>
      <w:sz w:val="28"/>
    </w:rPr>
  </w:style>
  <w:style w:type="paragraph" w:styleId="Title">
    <w:name w:val="Title"/>
    <w:next w:val="Normal"/>
    <w:link w:val="TitleChar"/>
    <w:uiPriority w:val="10"/>
    <w:rsid w:val="00133FAA"/>
    <w:pPr>
      <w:framePr w:hSpace="180" w:wrap="around" w:vAnchor="page" w:hAnchor="text" w:y="3316"/>
      <w:spacing w:after="480" w:line="240" w:lineRule="auto"/>
      <w:contextualSpacing/>
      <w:outlineLvl w:val="0"/>
    </w:pPr>
    <w:rPr>
      <w:rFonts w:ascii="Arial" w:eastAsia="Times New Roman" w:hAnsi="Arial" w:cs="Times New Roman"/>
      <w:color w:val="FFFFFF" w:themeColor="background1"/>
      <w:spacing w:val="5"/>
      <w:kern w:val="28"/>
      <w:sz w:val="52"/>
      <w:szCs w:val="52"/>
    </w:rPr>
  </w:style>
  <w:style w:type="character" w:customStyle="1" w:styleId="TitleChar">
    <w:name w:val="Title Char"/>
    <w:basedOn w:val="DefaultParagraphFont"/>
    <w:link w:val="Title"/>
    <w:uiPriority w:val="10"/>
    <w:rsid w:val="00133FAA"/>
    <w:rPr>
      <w:rFonts w:ascii="Arial" w:eastAsia="Times New Roman" w:hAnsi="Arial" w:cs="Times New Roman"/>
      <w:color w:val="FFFFFF" w:themeColor="background1"/>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iPriority w:val="99"/>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uiPriority w:val="99"/>
    <w:rsid w:val="001B5C90"/>
    <w:rPr>
      <w:rFonts w:ascii="Cambria" w:eastAsia="Cambria" w:hAnsi="Cambria" w:cs="Times New Roman"/>
      <w:sz w:val="18"/>
      <w:szCs w:val="20"/>
    </w:rPr>
  </w:style>
  <w:style w:type="character" w:styleId="FootnoteReference">
    <w:name w:val="footnote reference"/>
    <w:basedOn w:val="DefaultParagraphFont"/>
    <w:uiPriority w:val="99"/>
    <w:semiHidden/>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numbering" w:customStyle="1" w:styleId="NoList1">
    <w:name w:val="No List1"/>
    <w:next w:val="NoList"/>
    <w:uiPriority w:val="99"/>
    <w:semiHidden/>
    <w:unhideWhenUsed/>
    <w:rsid w:val="00AE00F9"/>
  </w:style>
  <w:style w:type="table" w:customStyle="1" w:styleId="LightShading-Accent21">
    <w:name w:val="Light Shading - Accent 21"/>
    <w:basedOn w:val="TableNormal"/>
    <w:next w:val="LightShading-Accent2"/>
    <w:uiPriority w:val="60"/>
    <w:rsid w:val="00AE00F9"/>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MediumGrid2-Accent51">
    <w:name w:val="Medium Grid 2 - Accent 51"/>
    <w:basedOn w:val="TableNormal"/>
    <w:next w:val="MediumGrid2-Accent5"/>
    <w:uiPriority w:val="68"/>
    <w:rsid w:val="00AE00F9"/>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TableGrid1">
    <w:name w:val="Table Grid1"/>
    <w:basedOn w:val="TableNormal"/>
    <w:next w:val="TableGrid"/>
    <w:uiPriority w:val="59"/>
    <w:rsid w:val="00AE00F9"/>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1">
    <w:name w:val="Table TGA blue1"/>
    <w:basedOn w:val="TableNormal"/>
    <w:uiPriority w:val="99"/>
    <w:qFormat/>
    <w:rsid w:val="00AE00F9"/>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1">
    <w:name w:val="Table TGA black1"/>
    <w:basedOn w:val="TableNormal"/>
    <w:uiPriority w:val="99"/>
    <w:rsid w:val="00AE00F9"/>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FigureCaption">
    <w:name w:val="Figure Caption"/>
    <w:basedOn w:val="Normal"/>
    <w:qFormat/>
    <w:rsid w:val="00AE00F9"/>
    <w:pPr>
      <w:adjustRightInd w:val="0"/>
      <w:snapToGrid w:val="0"/>
      <w:spacing w:before="180" w:after="180"/>
    </w:pPr>
    <w:rPr>
      <w:rFonts w:eastAsia="MS Mincho"/>
      <w:szCs w:val="20"/>
      <w:lang w:eastAsia="ja-JP"/>
    </w:rPr>
  </w:style>
  <w:style w:type="paragraph" w:customStyle="1" w:styleId="TableCaption">
    <w:name w:val="Table Caption"/>
    <w:basedOn w:val="FigureCaption"/>
    <w:qFormat/>
    <w:rsid w:val="00AE00F9"/>
    <w:pPr>
      <w:spacing w:after="240"/>
    </w:pPr>
    <w:rPr>
      <w:sz w:val="17"/>
    </w:rPr>
  </w:style>
  <w:style w:type="table" w:customStyle="1" w:styleId="TableTGA2">
    <w:name w:val="Table TGA 2"/>
    <w:basedOn w:val="TableNormal"/>
    <w:uiPriority w:val="99"/>
    <w:rsid w:val="00AE00F9"/>
    <w:pPr>
      <w:spacing w:before="60" w:after="0" w:line="240" w:lineRule="auto"/>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Subject">
    <w:name w:val="Subject"/>
    <w:basedOn w:val="Normal"/>
    <w:qFormat/>
    <w:rsid w:val="00AE00F9"/>
    <w:pPr>
      <w:adjustRightInd w:val="0"/>
      <w:snapToGrid w:val="0"/>
      <w:spacing w:before="180" w:after="180"/>
    </w:pPr>
    <w:rPr>
      <w:rFonts w:eastAsia="MS Mincho"/>
      <w:b/>
      <w:szCs w:val="20"/>
      <w:lang w:eastAsia="ja-JP"/>
    </w:rPr>
  </w:style>
  <w:style w:type="paragraph" w:customStyle="1" w:styleId="Addressee">
    <w:name w:val="Addressee"/>
    <w:basedOn w:val="Normal"/>
    <w:qFormat/>
    <w:rsid w:val="00AE00F9"/>
    <w:pPr>
      <w:adjustRightInd w:val="0"/>
      <w:snapToGrid w:val="0"/>
      <w:spacing w:before="180" w:after="180"/>
    </w:pPr>
    <w:rPr>
      <w:rFonts w:eastAsia="MS Mincho"/>
      <w:szCs w:val="20"/>
      <w:lang w:eastAsia="ja-JP"/>
    </w:rPr>
  </w:style>
  <w:style w:type="character" w:customStyle="1" w:styleId="ABN">
    <w:name w:val="ABN"/>
    <w:basedOn w:val="DefaultParagraphFont"/>
    <w:uiPriority w:val="1"/>
    <w:qFormat/>
    <w:rsid w:val="00AE00F9"/>
    <w:rPr>
      <w:rFonts w:ascii="Arial" w:hAnsi="Arial"/>
      <w:color w:val="002C47"/>
      <w:sz w:val="14"/>
    </w:rPr>
  </w:style>
  <w:style w:type="paragraph" w:customStyle="1" w:styleId="BodyCopy">
    <w:name w:val="Body Copy"/>
    <w:basedOn w:val="Normal"/>
    <w:qFormat/>
    <w:rsid w:val="00AE00F9"/>
    <w:pPr>
      <w:adjustRightInd w:val="0"/>
      <w:snapToGrid w:val="0"/>
      <w:spacing w:before="180" w:after="180"/>
    </w:pPr>
    <w:rPr>
      <w:rFonts w:eastAsia="MS Mincho"/>
      <w:szCs w:val="20"/>
      <w:lang w:eastAsia="ja-JP"/>
    </w:rPr>
  </w:style>
  <w:style w:type="paragraph" w:styleId="ListParagraph">
    <w:name w:val="List Paragraph"/>
    <w:basedOn w:val="Normal"/>
    <w:uiPriority w:val="34"/>
    <w:qFormat/>
    <w:rsid w:val="00AE00F9"/>
    <w:pPr>
      <w:adjustRightInd w:val="0"/>
      <w:snapToGrid w:val="0"/>
      <w:spacing w:before="180" w:after="180"/>
      <w:ind w:left="720"/>
      <w:contextualSpacing/>
    </w:pPr>
    <w:rPr>
      <w:rFonts w:eastAsia="MS Mincho"/>
      <w:szCs w:val="20"/>
      <w:lang w:eastAsia="ja-JP"/>
    </w:rPr>
  </w:style>
  <w:style w:type="paragraph" w:customStyle="1" w:styleId="Standard">
    <w:name w:val="Standard"/>
    <w:basedOn w:val="Normal"/>
    <w:link w:val="StandardChar"/>
    <w:qFormat/>
    <w:rsid w:val="00AE00F9"/>
    <w:pPr>
      <w:spacing w:before="0" w:after="220" w:line="252" w:lineRule="auto"/>
    </w:pPr>
    <w:rPr>
      <w:rFonts w:eastAsia="Times New Roman"/>
      <w:snapToGrid w:val="0"/>
      <w:kern w:val="16"/>
      <w:sz w:val="23"/>
      <w:szCs w:val="24"/>
    </w:rPr>
  </w:style>
  <w:style w:type="character" w:customStyle="1" w:styleId="StandardChar">
    <w:name w:val="Standard Char"/>
    <w:basedOn w:val="DefaultParagraphFont"/>
    <w:link w:val="Standard"/>
    <w:rsid w:val="00AE00F9"/>
    <w:rPr>
      <w:rFonts w:ascii="Cambria" w:eastAsia="Times New Roman" w:hAnsi="Cambria" w:cs="Times New Roman"/>
      <w:snapToGrid w:val="0"/>
      <w:kern w:val="16"/>
      <w:sz w:val="23"/>
      <w:szCs w:val="24"/>
    </w:rPr>
  </w:style>
  <w:style w:type="paragraph" w:customStyle="1" w:styleId="Bulletpoint">
    <w:name w:val="Bullet point"/>
    <w:basedOn w:val="Standard"/>
    <w:rsid w:val="00AE00F9"/>
    <w:pPr>
      <w:numPr>
        <w:numId w:val="33"/>
      </w:numPr>
      <w:tabs>
        <w:tab w:val="clear" w:pos="369"/>
        <w:tab w:val="left" w:pos="397"/>
        <w:tab w:val="num" w:pos="511"/>
      </w:tabs>
      <w:spacing w:after="180"/>
      <w:ind w:left="0" w:firstLine="0"/>
    </w:pPr>
    <w:rPr>
      <w:sz w:val="22"/>
    </w:rPr>
  </w:style>
  <w:style w:type="paragraph" w:customStyle="1" w:styleId="PISubsection">
    <w:name w:val="PI Subsection"/>
    <w:basedOn w:val="Standard"/>
    <w:next w:val="Standard"/>
    <w:rsid w:val="00AE00F9"/>
    <w:pPr>
      <w:keepNext/>
      <w:spacing w:after="120"/>
    </w:pPr>
    <w:rPr>
      <w:b/>
      <w:i/>
      <w:kern w:val="2"/>
      <w:sz w:val="22"/>
    </w:rPr>
  </w:style>
  <w:style w:type="paragraph" w:styleId="BodyText">
    <w:name w:val="Body Text"/>
    <w:basedOn w:val="Normal"/>
    <w:link w:val="BodyTextChar"/>
    <w:uiPriority w:val="1"/>
    <w:qFormat/>
    <w:rsid w:val="00AE00F9"/>
    <w:pPr>
      <w:autoSpaceDE w:val="0"/>
      <w:autoSpaceDN w:val="0"/>
      <w:adjustRightInd w:val="0"/>
      <w:spacing w:before="0" w:after="0" w:line="240" w:lineRule="auto"/>
    </w:pPr>
    <w:rPr>
      <w:rFonts w:ascii="Times New Roman" w:eastAsiaTheme="minorHAnsi" w:hAnsi="Times New Roman"/>
      <w:sz w:val="24"/>
      <w:szCs w:val="24"/>
    </w:rPr>
  </w:style>
  <w:style w:type="character" w:customStyle="1" w:styleId="BodyTextChar">
    <w:name w:val="Body Text Char"/>
    <w:basedOn w:val="DefaultParagraphFont"/>
    <w:link w:val="BodyText"/>
    <w:uiPriority w:val="1"/>
    <w:rsid w:val="00AE00F9"/>
    <w:rPr>
      <w:rFonts w:ascii="Times New Roman" w:hAnsi="Times New Roman" w:cs="Times New Roman"/>
      <w:sz w:val="24"/>
      <w:szCs w:val="24"/>
    </w:rPr>
  </w:style>
  <w:style w:type="paragraph" w:customStyle="1" w:styleId="TableParagraph">
    <w:name w:val="Table Paragraph"/>
    <w:basedOn w:val="Normal"/>
    <w:uiPriority w:val="1"/>
    <w:qFormat/>
    <w:rsid w:val="00AE00F9"/>
    <w:pPr>
      <w:autoSpaceDE w:val="0"/>
      <w:autoSpaceDN w:val="0"/>
      <w:adjustRightInd w:val="0"/>
      <w:spacing w:before="0" w:after="0" w:line="240" w:lineRule="auto"/>
      <w:ind w:left="103"/>
    </w:pPr>
    <w:rPr>
      <w:rFonts w:ascii="Times New Roman" w:eastAsiaTheme="minorHAnsi" w:hAnsi="Times New Roman"/>
      <w:sz w:val="24"/>
      <w:szCs w:val="24"/>
    </w:rPr>
  </w:style>
  <w:style w:type="paragraph" w:styleId="ListNumber2">
    <w:name w:val="List Number 2"/>
    <w:basedOn w:val="Normal"/>
    <w:uiPriority w:val="99"/>
    <w:unhideWhenUsed/>
    <w:rsid w:val="00AE00F9"/>
    <w:pPr>
      <w:numPr>
        <w:numId w:val="37"/>
      </w:numPr>
      <w:adjustRightInd w:val="0"/>
      <w:snapToGrid w:val="0"/>
      <w:spacing w:before="0"/>
      <w:ind w:left="0" w:firstLine="0"/>
      <w:contextualSpacing/>
    </w:pPr>
    <w:rPr>
      <w:rFonts w:eastAsia="MS Mincho"/>
      <w:szCs w:val="20"/>
      <w:lang w:eastAsia="ja-JP"/>
    </w:rPr>
  </w:style>
  <w:style w:type="paragraph" w:customStyle="1" w:styleId="Bullet1">
    <w:name w:val="Bullet 1"/>
    <w:basedOn w:val="Normal"/>
    <w:uiPriority w:val="99"/>
    <w:rsid w:val="00AE00F9"/>
    <w:pPr>
      <w:numPr>
        <w:numId w:val="41"/>
      </w:numPr>
      <w:spacing w:after="0" w:line="240" w:lineRule="auto"/>
    </w:pPr>
    <w:rPr>
      <w:kern w:val="24"/>
      <w:szCs w:val="24"/>
      <w:lang w:eastAsia="en-AU"/>
    </w:rPr>
  </w:style>
  <w:style w:type="paragraph" w:customStyle="1" w:styleId="Default">
    <w:name w:val="Default"/>
    <w:rsid w:val="00AE00F9"/>
    <w:pPr>
      <w:autoSpaceDE w:val="0"/>
      <w:autoSpaceDN w:val="0"/>
      <w:adjustRightInd w:val="0"/>
      <w:spacing w:after="0" w:line="240" w:lineRule="auto"/>
    </w:pPr>
    <w:rPr>
      <w:rFonts w:ascii="Calibri" w:hAnsi="Calibri" w:cs="Calibri"/>
      <w:color w:val="000000"/>
      <w:sz w:val="24"/>
      <w:szCs w:val="24"/>
    </w:rPr>
  </w:style>
  <w:style w:type="character" w:customStyle="1" w:styleId="TabletextChar">
    <w:name w:val="Table text Char"/>
    <w:basedOn w:val="StandardChar"/>
    <w:link w:val="Tabletext"/>
    <w:rsid w:val="00AE00F9"/>
    <w:rPr>
      <w:rFonts w:ascii="Cambria" w:eastAsia="Cambria" w:hAnsi="Cambria" w:cs="Times New Roman"/>
      <w:snapToGrid/>
      <w:kern w:val="16"/>
      <w:sz w:val="19"/>
      <w:szCs w:val="24"/>
    </w:rPr>
  </w:style>
  <w:style w:type="paragraph" w:customStyle="1" w:styleId="Summaryofsafetyconcerns">
    <w:name w:val="Summary of safety concerns"/>
    <w:basedOn w:val="Tabletext"/>
    <w:link w:val="SummaryofsafetyconcernsChar"/>
    <w:qFormat/>
    <w:rsid w:val="00AE00F9"/>
    <w:pPr>
      <w:spacing w:before="20" w:after="20" w:line="252" w:lineRule="auto"/>
    </w:pPr>
    <w:rPr>
      <w:rFonts w:eastAsia="Times New Roman"/>
      <w:b/>
      <w:snapToGrid w:val="0"/>
      <w:kern w:val="16"/>
      <w:sz w:val="20"/>
      <w:szCs w:val="24"/>
    </w:rPr>
  </w:style>
  <w:style w:type="character" w:customStyle="1" w:styleId="SummaryofsafetyconcernsChar">
    <w:name w:val="Summary of safety concerns Char"/>
    <w:basedOn w:val="TabletextChar"/>
    <w:link w:val="Summaryofsafetyconcerns"/>
    <w:rsid w:val="00AE00F9"/>
    <w:rPr>
      <w:rFonts w:ascii="Cambria" w:eastAsia="Times New Roman" w:hAnsi="Cambria" w:cs="Times New Roman"/>
      <w:b/>
      <w:snapToGrid w:val="0"/>
      <w:kern w:val="16"/>
      <w:sz w:val="20"/>
      <w:szCs w:val="24"/>
    </w:rPr>
  </w:style>
  <w:style w:type="table" w:customStyle="1" w:styleId="TableGrid2">
    <w:name w:val="Table Grid2"/>
    <w:basedOn w:val="TableNormal"/>
    <w:next w:val="TableGrid"/>
    <w:uiPriority w:val="59"/>
    <w:rsid w:val="0076753C"/>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2">
    <w:name w:val="Table TGA blue2"/>
    <w:basedOn w:val="TableNormal"/>
    <w:uiPriority w:val="99"/>
    <w:qFormat/>
    <w:rsid w:val="00F71124"/>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tblStylePr w:type="firstCol">
      <w:pPr>
        <w:keepNext w:val="0"/>
        <w:wordWrap/>
      </w:pPr>
    </w:tblStylePr>
  </w:style>
  <w:style w:type="paragraph" w:styleId="TableofFigures">
    <w:name w:val="table of figures"/>
    <w:basedOn w:val="Normal"/>
    <w:next w:val="Normal"/>
    <w:uiPriority w:val="99"/>
    <w:unhideWhenUsed/>
    <w:rsid w:val="00594B06"/>
    <w:pPr>
      <w:spacing w:after="0"/>
    </w:pPr>
  </w:style>
  <w:style w:type="paragraph" w:customStyle="1" w:styleId="Bulletlist">
    <w:name w:val="Bullet list"/>
    <w:basedOn w:val="Standard"/>
    <w:link w:val="BulletlistChar"/>
    <w:qFormat/>
    <w:rsid w:val="00A162B4"/>
    <w:pPr>
      <w:numPr>
        <w:numId w:val="52"/>
      </w:numPr>
      <w:spacing w:after="180"/>
    </w:pPr>
    <w:rPr>
      <w:kern w:val="2"/>
    </w:rPr>
  </w:style>
  <w:style w:type="character" w:customStyle="1" w:styleId="BulletlistChar">
    <w:name w:val="Bullet list Char"/>
    <w:basedOn w:val="StandardChar"/>
    <w:link w:val="Bulletlist"/>
    <w:rsid w:val="00A162B4"/>
    <w:rPr>
      <w:rFonts w:ascii="Cambria" w:eastAsia="Times New Roman" w:hAnsi="Cambria" w:cs="Times New Roman"/>
      <w:snapToGrid w:val="0"/>
      <w:kern w:val="2"/>
      <w:sz w:val="23"/>
      <w:szCs w:val="24"/>
    </w:rPr>
  </w:style>
  <w:style w:type="character" w:customStyle="1" w:styleId="glossary-term">
    <w:name w:val="glossary-term"/>
    <w:basedOn w:val="DefaultParagraphFont"/>
    <w:rsid w:val="00E445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772896">
      <w:bodyDiv w:val="1"/>
      <w:marLeft w:val="0"/>
      <w:marRight w:val="0"/>
      <w:marTop w:val="0"/>
      <w:marBottom w:val="0"/>
      <w:divBdr>
        <w:top w:val="none" w:sz="0" w:space="0" w:color="auto"/>
        <w:left w:val="none" w:sz="0" w:space="0" w:color="auto"/>
        <w:bottom w:val="none" w:sz="0" w:space="0" w:color="auto"/>
        <w:right w:val="none" w:sz="0" w:space="0" w:color="auto"/>
      </w:divBdr>
    </w:div>
    <w:div w:id="113837227">
      <w:bodyDiv w:val="1"/>
      <w:marLeft w:val="0"/>
      <w:marRight w:val="0"/>
      <w:marTop w:val="0"/>
      <w:marBottom w:val="0"/>
      <w:divBdr>
        <w:top w:val="none" w:sz="0" w:space="0" w:color="auto"/>
        <w:left w:val="none" w:sz="0" w:space="0" w:color="auto"/>
        <w:bottom w:val="none" w:sz="0" w:space="0" w:color="auto"/>
        <w:right w:val="none" w:sz="0" w:space="0" w:color="auto"/>
      </w:divBdr>
    </w:div>
    <w:div w:id="1133907105">
      <w:bodyDiv w:val="1"/>
      <w:marLeft w:val="0"/>
      <w:marRight w:val="0"/>
      <w:marTop w:val="0"/>
      <w:marBottom w:val="0"/>
      <w:divBdr>
        <w:top w:val="none" w:sz="0" w:space="0" w:color="auto"/>
        <w:left w:val="none" w:sz="0" w:space="0" w:color="auto"/>
        <w:bottom w:val="none" w:sz="0" w:space="0" w:color="auto"/>
        <w:right w:val="none" w:sz="0" w:space="0" w:color="auto"/>
      </w:divBdr>
    </w:div>
    <w:div w:id="1253587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ga.gov.au" TargetMode="External"/><Relationship Id="rId13" Type="http://schemas.openxmlformats.org/officeDocument/2006/relationships/hyperlink" Target="https://www.tga.gov.au/product-information-pi" TargetMode="External"/><Relationship Id="rId18" Type="http://schemas.openxmlformats.org/officeDocument/2006/relationships/image" Target="media/image6.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9.png"/><Relationship Id="rId34"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5.png"/><Relationship Id="rId25" Type="http://schemas.openxmlformats.org/officeDocument/2006/relationships/header" Target="header5.xml"/><Relationship Id="rId33"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hyperlink" Target="https://www.tga.gov.au" TargetMode="External"/><Relationship Id="rId41"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4.xml"/><Relationship Id="rId32" Type="http://schemas.openxmlformats.org/officeDocument/2006/relationships/footer" Target="footer3.xml"/><Relationship Id="rId40"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eader" Target="header3.xml"/><Relationship Id="rId28" Type="http://schemas.openxmlformats.org/officeDocument/2006/relationships/hyperlink" Target="mailto:info@tga.gov.au" TargetMode="Externa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7.png"/><Relationship Id="rId31"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yperlink" Target="mailto:tga.copyright@tga.gov.au" TargetMode="External"/><Relationship Id="rId14" Type="http://schemas.openxmlformats.org/officeDocument/2006/relationships/image" Target="media/image2.PNG"/><Relationship Id="rId22" Type="http://schemas.openxmlformats.org/officeDocument/2006/relationships/hyperlink" Target="http://www.tga.gov.au/ws-labs-index" TargetMode="External"/><Relationship Id="rId27" Type="http://schemas.openxmlformats.org/officeDocument/2006/relationships/hyperlink" Target="https://www.tga.gov.au/product-information-pi" TargetMode="External"/><Relationship Id="rId30" Type="http://schemas.openxmlformats.org/officeDocument/2006/relationships/header" Target="header6.xml"/><Relationship Id="rId35"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HANGM\AppData\Local\Hewlett-Packard\HP%20TRIM\TEMP\HPTRIM.35344\D19-5975236%20%20AusPAR%20-%20template%20-%20streamlined(3).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803BF-FD16-43F8-A3FC-162695751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D19-5975236  AusPAR - template - streamlined(3).DOTX</Template>
  <TotalTime>861</TotalTime>
  <Pages>41</Pages>
  <Words>14255</Words>
  <Characters>81260</Characters>
  <Application>Microsoft Office Word</Application>
  <DocSecurity>0</DocSecurity>
  <Lines>677</Lines>
  <Paragraphs>190</Paragraphs>
  <ScaleCrop>false</ScaleCrop>
  <HeadingPairs>
    <vt:vector size="2" baseType="variant">
      <vt:variant>
        <vt:lpstr>Title</vt:lpstr>
      </vt:variant>
      <vt:variant>
        <vt:i4>1</vt:i4>
      </vt:variant>
    </vt:vector>
  </HeadingPairs>
  <TitlesOfParts>
    <vt:vector size="1" baseType="lpstr">
      <vt:lpstr>Australian public assessment report for</vt:lpstr>
    </vt:vector>
  </TitlesOfParts>
  <Company>Department of Health Therapeutic Goods Administration</Company>
  <LinksUpToDate>false</LinksUpToDate>
  <CharactersWithSpaces>95325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Etanercept</dc:title>
  <dc:subject>prescription medicine regulation</dc:subject>
  <dc:creator>Therapeutic Goods Administration</dc:creator>
  <cp:keywords>AusPARs</cp:keywords>
  <cp:lastPrinted>2019-08-14T04:30:00Z</cp:lastPrinted>
  <dcterms:created xsi:type="dcterms:W3CDTF">2021-02-08T14:40:00Z</dcterms:created>
  <dcterms:modified xsi:type="dcterms:W3CDTF">2021-03-10T05:01:00Z</dcterms:modified>
  <cp:category/>
</cp:coreProperties>
</file>