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tblGrid>
      <w:tr w:rsidR="008E7846" w:rsidRPr="00487162" w:rsidTr="00743030">
        <w:trPr>
          <w:trHeight w:val="1863"/>
        </w:trPr>
        <w:tc>
          <w:tcPr>
            <w:tcW w:w="8046" w:type="dxa"/>
            <w:tcBorders>
              <w:top w:val="nil"/>
              <w:left w:val="nil"/>
              <w:bottom w:val="nil"/>
              <w:right w:val="nil"/>
            </w:tcBorders>
          </w:tcPr>
          <w:p w:rsidR="008E7846" w:rsidRPr="0052556F" w:rsidRDefault="0052556F" w:rsidP="0052556F">
            <w:pPr>
              <w:pStyle w:val="Date"/>
              <w:framePr w:hSpace="0" w:wrap="auto" w:vAnchor="margin" w:hAnchor="text" w:yAlign="inline"/>
              <w:suppressOverlap w:val="0"/>
            </w:pPr>
            <w:r w:rsidRPr="0052556F">
              <w:t>First r</w:t>
            </w:r>
            <w:r w:rsidR="00743030" w:rsidRPr="0052556F">
              <w:t>ound CER report: 15 May 2014</w:t>
            </w:r>
          </w:p>
          <w:p w:rsidR="00743030" w:rsidRPr="0017078F" w:rsidRDefault="0052556F" w:rsidP="0052556F">
            <w:pPr>
              <w:pStyle w:val="Date"/>
              <w:framePr w:hSpace="0" w:wrap="auto" w:vAnchor="margin" w:hAnchor="text" w:yAlign="inline"/>
              <w:suppressOverlap w:val="0"/>
            </w:pPr>
            <w:r w:rsidRPr="0052556F">
              <w:t>Second r</w:t>
            </w:r>
            <w:r w:rsidR="00743030" w:rsidRPr="0052556F">
              <w:t>ound CER report: 24 October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52556F">
            <w:pPr>
              <w:pStyle w:val="Title"/>
              <w:framePr w:hSpace="0" w:wrap="auto" w:vAnchor="margin" w:yAlign="inline"/>
            </w:pPr>
            <w:proofErr w:type="spellStart"/>
            <w:r>
              <w:t>AusPAR</w:t>
            </w:r>
            <w:proofErr w:type="spellEnd"/>
            <w:r>
              <w:t xml:space="preserve"> Attachment 2</w:t>
            </w:r>
          </w:p>
        </w:tc>
      </w:tr>
      <w:tr w:rsidR="00E07F15" w:rsidRPr="00A964D1" w:rsidTr="00E07F15">
        <w:trPr>
          <w:trHeight w:val="868"/>
        </w:trPr>
        <w:tc>
          <w:tcPr>
            <w:tcW w:w="9079" w:type="dxa"/>
          </w:tcPr>
          <w:p w:rsidR="00E07F15" w:rsidRPr="00A964D1" w:rsidRDefault="00E07F15" w:rsidP="0052556F">
            <w:pPr>
              <w:pStyle w:val="Title"/>
              <w:framePr w:hSpace="0" w:wrap="auto" w:vAnchor="margin" w:yAlign="inline"/>
            </w:pPr>
            <w:bookmarkStart w:id="0" w:name="_GoBack"/>
            <w:r>
              <w:t xml:space="preserve">Extract from the Clinical Evaluation </w:t>
            </w:r>
            <w:r w:rsidRPr="0052556F">
              <w:t>Report</w:t>
            </w:r>
            <w:r w:rsidRPr="00A964D1">
              <w:t xml:space="preserve"> for </w:t>
            </w:r>
            <w:proofErr w:type="spellStart"/>
            <w:r w:rsidR="00743030">
              <w:t>Etanercept</w:t>
            </w:r>
            <w:bookmarkEnd w:id="0"/>
            <w:proofErr w:type="spellEnd"/>
          </w:p>
        </w:tc>
      </w:tr>
      <w:tr w:rsidR="00E07F15" w:rsidRPr="00B64760" w:rsidTr="00E07F15">
        <w:tc>
          <w:tcPr>
            <w:tcW w:w="9079" w:type="dxa"/>
          </w:tcPr>
          <w:p w:rsidR="00E07F15" w:rsidRPr="0052556F" w:rsidRDefault="00E07F15" w:rsidP="0052556F">
            <w:pPr>
              <w:pStyle w:val="Subtitle"/>
              <w:framePr w:hSpace="0" w:wrap="auto" w:vAnchor="margin" w:yAlign="inline"/>
            </w:pPr>
            <w:r w:rsidRPr="0052556F">
              <w:t xml:space="preserve">Proprietary Product Name: </w:t>
            </w:r>
            <w:r w:rsidR="006A7E9B" w:rsidRPr="0052556F">
              <w:t>Enbrel</w:t>
            </w:r>
          </w:p>
        </w:tc>
      </w:tr>
      <w:tr w:rsidR="00E07F15" w:rsidRPr="00B64760" w:rsidTr="00E07F15">
        <w:trPr>
          <w:trHeight w:val="486"/>
        </w:trPr>
        <w:tc>
          <w:tcPr>
            <w:tcW w:w="9079" w:type="dxa"/>
          </w:tcPr>
          <w:p w:rsidR="00E07F15" w:rsidRPr="008E7846" w:rsidRDefault="00E07F15" w:rsidP="0052556F">
            <w:pPr>
              <w:pStyle w:val="Subtitle"/>
              <w:framePr w:hSpace="0" w:wrap="auto" w:vAnchor="margin" w:yAlign="inline"/>
            </w:pPr>
            <w:r w:rsidRPr="008E7846">
              <w:t xml:space="preserve">Sponsor: </w:t>
            </w:r>
            <w:r w:rsidR="00743030">
              <w:t>Pfizer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C1DB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BC1DB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C1DB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C1DB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C1DBB">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EE72CF">
      <w:pPr>
        <w:pStyle w:val="LegalSubheading"/>
        <w:spacing w:before="408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A2001"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3315308" w:history="1">
            <w:r w:rsidR="00FA2001" w:rsidRPr="005D4B4B">
              <w:rPr>
                <w:rStyle w:val="Hyperlink"/>
                <w:noProof/>
              </w:rPr>
              <w:t>List of abbreviations</w:t>
            </w:r>
            <w:r w:rsidR="00FA2001">
              <w:rPr>
                <w:noProof/>
                <w:webHidden/>
              </w:rPr>
              <w:tab/>
            </w:r>
            <w:r w:rsidR="00FA2001">
              <w:rPr>
                <w:noProof/>
                <w:webHidden/>
              </w:rPr>
              <w:fldChar w:fldCharType="begin"/>
            </w:r>
            <w:r w:rsidR="00FA2001">
              <w:rPr>
                <w:noProof/>
                <w:webHidden/>
              </w:rPr>
              <w:instrText xml:space="preserve"> PAGEREF _Toc433315308 \h </w:instrText>
            </w:r>
            <w:r w:rsidR="00FA2001">
              <w:rPr>
                <w:noProof/>
                <w:webHidden/>
              </w:rPr>
            </w:r>
            <w:r w:rsidR="00FA2001">
              <w:rPr>
                <w:noProof/>
                <w:webHidden/>
              </w:rPr>
              <w:fldChar w:fldCharType="separate"/>
            </w:r>
            <w:r w:rsidR="00FA2001">
              <w:rPr>
                <w:noProof/>
                <w:webHidden/>
              </w:rPr>
              <w:t>5</w:t>
            </w:r>
            <w:r w:rsidR="00FA2001">
              <w:rPr>
                <w:noProof/>
                <w:webHidden/>
              </w:rPr>
              <w:fldChar w:fldCharType="end"/>
            </w:r>
          </w:hyperlink>
        </w:p>
        <w:p w:rsidR="00FA2001" w:rsidRDefault="00FA2001">
          <w:pPr>
            <w:pStyle w:val="TOC2"/>
            <w:tabs>
              <w:tab w:val="left" w:pos="1100"/>
            </w:tabs>
            <w:rPr>
              <w:rFonts w:asciiTheme="minorHAnsi" w:eastAsiaTheme="minorEastAsia" w:hAnsiTheme="minorHAnsi" w:cstheme="minorBidi"/>
              <w:b w:val="0"/>
              <w:noProof/>
              <w:sz w:val="22"/>
              <w:lang w:eastAsia="en-AU"/>
            </w:rPr>
          </w:pPr>
          <w:hyperlink w:anchor="_Toc433315309" w:history="1">
            <w:r w:rsidRPr="005D4B4B">
              <w:rPr>
                <w:rStyle w:val="Hyperlink"/>
                <w:noProof/>
                <w:lang w:eastAsia="en-AU"/>
              </w:rPr>
              <w:t>1.</w:t>
            </w:r>
            <w:r>
              <w:rPr>
                <w:rFonts w:asciiTheme="minorHAnsi" w:eastAsiaTheme="minorEastAsia" w:hAnsiTheme="minorHAnsi" w:cstheme="minorBidi"/>
                <w:b w:val="0"/>
                <w:noProof/>
                <w:sz w:val="22"/>
                <w:lang w:eastAsia="en-AU"/>
              </w:rPr>
              <w:tab/>
            </w:r>
            <w:r w:rsidRPr="005D4B4B">
              <w:rPr>
                <w:rStyle w:val="Hyperlink"/>
                <w:noProof/>
              </w:rPr>
              <w:t>Background</w:t>
            </w:r>
            <w:r>
              <w:rPr>
                <w:noProof/>
                <w:webHidden/>
              </w:rPr>
              <w:tab/>
            </w:r>
            <w:r>
              <w:rPr>
                <w:noProof/>
                <w:webHidden/>
              </w:rPr>
              <w:fldChar w:fldCharType="begin"/>
            </w:r>
            <w:r>
              <w:rPr>
                <w:noProof/>
                <w:webHidden/>
              </w:rPr>
              <w:instrText xml:space="preserve"> PAGEREF _Toc433315309 \h </w:instrText>
            </w:r>
            <w:r>
              <w:rPr>
                <w:noProof/>
                <w:webHidden/>
              </w:rPr>
            </w:r>
            <w:r>
              <w:rPr>
                <w:noProof/>
                <w:webHidden/>
              </w:rPr>
              <w:fldChar w:fldCharType="separate"/>
            </w:r>
            <w:r>
              <w:rPr>
                <w:noProof/>
                <w:webHidden/>
              </w:rPr>
              <w:t>9</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10" w:history="1">
            <w:r w:rsidRPr="005D4B4B">
              <w:rPr>
                <w:rStyle w:val="Hyperlink"/>
                <w:noProof/>
              </w:rPr>
              <w:t>1.1.</w:t>
            </w:r>
            <w:r>
              <w:rPr>
                <w:rFonts w:asciiTheme="minorHAnsi" w:eastAsiaTheme="minorEastAsia" w:hAnsiTheme="minorHAnsi" w:cstheme="minorBidi"/>
                <w:noProof/>
                <w:lang w:eastAsia="en-AU"/>
              </w:rPr>
              <w:tab/>
            </w:r>
            <w:r w:rsidRPr="005D4B4B">
              <w:rPr>
                <w:rStyle w:val="Hyperlink"/>
                <w:noProof/>
              </w:rPr>
              <w:t>Submission type</w:t>
            </w:r>
            <w:r>
              <w:rPr>
                <w:noProof/>
                <w:webHidden/>
              </w:rPr>
              <w:tab/>
            </w:r>
            <w:r>
              <w:rPr>
                <w:noProof/>
                <w:webHidden/>
              </w:rPr>
              <w:fldChar w:fldCharType="begin"/>
            </w:r>
            <w:r>
              <w:rPr>
                <w:noProof/>
                <w:webHidden/>
              </w:rPr>
              <w:instrText xml:space="preserve"> PAGEREF _Toc433315310 \h </w:instrText>
            </w:r>
            <w:r>
              <w:rPr>
                <w:noProof/>
                <w:webHidden/>
              </w:rPr>
            </w:r>
            <w:r>
              <w:rPr>
                <w:noProof/>
                <w:webHidden/>
              </w:rPr>
              <w:fldChar w:fldCharType="separate"/>
            </w:r>
            <w:r>
              <w:rPr>
                <w:noProof/>
                <w:webHidden/>
              </w:rPr>
              <w:t>9</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11" w:history="1">
            <w:r w:rsidRPr="005D4B4B">
              <w:rPr>
                <w:rStyle w:val="Hyperlink"/>
                <w:noProof/>
              </w:rPr>
              <w:t>1.2.</w:t>
            </w:r>
            <w:r>
              <w:rPr>
                <w:rFonts w:asciiTheme="minorHAnsi" w:eastAsiaTheme="minorEastAsia" w:hAnsiTheme="minorHAnsi" w:cstheme="minorBidi"/>
                <w:noProof/>
                <w:lang w:eastAsia="en-AU"/>
              </w:rPr>
              <w:tab/>
            </w:r>
            <w:r w:rsidRPr="005D4B4B">
              <w:rPr>
                <w:rStyle w:val="Hyperlink"/>
                <w:noProof/>
              </w:rPr>
              <w:t>Drug class and therapeutic indication</w:t>
            </w:r>
            <w:r>
              <w:rPr>
                <w:noProof/>
                <w:webHidden/>
              </w:rPr>
              <w:tab/>
            </w:r>
            <w:r>
              <w:rPr>
                <w:noProof/>
                <w:webHidden/>
              </w:rPr>
              <w:fldChar w:fldCharType="begin"/>
            </w:r>
            <w:r>
              <w:rPr>
                <w:noProof/>
                <w:webHidden/>
              </w:rPr>
              <w:instrText xml:space="preserve"> PAGEREF _Toc433315311 \h </w:instrText>
            </w:r>
            <w:r>
              <w:rPr>
                <w:noProof/>
                <w:webHidden/>
              </w:rPr>
            </w:r>
            <w:r>
              <w:rPr>
                <w:noProof/>
                <w:webHidden/>
              </w:rPr>
              <w:fldChar w:fldCharType="separate"/>
            </w:r>
            <w:r>
              <w:rPr>
                <w:noProof/>
                <w:webHidden/>
              </w:rPr>
              <w:t>9</w:t>
            </w:r>
            <w:r>
              <w:rPr>
                <w:noProof/>
                <w:webHidden/>
              </w:rPr>
              <w:fldChar w:fldCharType="end"/>
            </w:r>
          </w:hyperlink>
        </w:p>
        <w:p w:rsidR="00FA2001" w:rsidRDefault="00FA2001">
          <w:pPr>
            <w:pStyle w:val="TOC2"/>
            <w:tabs>
              <w:tab w:val="left" w:pos="1100"/>
            </w:tabs>
            <w:rPr>
              <w:rFonts w:asciiTheme="minorHAnsi" w:eastAsiaTheme="minorEastAsia" w:hAnsiTheme="minorHAnsi" w:cstheme="minorBidi"/>
              <w:b w:val="0"/>
              <w:noProof/>
              <w:sz w:val="22"/>
              <w:lang w:eastAsia="en-AU"/>
            </w:rPr>
          </w:pPr>
          <w:hyperlink w:anchor="_Toc433315312" w:history="1">
            <w:r w:rsidRPr="005D4B4B">
              <w:rPr>
                <w:rStyle w:val="Hyperlink"/>
                <w:noProof/>
              </w:rPr>
              <w:t>2.</w:t>
            </w:r>
            <w:r>
              <w:rPr>
                <w:rFonts w:asciiTheme="minorHAnsi" w:eastAsiaTheme="minorEastAsia" w:hAnsiTheme="minorHAnsi" w:cstheme="minorBidi"/>
                <w:b w:val="0"/>
                <w:noProof/>
                <w:sz w:val="22"/>
                <w:lang w:eastAsia="en-AU"/>
              </w:rPr>
              <w:tab/>
            </w:r>
            <w:r w:rsidRPr="005D4B4B">
              <w:rPr>
                <w:rStyle w:val="Hyperlink"/>
                <w:noProof/>
              </w:rPr>
              <w:t>Clinical rationale</w:t>
            </w:r>
            <w:r>
              <w:rPr>
                <w:noProof/>
                <w:webHidden/>
              </w:rPr>
              <w:tab/>
            </w:r>
            <w:r>
              <w:rPr>
                <w:noProof/>
                <w:webHidden/>
              </w:rPr>
              <w:fldChar w:fldCharType="begin"/>
            </w:r>
            <w:r>
              <w:rPr>
                <w:noProof/>
                <w:webHidden/>
              </w:rPr>
              <w:instrText xml:space="preserve"> PAGEREF _Toc433315312 \h </w:instrText>
            </w:r>
            <w:r>
              <w:rPr>
                <w:noProof/>
                <w:webHidden/>
              </w:rPr>
            </w:r>
            <w:r>
              <w:rPr>
                <w:noProof/>
                <w:webHidden/>
              </w:rPr>
              <w:fldChar w:fldCharType="separate"/>
            </w:r>
            <w:r>
              <w:rPr>
                <w:noProof/>
                <w:webHidden/>
              </w:rPr>
              <w:t>12</w:t>
            </w:r>
            <w:r>
              <w:rPr>
                <w:noProof/>
                <w:webHidden/>
              </w:rPr>
              <w:fldChar w:fldCharType="end"/>
            </w:r>
          </w:hyperlink>
        </w:p>
        <w:p w:rsidR="00FA2001" w:rsidRDefault="00FA2001">
          <w:pPr>
            <w:pStyle w:val="TOC2"/>
            <w:tabs>
              <w:tab w:val="left" w:pos="1100"/>
            </w:tabs>
            <w:rPr>
              <w:rFonts w:asciiTheme="minorHAnsi" w:eastAsiaTheme="minorEastAsia" w:hAnsiTheme="minorHAnsi" w:cstheme="minorBidi"/>
              <w:b w:val="0"/>
              <w:noProof/>
              <w:sz w:val="22"/>
              <w:lang w:eastAsia="en-AU"/>
            </w:rPr>
          </w:pPr>
          <w:hyperlink w:anchor="_Toc433315313" w:history="1">
            <w:r w:rsidRPr="005D4B4B">
              <w:rPr>
                <w:rStyle w:val="Hyperlink"/>
                <w:noProof/>
                <w:lang w:eastAsia="en-AU"/>
              </w:rPr>
              <w:t>3.</w:t>
            </w:r>
            <w:r>
              <w:rPr>
                <w:rFonts w:asciiTheme="minorHAnsi" w:eastAsiaTheme="minorEastAsia" w:hAnsiTheme="minorHAnsi" w:cstheme="minorBidi"/>
                <w:b w:val="0"/>
                <w:noProof/>
                <w:sz w:val="22"/>
                <w:lang w:eastAsia="en-AU"/>
              </w:rPr>
              <w:tab/>
            </w:r>
            <w:r w:rsidRPr="005D4B4B">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_Toc433315313 \h </w:instrText>
            </w:r>
            <w:r>
              <w:rPr>
                <w:noProof/>
                <w:webHidden/>
              </w:rPr>
            </w:r>
            <w:r>
              <w:rPr>
                <w:noProof/>
                <w:webHidden/>
              </w:rPr>
              <w:fldChar w:fldCharType="separate"/>
            </w:r>
            <w:r>
              <w:rPr>
                <w:noProof/>
                <w:webHidden/>
              </w:rPr>
              <w:t>13</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14" w:history="1">
            <w:r w:rsidRPr="005D4B4B">
              <w:rPr>
                <w:rStyle w:val="Hyperlink"/>
                <w:noProof/>
              </w:rPr>
              <w:t>3.1.</w:t>
            </w:r>
            <w:r>
              <w:rPr>
                <w:rFonts w:asciiTheme="minorHAnsi" w:eastAsiaTheme="minorEastAsia" w:hAnsiTheme="minorHAnsi" w:cstheme="minorBidi"/>
                <w:noProof/>
                <w:lang w:eastAsia="en-AU"/>
              </w:rPr>
              <w:tab/>
            </w:r>
            <w:r w:rsidRPr="005D4B4B">
              <w:rPr>
                <w:rStyle w:val="Hyperlink"/>
                <w:noProof/>
              </w:rPr>
              <w:t>Scope of the clinical dossier</w:t>
            </w:r>
            <w:r>
              <w:rPr>
                <w:noProof/>
                <w:webHidden/>
              </w:rPr>
              <w:tab/>
            </w:r>
            <w:r>
              <w:rPr>
                <w:noProof/>
                <w:webHidden/>
              </w:rPr>
              <w:fldChar w:fldCharType="begin"/>
            </w:r>
            <w:r>
              <w:rPr>
                <w:noProof/>
                <w:webHidden/>
              </w:rPr>
              <w:instrText xml:space="preserve"> PAGEREF _Toc433315314 \h </w:instrText>
            </w:r>
            <w:r>
              <w:rPr>
                <w:noProof/>
                <w:webHidden/>
              </w:rPr>
            </w:r>
            <w:r>
              <w:rPr>
                <w:noProof/>
                <w:webHidden/>
              </w:rPr>
              <w:fldChar w:fldCharType="separate"/>
            </w:r>
            <w:r>
              <w:rPr>
                <w:noProof/>
                <w:webHidden/>
              </w:rPr>
              <w:t>13</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15" w:history="1">
            <w:r w:rsidRPr="005D4B4B">
              <w:rPr>
                <w:rStyle w:val="Hyperlink"/>
                <w:noProof/>
              </w:rPr>
              <w:t>3.2.</w:t>
            </w:r>
            <w:r>
              <w:rPr>
                <w:rFonts w:asciiTheme="minorHAnsi" w:eastAsiaTheme="minorEastAsia" w:hAnsiTheme="minorHAnsi" w:cstheme="minorBidi"/>
                <w:noProof/>
                <w:lang w:eastAsia="en-AU"/>
              </w:rPr>
              <w:tab/>
            </w:r>
            <w:r w:rsidRPr="005D4B4B">
              <w:rPr>
                <w:rStyle w:val="Hyperlink"/>
                <w:noProof/>
              </w:rPr>
              <w:t>Paediatric data</w:t>
            </w:r>
            <w:r>
              <w:rPr>
                <w:noProof/>
                <w:webHidden/>
              </w:rPr>
              <w:tab/>
            </w:r>
            <w:r>
              <w:rPr>
                <w:noProof/>
                <w:webHidden/>
              </w:rPr>
              <w:fldChar w:fldCharType="begin"/>
            </w:r>
            <w:r>
              <w:rPr>
                <w:noProof/>
                <w:webHidden/>
              </w:rPr>
              <w:instrText xml:space="preserve"> PAGEREF _Toc433315315 \h </w:instrText>
            </w:r>
            <w:r>
              <w:rPr>
                <w:noProof/>
                <w:webHidden/>
              </w:rPr>
            </w:r>
            <w:r>
              <w:rPr>
                <w:noProof/>
                <w:webHidden/>
              </w:rPr>
              <w:fldChar w:fldCharType="separate"/>
            </w:r>
            <w:r>
              <w:rPr>
                <w:noProof/>
                <w:webHidden/>
              </w:rPr>
              <w:t>13</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16" w:history="1">
            <w:r w:rsidRPr="005D4B4B">
              <w:rPr>
                <w:rStyle w:val="Hyperlink"/>
                <w:noProof/>
              </w:rPr>
              <w:t>3.3.</w:t>
            </w:r>
            <w:r>
              <w:rPr>
                <w:rFonts w:asciiTheme="minorHAnsi" w:eastAsiaTheme="minorEastAsia" w:hAnsiTheme="minorHAnsi" w:cstheme="minorBidi"/>
                <w:noProof/>
                <w:lang w:eastAsia="en-AU"/>
              </w:rPr>
              <w:tab/>
            </w:r>
            <w:r w:rsidRPr="005D4B4B">
              <w:rPr>
                <w:rStyle w:val="Hyperlink"/>
                <w:noProof/>
              </w:rPr>
              <w:t>Good clinical practice</w:t>
            </w:r>
            <w:r>
              <w:rPr>
                <w:noProof/>
                <w:webHidden/>
              </w:rPr>
              <w:tab/>
            </w:r>
            <w:r>
              <w:rPr>
                <w:noProof/>
                <w:webHidden/>
              </w:rPr>
              <w:fldChar w:fldCharType="begin"/>
            </w:r>
            <w:r>
              <w:rPr>
                <w:noProof/>
                <w:webHidden/>
              </w:rPr>
              <w:instrText xml:space="preserve"> PAGEREF _Toc433315316 \h </w:instrText>
            </w:r>
            <w:r>
              <w:rPr>
                <w:noProof/>
                <w:webHidden/>
              </w:rPr>
            </w:r>
            <w:r>
              <w:rPr>
                <w:noProof/>
                <w:webHidden/>
              </w:rPr>
              <w:fldChar w:fldCharType="separate"/>
            </w:r>
            <w:r>
              <w:rPr>
                <w:noProof/>
                <w:webHidden/>
              </w:rPr>
              <w:t>13</w:t>
            </w:r>
            <w:r>
              <w:rPr>
                <w:noProof/>
                <w:webHidden/>
              </w:rPr>
              <w:fldChar w:fldCharType="end"/>
            </w:r>
          </w:hyperlink>
        </w:p>
        <w:p w:rsidR="00FA2001" w:rsidRDefault="00FA2001">
          <w:pPr>
            <w:pStyle w:val="TOC2"/>
            <w:tabs>
              <w:tab w:val="left" w:pos="1100"/>
            </w:tabs>
            <w:rPr>
              <w:rFonts w:asciiTheme="minorHAnsi" w:eastAsiaTheme="minorEastAsia" w:hAnsiTheme="minorHAnsi" w:cstheme="minorBidi"/>
              <w:b w:val="0"/>
              <w:noProof/>
              <w:sz w:val="22"/>
              <w:lang w:eastAsia="en-AU"/>
            </w:rPr>
          </w:pPr>
          <w:hyperlink w:anchor="_Toc433315317" w:history="1">
            <w:r w:rsidRPr="005D4B4B">
              <w:rPr>
                <w:rStyle w:val="Hyperlink"/>
                <w:noProof/>
              </w:rPr>
              <w:t>4.</w:t>
            </w:r>
            <w:r>
              <w:rPr>
                <w:rFonts w:asciiTheme="minorHAnsi" w:eastAsiaTheme="minorEastAsia" w:hAnsiTheme="minorHAnsi" w:cstheme="minorBidi"/>
                <w:b w:val="0"/>
                <w:noProof/>
                <w:sz w:val="22"/>
                <w:lang w:eastAsia="en-AU"/>
              </w:rPr>
              <w:tab/>
            </w:r>
            <w:r w:rsidRPr="005D4B4B">
              <w:rPr>
                <w:rStyle w:val="Hyperlink"/>
                <w:noProof/>
              </w:rPr>
              <w:t>Pharmacokinetics</w:t>
            </w:r>
            <w:r>
              <w:rPr>
                <w:noProof/>
                <w:webHidden/>
              </w:rPr>
              <w:tab/>
            </w:r>
            <w:r>
              <w:rPr>
                <w:noProof/>
                <w:webHidden/>
              </w:rPr>
              <w:fldChar w:fldCharType="begin"/>
            </w:r>
            <w:r>
              <w:rPr>
                <w:noProof/>
                <w:webHidden/>
              </w:rPr>
              <w:instrText xml:space="preserve"> PAGEREF _Toc433315317 \h </w:instrText>
            </w:r>
            <w:r>
              <w:rPr>
                <w:noProof/>
                <w:webHidden/>
              </w:rPr>
            </w:r>
            <w:r>
              <w:rPr>
                <w:noProof/>
                <w:webHidden/>
              </w:rPr>
              <w:fldChar w:fldCharType="separate"/>
            </w:r>
            <w:r>
              <w:rPr>
                <w:noProof/>
                <w:webHidden/>
              </w:rPr>
              <w:t>13</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18" w:history="1">
            <w:r w:rsidRPr="005D4B4B">
              <w:rPr>
                <w:rStyle w:val="Hyperlink"/>
                <w:noProof/>
              </w:rPr>
              <w:t>4.1.</w:t>
            </w:r>
            <w:r>
              <w:rPr>
                <w:rFonts w:asciiTheme="minorHAnsi" w:eastAsiaTheme="minorEastAsia" w:hAnsiTheme="minorHAnsi" w:cstheme="minorBidi"/>
                <w:noProof/>
                <w:lang w:eastAsia="en-AU"/>
              </w:rPr>
              <w:tab/>
            </w:r>
            <w:r w:rsidRPr="005D4B4B">
              <w:rPr>
                <w:rStyle w:val="Hyperlink"/>
                <w:noProof/>
              </w:rPr>
              <w:t>Studies providing pharmacokinetic data</w:t>
            </w:r>
            <w:r>
              <w:rPr>
                <w:noProof/>
                <w:webHidden/>
              </w:rPr>
              <w:tab/>
            </w:r>
            <w:r>
              <w:rPr>
                <w:noProof/>
                <w:webHidden/>
              </w:rPr>
              <w:fldChar w:fldCharType="begin"/>
            </w:r>
            <w:r>
              <w:rPr>
                <w:noProof/>
                <w:webHidden/>
              </w:rPr>
              <w:instrText xml:space="preserve"> PAGEREF _Toc433315318 \h </w:instrText>
            </w:r>
            <w:r>
              <w:rPr>
                <w:noProof/>
                <w:webHidden/>
              </w:rPr>
            </w:r>
            <w:r>
              <w:rPr>
                <w:noProof/>
                <w:webHidden/>
              </w:rPr>
              <w:fldChar w:fldCharType="separate"/>
            </w:r>
            <w:r>
              <w:rPr>
                <w:noProof/>
                <w:webHidden/>
              </w:rPr>
              <w:t>13</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19" w:history="1">
            <w:r w:rsidRPr="005D4B4B">
              <w:rPr>
                <w:rStyle w:val="Hyperlink"/>
                <w:noProof/>
              </w:rPr>
              <w:t>4.2.</w:t>
            </w:r>
            <w:r>
              <w:rPr>
                <w:rFonts w:asciiTheme="minorHAnsi" w:eastAsiaTheme="minorEastAsia" w:hAnsiTheme="minorHAnsi" w:cstheme="minorBidi"/>
                <w:noProof/>
                <w:lang w:eastAsia="en-AU"/>
              </w:rPr>
              <w:tab/>
            </w:r>
            <w:r w:rsidRPr="005D4B4B">
              <w:rPr>
                <w:rStyle w:val="Hyperlink"/>
                <w:noProof/>
              </w:rPr>
              <w:t>Summary of pharmacokinetics</w:t>
            </w:r>
            <w:r>
              <w:rPr>
                <w:noProof/>
                <w:webHidden/>
              </w:rPr>
              <w:tab/>
            </w:r>
            <w:r>
              <w:rPr>
                <w:noProof/>
                <w:webHidden/>
              </w:rPr>
              <w:fldChar w:fldCharType="begin"/>
            </w:r>
            <w:r>
              <w:rPr>
                <w:noProof/>
                <w:webHidden/>
              </w:rPr>
              <w:instrText xml:space="preserve"> PAGEREF _Toc433315319 \h </w:instrText>
            </w:r>
            <w:r>
              <w:rPr>
                <w:noProof/>
                <w:webHidden/>
              </w:rPr>
            </w:r>
            <w:r>
              <w:rPr>
                <w:noProof/>
                <w:webHidden/>
              </w:rPr>
              <w:fldChar w:fldCharType="separate"/>
            </w:r>
            <w:r>
              <w:rPr>
                <w:noProof/>
                <w:webHidden/>
              </w:rPr>
              <w:t>13</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20" w:history="1">
            <w:r w:rsidRPr="005D4B4B">
              <w:rPr>
                <w:rStyle w:val="Hyperlink"/>
                <w:noProof/>
              </w:rPr>
              <w:t>4.3.</w:t>
            </w:r>
            <w:r>
              <w:rPr>
                <w:rFonts w:asciiTheme="minorHAnsi" w:eastAsiaTheme="minorEastAsia" w:hAnsiTheme="minorHAnsi" w:cstheme="minorBidi"/>
                <w:noProof/>
                <w:lang w:eastAsia="en-AU"/>
              </w:rPr>
              <w:tab/>
            </w:r>
            <w:r w:rsidRPr="005D4B4B">
              <w:rPr>
                <w:rStyle w:val="Hyperlink"/>
                <w:noProof/>
              </w:rPr>
              <w:t>Evaluator’s overall conclusions on pharmacokinetics</w:t>
            </w:r>
            <w:r>
              <w:rPr>
                <w:noProof/>
                <w:webHidden/>
              </w:rPr>
              <w:tab/>
            </w:r>
            <w:r>
              <w:rPr>
                <w:noProof/>
                <w:webHidden/>
              </w:rPr>
              <w:fldChar w:fldCharType="begin"/>
            </w:r>
            <w:r>
              <w:rPr>
                <w:noProof/>
                <w:webHidden/>
              </w:rPr>
              <w:instrText xml:space="preserve"> PAGEREF _Toc433315320 \h </w:instrText>
            </w:r>
            <w:r>
              <w:rPr>
                <w:noProof/>
                <w:webHidden/>
              </w:rPr>
            </w:r>
            <w:r>
              <w:rPr>
                <w:noProof/>
                <w:webHidden/>
              </w:rPr>
              <w:fldChar w:fldCharType="separate"/>
            </w:r>
            <w:r>
              <w:rPr>
                <w:noProof/>
                <w:webHidden/>
              </w:rPr>
              <w:t>14</w:t>
            </w:r>
            <w:r>
              <w:rPr>
                <w:noProof/>
                <w:webHidden/>
              </w:rPr>
              <w:fldChar w:fldCharType="end"/>
            </w:r>
          </w:hyperlink>
        </w:p>
        <w:p w:rsidR="00FA2001" w:rsidRDefault="00FA2001">
          <w:pPr>
            <w:pStyle w:val="TOC2"/>
            <w:tabs>
              <w:tab w:val="left" w:pos="1100"/>
            </w:tabs>
            <w:rPr>
              <w:rFonts w:asciiTheme="minorHAnsi" w:eastAsiaTheme="minorEastAsia" w:hAnsiTheme="minorHAnsi" w:cstheme="minorBidi"/>
              <w:b w:val="0"/>
              <w:noProof/>
              <w:sz w:val="22"/>
              <w:lang w:eastAsia="en-AU"/>
            </w:rPr>
          </w:pPr>
          <w:hyperlink w:anchor="_Toc433315321" w:history="1">
            <w:r w:rsidRPr="005D4B4B">
              <w:rPr>
                <w:rStyle w:val="Hyperlink"/>
                <w:noProof/>
              </w:rPr>
              <w:t>5.</w:t>
            </w:r>
            <w:r>
              <w:rPr>
                <w:rFonts w:asciiTheme="minorHAnsi" w:eastAsiaTheme="minorEastAsia" w:hAnsiTheme="minorHAnsi" w:cstheme="minorBidi"/>
                <w:b w:val="0"/>
                <w:noProof/>
                <w:sz w:val="22"/>
                <w:lang w:eastAsia="en-AU"/>
              </w:rPr>
              <w:tab/>
            </w:r>
            <w:r w:rsidRPr="005D4B4B">
              <w:rPr>
                <w:rStyle w:val="Hyperlink"/>
                <w:noProof/>
              </w:rPr>
              <w:t>Pharmacodynamics</w:t>
            </w:r>
            <w:r>
              <w:rPr>
                <w:noProof/>
                <w:webHidden/>
              </w:rPr>
              <w:tab/>
            </w:r>
            <w:r>
              <w:rPr>
                <w:noProof/>
                <w:webHidden/>
              </w:rPr>
              <w:fldChar w:fldCharType="begin"/>
            </w:r>
            <w:r>
              <w:rPr>
                <w:noProof/>
                <w:webHidden/>
              </w:rPr>
              <w:instrText xml:space="preserve"> PAGEREF _Toc433315321 \h </w:instrText>
            </w:r>
            <w:r>
              <w:rPr>
                <w:noProof/>
                <w:webHidden/>
              </w:rPr>
            </w:r>
            <w:r>
              <w:rPr>
                <w:noProof/>
                <w:webHidden/>
              </w:rPr>
              <w:fldChar w:fldCharType="separate"/>
            </w:r>
            <w:r>
              <w:rPr>
                <w:noProof/>
                <w:webHidden/>
              </w:rPr>
              <w:t>15</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22" w:history="1">
            <w:r w:rsidRPr="005D4B4B">
              <w:rPr>
                <w:rStyle w:val="Hyperlink"/>
                <w:noProof/>
              </w:rPr>
              <w:t>5.1.</w:t>
            </w:r>
            <w:r>
              <w:rPr>
                <w:rFonts w:asciiTheme="minorHAnsi" w:eastAsiaTheme="minorEastAsia" w:hAnsiTheme="minorHAnsi" w:cstheme="minorBidi"/>
                <w:noProof/>
                <w:lang w:eastAsia="en-AU"/>
              </w:rPr>
              <w:tab/>
            </w:r>
            <w:r w:rsidRPr="005D4B4B">
              <w:rPr>
                <w:rStyle w:val="Hyperlink"/>
                <w:noProof/>
              </w:rPr>
              <w:t>Studies providing pharmacodynamic data</w:t>
            </w:r>
            <w:r>
              <w:rPr>
                <w:noProof/>
                <w:webHidden/>
              </w:rPr>
              <w:tab/>
            </w:r>
            <w:r>
              <w:rPr>
                <w:noProof/>
                <w:webHidden/>
              </w:rPr>
              <w:fldChar w:fldCharType="begin"/>
            </w:r>
            <w:r>
              <w:rPr>
                <w:noProof/>
                <w:webHidden/>
              </w:rPr>
              <w:instrText xml:space="preserve"> PAGEREF _Toc433315322 \h </w:instrText>
            </w:r>
            <w:r>
              <w:rPr>
                <w:noProof/>
                <w:webHidden/>
              </w:rPr>
            </w:r>
            <w:r>
              <w:rPr>
                <w:noProof/>
                <w:webHidden/>
              </w:rPr>
              <w:fldChar w:fldCharType="separate"/>
            </w:r>
            <w:r>
              <w:rPr>
                <w:noProof/>
                <w:webHidden/>
              </w:rPr>
              <w:t>15</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23" w:history="1">
            <w:r w:rsidRPr="005D4B4B">
              <w:rPr>
                <w:rStyle w:val="Hyperlink"/>
                <w:noProof/>
              </w:rPr>
              <w:t>5.2.</w:t>
            </w:r>
            <w:r>
              <w:rPr>
                <w:rFonts w:asciiTheme="minorHAnsi" w:eastAsiaTheme="minorEastAsia" w:hAnsiTheme="minorHAnsi" w:cstheme="minorBidi"/>
                <w:noProof/>
                <w:lang w:eastAsia="en-AU"/>
              </w:rPr>
              <w:tab/>
            </w:r>
            <w:r w:rsidRPr="005D4B4B">
              <w:rPr>
                <w:rStyle w:val="Hyperlink"/>
                <w:noProof/>
              </w:rPr>
              <w:t>Summary of pharmacodynamics</w:t>
            </w:r>
            <w:r>
              <w:rPr>
                <w:noProof/>
                <w:webHidden/>
              </w:rPr>
              <w:tab/>
            </w:r>
            <w:r>
              <w:rPr>
                <w:noProof/>
                <w:webHidden/>
              </w:rPr>
              <w:fldChar w:fldCharType="begin"/>
            </w:r>
            <w:r>
              <w:rPr>
                <w:noProof/>
                <w:webHidden/>
              </w:rPr>
              <w:instrText xml:space="preserve"> PAGEREF _Toc433315323 \h </w:instrText>
            </w:r>
            <w:r>
              <w:rPr>
                <w:noProof/>
                <w:webHidden/>
              </w:rPr>
            </w:r>
            <w:r>
              <w:rPr>
                <w:noProof/>
                <w:webHidden/>
              </w:rPr>
              <w:fldChar w:fldCharType="separate"/>
            </w:r>
            <w:r>
              <w:rPr>
                <w:noProof/>
                <w:webHidden/>
              </w:rPr>
              <w:t>15</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24" w:history="1">
            <w:r w:rsidRPr="005D4B4B">
              <w:rPr>
                <w:rStyle w:val="Hyperlink"/>
                <w:noProof/>
              </w:rPr>
              <w:t>5.3.</w:t>
            </w:r>
            <w:r>
              <w:rPr>
                <w:rFonts w:asciiTheme="minorHAnsi" w:eastAsiaTheme="minorEastAsia" w:hAnsiTheme="minorHAnsi" w:cstheme="minorBidi"/>
                <w:noProof/>
                <w:lang w:eastAsia="en-AU"/>
              </w:rPr>
              <w:tab/>
            </w:r>
            <w:r w:rsidRPr="005D4B4B">
              <w:rPr>
                <w:rStyle w:val="Hyperlink"/>
                <w:noProof/>
              </w:rPr>
              <w:t>Evaluator’s overall conclusions on pharmacodynamics</w:t>
            </w:r>
            <w:r>
              <w:rPr>
                <w:noProof/>
                <w:webHidden/>
              </w:rPr>
              <w:tab/>
            </w:r>
            <w:r>
              <w:rPr>
                <w:noProof/>
                <w:webHidden/>
              </w:rPr>
              <w:fldChar w:fldCharType="begin"/>
            </w:r>
            <w:r>
              <w:rPr>
                <w:noProof/>
                <w:webHidden/>
              </w:rPr>
              <w:instrText xml:space="preserve"> PAGEREF _Toc433315324 \h </w:instrText>
            </w:r>
            <w:r>
              <w:rPr>
                <w:noProof/>
                <w:webHidden/>
              </w:rPr>
            </w:r>
            <w:r>
              <w:rPr>
                <w:noProof/>
                <w:webHidden/>
              </w:rPr>
              <w:fldChar w:fldCharType="separate"/>
            </w:r>
            <w:r>
              <w:rPr>
                <w:noProof/>
                <w:webHidden/>
              </w:rPr>
              <w:t>15</w:t>
            </w:r>
            <w:r>
              <w:rPr>
                <w:noProof/>
                <w:webHidden/>
              </w:rPr>
              <w:fldChar w:fldCharType="end"/>
            </w:r>
          </w:hyperlink>
        </w:p>
        <w:p w:rsidR="00FA2001" w:rsidRDefault="00FA2001">
          <w:pPr>
            <w:pStyle w:val="TOC2"/>
            <w:tabs>
              <w:tab w:val="left" w:pos="1100"/>
            </w:tabs>
            <w:rPr>
              <w:rFonts w:asciiTheme="minorHAnsi" w:eastAsiaTheme="minorEastAsia" w:hAnsiTheme="minorHAnsi" w:cstheme="minorBidi"/>
              <w:b w:val="0"/>
              <w:noProof/>
              <w:sz w:val="22"/>
              <w:lang w:eastAsia="en-AU"/>
            </w:rPr>
          </w:pPr>
          <w:hyperlink w:anchor="_Toc433315325" w:history="1">
            <w:r w:rsidRPr="005D4B4B">
              <w:rPr>
                <w:rStyle w:val="Hyperlink"/>
                <w:noProof/>
              </w:rPr>
              <w:t>6.</w:t>
            </w:r>
            <w:r>
              <w:rPr>
                <w:rFonts w:asciiTheme="minorHAnsi" w:eastAsiaTheme="minorEastAsia" w:hAnsiTheme="minorHAnsi" w:cstheme="minorBidi"/>
                <w:b w:val="0"/>
                <w:noProof/>
                <w:sz w:val="22"/>
                <w:lang w:eastAsia="en-AU"/>
              </w:rPr>
              <w:tab/>
            </w:r>
            <w:r w:rsidRPr="005D4B4B">
              <w:rPr>
                <w:rStyle w:val="Hyperlink"/>
                <w:noProof/>
              </w:rPr>
              <w:t>Dosage selection for the pivotal studies</w:t>
            </w:r>
            <w:r>
              <w:rPr>
                <w:noProof/>
                <w:webHidden/>
              </w:rPr>
              <w:tab/>
            </w:r>
            <w:r>
              <w:rPr>
                <w:noProof/>
                <w:webHidden/>
              </w:rPr>
              <w:fldChar w:fldCharType="begin"/>
            </w:r>
            <w:r>
              <w:rPr>
                <w:noProof/>
                <w:webHidden/>
              </w:rPr>
              <w:instrText xml:space="preserve"> PAGEREF _Toc433315325 \h </w:instrText>
            </w:r>
            <w:r>
              <w:rPr>
                <w:noProof/>
                <w:webHidden/>
              </w:rPr>
            </w:r>
            <w:r>
              <w:rPr>
                <w:noProof/>
                <w:webHidden/>
              </w:rPr>
              <w:fldChar w:fldCharType="separate"/>
            </w:r>
            <w:r>
              <w:rPr>
                <w:noProof/>
                <w:webHidden/>
              </w:rPr>
              <w:t>15</w:t>
            </w:r>
            <w:r>
              <w:rPr>
                <w:noProof/>
                <w:webHidden/>
              </w:rPr>
              <w:fldChar w:fldCharType="end"/>
            </w:r>
          </w:hyperlink>
        </w:p>
        <w:p w:rsidR="00FA2001" w:rsidRDefault="00FA2001">
          <w:pPr>
            <w:pStyle w:val="TOC2"/>
            <w:tabs>
              <w:tab w:val="left" w:pos="1100"/>
            </w:tabs>
            <w:rPr>
              <w:rFonts w:asciiTheme="minorHAnsi" w:eastAsiaTheme="minorEastAsia" w:hAnsiTheme="minorHAnsi" w:cstheme="minorBidi"/>
              <w:b w:val="0"/>
              <w:noProof/>
              <w:sz w:val="22"/>
              <w:lang w:eastAsia="en-AU"/>
            </w:rPr>
          </w:pPr>
          <w:hyperlink w:anchor="_Toc433315326" w:history="1">
            <w:r w:rsidRPr="005D4B4B">
              <w:rPr>
                <w:rStyle w:val="Hyperlink"/>
                <w:noProof/>
              </w:rPr>
              <w:t>7.</w:t>
            </w:r>
            <w:r>
              <w:rPr>
                <w:rFonts w:asciiTheme="minorHAnsi" w:eastAsiaTheme="minorEastAsia" w:hAnsiTheme="minorHAnsi" w:cstheme="minorBidi"/>
                <w:b w:val="0"/>
                <w:noProof/>
                <w:sz w:val="22"/>
                <w:lang w:eastAsia="en-AU"/>
              </w:rPr>
              <w:tab/>
            </w:r>
            <w:r w:rsidRPr="005D4B4B">
              <w:rPr>
                <w:rStyle w:val="Hyperlink"/>
                <w:noProof/>
              </w:rPr>
              <w:t>Clinical efficacy</w:t>
            </w:r>
            <w:r>
              <w:rPr>
                <w:noProof/>
                <w:webHidden/>
              </w:rPr>
              <w:tab/>
            </w:r>
            <w:r>
              <w:rPr>
                <w:noProof/>
                <w:webHidden/>
              </w:rPr>
              <w:fldChar w:fldCharType="begin"/>
            </w:r>
            <w:r>
              <w:rPr>
                <w:noProof/>
                <w:webHidden/>
              </w:rPr>
              <w:instrText xml:space="preserve"> PAGEREF _Toc433315326 \h </w:instrText>
            </w:r>
            <w:r>
              <w:rPr>
                <w:noProof/>
                <w:webHidden/>
              </w:rPr>
            </w:r>
            <w:r>
              <w:rPr>
                <w:noProof/>
                <w:webHidden/>
              </w:rPr>
              <w:fldChar w:fldCharType="separate"/>
            </w:r>
            <w:r>
              <w:rPr>
                <w:noProof/>
                <w:webHidden/>
              </w:rPr>
              <w:t>15</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27" w:history="1">
            <w:r w:rsidRPr="005D4B4B">
              <w:rPr>
                <w:rStyle w:val="Hyperlink"/>
                <w:noProof/>
              </w:rPr>
              <w:t>7.1.</w:t>
            </w:r>
            <w:r>
              <w:rPr>
                <w:rFonts w:asciiTheme="minorHAnsi" w:eastAsiaTheme="minorEastAsia" w:hAnsiTheme="minorHAnsi" w:cstheme="minorBidi"/>
                <w:noProof/>
                <w:lang w:eastAsia="en-AU"/>
              </w:rPr>
              <w:tab/>
            </w:r>
            <w:r w:rsidRPr="005D4B4B">
              <w:rPr>
                <w:rStyle w:val="Hyperlink"/>
                <w:noProof/>
              </w:rPr>
              <w:t>Non-radiographic axial spondyloarthritis</w:t>
            </w:r>
            <w:r>
              <w:rPr>
                <w:noProof/>
                <w:webHidden/>
              </w:rPr>
              <w:tab/>
            </w:r>
            <w:r>
              <w:rPr>
                <w:noProof/>
                <w:webHidden/>
              </w:rPr>
              <w:fldChar w:fldCharType="begin"/>
            </w:r>
            <w:r>
              <w:rPr>
                <w:noProof/>
                <w:webHidden/>
              </w:rPr>
              <w:instrText xml:space="preserve"> PAGEREF _Toc433315327 \h </w:instrText>
            </w:r>
            <w:r>
              <w:rPr>
                <w:noProof/>
                <w:webHidden/>
              </w:rPr>
            </w:r>
            <w:r>
              <w:rPr>
                <w:noProof/>
                <w:webHidden/>
              </w:rPr>
              <w:fldChar w:fldCharType="separate"/>
            </w:r>
            <w:r>
              <w:rPr>
                <w:noProof/>
                <w:webHidden/>
              </w:rPr>
              <w:t>15</w:t>
            </w:r>
            <w:r>
              <w:rPr>
                <w:noProof/>
                <w:webHidden/>
              </w:rPr>
              <w:fldChar w:fldCharType="end"/>
            </w:r>
          </w:hyperlink>
        </w:p>
        <w:p w:rsidR="00FA2001" w:rsidRDefault="00FA2001">
          <w:pPr>
            <w:pStyle w:val="TOC2"/>
            <w:tabs>
              <w:tab w:val="left" w:pos="1100"/>
            </w:tabs>
            <w:rPr>
              <w:rFonts w:asciiTheme="minorHAnsi" w:eastAsiaTheme="minorEastAsia" w:hAnsiTheme="minorHAnsi" w:cstheme="minorBidi"/>
              <w:b w:val="0"/>
              <w:noProof/>
              <w:sz w:val="22"/>
              <w:lang w:eastAsia="en-AU"/>
            </w:rPr>
          </w:pPr>
          <w:hyperlink w:anchor="_Toc433315328" w:history="1">
            <w:r w:rsidRPr="005D4B4B">
              <w:rPr>
                <w:rStyle w:val="Hyperlink"/>
                <w:noProof/>
              </w:rPr>
              <w:t>8.</w:t>
            </w:r>
            <w:r>
              <w:rPr>
                <w:rFonts w:asciiTheme="minorHAnsi" w:eastAsiaTheme="minorEastAsia" w:hAnsiTheme="minorHAnsi" w:cstheme="minorBidi"/>
                <w:b w:val="0"/>
                <w:noProof/>
                <w:sz w:val="22"/>
                <w:lang w:eastAsia="en-AU"/>
              </w:rPr>
              <w:tab/>
            </w:r>
            <w:r w:rsidRPr="005D4B4B">
              <w:rPr>
                <w:rStyle w:val="Hyperlink"/>
                <w:noProof/>
              </w:rPr>
              <w:t>Clinical safety</w:t>
            </w:r>
            <w:r>
              <w:rPr>
                <w:noProof/>
                <w:webHidden/>
              </w:rPr>
              <w:tab/>
            </w:r>
            <w:r>
              <w:rPr>
                <w:noProof/>
                <w:webHidden/>
              </w:rPr>
              <w:fldChar w:fldCharType="begin"/>
            </w:r>
            <w:r>
              <w:rPr>
                <w:noProof/>
                <w:webHidden/>
              </w:rPr>
              <w:instrText xml:space="preserve"> PAGEREF _Toc433315328 \h </w:instrText>
            </w:r>
            <w:r>
              <w:rPr>
                <w:noProof/>
                <w:webHidden/>
              </w:rPr>
            </w:r>
            <w:r>
              <w:rPr>
                <w:noProof/>
                <w:webHidden/>
              </w:rPr>
              <w:fldChar w:fldCharType="separate"/>
            </w:r>
            <w:r>
              <w:rPr>
                <w:noProof/>
                <w:webHidden/>
              </w:rPr>
              <w:t>35</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29" w:history="1">
            <w:r w:rsidRPr="005D4B4B">
              <w:rPr>
                <w:rStyle w:val="Hyperlink"/>
                <w:noProof/>
              </w:rPr>
              <w:t>8.1.</w:t>
            </w:r>
            <w:r>
              <w:rPr>
                <w:rFonts w:asciiTheme="minorHAnsi" w:eastAsiaTheme="minorEastAsia" w:hAnsiTheme="minorHAnsi" w:cstheme="minorBidi"/>
                <w:noProof/>
                <w:lang w:eastAsia="en-AU"/>
              </w:rPr>
              <w:tab/>
            </w:r>
            <w:r w:rsidRPr="005D4B4B">
              <w:rPr>
                <w:rStyle w:val="Hyperlink"/>
                <w:noProof/>
              </w:rPr>
              <w:t>Studies providing evaluable safety data</w:t>
            </w:r>
            <w:r>
              <w:rPr>
                <w:noProof/>
                <w:webHidden/>
              </w:rPr>
              <w:tab/>
            </w:r>
            <w:r>
              <w:rPr>
                <w:noProof/>
                <w:webHidden/>
              </w:rPr>
              <w:fldChar w:fldCharType="begin"/>
            </w:r>
            <w:r>
              <w:rPr>
                <w:noProof/>
                <w:webHidden/>
              </w:rPr>
              <w:instrText xml:space="preserve"> PAGEREF _Toc433315329 \h </w:instrText>
            </w:r>
            <w:r>
              <w:rPr>
                <w:noProof/>
                <w:webHidden/>
              </w:rPr>
            </w:r>
            <w:r>
              <w:rPr>
                <w:noProof/>
                <w:webHidden/>
              </w:rPr>
              <w:fldChar w:fldCharType="separate"/>
            </w:r>
            <w:r>
              <w:rPr>
                <w:noProof/>
                <w:webHidden/>
              </w:rPr>
              <w:t>35</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30" w:history="1">
            <w:r w:rsidRPr="005D4B4B">
              <w:rPr>
                <w:rStyle w:val="Hyperlink"/>
                <w:noProof/>
              </w:rPr>
              <w:t>8.2.</w:t>
            </w:r>
            <w:r>
              <w:rPr>
                <w:rFonts w:asciiTheme="minorHAnsi" w:eastAsiaTheme="minorEastAsia" w:hAnsiTheme="minorHAnsi" w:cstheme="minorBidi"/>
                <w:noProof/>
                <w:lang w:eastAsia="en-AU"/>
              </w:rPr>
              <w:tab/>
            </w:r>
            <w:r w:rsidRPr="005D4B4B">
              <w:rPr>
                <w:rStyle w:val="Hyperlink"/>
                <w:noProof/>
              </w:rPr>
              <w:t>Patient exposure</w:t>
            </w:r>
            <w:r>
              <w:rPr>
                <w:noProof/>
                <w:webHidden/>
              </w:rPr>
              <w:tab/>
            </w:r>
            <w:r>
              <w:rPr>
                <w:noProof/>
                <w:webHidden/>
              </w:rPr>
              <w:fldChar w:fldCharType="begin"/>
            </w:r>
            <w:r>
              <w:rPr>
                <w:noProof/>
                <w:webHidden/>
              </w:rPr>
              <w:instrText xml:space="preserve"> PAGEREF _Toc433315330 \h </w:instrText>
            </w:r>
            <w:r>
              <w:rPr>
                <w:noProof/>
                <w:webHidden/>
              </w:rPr>
            </w:r>
            <w:r>
              <w:rPr>
                <w:noProof/>
                <w:webHidden/>
              </w:rPr>
              <w:fldChar w:fldCharType="separate"/>
            </w:r>
            <w:r>
              <w:rPr>
                <w:noProof/>
                <w:webHidden/>
              </w:rPr>
              <w:t>36</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31" w:history="1">
            <w:r w:rsidRPr="005D4B4B">
              <w:rPr>
                <w:rStyle w:val="Hyperlink"/>
                <w:noProof/>
              </w:rPr>
              <w:t>8.3.</w:t>
            </w:r>
            <w:r>
              <w:rPr>
                <w:rFonts w:asciiTheme="minorHAnsi" w:eastAsiaTheme="minorEastAsia" w:hAnsiTheme="minorHAnsi" w:cstheme="minorBidi"/>
                <w:noProof/>
                <w:lang w:eastAsia="en-AU"/>
              </w:rPr>
              <w:tab/>
            </w:r>
            <w:r w:rsidRPr="005D4B4B">
              <w:rPr>
                <w:rStyle w:val="Hyperlink"/>
                <w:noProof/>
              </w:rPr>
              <w:t>Adverse events</w:t>
            </w:r>
            <w:r>
              <w:rPr>
                <w:noProof/>
                <w:webHidden/>
              </w:rPr>
              <w:tab/>
            </w:r>
            <w:r>
              <w:rPr>
                <w:noProof/>
                <w:webHidden/>
              </w:rPr>
              <w:fldChar w:fldCharType="begin"/>
            </w:r>
            <w:r>
              <w:rPr>
                <w:noProof/>
                <w:webHidden/>
              </w:rPr>
              <w:instrText xml:space="preserve"> PAGEREF _Toc433315331 \h </w:instrText>
            </w:r>
            <w:r>
              <w:rPr>
                <w:noProof/>
                <w:webHidden/>
              </w:rPr>
            </w:r>
            <w:r>
              <w:rPr>
                <w:noProof/>
                <w:webHidden/>
              </w:rPr>
              <w:fldChar w:fldCharType="separate"/>
            </w:r>
            <w:r>
              <w:rPr>
                <w:noProof/>
                <w:webHidden/>
              </w:rPr>
              <w:t>36</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32" w:history="1">
            <w:r w:rsidRPr="005D4B4B">
              <w:rPr>
                <w:rStyle w:val="Hyperlink"/>
                <w:noProof/>
              </w:rPr>
              <w:t>8.4.</w:t>
            </w:r>
            <w:r>
              <w:rPr>
                <w:rFonts w:asciiTheme="minorHAnsi" w:eastAsiaTheme="minorEastAsia" w:hAnsiTheme="minorHAnsi" w:cstheme="minorBidi"/>
                <w:noProof/>
                <w:lang w:eastAsia="en-AU"/>
              </w:rPr>
              <w:tab/>
            </w:r>
            <w:r w:rsidRPr="005D4B4B">
              <w:rPr>
                <w:rStyle w:val="Hyperlink"/>
                <w:noProof/>
              </w:rPr>
              <w:t>Laboratory tests</w:t>
            </w:r>
            <w:r>
              <w:rPr>
                <w:noProof/>
                <w:webHidden/>
              </w:rPr>
              <w:tab/>
            </w:r>
            <w:r>
              <w:rPr>
                <w:noProof/>
                <w:webHidden/>
              </w:rPr>
              <w:fldChar w:fldCharType="begin"/>
            </w:r>
            <w:r>
              <w:rPr>
                <w:noProof/>
                <w:webHidden/>
              </w:rPr>
              <w:instrText xml:space="preserve"> PAGEREF _Toc433315332 \h </w:instrText>
            </w:r>
            <w:r>
              <w:rPr>
                <w:noProof/>
                <w:webHidden/>
              </w:rPr>
            </w:r>
            <w:r>
              <w:rPr>
                <w:noProof/>
                <w:webHidden/>
              </w:rPr>
              <w:fldChar w:fldCharType="separate"/>
            </w:r>
            <w:r>
              <w:rPr>
                <w:noProof/>
                <w:webHidden/>
              </w:rPr>
              <w:t>39</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33" w:history="1">
            <w:r w:rsidRPr="005D4B4B">
              <w:rPr>
                <w:rStyle w:val="Hyperlink"/>
                <w:noProof/>
              </w:rPr>
              <w:t>8.5.</w:t>
            </w:r>
            <w:r>
              <w:rPr>
                <w:rFonts w:asciiTheme="minorHAnsi" w:eastAsiaTheme="minorEastAsia" w:hAnsiTheme="minorHAnsi" w:cstheme="minorBidi"/>
                <w:noProof/>
                <w:lang w:eastAsia="en-AU"/>
              </w:rPr>
              <w:tab/>
            </w:r>
            <w:r w:rsidRPr="005D4B4B">
              <w:rPr>
                <w:rStyle w:val="Hyperlink"/>
                <w:noProof/>
              </w:rPr>
              <w:t>Post-marketing experience</w:t>
            </w:r>
            <w:r>
              <w:rPr>
                <w:noProof/>
                <w:webHidden/>
              </w:rPr>
              <w:tab/>
            </w:r>
            <w:r>
              <w:rPr>
                <w:noProof/>
                <w:webHidden/>
              </w:rPr>
              <w:fldChar w:fldCharType="begin"/>
            </w:r>
            <w:r>
              <w:rPr>
                <w:noProof/>
                <w:webHidden/>
              </w:rPr>
              <w:instrText xml:space="preserve"> PAGEREF _Toc433315333 \h </w:instrText>
            </w:r>
            <w:r>
              <w:rPr>
                <w:noProof/>
                <w:webHidden/>
              </w:rPr>
            </w:r>
            <w:r>
              <w:rPr>
                <w:noProof/>
                <w:webHidden/>
              </w:rPr>
              <w:fldChar w:fldCharType="separate"/>
            </w:r>
            <w:r>
              <w:rPr>
                <w:noProof/>
                <w:webHidden/>
              </w:rPr>
              <w:t>40</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34" w:history="1">
            <w:r w:rsidRPr="005D4B4B">
              <w:rPr>
                <w:rStyle w:val="Hyperlink"/>
                <w:noProof/>
              </w:rPr>
              <w:t>8.6.</w:t>
            </w:r>
            <w:r>
              <w:rPr>
                <w:rFonts w:asciiTheme="minorHAnsi" w:eastAsiaTheme="minorEastAsia" w:hAnsiTheme="minorHAnsi" w:cstheme="minorBidi"/>
                <w:noProof/>
                <w:lang w:eastAsia="en-AU"/>
              </w:rPr>
              <w:tab/>
            </w:r>
            <w:r w:rsidRPr="005D4B4B">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_Toc433315334 \h </w:instrText>
            </w:r>
            <w:r>
              <w:rPr>
                <w:noProof/>
                <w:webHidden/>
              </w:rPr>
            </w:r>
            <w:r>
              <w:rPr>
                <w:noProof/>
                <w:webHidden/>
              </w:rPr>
              <w:fldChar w:fldCharType="separate"/>
            </w:r>
            <w:r>
              <w:rPr>
                <w:noProof/>
                <w:webHidden/>
              </w:rPr>
              <w:t>40</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35" w:history="1">
            <w:r w:rsidRPr="005D4B4B">
              <w:rPr>
                <w:rStyle w:val="Hyperlink"/>
                <w:noProof/>
              </w:rPr>
              <w:t>8.7.</w:t>
            </w:r>
            <w:r>
              <w:rPr>
                <w:rFonts w:asciiTheme="minorHAnsi" w:eastAsiaTheme="minorEastAsia" w:hAnsiTheme="minorHAnsi" w:cstheme="minorBidi"/>
                <w:noProof/>
                <w:lang w:eastAsia="en-AU"/>
              </w:rPr>
              <w:tab/>
            </w:r>
            <w:r w:rsidRPr="005D4B4B">
              <w:rPr>
                <w:rStyle w:val="Hyperlink"/>
                <w:noProof/>
              </w:rPr>
              <w:t>Other safety issues</w:t>
            </w:r>
            <w:r>
              <w:rPr>
                <w:noProof/>
                <w:webHidden/>
              </w:rPr>
              <w:tab/>
            </w:r>
            <w:r>
              <w:rPr>
                <w:noProof/>
                <w:webHidden/>
              </w:rPr>
              <w:fldChar w:fldCharType="begin"/>
            </w:r>
            <w:r>
              <w:rPr>
                <w:noProof/>
                <w:webHidden/>
              </w:rPr>
              <w:instrText xml:space="preserve"> PAGEREF _Toc433315335 \h </w:instrText>
            </w:r>
            <w:r>
              <w:rPr>
                <w:noProof/>
                <w:webHidden/>
              </w:rPr>
            </w:r>
            <w:r>
              <w:rPr>
                <w:noProof/>
                <w:webHidden/>
              </w:rPr>
              <w:fldChar w:fldCharType="separate"/>
            </w:r>
            <w:r>
              <w:rPr>
                <w:noProof/>
                <w:webHidden/>
              </w:rPr>
              <w:t>40</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36" w:history="1">
            <w:r w:rsidRPr="005D4B4B">
              <w:rPr>
                <w:rStyle w:val="Hyperlink"/>
                <w:noProof/>
              </w:rPr>
              <w:t>8.8.</w:t>
            </w:r>
            <w:r>
              <w:rPr>
                <w:rFonts w:asciiTheme="minorHAnsi" w:eastAsiaTheme="minorEastAsia" w:hAnsiTheme="minorHAnsi" w:cstheme="minorBidi"/>
                <w:noProof/>
                <w:lang w:eastAsia="en-AU"/>
              </w:rPr>
              <w:tab/>
            </w:r>
            <w:r w:rsidRPr="005D4B4B">
              <w:rPr>
                <w:rStyle w:val="Hyperlink"/>
                <w:noProof/>
              </w:rPr>
              <w:t>Evaluator’s overall conclusions on clinical safety</w:t>
            </w:r>
            <w:r>
              <w:rPr>
                <w:noProof/>
                <w:webHidden/>
              </w:rPr>
              <w:tab/>
            </w:r>
            <w:r>
              <w:rPr>
                <w:noProof/>
                <w:webHidden/>
              </w:rPr>
              <w:fldChar w:fldCharType="begin"/>
            </w:r>
            <w:r>
              <w:rPr>
                <w:noProof/>
                <w:webHidden/>
              </w:rPr>
              <w:instrText xml:space="preserve"> PAGEREF _Toc433315336 \h </w:instrText>
            </w:r>
            <w:r>
              <w:rPr>
                <w:noProof/>
                <w:webHidden/>
              </w:rPr>
            </w:r>
            <w:r>
              <w:rPr>
                <w:noProof/>
                <w:webHidden/>
              </w:rPr>
              <w:fldChar w:fldCharType="separate"/>
            </w:r>
            <w:r>
              <w:rPr>
                <w:noProof/>
                <w:webHidden/>
              </w:rPr>
              <w:t>41</w:t>
            </w:r>
            <w:r>
              <w:rPr>
                <w:noProof/>
                <w:webHidden/>
              </w:rPr>
              <w:fldChar w:fldCharType="end"/>
            </w:r>
          </w:hyperlink>
        </w:p>
        <w:p w:rsidR="00FA2001" w:rsidRDefault="00FA2001">
          <w:pPr>
            <w:pStyle w:val="TOC2"/>
            <w:tabs>
              <w:tab w:val="left" w:pos="1100"/>
            </w:tabs>
            <w:rPr>
              <w:rFonts w:asciiTheme="minorHAnsi" w:eastAsiaTheme="minorEastAsia" w:hAnsiTheme="minorHAnsi" w:cstheme="minorBidi"/>
              <w:b w:val="0"/>
              <w:noProof/>
              <w:sz w:val="22"/>
              <w:lang w:eastAsia="en-AU"/>
            </w:rPr>
          </w:pPr>
          <w:hyperlink w:anchor="_Toc433315337" w:history="1">
            <w:r w:rsidRPr="005D4B4B">
              <w:rPr>
                <w:rStyle w:val="Hyperlink"/>
                <w:noProof/>
              </w:rPr>
              <w:t>9.</w:t>
            </w:r>
            <w:r>
              <w:rPr>
                <w:rFonts w:asciiTheme="minorHAnsi" w:eastAsiaTheme="minorEastAsia" w:hAnsiTheme="minorHAnsi" w:cstheme="minorBidi"/>
                <w:b w:val="0"/>
                <w:noProof/>
                <w:sz w:val="22"/>
                <w:lang w:eastAsia="en-AU"/>
              </w:rPr>
              <w:tab/>
            </w:r>
            <w:r w:rsidRPr="005D4B4B">
              <w:rPr>
                <w:rStyle w:val="Hyperlink"/>
                <w:noProof/>
              </w:rPr>
              <w:t>First round benefit-risk assessment</w:t>
            </w:r>
            <w:r>
              <w:rPr>
                <w:noProof/>
                <w:webHidden/>
              </w:rPr>
              <w:tab/>
            </w:r>
            <w:r>
              <w:rPr>
                <w:noProof/>
                <w:webHidden/>
              </w:rPr>
              <w:fldChar w:fldCharType="begin"/>
            </w:r>
            <w:r>
              <w:rPr>
                <w:noProof/>
                <w:webHidden/>
              </w:rPr>
              <w:instrText xml:space="preserve"> PAGEREF _Toc433315337 \h </w:instrText>
            </w:r>
            <w:r>
              <w:rPr>
                <w:noProof/>
                <w:webHidden/>
              </w:rPr>
            </w:r>
            <w:r>
              <w:rPr>
                <w:noProof/>
                <w:webHidden/>
              </w:rPr>
              <w:fldChar w:fldCharType="separate"/>
            </w:r>
            <w:r>
              <w:rPr>
                <w:noProof/>
                <w:webHidden/>
              </w:rPr>
              <w:t>41</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38" w:history="1">
            <w:r w:rsidRPr="005D4B4B">
              <w:rPr>
                <w:rStyle w:val="Hyperlink"/>
                <w:noProof/>
              </w:rPr>
              <w:t>9.1.</w:t>
            </w:r>
            <w:r>
              <w:rPr>
                <w:rFonts w:asciiTheme="minorHAnsi" w:eastAsiaTheme="minorEastAsia" w:hAnsiTheme="minorHAnsi" w:cstheme="minorBidi"/>
                <w:noProof/>
                <w:lang w:eastAsia="en-AU"/>
              </w:rPr>
              <w:tab/>
            </w:r>
            <w:r w:rsidRPr="005D4B4B">
              <w:rPr>
                <w:rStyle w:val="Hyperlink"/>
                <w:noProof/>
              </w:rPr>
              <w:t>First round assessment of benefits</w:t>
            </w:r>
            <w:r>
              <w:rPr>
                <w:noProof/>
                <w:webHidden/>
              </w:rPr>
              <w:tab/>
            </w:r>
            <w:r>
              <w:rPr>
                <w:noProof/>
                <w:webHidden/>
              </w:rPr>
              <w:fldChar w:fldCharType="begin"/>
            </w:r>
            <w:r>
              <w:rPr>
                <w:noProof/>
                <w:webHidden/>
              </w:rPr>
              <w:instrText xml:space="preserve"> PAGEREF _Toc433315338 \h </w:instrText>
            </w:r>
            <w:r>
              <w:rPr>
                <w:noProof/>
                <w:webHidden/>
              </w:rPr>
            </w:r>
            <w:r>
              <w:rPr>
                <w:noProof/>
                <w:webHidden/>
              </w:rPr>
              <w:fldChar w:fldCharType="separate"/>
            </w:r>
            <w:r>
              <w:rPr>
                <w:noProof/>
                <w:webHidden/>
              </w:rPr>
              <w:t>41</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39" w:history="1">
            <w:r w:rsidRPr="005D4B4B">
              <w:rPr>
                <w:rStyle w:val="Hyperlink"/>
                <w:noProof/>
              </w:rPr>
              <w:t>9.2.</w:t>
            </w:r>
            <w:r>
              <w:rPr>
                <w:rFonts w:asciiTheme="minorHAnsi" w:eastAsiaTheme="minorEastAsia" w:hAnsiTheme="minorHAnsi" w:cstheme="minorBidi"/>
                <w:noProof/>
                <w:lang w:eastAsia="en-AU"/>
              </w:rPr>
              <w:tab/>
            </w:r>
            <w:r w:rsidRPr="005D4B4B">
              <w:rPr>
                <w:rStyle w:val="Hyperlink"/>
                <w:noProof/>
              </w:rPr>
              <w:t>First round assessment of risks</w:t>
            </w:r>
            <w:r>
              <w:rPr>
                <w:noProof/>
                <w:webHidden/>
              </w:rPr>
              <w:tab/>
            </w:r>
            <w:r>
              <w:rPr>
                <w:noProof/>
                <w:webHidden/>
              </w:rPr>
              <w:fldChar w:fldCharType="begin"/>
            </w:r>
            <w:r>
              <w:rPr>
                <w:noProof/>
                <w:webHidden/>
              </w:rPr>
              <w:instrText xml:space="preserve"> PAGEREF _Toc433315339 \h </w:instrText>
            </w:r>
            <w:r>
              <w:rPr>
                <w:noProof/>
                <w:webHidden/>
              </w:rPr>
            </w:r>
            <w:r>
              <w:rPr>
                <w:noProof/>
                <w:webHidden/>
              </w:rPr>
              <w:fldChar w:fldCharType="separate"/>
            </w:r>
            <w:r>
              <w:rPr>
                <w:noProof/>
                <w:webHidden/>
              </w:rPr>
              <w:t>42</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40" w:history="1">
            <w:r w:rsidRPr="005D4B4B">
              <w:rPr>
                <w:rStyle w:val="Hyperlink"/>
                <w:noProof/>
              </w:rPr>
              <w:t>9.3.</w:t>
            </w:r>
            <w:r>
              <w:rPr>
                <w:rFonts w:asciiTheme="minorHAnsi" w:eastAsiaTheme="minorEastAsia" w:hAnsiTheme="minorHAnsi" w:cstheme="minorBidi"/>
                <w:noProof/>
                <w:lang w:eastAsia="en-AU"/>
              </w:rPr>
              <w:tab/>
            </w:r>
            <w:r w:rsidRPr="005D4B4B">
              <w:rPr>
                <w:rStyle w:val="Hyperlink"/>
                <w:noProof/>
              </w:rPr>
              <w:t>First round assessment of benefit-risk balance</w:t>
            </w:r>
            <w:r>
              <w:rPr>
                <w:noProof/>
                <w:webHidden/>
              </w:rPr>
              <w:tab/>
            </w:r>
            <w:r>
              <w:rPr>
                <w:noProof/>
                <w:webHidden/>
              </w:rPr>
              <w:fldChar w:fldCharType="begin"/>
            </w:r>
            <w:r>
              <w:rPr>
                <w:noProof/>
                <w:webHidden/>
              </w:rPr>
              <w:instrText xml:space="preserve"> PAGEREF _Toc433315340 \h </w:instrText>
            </w:r>
            <w:r>
              <w:rPr>
                <w:noProof/>
                <w:webHidden/>
              </w:rPr>
            </w:r>
            <w:r>
              <w:rPr>
                <w:noProof/>
                <w:webHidden/>
              </w:rPr>
              <w:fldChar w:fldCharType="separate"/>
            </w:r>
            <w:r>
              <w:rPr>
                <w:noProof/>
                <w:webHidden/>
              </w:rPr>
              <w:t>42</w:t>
            </w:r>
            <w:r>
              <w:rPr>
                <w:noProof/>
                <w:webHidden/>
              </w:rPr>
              <w:fldChar w:fldCharType="end"/>
            </w:r>
          </w:hyperlink>
        </w:p>
        <w:p w:rsidR="00FA2001" w:rsidRDefault="00FA2001">
          <w:pPr>
            <w:pStyle w:val="TOC2"/>
            <w:tabs>
              <w:tab w:val="left" w:pos="1320"/>
            </w:tabs>
            <w:rPr>
              <w:rFonts w:asciiTheme="minorHAnsi" w:eastAsiaTheme="minorEastAsia" w:hAnsiTheme="minorHAnsi" w:cstheme="minorBidi"/>
              <w:b w:val="0"/>
              <w:noProof/>
              <w:sz w:val="22"/>
              <w:lang w:eastAsia="en-AU"/>
            </w:rPr>
          </w:pPr>
          <w:hyperlink w:anchor="_Toc433315341" w:history="1">
            <w:r w:rsidRPr="005D4B4B">
              <w:rPr>
                <w:rStyle w:val="Hyperlink"/>
                <w:noProof/>
              </w:rPr>
              <w:t>10.</w:t>
            </w:r>
            <w:r>
              <w:rPr>
                <w:rFonts w:asciiTheme="minorHAnsi" w:eastAsiaTheme="minorEastAsia" w:hAnsiTheme="minorHAnsi" w:cstheme="minorBidi"/>
                <w:b w:val="0"/>
                <w:noProof/>
                <w:sz w:val="22"/>
                <w:lang w:eastAsia="en-AU"/>
              </w:rPr>
              <w:tab/>
            </w:r>
            <w:r w:rsidRPr="005D4B4B">
              <w:rPr>
                <w:rStyle w:val="Hyperlink"/>
                <w:noProof/>
              </w:rPr>
              <w:t>First round recommendation regarding authorisation</w:t>
            </w:r>
            <w:r>
              <w:rPr>
                <w:noProof/>
                <w:webHidden/>
              </w:rPr>
              <w:tab/>
            </w:r>
            <w:r>
              <w:rPr>
                <w:noProof/>
                <w:webHidden/>
              </w:rPr>
              <w:fldChar w:fldCharType="begin"/>
            </w:r>
            <w:r>
              <w:rPr>
                <w:noProof/>
                <w:webHidden/>
              </w:rPr>
              <w:instrText xml:space="preserve"> PAGEREF _Toc433315341 \h </w:instrText>
            </w:r>
            <w:r>
              <w:rPr>
                <w:noProof/>
                <w:webHidden/>
              </w:rPr>
            </w:r>
            <w:r>
              <w:rPr>
                <w:noProof/>
                <w:webHidden/>
              </w:rPr>
              <w:fldChar w:fldCharType="separate"/>
            </w:r>
            <w:r>
              <w:rPr>
                <w:noProof/>
                <w:webHidden/>
              </w:rPr>
              <w:t>44</w:t>
            </w:r>
            <w:r>
              <w:rPr>
                <w:noProof/>
                <w:webHidden/>
              </w:rPr>
              <w:fldChar w:fldCharType="end"/>
            </w:r>
          </w:hyperlink>
        </w:p>
        <w:p w:rsidR="00FA2001" w:rsidRDefault="00FA2001">
          <w:pPr>
            <w:pStyle w:val="TOC2"/>
            <w:tabs>
              <w:tab w:val="left" w:pos="1320"/>
            </w:tabs>
            <w:rPr>
              <w:rFonts w:asciiTheme="minorHAnsi" w:eastAsiaTheme="minorEastAsia" w:hAnsiTheme="minorHAnsi" w:cstheme="minorBidi"/>
              <w:b w:val="0"/>
              <w:noProof/>
              <w:sz w:val="22"/>
              <w:lang w:eastAsia="en-AU"/>
            </w:rPr>
          </w:pPr>
          <w:hyperlink w:anchor="_Toc433315342" w:history="1">
            <w:r w:rsidRPr="005D4B4B">
              <w:rPr>
                <w:rStyle w:val="Hyperlink"/>
                <w:noProof/>
              </w:rPr>
              <w:t>11.</w:t>
            </w:r>
            <w:r>
              <w:rPr>
                <w:rFonts w:asciiTheme="minorHAnsi" w:eastAsiaTheme="minorEastAsia" w:hAnsiTheme="minorHAnsi" w:cstheme="minorBidi"/>
                <w:b w:val="0"/>
                <w:noProof/>
                <w:sz w:val="22"/>
                <w:lang w:eastAsia="en-AU"/>
              </w:rPr>
              <w:tab/>
            </w:r>
            <w:r w:rsidRPr="005D4B4B">
              <w:rPr>
                <w:rStyle w:val="Hyperlink"/>
                <w:noProof/>
              </w:rPr>
              <w:t>Clinical questions</w:t>
            </w:r>
            <w:r>
              <w:rPr>
                <w:noProof/>
                <w:webHidden/>
              </w:rPr>
              <w:tab/>
            </w:r>
            <w:r>
              <w:rPr>
                <w:noProof/>
                <w:webHidden/>
              </w:rPr>
              <w:fldChar w:fldCharType="begin"/>
            </w:r>
            <w:r>
              <w:rPr>
                <w:noProof/>
                <w:webHidden/>
              </w:rPr>
              <w:instrText xml:space="preserve"> PAGEREF _Toc433315342 \h </w:instrText>
            </w:r>
            <w:r>
              <w:rPr>
                <w:noProof/>
                <w:webHidden/>
              </w:rPr>
            </w:r>
            <w:r>
              <w:rPr>
                <w:noProof/>
                <w:webHidden/>
              </w:rPr>
              <w:fldChar w:fldCharType="separate"/>
            </w:r>
            <w:r>
              <w:rPr>
                <w:noProof/>
                <w:webHidden/>
              </w:rPr>
              <w:t>44</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43" w:history="1">
            <w:r w:rsidRPr="005D4B4B">
              <w:rPr>
                <w:rStyle w:val="Hyperlink"/>
                <w:noProof/>
              </w:rPr>
              <w:t>11.1.</w:t>
            </w:r>
            <w:r>
              <w:rPr>
                <w:rFonts w:asciiTheme="minorHAnsi" w:eastAsiaTheme="minorEastAsia" w:hAnsiTheme="minorHAnsi" w:cstheme="minorBidi"/>
                <w:noProof/>
                <w:lang w:eastAsia="en-AU"/>
              </w:rPr>
              <w:tab/>
            </w:r>
            <w:r w:rsidRPr="005D4B4B">
              <w:rPr>
                <w:rStyle w:val="Hyperlink"/>
                <w:noProof/>
              </w:rPr>
              <w:t>Pharmacokinetics</w:t>
            </w:r>
            <w:r>
              <w:rPr>
                <w:noProof/>
                <w:webHidden/>
              </w:rPr>
              <w:tab/>
            </w:r>
            <w:r>
              <w:rPr>
                <w:noProof/>
                <w:webHidden/>
              </w:rPr>
              <w:fldChar w:fldCharType="begin"/>
            </w:r>
            <w:r>
              <w:rPr>
                <w:noProof/>
                <w:webHidden/>
              </w:rPr>
              <w:instrText xml:space="preserve"> PAGEREF _Toc433315343 \h </w:instrText>
            </w:r>
            <w:r>
              <w:rPr>
                <w:noProof/>
                <w:webHidden/>
              </w:rPr>
            </w:r>
            <w:r>
              <w:rPr>
                <w:noProof/>
                <w:webHidden/>
              </w:rPr>
              <w:fldChar w:fldCharType="separate"/>
            </w:r>
            <w:r>
              <w:rPr>
                <w:noProof/>
                <w:webHidden/>
              </w:rPr>
              <w:t>44</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44" w:history="1">
            <w:r w:rsidRPr="005D4B4B">
              <w:rPr>
                <w:rStyle w:val="Hyperlink"/>
                <w:noProof/>
              </w:rPr>
              <w:t>11.2.</w:t>
            </w:r>
            <w:r>
              <w:rPr>
                <w:rFonts w:asciiTheme="minorHAnsi" w:eastAsiaTheme="minorEastAsia" w:hAnsiTheme="minorHAnsi" w:cstheme="minorBidi"/>
                <w:noProof/>
                <w:lang w:eastAsia="en-AU"/>
              </w:rPr>
              <w:tab/>
            </w:r>
            <w:r w:rsidRPr="005D4B4B">
              <w:rPr>
                <w:rStyle w:val="Hyperlink"/>
                <w:noProof/>
              </w:rPr>
              <w:t>Pharmacodynamics</w:t>
            </w:r>
            <w:r>
              <w:rPr>
                <w:noProof/>
                <w:webHidden/>
              </w:rPr>
              <w:tab/>
            </w:r>
            <w:r>
              <w:rPr>
                <w:noProof/>
                <w:webHidden/>
              </w:rPr>
              <w:fldChar w:fldCharType="begin"/>
            </w:r>
            <w:r>
              <w:rPr>
                <w:noProof/>
                <w:webHidden/>
              </w:rPr>
              <w:instrText xml:space="preserve"> PAGEREF _Toc433315344 \h </w:instrText>
            </w:r>
            <w:r>
              <w:rPr>
                <w:noProof/>
                <w:webHidden/>
              </w:rPr>
            </w:r>
            <w:r>
              <w:rPr>
                <w:noProof/>
                <w:webHidden/>
              </w:rPr>
              <w:fldChar w:fldCharType="separate"/>
            </w:r>
            <w:r>
              <w:rPr>
                <w:noProof/>
                <w:webHidden/>
              </w:rPr>
              <w:t>45</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45" w:history="1">
            <w:r w:rsidRPr="005D4B4B">
              <w:rPr>
                <w:rStyle w:val="Hyperlink"/>
                <w:noProof/>
              </w:rPr>
              <w:t>11.3.</w:t>
            </w:r>
            <w:r>
              <w:rPr>
                <w:rFonts w:asciiTheme="minorHAnsi" w:eastAsiaTheme="minorEastAsia" w:hAnsiTheme="minorHAnsi" w:cstheme="minorBidi"/>
                <w:noProof/>
                <w:lang w:eastAsia="en-AU"/>
              </w:rPr>
              <w:tab/>
            </w:r>
            <w:r w:rsidRPr="005D4B4B">
              <w:rPr>
                <w:rStyle w:val="Hyperlink"/>
                <w:noProof/>
              </w:rPr>
              <w:t>Efficacy</w:t>
            </w:r>
            <w:r>
              <w:rPr>
                <w:noProof/>
                <w:webHidden/>
              </w:rPr>
              <w:tab/>
            </w:r>
            <w:r>
              <w:rPr>
                <w:noProof/>
                <w:webHidden/>
              </w:rPr>
              <w:fldChar w:fldCharType="begin"/>
            </w:r>
            <w:r>
              <w:rPr>
                <w:noProof/>
                <w:webHidden/>
              </w:rPr>
              <w:instrText xml:space="preserve"> PAGEREF _Toc433315345 \h </w:instrText>
            </w:r>
            <w:r>
              <w:rPr>
                <w:noProof/>
                <w:webHidden/>
              </w:rPr>
            </w:r>
            <w:r>
              <w:rPr>
                <w:noProof/>
                <w:webHidden/>
              </w:rPr>
              <w:fldChar w:fldCharType="separate"/>
            </w:r>
            <w:r>
              <w:rPr>
                <w:noProof/>
                <w:webHidden/>
              </w:rPr>
              <w:t>45</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46" w:history="1">
            <w:r w:rsidRPr="005D4B4B">
              <w:rPr>
                <w:rStyle w:val="Hyperlink"/>
                <w:noProof/>
              </w:rPr>
              <w:t>11.4.</w:t>
            </w:r>
            <w:r>
              <w:rPr>
                <w:rFonts w:asciiTheme="minorHAnsi" w:eastAsiaTheme="minorEastAsia" w:hAnsiTheme="minorHAnsi" w:cstheme="minorBidi"/>
                <w:noProof/>
                <w:lang w:eastAsia="en-AU"/>
              </w:rPr>
              <w:tab/>
            </w:r>
            <w:r w:rsidRPr="005D4B4B">
              <w:rPr>
                <w:rStyle w:val="Hyperlink"/>
                <w:noProof/>
              </w:rPr>
              <w:t>Safety</w:t>
            </w:r>
            <w:r>
              <w:rPr>
                <w:noProof/>
                <w:webHidden/>
              </w:rPr>
              <w:tab/>
            </w:r>
            <w:r>
              <w:rPr>
                <w:noProof/>
                <w:webHidden/>
              </w:rPr>
              <w:fldChar w:fldCharType="begin"/>
            </w:r>
            <w:r>
              <w:rPr>
                <w:noProof/>
                <w:webHidden/>
              </w:rPr>
              <w:instrText xml:space="preserve"> PAGEREF _Toc433315346 \h </w:instrText>
            </w:r>
            <w:r>
              <w:rPr>
                <w:noProof/>
                <w:webHidden/>
              </w:rPr>
            </w:r>
            <w:r>
              <w:rPr>
                <w:noProof/>
                <w:webHidden/>
              </w:rPr>
              <w:fldChar w:fldCharType="separate"/>
            </w:r>
            <w:r>
              <w:rPr>
                <w:noProof/>
                <w:webHidden/>
              </w:rPr>
              <w:t>45</w:t>
            </w:r>
            <w:r>
              <w:rPr>
                <w:noProof/>
                <w:webHidden/>
              </w:rPr>
              <w:fldChar w:fldCharType="end"/>
            </w:r>
          </w:hyperlink>
        </w:p>
        <w:p w:rsidR="00FA2001" w:rsidRDefault="00FA2001">
          <w:pPr>
            <w:pStyle w:val="TOC2"/>
            <w:tabs>
              <w:tab w:val="left" w:pos="1320"/>
            </w:tabs>
            <w:rPr>
              <w:rFonts w:asciiTheme="minorHAnsi" w:eastAsiaTheme="minorEastAsia" w:hAnsiTheme="minorHAnsi" w:cstheme="minorBidi"/>
              <w:b w:val="0"/>
              <w:noProof/>
              <w:sz w:val="22"/>
              <w:lang w:eastAsia="en-AU"/>
            </w:rPr>
          </w:pPr>
          <w:hyperlink w:anchor="_Toc433315347" w:history="1">
            <w:r w:rsidRPr="005D4B4B">
              <w:rPr>
                <w:rStyle w:val="Hyperlink"/>
                <w:noProof/>
              </w:rPr>
              <w:t>12.</w:t>
            </w:r>
            <w:r>
              <w:rPr>
                <w:rFonts w:asciiTheme="minorHAnsi" w:eastAsiaTheme="minorEastAsia" w:hAnsiTheme="minorHAnsi" w:cstheme="minorBidi"/>
                <w:b w:val="0"/>
                <w:noProof/>
                <w:sz w:val="22"/>
                <w:lang w:eastAsia="en-AU"/>
              </w:rPr>
              <w:tab/>
            </w:r>
            <w:r w:rsidRPr="005D4B4B">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_Toc433315347 \h </w:instrText>
            </w:r>
            <w:r>
              <w:rPr>
                <w:noProof/>
                <w:webHidden/>
              </w:rPr>
            </w:r>
            <w:r>
              <w:rPr>
                <w:noProof/>
                <w:webHidden/>
              </w:rPr>
              <w:fldChar w:fldCharType="separate"/>
            </w:r>
            <w:r>
              <w:rPr>
                <w:noProof/>
                <w:webHidden/>
              </w:rPr>
              <w:t>46</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48" w:history="1">
            <w:r w:rsidRPr="005D4B4B">
              <w:rPr>
                <w:rStyle w:val="Hyperlink"/>
                <w:noProof/>
              </w:rPr>
              <w:t>12.1.</w:t>
            </w:r>
            <w:r>
              <w:rPr>
                <w:rFonts w:asciiTheme="minorHAnsi" w:eastAsiaTheme="minorEastAsia" w:hAnsiTheme="minorHAnsi" w:cstheme="minorBidi"/>
                <w:noProof/>
                <w:lang w:eastAsia="en-AU"/>
              </w:rPr>
              <w:tab/>
            </w:r>
            <w:r w:rsidRPr="005D4B4B">
              <w:rPr>
                <w:rStyle w:val="Hyperlink"/>
                <w:noProof/>
              </w:rPr>
              <w:t>Pharmacokinetics</w:t>
            </w:r>
            <w:r>
              <w:rPr>
                <w:noProof/>
                <w:webHidden/>
              </w:rPr>
              <w:tab/>
            </w:r>
            <w:r>
              <w:rPr>
                <w:noProof/>
                <w:webHidden/>
              </w:rPr>
              <w:fldChar w:fldCharType="begin"/>
            </w:r>
            <w:r>
              <w:rPr>
                <w:noProof/>
                <w:webHidden/>
              </w:rPr>
              <w:instrText xml:space="preserve"> PAGEREF _Toc433315348 \h </w:instrText>
            </w:r>
            <w:r>
              <w:rPr>
                <w:noProof/>
                <w:webHidden/>
              </w:rPr>
            </w:r>
            <w:r>
              <w:rPr>
                <w:noProof/>
                <w:webHidden/>
              </w:rPr>
              <w:fldChar w:fldCharType="separate"/>
            </w:r>
            <w:r>
              <w:rPr>
                <w:noProof/>
                <w:webHidden/>
              </w:rPr>
              <w:t>46</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49" w:history="1">
            <w:r w:rsidRPr="005D4B4B">
              <w:rPr>
                <w:rStyle w:val="Hyperlink"/>
                <w:noProof/>
              </w:rPr>
              <w:t>12.2.</w:t>
            </w:r>
            <w:r>
              <w:rPr>
                <w:rFonts w:asciiTheme="minorHAnsi" w:eastAsiaTheme="minorEastAsia" w:hAnsiTheme="minorHAnsi" w:cstheme="minorBidi"/>
                <w:noProof/>
                <w:lang w:eastAsia="en-AU"/>
              </w:rPr>
              <w:tab/>
            </w:r>
            <w:r w:rsidRPr="005D4B4B">
              <w:rPr>
                <w:rStyle w:val="Hyperlink"/>
                <w:noProof/>
              </w:rPr>
              <w:t>Efficacy</w:t>
            </w:r>
            <w:r>
              <w:rPr>
                <w:noProof/>
                <w:webHidden/>
              </w:rPr>
              <w:tab/>
            </w:r>
            <w:r>
              <w:rPr>
                <w:noProof/>
                <w:webHidden/>
              </w:rPr>
              <w:fldChar w:fldCharType="begin"/>
            </w:r>
            <w:r>
              <w:rPr>
                <w:noProof/>
                <w:webHidden/>
              </w:rPr>
              <w:instrText xml:space="preserve"> PAGEREF _Toc433315349 \h </w:instrText>
            </w:r>
            <w:r>
              <w:rPr>
                <w:noProof/>
                <w:webHidden/>
              </w:rPr>
            </w:r>
            <w:r>
              <w:rPr>
                <w:noProof/>
                <w:webHidden/>
              </w:rPr>
              <w:fldChar w:fldCharType="separate"/>
            </w:r>
            <w:r>
              <w:rPr>
                <w:noProof/>
                <w:webHidden/>
              </w:rPr>
              <w:t>46</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50" w:history="1">
            <w:r w:rsidRPr="005D4B4B">
              <w:rPr>
                <w:rStyle w:val="Hyperlink"/>
                <w:noProof/>
              </w:rPr>
              <w:t>12.3.</w:t>
            </w:r>
            <w:r>
              <w:rPr>
                <w:rFonts w:asciiTheme="minorHAnsi" w:eastAsiaTheme="minorEastAsia" w:hAnsiTheme="minorHAnsi" w:cstheme="minorBidi"/>
                <w:noProof/>
                <w:lang w:eastAsia="en-AU"/>
              </w:rPr>
              <w:tab/>
            </w:r>
            <w:r w:rsidRPr="005D4B4B">
              <w:rPr>
                <w:rStyle w:val="Hyperlink"/>
                <w:noProof/>
              </w:rPr>
              <w:t>Safety</w:t>
            </w:r>
            <w:r>
              <w:rPr>
                <w:noProof/>
                <w:webHidden/>
              </w:rPr>
              <w:tab/>
            </w:r>
            <w:r>
              <w:rPr>
                <w:noProof/>
                <w:webHidden/>
              </w:rPr>
              <w:fldChar w:fldCharType="begin"/>
            </w:r>
            <w:r>
              <w:rPr>
                <w:noProof/>
                <w:webHidden/>
              </w:rPr>
              <w:instrText xml:space="preserve"> PAGEREF _Toc433315350 \h </w:instrText>
            </w:r>
            <w:r>
              <w:rPr>
                <w:noProof/>
                <w:webHidden/>
              </w:rPr>
            </w:r>
            <w:r>
              <w:rPr>
                <w:noProof/>
                <w:webHidden/>
              </w:rPr>
              <w:fldChar w:fldCharType="separate"/>
            </w:r>
            <w:r>
              <w:rPr>
                <w:noProof/>
                <w:webHidden/>
              </w:rPr>
              <w:t>49</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51" w:history="1">
            <w:r w:rsidRPr="005D4B4B">
              <w:rPr>
                <w:rStyle w:val="Hyperlink"/>
                <w:noProof/>
              </w:rPr>
              <w:t>12.4.</w:t>
            </w:r>
            <w:r>
              <w:rPr>
                <w:rFonts w:asciiTheme="minorHAnsi" w:eastAsiaTheme="minorEastAsia" w:hAnsiTheme="minorHAnsi" w:cstheme="minorBidi"/>
                <w:noProof/>
                <w:lang w:eastAsia="en-AU"/>
              </w:rPr>
              <w:tab/>
            </w:r>
            <w:r w:rsidRPr="005D4B4B">
              <w:rPr>
                <w:rStyle w:val="Hyperlink"/>
                <w:noProof/>
              </w:rPr>
              <w:t>Indication</w:t>
            </w:r>
            <w:r>
              <w:rPr>
                <w:noProof/>
                <w:webHidden/>
              </w:rPr>
              <w:tab/>
            </w:r>
            <w:r>
              <w:rPr>
                <w:noProof/>
                <w:webHidden/>
              </w:rPr>
              <w:fldChar w:fldCharType="begin"/>
            </w:r>
            <w:r>
              <w:rPr>
                <w:noProof/>
                <w:webHidden/>
              </w:rPr>
              <w:instrText xml:space="preserve"> PAGEREF _Toc433315351 \h </w:instrText>
            </w:r>
            <w:r>
              <w:rPr>
                <w:noProof/>
                <w:webHidden/>
              </w:rPr>
            </w:r>
            <w:r>
              <w:rPr>
                <w:noProof/>
                <w:webHidden/>
              </w:rPr>
              <w:fldChar w:fldCharType="separate"/>
            </w:r>
            <w:r>
              <w:rPr>
                <w:noProof/>
                <w:webHidden/>
              </w:rPr>
              <w:t>50</w:t>
            </w:r>
            <w:r>
              <w:rPr>
                <w:noProof/>
                <w:webHidden/>
              </w:rPr>
              <w:fldChar w:fldCharType="end"/>
            </w:r>
          </w:hyperlink>
        </w:p>
        <w:p w:rsidR="00FA2001" w:rsidRDefault="00FA2001">
          <w:pPr>
            <w:pStyle w:val="TOC2"/>
            <w:tabs>
              <w:tab w:val="left" w:pos="1320"/>
            </w:tabs>
            <w:rPr>
              <w:rFonts w:asciiTheme="minorHAnsi" w:eastAsiaTheme="minorEastAsia" w:hAnsiTheme="minorHAnsi" w:cstheme="minorBidi"/>
              <w:b w:val="0"/>
              <w:noProof/>
              <w:sz w:val="22"/>
              <w:lang w:eastAsia="en-AU"/>
            </w:rPr>
          </w:pPr>
          <w:hyperlink w:anchor="_Toc433315352" w:history="1">
            <w:r w:rsidRPr="005D4B4B">
              <w:rPr>
                <w:rStyle w:val="Hyperlink"/>
                <w:noProof/>
              </w:rPr>
              <w:t>13.</w:t>
            </w:r>
            <w:r>
              <w:rPr>
                <w:rFonts w:asciiTheme="minorHAnsi" w:eastAsiaTheme="minorEastAsia" w:hAnsiTheme="minorHAnsi" w:cstheme="minorBidi"/>
                <w:b w:val="0"/>
                <w:noProof/>
                <w:sz w:val="22"/>
                <w:lang w:eastAsia="en-AU"/>
              </w:rPr>
              <w:tab/>
            </w:r>
            <w:r w:rsidRPr="005D4B4B">
              <w:rPr>
                <w:rStyle w:val="Hyperlink"/>
                <w:noProof/>
              </w:rPr>
              <w:t>Second round benefit-risk assessment</w:t>
            </w:r>
            <w:r>
              <w:rPr>
                <w:noProof/>
                <w:webHidden/>
              </w:rPr>
              <w:tab/>
            </w:r>
            <w:r>
              <w:rPr>
                <w:noProof/>
                <w:webHidden/>
              </w:rPr>
              <w:fldChar w:fldCharType="begin"/>
            </w:r>
            <w:r>
              <w:rPr>
                <w:noProof/>
                <w:webHidden/>
              </w:rPr>
              <w:instrText xml:space="preserve"> PAGEREF _Toc433315352 \h </w:instrText>
            </w:r>
            <w:r>
              <w:rPr>
                <w:noProof/>
                <w:webHidden/>
              </w:rPr>
            </w:r>
            <w:r>
              <w:rPr>
                <w:noProof/>
                <w:webHidden/>
              </w:rPr>
              <w:fldChar w:fldCharType="separate"/>
            </w:r>
            <w:r>
              <w:rPr>
                <w:noProof/>
                <w:webHidden/>
              </w:rPr>
              <w:t>52</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53" w:history="1">
            <w:r w:rsidRPr="005D4B4B">
              <w:rPr>
                <w:rStyle w:val="Hyperlink"/>
                <w:noProof/>
              </w:rPr>
              <w:t>13.1.</w:t>
            </w:r>
            <w:r>
              <w:rPr>
                <w:rFonts w:asciiTheme="minorHAnsi" w:eastAsiaTheme="minorEastAsia" w:hAnsiTheme="minorHAnsi" w:cstheme="minorBidi"/>
                <w:noProof/>
                <w:lang w:eastAsia="en-AU"/>
              </w:rPr>
              <w:tab/>
            </w:r>
            <w:r w:rsidRPr="005D4B4B">
              <w:rPr>
                <w:rStyle w:val="Hyperlink"/>
                <w:noProof/>
              </w:rPr>
              <w:t>Second round assessment of benefits</w:t>
            </w:r>
            <w:r>
              <w:rPr>
                <w:noProof/>
                <w:webHidden/>
              </w:rPr>
              <w:tab/>
            </w:r>
            <w:r>
              <w:rPr>
                <w:noProof/>
                <w:webHidden/>
              </w:rPr>
              <w:fldChar w:fldCharType="begin"/>
            </w:r>
            <w:r>
              <w:rPr>
                <w:noProof/>
                <w:webHidden/>
              </w:rPr>
              <w:instrText xml:space="preserve"> PAGEREF _Toc433315353 \h </w:instrText>
            </w:r>
            <w:r>
              <w:rPr>
                <w:noProof/>
                <w:webHidden/>
              </w:rPr>
            </w:r>
            <w:r>
              <w:rPr>
                <w:noProof/>
                <w:webHidden/>
              </w:rPr>
              <w:fldChar w:fldCharType="separate"/>
            </w:r>
            <w:r>
              <w:rPr>
                <w:noProof/>
                <w:webHidden/>
              </w:rPr>
              <w:t>52</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54" w:history="1">
            <w:r w:rsidRPr="005D4B4B">
              <w:rPr>
                <w:rStyle w:val="Hyperlink"/>
                <w:noProof/>
              </w:rPr>
              <w:t>13.2.</w:t>
            </w:r>
            <w:r>
              <w:rPr>
                <w:rFonts w:asciiTheme="minorHAnsi" w:eastAsiaTheme="minorEastAsia" w:hAnsiTheme="minorHAnsi" w:cstheme="minorBidi"/>
                <w:noProof/>
                <w:lang w:eastAsia="en-AU"/>
              </w:rPr>
              <w:tab/>
            </w:r>
            <w:r w:rsidRPr="005D4B4B">
              <w:rPr>
                <w:rStyle w:val="Hyperlink"/>
                <w:noProof/>
              </w:rPr>
              <w:t>Second round assessment of risks</w:t>
            </w:r>
            <w:r>
              <w:rPr>
                <w:noProof/>
                <w:webHidden/>
              </w:rPr>
              <w:tab/>
            </w:r>
            <w:r>
              <w:rPr>
                <w:noProof/>
                <w:webHidden/>
              </w:rPr>
              <w:fldChar w:fldCharType="begin"/>
            </w:r>
            <w:r>
              <w:rPr>
                <w:noProof/>
                <w:webHidden/>
              </w:rPr>
              <w:instrText xml:space="preserve"> PAGEREF _Toc433315354 \h </w:instrText>
            </w:r>
            <w:r>
              <w:rPr>
                <w:noProof/>
                <w:webHidden/>
              </w:rPr>
            </w:r>
            <w:r>
              <w:rPr>
                <w:noProof/>
                <w:webHidden/>
              </w:rPr>
              <w:fldChar w:fldCharType="separate"/>
            </w:r>
            <w:r>
              <w:rPr>
                <w:noProof/>
                <w:webHidden/>
              </w:rPr>
              <w:t>52</w:t>
            </w:r>
            <w:r>
              <w:rPr>
                <w:noProof/>
                <w:webHidden/>
              </w:rPr>
              <w:fldChar w:fldCharType="end"/>
            </w:r>
          </w:hyperlink>
        </w:p>
        <w:p w:rsidR="00FA2001" w:rsidRDefault="00FA2001">
          <w:pPr>
            <w:pStyle w:val="TOC3"/>
            <w:tabs>
              <w:tab w:val="left" w:pos="1760"/>
            </w:tabs>
            <w:rPr>
              <w:rFonts w:asciiTheme="minorHAnsi" w:eastAsiaTheme="minorEastAsia" w:hAnsiTheme="minorHAnsi" w:cstheme="minorBidi"/>
              <w:noProof/>
              <w:lang w:eastAsia="en-AU"/>
            </w:rPr>
          </w:pPr>
          <w:hyperlink w:anchor="_Toc433315355" w:history="1">
            <w:r w:rsidRPr="005D4B4B">
              <w:rPr>
                <w:rStyle w:val="Hyperlink"/>
                <w:noProof/>
              </w:rPr>
              <w:t>13.3.</w:t>
            </w:r>
            <w:r>
              <w:rPr>
                <w:rFonts w:asciiTheme="minorHAnsi" w:eastAsiaTheme="minorEastAsia" w:hAnsiTheme="minorHAnsi" w:cstheme="minorBidi"/>
                <w:noProof/>
                <w:lang w:eastAsia="en-AU"/>
              </w:rPr>
              <w:tab/>
            </w:r>
            <w:r w:rsidRPr="005D4B4B">
              <w:rPr>
                <w:rStyle w:val="Hyperlink"/>
                <w:noProof/>
              </w:rPr>
              <w:t>Second round assessment of benefit-risk balance</w:t>
            </w:r>
            <w:r>
              <w:rPr>
                <w:noProof/>
                <w:webHidden/>
              </w:rPr>
              <w:tab/>
            </w:r>
            <w:r>
              <w:rPr>
                <w:noProof/>
                <w:webHidden/>
              </w:rPr>
              <w:fldChar w:fldCharType="begin"/>
            </w:r>
            <w:r>
              <w:rPr>
                <w:noProof/>
                <w:webHidden/>
              </w:rPr>
              <w:instrText xml:space="preserve"> PAGEREF _Toc433315355 \h </w:instrText>
            </w:r>
            <w:r>
              <w:rPr>
                <w:noProof/>
                <w:webHidden/>
              </w:rPr>
            </w:r>
            <w:r>
              <w:rPr>
                <w:noProof/>
                <w:webHidden/>
              </w:rPr>
              <w:fldChar w:fldCharType="separate"/>
            </w:r>
            <w:r>
              <w:rPr>
                <w:noProof/>
                <w:webHidden/>
              </w:rPr>
              <w:t>52</w:t>
            </w:r>
            <w:r>
              <w:rPr>
                <w:noProof/>
                <w:webHidden/>
              </w:rPr>
              <w:fldChar w:fldCharType="end"/>
            </w:r>
          </w:hyperlink>
        </w:p>
        <w:p w:rsidR="00FA2001" w:rsidRDefault="00FA2001">
          <w:pPr>
            <w:pStyle w:val="TOC2"/>
            <w:tabs>
              <w:tab w:val="left" w:pos="1320"/>
            </w:tabs>
            <w:rPr>
              <w:rFonts w:asciiTheme="minorHAnsi" w:eastAsiaTheme="minorEastAsia" w:hAnsiTheme="minorHAnsi" w:cstheme="minorBidi"/>
              <w:b w:val="0"/>
              <w:noProof/>
              <w:sz w:val="22"/>
              <w:lang w:eastAsia="en-AU"/>
            </w:rPr>
          </w:pPr>
          <w:hyperlink w:anchor="_Toc433315356" w:history="1">
            <w:r w:rsidRPr="005D4B4B">
              <w:rPr>
                <w:rStyle w:val="Hyperlink"/>
                <w:noProof/>
              </w:rPr>
              <w:t>14.</w:t>
            </w:r>
            <w:r>
              <w:rPr>
                <w:rFonts w:asciiTheme="minorHAnsi" w:eastAsiaTheme="minorEastAsia" w:hAnsiTheme="minorHAnsi" w:cstheme="minorBidi"/>
                <w:b w:val="0"/>
                <w:noProof/>
                <w:sz w:val="22"/>
                <w:lang w:eastAsia="en-AU"/>
              </w:rPr>
              <w:tab/>
            </w:r>
            <w:r w:rsidRPr="005D4B4B">
              <w:rPr>
                <w:rStyle w:val="Hyperlink"/>
                <w:noProof/>
              </w:rPr>
              <w:t>Second round recommendation regarding authorisation</w:t>
            </w:r>
            <w:r>
              <w:rPr>
                <w:noProof/>
                <w:webHidden/>
              </w:rPr>
              <w:tab/>
            </w:r>
            <w:r>
              <w:rPr>
                <w:noProof/>
                <w:webHidden/>
              </w:rPr>
              <w:fldChar w:fldCharType="begin"/>
            </w:r>
            <w:r>
              <w:rPr>
                <w:noProof/>
                <w:webHidden/>
              </w:rPr>
              <w:instrText xml:space="preserve"> PAGEREF _Toc433315356 \h </w:instrText>
            </w:r>
            <w:r>
              <w:rPr>
                <w:noProof/>
                <w:webHidden/>
              </w:rPr>
            </w:r>
            <w:r>
              <w:rPr>
                <w:noProof/>
                <w:webHidden/>
              </w:rPr>
              <w:fldChar w:fldCharType="separate"/>
            </w:r>
            <w:r>
              <w:rPr>
                <w:noProof/>
                <w:webHidden/>
              </w:rPr>
              <w:t>54</w:t>
            </w:r>
            <w:r>
              <w:rPr>
                <w:noProof/>
                <w:webHidden/>
              </w:rPr>
              <w:fldChar w:fldCharType="end"/>
            </w:r>
          </w:hyperlink>
        </w:p>
        <w:p w:rsidR="00FA2001" w:rsidRDefault="00FA2001">
          <w:pPr>
            <w:pStyle w:val="TOC2"/>
            <w:tabs>
              <w:tab w:val="left" w:pos="1320"/>
            </w:tabs>
            <w:rPr>
              <w:rFonts w:asciiTheme="minorHAnsi" w:eastAsiaTheme="minorEastAsia" w:hAnsiTheme="minorHAnsi" w:cstheme="minorBidi"/>
              <w:b w:val="0"/>
              <w:noProof/>
              <w:sz w:val="22"/>
              <w:lang w:eastAsia="en-AU"/>
            </w:rPr>
          </w:pPr>
          <w:hyperlink w:anchor="_Toc433315357" w:history="1">
            <w:r w:rsidRPr="005D4B4B">
              <w:rPr>
                <w:rStyle w:val="Hyperlink"/>
                <w:noProof/>
              </w:rPr>
              <w:t>15.</w:t>
            </w:r>
            <w:r>
              <w:rPr>
                <w:rFonts w:asciiTheme="minorHAnsi" w:eastAsiaTheme="minorEastAsia" w:hAnsiTheme="minorHAnsi" w:cstheme="minorBidi"/>
                <w:b w:val="0"/>
                <w:noProof/>
                <w:sz w:val="22"/>
                <w:lang w:eastAsia="en-AU"/>
              </w:rPr>
              <w:tab/>
            </w:r>
            <w:r w:rsidRPr="005D4B4B">
              <w:rPr>
                <w:rStyle w:val="Hyperlink"/>
                <w:noProof/>
              </w:rPr>
              <w:t>References</w:t>
            </w:r>
            <w:r>
              <w:rPr>
                <w:noProof/>
                <w:webHidden/>
              </w:rPr>
              <w:tab/>
            </w:r>
            <w:r>
              <w:rPr>
                <w:noProof/>
                <w:webHidden/>
              </w:rPr>
              <w:fldChar w:fldCharType="begin"/>
            </w:r>
            <w:r>
              <w:rPr>
                <w:noProof/>
                <w:webHidden/>
              </w:rPr>
              <w:instrText xml:space="preserve"> PAGEREF _Toc433315357 \h </w:instrText>
            </w:r>
            <w:r>
              <w:rPr>
                <w:noProof/>
                <w:webHidden/>
              </w:rPr>
            </w:r>
            <w:r>
              <w:rPr>
                <w:noProof/>
                <w:webHidden/>
              </w:rPr>
              <w:fldChar w:fldCharType="separate"/>
            </w:r>
            <w:r>
              <w:rPr>
                <w:noProof/>
                <w:webHidden/>
              </w:rPr>
              <w:t>55</w:t>
            </w:r>
            <w:r>
              <w:rPr>
                <w:noProof/>
                <w:webHidden/>
              </w:rPr>
              <w:fldChar w:fldCharType="end"/>
            </w:r>
          </w:hyperlink>
        </w:p>
        <w:p w:rsidR="003A7F6C" w:rsidRPr="00B811C6" w:rsidRDefault="004F4AF5" w:rsidP="002864A0">
          <w:pPr>
            <w:pStyle w:val="TOC2"/>
          </w:pPr>
          <w:r>
            <w:fldChar w:fldCharType="end"/>
          </w:r>
        </w:p>
      </w:sdtContent>
    </w:sdt>
    <w:bookmarkStart w:id="3" w:name="_Toc314842482" w:displacedByCustomXml="prev"/>
    <w:p w:rsidR="00586F98" w:rsidRDefault="00586F98" w:rsidP="002864A0">
      <w:pPr>
        <w:pStyle w:val="Heading2"/>
        <w:pageBreakBefore/>
        <w:numPr>
          <w:ilvl w:val="0"/>
          <w:numId w:val="0"/>
        </w:numPr>
        <w:tabs>
          <w:tab w:val="right" w:pos="9026"/>
        </w:tabs>
      </w:pPr>
      <w:bookmarkStart w:id="4" w:name="_Toc351716269"/>
      <w:bookmarkStart w:id="5" w:name="_Toc351718881"/>
      <w:bookmarkStart w:id="6" w:name="_Toc355338616"/>
      <w:bookmarkStart w:id="7" w:name="_Toc433315308"/>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2E42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AE</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Adverse Event</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ALT</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Alanine Aminotransferase</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ANCOVA</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Analysis of Covariance</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AS</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Ankylosing Spondylitis</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ASAS</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Assessment in Ankylosing Spondylitis</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ASDAS</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Ankylosing Spondylitis Disease Activity Score</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proofErr w:type="spellStart"/>
            <w:r>
              <w:rPr>
                <w:rFonts w:cs="TimesNewRoman"/>
                <w:szCs w:val="22"/>
                <w:lang w:eastAsia="zh-TW"/>
              </w:rPr>
              <w:t>ASspiMRI</w:t>
            </w:r>
            <w:proofErr w:type="spellEnd"/>
            <w:r>
              <w:rPr>
                <w:rFonts w:cs="TimesNewRoman"/>
                <w:szCs w:val="22"/>
                <w:lang w:eastAsia="zh-TW"/>
              </w:rPr>
              <w:t>-a</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Ankylosing Spondylitis spine MRI score for activity</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proofErr w:type="spellStart"/>
            <w:r>
              <w:rPr>
                <w:rFonts w:cs="TimesNewRoman"/>
                <w:szCs w:val="22"/>
                <w:lang w:eastAsia="zh-TW"/>
              </w:rPr>
              <w:t>ASQoL</w:t>
            </w:r>
            <w:proofErr w:type="spellEnd"/>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Ankylosing Spondylitis Quality of Life</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proofErr w:type="spellStart"/>
            <w:r>
              <w:rPr>
                <w:rFonts w:cs="TimesNewRoman"/>
                <w:szCs w:val="22"/>
                <w:lang w:eastAsia="zh-TW"/>
              </w:rPr>
              <w:t>ASspiMRI</w:t>
            </w:r>
            <w:proofErr w:type="spellEnd"/>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Ankylosing Spondylitis spine Magnetic Resonance Imaging</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proofErr w:type="spellStart"/>
            <w:r>
              <w:rPr>
                <w:rFonts w:cs="TimesNewRoman"/>
                <w:szCs w:val="22"/>
                <w:lang w:eastAsia="zh-TW"/>
              </w:rPr>
              <w:t>ASspiMRI</w:t>
            </w:r>
            <w:proofErr w:type="spellEnd"/>
            <w:r>
              <w:rPr>
                <w:rFonts w:cs="TimesNewRoman"/>
                <w:szCs w:val="22"/>
                <w:lang w:eastAsia="zh-TW"/>
              </w:rPr>
              <w:t>-a</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Ankylosing Spondylitis spine Magnetic Resonance Imaging-activity</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AS-WIS</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Ankylosing Spondylitis Work Instability Index</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AST</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Aspartate Aminotransferase</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proofErr w:type="spellStart"/>
            <w:r>
              <w:rPr>
                <w:rFonts w:cs="TimesNewRoman"/>
                <w:szCs w:val="22"/>
                <w:lang w:eastAsia="zh-TW"/>
              </w:rPr>
              <w:t>AxSpA</w:t>
            </w:r>
            <w:proofErr w:type="spellEnd"/>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 xml:space="preserve">Axial </w:t>
            </w:r>
            <w:proofErr w:type="spellStart"/>
            <w:r w:rsidRPr="00BE7FF7">
              <w:rPr>
                <w:rFonts w:cs="TimesNewRoman"/>
                <w:szCs w:val="22"/>
                <w:lang w:eastAsia="zh-TW"/>
              </w:rPr>
              <w:t>Spondyloarthritis</w:t>
            </w:r>
            <w:proofErr w:type="spellEnd"/>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BASDAI</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Bath Ankylosing Spondylitis Disease Activity Index</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BASFI</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Bath Ankylosing Spondylitis Functional Index</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BASMI</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Bath Ankylosing Spondylitis Metrology Index</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BAS-G</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Bath Ankylosing Spondylitis Patient Global Assessment Score</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BL</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Baseline</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BP</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Blood Pressure</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CMH</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Cochran-Mantel-</w:t>
            </w:r>
            <w:proofErr w:type="spellStart"/>
            <w:r w:rsidRPr="00BE7FF7">
              <w:rPr>
                <w:rFonts w:cs="TimesNewRoman"/>
                <w:szCs w:val="22"/>
                <w:lang w:eastAsia="zh-TW"/>
              </w:rPr>
              <w:t>Haenszel</w:t>
            </w:r>
            <w:proofErr w:type="spellEnd"/>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CRF</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Case Report Form</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DMARDs</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Disease-Modifying Anti-rheumatic Drugs</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DNA</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Deoxyribonucleic acid</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DVU</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proofErr w:type="spellStart"/>
            <w:r w:rsidRPr="00BE7FF7">
              <w:rPr>
                <w:rFonts w:cs="TimesNewRoman"/>
                <w:szCs w:val="22"/>
                <w:lang w:eastAsia="zh-TW"/>
              </w:rPr>
              <w:t>Discovertebral</w:t>
            </w:r>
            <w:proofErr w:type="spellEnd"/>
            <w:r w:rsidRPr="00BE7FF7">
              <w:rPr>
                <w:rFonts w:cs="TimesNewRoman"/>
                <w:szCs w:val="22"/>
                <w:lang w:eastAsia="zh-TW"/>
              </w:rPr>
              <w:t xml:space="preserve"> units</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lastRenderedPageBreak/>
              <w:t>EIU</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Exposure In Utero</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EMA</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European Medicines Agency</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ESR</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Erythrocyte Sedimentation Rate</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ETN</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proofErr w:type="spellStart"/>
            <w:r w:rsidRPr="00BE7FF7">
              <w:rPr>
                <w:rFonts w:cs="TimesNewRoman"/>
                <w:szCs w:val="22"/>
                <w:lang w:eastAsia="zh-TW"/>
              </w:rPr>
              <w:t>Etanercept</w:t>
            </w:r>
            <w:proofErr w:type="spellEnd"/>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EQ-5D</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proofErr w:type="spellStart"/>
            <w:r w:rsidRPr="00BE7FF7">
              <w:rPr>
                <w:rFonts w:cs="TimesNewRoman"/>
                <w:szCs w:val="22"/>
                <w:lang w:eastAsia="zh-TW"/>
              </w:rPr>
              <w:t>EuroQol</w:t>
            </w:r>
            <w:proofErr w:type="spellEnd"/>
            <w:r w:rsidRPr="00BE7FF7">
              <w:rPr>
                <w:rFonts w:cs="TimesNewRoman"/>
                <w:szCs w:val="22"/>
                <w:lang w:eastAsia="zh-TW"/>
              </w:rPr>
              <w:t xml:space="preserve"> EQ-5D Health State Profile</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FDA</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Food and Drug Administration</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F/U</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Follow-up</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GCP</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Good Clinical Practice</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GEE</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Generalized Estimating Equations</w:t>
            </w:r>
          </w:p>
        </w:tc>
      </w:tr>
      <w:tr w:rsidR="002E4213" w:rsidTr="002E4213">
        <w:tc>
          <w:tcPr>
            <w:cnfStyle w:val="001000000000" w:firstRow="0" w:lastRow="0" w:firstColumn="1" w:lastColumn="0" w:oddVBand="0" w:evenVBand="0" w:oddHBand="0" w:evenHBand="0" w:firstRowFirstColumn="0" w:firstRowLastColumn="0" w:lastRowFirstColumn="0" w:lastRowLastColumn="0"/>
            <w:tcW w:w="1890" w:type="dxa"/>
          </w:tcPr>
          <w:p w:rsidR="002E4213" w:rsidRPr="00BE7FF7" w:rsidRDefault="008A0A13" w:rsidP="00344796">
            <w:pPr>
              <w:autoSpaceDE w:val="0"/>
              <w:autoSpaceDN w:val="0"/>
              <w:adjustRightInd w:val="0"/>
              <w:rPr>
                <w:rFonts w:cs="TimesNewRoman"/>
                <w:szCs w:val="22"/>
                <w:lang w:eastAsia="zh-TW"/>
              </w:rPr>
            </w:pPr>
            <w:r>
              <w:rPr>
                <w:rFonts w:cs="TimesNewRoman"/>
                <w:szCs w:val="22"/>
                <w:lang w:eastAsia="zh-TW"/>
              </w:rPr>
              <w:t>HADS</w:t>
            </w:r>
          </w:p>
        </w:tc>
        <w:tc>
          <w:tcPr>
            <w:tcW w:w="6911" w:type="dxa"/>
          </w:tcPr>
          <w:p w:rsidR="002E4213" w:rsidRPr="00BE7FF7" w:rsidRDefault="002E4213"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Hospital Anxiety and Depression Scale</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8A0A13" w:rsidP="00344796">
            <w:pPr>
              <w:autoSpaceDE w:val="0"/>
              <w:autoSpaceDN w:val="0"/>
              <w:adjustRightInd w:val="0"/>
              <w:rPr>
                <w:rFonts w:cs="TimesNewRoman"/>
                <w:szCs w:val="22"/>
                <w:lang w:eastAsia="zh-TW"/>
              </w:rPr>
            </w:pPr>
            <w:r>
              <w:rPr>
                <w:rFonts w:cs="TimesNewRoman"/>
                <w:szCs w:val="22"/>
                <w:lang w:eastAsia="zh-TW"/>
              </w:rPr>
              <w:t>HIV</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Human Immunodeficiency Virus</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8A0A13" w:rsidP="00344796">
            <w:pPr>
              <w:autoSpaceDE w:val="0"/>
              <w:autoSpaceDN w:val="0"/>
              <w:adjustRightInd w:val="0"/>
              <w:rPr>
                <w:rFonts w:cs="TimesNewRoman"/>
                <w:szCs w:val="22"/>
                <w:lang w:eastAsia="zh-TW"/>
              </w:rPr>
            </w:pPr>
            <w:r>
              <w:rPr>
                <w:rFonts w:cs="TimesNewRoman"/>
                <w:szCs w:val="22"/>
                <w:lang w:eastAsia="zh-TW"/>
              </w:rPr>
              <w:t>HLA-B27</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Human Leukocyte Antigen B27</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8A0A13" w:rsidP="00344796">
            <w:pPr>
              <w:autoSpaceDE w:val="0"/>
              <w:autoSpaceDN w:val="0"/>
              <w:adjustRightInd w:val="0"/>
              <w:rPr>
                <w:rFonts w:cs="TimesNewRoman"/>
                <w:szCs w:val="22"/>
                <w:lang w:eastAsia="zh-TW"/>
              </w:rPr>
            </w:pPr>
            <w:proofErr w:type="spellStart"/>
            <w:r>
              <w:rPr>
                <w:rFonts w:cs="TimesNewRoman"/>
                <w:szCs w:val="22"/>
                <w:lang w:eastAsia="zh-TW"/>
              </w:rPr>
              <w:t>hsCRP</w:t>
            </w:r>
            <w:proofErr w:type="spellEnd"/>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High Sensitivity C-Reactive Protein</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8A0A13" w:rsidP="00344796">
            <w:pPr>
              <w:autoSpaceDE w:val="0"/>
              <w:autoSpaceDN w:val="0"/>
              <w:adjustRightInd w:val="0"/>
              <w:rPr>
                <w:rFonts w:cs="TimesNewRoman"/>
                <w:szCs w:val="22"/>
                <w:lang w:eastAsia="zh-TW"/>
              </w:rPr>
            </w:pPr>
            <w:r>
              <w:rPr>
                <w:rFonts w:cs="TimesNewRoman"/>
                <w:szCs w:val="22"/>
                <w:lang w:eastAsia="zh-TW"/>
              </w:rPr>
              <w:t>IBD</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Inflammatory Bowel Disease</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8A0A13" w:rsidP="00344796">
            <w:pPr>
              <w:autoSpaceDE w:val="0"/>
              <w:autoSpaceDN w:val="0"/>
              <w:adjustRightInd w:val="0"/>
              <w:rPr>
                <w:rFonts w:cs="TimesNewRoman"/>
                <w:szCs w:val="22"/>
                <w:lang w:eastAsia="zh-TW"/>
              </w:rPr>
            </w:pPr>
            <w:r>
              <w:rPr>
                <w:rFonts w:cs="TimesNewRoman"/>
                <w:szCs w:val="22"/>
                <w:lang w:eastAsia="zh-TW"/>
              </w:rPr>
              <w:t>ICF</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Informed Consent Form</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8A0A13" w:rsidP="00344796">
            <w:pPr>
              <w:autoSpaceDE w:val="0"/>
              <w:autoSpaceDN w:val="0"/>
              <w:adjustRightInd w:val="0"/>
              <w:rPr>
                <w:rFonts w:cs="TimesNewRoman"/>
                <w:szCs w:val="22"/>
                <w:lang w:eastAsia="zh-TW"/>
              </w:rPr>
            </w:pPr>
            <w:r>
              <w:rPr>
                <w:rFonts w:cs="TimesNewRoman"/>
                <w:szCs w:val="22"/>
                <w:lang w:eastAsia="zh-TW"/>
              </w:rPr>
              <w:t>ICH</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International Conference on Harmonisation</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8A0A13" w:rsidP="0034479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rPr>
                <w:rFonts w:cs="TimesNewRoman"/>
                <w:kern w:val="0"/>
                <w:szCs w:val="22"/>
                <w:lang w:eastAsia="zh-TW"/>
              </w:rPr>
            </w:pPr>
            <w:r>
              <w:rPr>
                <w:rFonts w:cs="TimesNewRoman"/>
                <w:kern w:val="0"/>
                <w:szCs w:val="22"/>
                <w:lang w:eastAsia="zh-TW"/>
              </w:rPr>
              <w:t>IEC</w:t>
            </w:r>
          </w:p>
        </w:tc>
        <w:tc>
          <w:tcPr>
            <w:tcW w:w="6911" w:type="dxa"/>
          </w:tcPr>
          <w:p w:rsidR="00D12096" w:rsidRPr="00BE7FF7" w:rsidRDefault="00D12096" w:rsidP="0034479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cnfStyle w:val="000000000000" w:firstRow="0" w:lastRow="0" w:firstColumn="0" w:lastColumn="0" w:oddVBand="0" w:evenVBand="0" w:oddHBand="0" w:evenHBand="0" w:firstRowFirstColumn="0" w:firstRowLastColumn="0" w:lastRowFirstColumn="0" w:lastRowLastColumn="0"/>
              <w:rPr>
                <w:rFonts w:cs="TimesNewRoman"/>
                <w:kern w:val="0"/>
                <w:szCs w:val="22"/>
                <w:lang w:eastAsia="zh-TW"/>
              </w:rPr>
            </w:pPr>
            <w:r w:rsidRPr="00BE7FF7">
              <w:rPr>
                <w:rFonts w:cs="TimesNewRoman"/>
                <w:kern w:val="0"/>
                <w:szCs w:val="22"/>
                <w:lang w:eastAsia="zh-TW"/>
              </w:rPr>
              <w:t>Independent Ethics Committee</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8A0A13" w:rsidP="00344796">
            <w:pPr>
              <w:autoSpaceDE w:val="0"/>
              <w:autoSpaceDN w:val="0"/>
              <w:adjustRightInd w:val="0"/>
              <w:rPr>
                <w:rFonts w:cs="TimesNewRoman"/>
                <w:szCs w:val="22"/>
                <w:lang w:eastAsia="zh-TW"/>
              </w:rPr>
            </w:pPr>
            <w:r>
              <w:rPr>
                <w:rFonts w:cs="TimesNewRoman"/>
                <w:szCs w:val="22"/>
                <w:lang w:eastAsia="zh-TW"/>
              </w:rPr>
              <w:t>IRB</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Institutional Review Board</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D12096" w:rsidP="00344796">
            <w:pPr>
              <w:autoSpaceDE w:val="0"/>
              <w:autoSpaceDN w:val="0"/>
              <w:adjustRightInd w:val="0"/>
              <w:rPr>
                <w:rFonts w:cs="TimesNewRoman"/>
                <w:szCs w:val="22"/>
                <w:lang w:eastAsia="zh-TW"/>
              </w:rPr>
            </w:pPr>
            <w:r w:rsidRPr="00BE7FF7">
              <w:rPr>
                <w:rFonts w:cs="TimesNewRoman"/>
                <w:szCs w:val="22"/>
                <w:lang w:eastAsia="zh-TW"/>
              </w:rPr>
              <w:t>IVRS</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Interactive Voice Response System</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8A0A13" w:rsidP="00344796">
            <w:pPr>
              <w:autoSpaceDE w:val="0"/>
              <w:autoSpaceDN w:val="0"/>
              <w:adjustRightInd w:val="0"/>
              <w:rPr>
                <w:rFonts w:cs="TimesNewRoman"/>
                <w:szCs w:val="22"/>
                <w:lang w:eastAsia="zh-TW"/>
              </w:rPr>
            </w:pPr>
            <w:r>
              <w:rPr>
                <w:rFonts w:cs="TimesNewRoman"/>
                <w:szCs w:val="22"/>
                <w:lang w:eastAsia="zh-TW"/>
              </w:rPr>
              <w:t>LOCF</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Last Observation Carried Forward</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8A0A13" w:rsidP="00344796">
            <w:pPr>
              <w:autoSpaceDE w:val="0"/>
              <w:autoSpaceDN w:val="0"/>
              <w:adjustRightInd w:val="0"/>
              <w:rPr>
                <w:rFonts w:cs="TimesNewRoman"/>
                <w:szCs w:val="22"/>
                <w:lang w:eastAsia="zh-TW"/>
              </w:rPr>
            </w:pPr>
            <w:r>
              <w:rPr>
                <w:rFonts w:cs="TimesNewRoman"/>
                <w:szCs w:val="22"/>
                <w:lang w:eastAsia="zh-TW"/>
              </w:rPr>
              <w:t>MASES</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 xml:space="preserve">Maastricht </w:t>
            </w:r>
            <w:proofErr w:type="spellStart"/>
            <w:r w:rsidRPr="00BE7FF7">
              <w:rPr>
                <w:rFonts w:cs="TimesNewRoman"/>
                <w:szCs w:val="22"/>
                <w:lang w:eastAsia="zh-TW"/>
              </w:rPr>
              <w:t>Anklyosing</w:t>
            </w:r>
            <w:proofErr w:type="spellEnd"/>
            <w:r w:rsidRPr="00BE7FF7">
              <w:rPr>
                <w:rFonts w:cs="TimesNewRoman"/>
                <w:szCs w:val="22"/>
                <w:lang w:eastAsia="zh-TW"/>
              </w:rPr>
              <w:t xml:space="preserve"> Spondylitis </w:t>
            </w:r>
            <w:proofErr w:type="spellStart"/>
            <w:r w:rsidRPr="00BE7FF7">
              <w:rPr>
                <w:rFonts w:cs="TimesNewRoman"/>
                <w:szCs w:val="22"/>
                <w:lang w:eastAsia="zh-TW"/>
              </w:rPr>
              <w:t>Entheses</w:t>
            </w:r>
            <w:proofErr w:type="spellEnd"/>
            <w:r w:rsidRPr="00BE7FF7">
              <w:rPr>
                <w:rFonts w:cs="TimesNewRoman"/>
                <w:szCs w:val="22"/>
                <w:lang w:eastAsia="zh-TW"/>
              </w:rPr>
              <w:t xml:space="preserve"> Score</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8A0A13" w:rsidP="00344796">
            <w:pPr>
              <w:autoSpaceDE w:val="0"/>
              <w:autoSpaceDN w:val="0"/>
              <w:adjustRightInd w:val="0"/>
              <w:rPr>
                <w:rFonts w:cs="TimesNewRoman"/>
                <w:szCs w:val="22"/>
                <w:lang w:eastAsia="zh-TW"/>
              </w:rPr>
            </w:pPr>
            <w:r>
              <w:rPr>
                <w:rFonts w:cs="TimesNewRoman"/>
                <w:szCs w:val="22"/>
                <w:lang w:eastAsia="zh-TW"/>
              </w:rPr>
              <w:t>MCII</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Minimum Clinically Important Improvement</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8A0A13" w:rsidP="00344796">
            <w:pPr>
              <w:autoSpaceDE w:val="0"/>
              <w:autoSpaceDN w:val="0"/>
              <w:adjustRightInd w:val="0"/>
              <w:rPr>
                <w:rFonts w:cs="TimesNewRoman"/>
                <w:szCs w:val="22"/>
                <w:lang w:eastAsia="zh-TW"/>
              </w:rPr>
            </w:pPr>
            <w:r>
              <w:rPr>
                <w:rFonts w:cs="TimesNewRoman"/>
                <w:szCs w:val="22"/>
                <w:lang w:eastAsia="zh-TW"/>
              </w:rPr>
              <w:t>MCS</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Mental Component Score</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8A0A13" w:rsidP="00344796">
            <w:pPr>
              <w:autoSpaceDE w:val="0"/>
              <w:autoSpaceDN w:val="0"/>
              <w:adjustRightInd w:val="0"/>
              <w:rPr>
                <w:rFonts w:cs="TimesNewRoman"/>
                <w:szCs w:val="22"/>
                <w:lang w:eastAsia="zh-TW"/>
              </w:rPr>
            </w:pPr>
            <w:r>
              <w:rPr>
                <w:rFonts w:cs="TimesNewRoman"/>
                <w:szCs w:val="22"/>
                <w:lang w:eastAsia="zh-TW"/>
              </w:rPr>
              <w:t>MFI</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Multidimensional Fatigue Inventory</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8A0A13" w:rsidP="00344796">
            <w:pPr>
              <w:autoSpaceDE w:val="0"/>
              <w:autoSpaceDN w:val="0"/>
              <w:adjustRightInd w:val="0"/>
              <w:rPr>
                <w:rFonts w:cs="TimesNewRoman"/>
                <w:szCs w:val="22"/>
                <w:lang w:eastAsia="zh-TW"/>
              </w:rPr>
            </w:pPr>
            <w:proofErr w:type="spellStart"/>
            <w:r>
              <w:rPr>
                <w:rFonts w:cs="TimesNewRoman"/>
                <w:szCs w:val="22"/>
                <w:lang w:eastAsia="zh-TW"/>
              </w:rPr>
              <w:t>mITT</w:t>
            </w:r>
            <w:proofErr w:type="spellEnd"/>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Modified Intent-to-Treat</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8A0A13" w:rsidP="00344796">
            <w:pPr>
              <w:autoSpaceDE w:val="0"/>
              <w:autoSpaceDN w:val="0"/>
              <w:adjustRightInd w:val="0"/>
              <w:rPr>
                <w:rFonts w:cs="TimesNewRoman"/>
                <w:szCs w:val="22"/>
                <w:lang w:eastAsia="zh-TW"/>
              </w:rPr>
            </w:pPr>
            <w:r>
              <w:rPr>
                <w:rFonts w:cs="TimesNewRoman"/>
                <w:szCs w:val="22"/>
                <w:lang w:eastAsia="zh-TW"/>
              </w:rPr>
              <w:t>MOS</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Medical Outcomes Study (MOS) Sleep Scale</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lastRenderedPageBreak/>
              <w:t>MRI</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Magnetic Resonance Imaging</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proofErr w:type="spellStart"/>
            <w:r>
              <w:rPr>
                <w:rFonts w:cs="TimesNewRoman"/>
                <w:szCs w:val="22"/>
                <w:lang w:eastAsia="zh-TW"/>
              </w:rPr>
              <w:t>mSASSS</w:t>
            </w:r>
            <w:proofErr w:type="spellEnd"/>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Modified Stoke Ankylosing Spondylitis Spine Score</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NA</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Not Assessed</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nr-</w:t>
            </w:r>
            <w:proofErr w:type="spellStart"/>
            <w:r>
              <w:rPr>
                <w:rFonts w:cs="TimesNewRoman"/>
                <w:szCs w:val="22"/>
                <w:lang w:eastAsia="zh-TW"/>
              </w:rPr>
              <w:t>AxSpA</w:t>
            </w:r>
            <w:proofErr w:type="spellEnd"/>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 xml:space="preserve">Non-radiographic Axial </w:t>
            </w:r>
            <w:proofErr w:type="spellStart"/>
            <w:r w:rsidRPr="00BE7FF7">
              <w:rPr>
                <w:rFonts w:cs="TimesNewRoman"/>
                <w:szCs w:val="22"/>
                <w:lang w:eastAsia="zh-TW"/>
              </w:rPr>
              <w:t>Spondyloarthritis</w:t>
            </w:r>
            <w:proofErr w:type="spellEnd"/>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NSAIDs</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Nonsteroidal Anti-Inflammatory Drugs</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NY</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New York</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PASS</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Patient Acceptable Symptom State</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PBO</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Placebo</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PCS</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Physical Component Score</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PGA</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Physician Global Assessment</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PPD</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Purified protein derivative</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RA</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Rheumatoid Arthritis</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RASSS</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Radiographic Ankylosing Spondylitis Spine Score</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RNA</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Ribonucleic acid</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SAE</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Serious Adverse Event</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SAP</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Statistical Analysis Plan</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SC</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Subcutaneously</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SD</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Standard Deviation</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SE</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Standard Error</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SF-36</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36-Item Short-Form Health Survey</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SI</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Sacroiliac</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proofErr w:type="spellStart"/>
            <w:r>
              <w:rPr>
                <w:rFonts w:cs="TimesNewRoman"/>
                <w:szCs w:val="22"/>
                <w:lang w:eastAsia="zh-TW"/>
              </w:rPr>
              <w:t>SpA</w:t>
            </w:r>
            <w:proofErr w:type="spellEnd"/>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proofErr w:type="spellStart"/>
            <w:r w:rsidRPr="00BE7FF7">
              <w:rPr>
                <w:rFonts w:cs="TimesNewRoman"/>
                <w:szCs w:val="22"/>
                <w:lang w:eastAsia="zh-TW"/>
              </w:rPr>
              <w:t>Spondyloarthritis</w:t>
            </w:r>
            <w:proofErr w:type="spellEnd"/>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SPARCC</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proofErr w:type="spellStart"/>
            <w:r w:rsidRPr="00BE7FF7">
              <w:rPr>
                <w:rFonts w:cs="TimesNewRoman"/>
                <w:szCs w:val="22"/>
                <w:lang w:eastAsia="zh-TW"/>
              </w:rPr>
              <w:t>Spondyloarthritis</w:t>
            </w:r>
            <w:proofErr w:type="spellEnd"/>
            <w:r w:rsidRPr="00BE7FF7">
              <w:rPr>
                <w:rFonts w:cs="TimesNewRoman"/>
                <w:szCs w:val="22"/>
                <w:lang w:eastAsia="zh-TW"/>
              </w:rPr>
              <w:t xml:space="preserve"> Research Consortium of Canada</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344796">
            <w:pPr>
              <w:autoSpaceDE w:val="0"/>
              <w:autoSpaceDN w:val="0"/>
              <w:adjustRightInd w:val="0"/>
              <w:rPr>
                <w:rFonts w:cs="TimesNewRoman"/>
                <w:szCs w:val="22"/>
                <w:lang w:eastAsia="zh-TW"/>
              </w:rPr>
            </w:pPr>
            <w:r>
              <w:rPr>
                <w:rFonts w:cs="TimesNewRoman"/>
                <w:szCs w:val="22"/>
                <w:lang w:eastAsia="zh-TW"/>
              </w:rPr>
              <w:t>TB</w:t>
            </w:r>
          </w:p>
        </w:tc>
        <w:tc>
          <w:tcPr>
            <w:tcW w:w="6911" w:type="dxa"/>
          </w:tcPr>
          <w:p w:rsidR="00D12096" w:rsidRPr="00BE7FF7" w:rsidRDefault="00D12096" w:rsidP="003447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E7FF7">
              <w:rPr>
                <w:rFonts w:cs="TimesNewRoman"/>
                <w:szCs w:val="22"/>
                <w:lang w:eastAsia="zh-TW"/>
              </w:rPr>
              <w:t>Tuberculosis</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37520F" w:rsidP="006A7E9B">
            <w:pPr>
              <w:rPr>
                <w:lang w:eastAsia="zh-TW"/>
              </w:rPr>
            </w:pPr>
            <w:r>
              <w:rPr>
                <w:lang w:eastAsia="zh-TW"/>
              </w:rPr>
              <w:t>TNFα</w:t>
            </w:r>
          </w:p>
        </w:tc>
        <w:tc>
          <w:tcPr>
            <w:tcW w:w="6911" w:type="dxa"/>
          </w:tcPr>
          <w:p w:rsidR="00D12096" w:rsidRPr="00BE7FF7" w:rsidRDefault="00D12096" w:rsidP="006A7E9B">
            <w:pPr>
              <w:cnfStyle w:val="000000000000" w:firstRow="0" w:lastRow="0" w:firstColumn="0" w:lastColumn="0" w:oddVBand="0" w:evenVBand="0" w:oddHBand="0" w:evenHBand="0" w:firstRowFirstColumn="0" w:firstRowLastColumn="0" w:lastRowFirstColumn="0" w:lastRowLastColumn="0"/>
              <w:rPr>
                <w:lang w:eastAsia="zh-TW"/>
              </w:rPr>
            </w:pPr>
            <w:proofErr w:type="spellStart"/>
            <w:r w:rsidRPr="00BE7FF7">
              <w:rPr>
                <w:lang w:eastAsia="zh-TW"/>
              </w:rPr>
              <w:t>Tumor</w:t>
            </w:r>
            <w:proofErr w:type="spellEnd"/>
            <w:r w:rsidRPr="00BE7FF7">
              <w:rPr>
                <w:lang w:eastAsia="zh-TW"/>
              </w:rPr>
              <w:t xml:space="preserve"> Necrosis Factor alpha</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7532D8" w:rsidP="006A7E9B">
            <w:pPr>
              <w:rPr>
                <w:lang w:eastAsia="zh-TW"/>
              </w:rPr>
            </w:pPr>
            <w:r>
              <w:rPr>
                <w:lang w:eastAsia="zh-TW"/>
              </w:rPr>
              <w:lastRenderedPageBreak/>
              <w:t>TNF</w:t>
            </w:r>
          </w:p>
        </w:tc>
        <w:tc>
          <w:tcPr>
            <w:tcW w:w="6911" w:type="dxa"/>
          </w:tcPr>
          <w:p w:rsidR="00D12096" w:rsidRPr="00BE7FF7" w:rsidRDefault="00D12096" w:rsidP="006A7E9B">
            <w:pPr>
              <w:cnfStyle w:val="000000000000" w:firstRow="0" w:lastRow="0" w:firstColumn="0" w:lastColumn="0" w:oddVBand="0" w:evenVBand="0" w:oddHBand="0" w:evenHBand="0" w:firstRowFirstColumn="0" w:firstRowLastColumn="0" w:lastRowFirstColumn="0" w:lastRowLastColumn="0"/>
              <w:rPr>
                <w:lang w:eastAsia="zh-TW"/>
              </w:rPr>
            </w:pPr>
            <w:proofErr w:type="spellStart"/>
            <w:r w:rsidRPr="00BE7FF7">
              <w:rPr>
                <w:lang w:eastAsia="zh-TW"/>
              </w:rPr>
              <w:t>Tumor</w:t>
            </w:r>
            <w:proofErr w:type="spellEnd"/>
            <w:r w:rsidRPr="00BE7FF7">
              <w:rPr>
                <w:lang w:eastAsia="zh-TW"/>
              </w:rPr>
              <w:t xml:space="preserve"> Necrosis Factor</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7532D8" w:rsidP="006A7E9B">
            <w:pPr>
              <w:rPr>
                <w:lang w:eastAsia="zh-TW"/>
              </w:rPr>
            </w:pPr>
            <w:r>
              <w:rPr>
                <w:lang w:eastAsia="zh-TW"/>
              </w:rPr>
              <w:t>ULN</w:t>
            </w:r>
          </w:p>
        </w:tc>
        <w:tc>
          <w:tcPr>
            <w:tcW w:w="6911" w:type="dxa"/>
          </w:tcPr>
          <w:p w:rsidR="00D12096" w:rsidRPr="00BE7FF7" w:rsidRDefault="00D12096" w:rsidP="006A7E9B">
            <w:pPr>
              <w:cnfStyle w:val="000000000000" w:firstRow="0" w:lastRow="0" w:firstColumn="0" w:lastColumn="0" w:oddVBand="0" w:evenVBand="0" w:oddHBand="0" w:evenHBand="0" w:firstRowFirstColumn="0" w:firstRowLastColumn="0" w:lastRowFirstColumn="0" w:lastRowLastColumn="0"/>
              <w:rPr>
                <w:lang w:eastAsia="zh-TW"/>
              </w:rPr>
            </w:pPr>
            <w:r w:rsidRPr="00BE7FF7">
              <w:rPr>
                <w:lang w:eastAsia="zh-TW"/>
              </w:rPr>
              <w:t>Upper Limit of Normal</w:t>
            </w:r>
          </w:p>
        </w:tc>
      </w:tr>
      <w:tr w:rsidR="00D12096" w:rsidTr="002E4213">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7532D8" w:rsidP="006A7E9B">
            <w:pPr>
              <w:rPr>
                <w:lang w:eastAsia="zh-TW"/>
              </w:rPr>
            </w:pPr>
            <w:r>
              <w:rPr>
                <w:lang w:eastAsia="zh-TW"/>
              </w:rPr>
              <w:t>WPAI</w:t>
            </w:r>
          </w:p>
        </w:tc>
        <w:tc>
          <w:tcPr>
            <w:tcW w:w="6911" w:type="dxa"/>
          </w:tcPr>
          <w:p w:rsidR="00D12096" w:rsidRPr="00BE7FF7" w:rsidRDefault="00D12096" w:rsidP="006A7E9B">
            <w:pPr>
              <w:cnfStyle w:val="000000000000" w:firstRow="0" w:lastRow="0" w:firstColumn="0" w:lastColumn="0" w:oddVBand="0" w:evenVBand="0" w:oddHBand="0" w:evenHBand="0" w:firstRowFirstColumn="0" w:firstRowLastColumn="0" w:lastRowFirstColumn="0" w:lastRowLastColumn="0"/>
              <w:rPr>
                <w:lang w:eastAsia="zh-TW"/>
              </w:rPr>
            </w:pPr>
            <w:r w:rsidRPr="00BE7FF7">
              <w:rPr>
                <w:lang w:eastAsia="zh-TW"/>
              </w:rPr>
              <w:t>Work Productivity and Activity Impairment Questionnaire</w:t>
            </w:r>
          </w:p>
        </w:tc>
      </w:tr>
      <w:tr w:rsidR="00D12096" w:rsidTr="006A7E9B">
        <w:trPr>
          <w:trHeight w:val="397"/>
        </w:trPr>
        <w:tc>
          <w:tcPr>
            <w:cnfStyle w:val="001000000000" w:firstRow="0" w:lastRow="0" w:firstColumn="1" w:lastColumn="0" w:oddVBand="0" w:evenVBand="0" w:oddHBand="0" w:evenHBand="0" w:firstRowFirstColumn="0" w:firstRowLastColumn="0" w:lastRowFirstColumn="0" w:lastRowLastColumn="0"/>
            <w:tcW w:w="1890" w:type="dxa"/>
          </w:tcPr>
          <w:p w:rsidR="00D12096" w:rsidRPr="00BE7FF7" w:rsidRDefault="007532D8" w:rsidP="006A7E9B">
            <w:pPr>
              <w:rPr>
                <w:lang w:eastAsia="zh-TW"/>
              </w:rPr>
            </w:pPr>
            <w:r>
              <w:rPr>
                <w:lang w:eastAsia="zh-TW"/>
              </w:rPr>
              <w:t>VAS</w:t>
            </w:r>
          </w:p>
        </w:tc>
        <w:tc>
          <w:tcPr>
            <w:tcW w:w="6911" w:type="dxa"/>
          </w:tcPr>
          <w:p w:rsidR="00D12096" w:rsidRPr="00BE7FF7" w:rsidRDefault="00D12096" w:rsidP="006A7E9B">
            <w:pPr>
              <w:cnfStyle w:val="000000000000" w:firstRow="0" w:lastRow="0" w:firstColumn="0" w:lastColumn="0" w:oddVBand="0" w:evenVBand="0" w:oddHBand="0" w:evenHBand="0" w:firstRowFirstColumn="0" w:firstRowLastColumn="0" w:lastRowFirstColumn="0" w:lastRowLastColumn="0"/>
              <w:rPr>
                <w:lang w:eastAsia="zh-TW"/>
              </w:rPr>
            </w:pPr>
            <w:r w:rsidRPr="00BE7FF7">
              <w:rPr>
                <w:lang w:eastAsia="zh-TW"/>
              </w:rPr>
              <w:t>Visual Analogue Scale</w:t>
            </w:r>
          </w:p>
        </w:tc>
      </w:tr>
    </w:tbl>
    <w:p w:rsidR="00D12096" w:rsidRDefault="00D12096" w:rsidP="00A70499">
      <w:pPr>
        <w:pStyle w:val="Heading2"/>
        <w:pageBreakBefore/>
        <w:rPr>
          <w:lang w:eastAsia="en-AU"/>
        </w:rPr>
      </w:pPr>
      <w:bookmarkStart w:id="8" w:name="_Toc351718900"/>
      <w:bookmarkStart w:id="9" w:name="_Toc355338635"/>
      <w:bookmarkStart w:id="10" w:name="_Toc433315309"/>
      <w:r w:rsidRPr="00A70499">
        <w:lastRenderedPageBreak/>
        <w:t>Background</w:t>
      </w:r>
      <w:bookmarkEnd w:id="10"/>
    </w:p>
    <w:p w:rsidR="00344796" w:rsidRPr="00344796" w:rsidRDefault="00344796" w:rsidP="00A70499">
      <w:pPr>
        <w:pStyle w:val="Heading3"/>
      </w:pPr>
      <w:bookmarkStart w:id="11" w:name="_Toc272414595"/>
      <w:bookmarkStart w:id="12" w:name="_Toc290846217"/>
      <w:bookmarkStart w:id="13" w:name="_Toc401924932"/>
      <w:bookmarkStart w:id="14" w:name="_Toc433315310"/>
      <w:r w:rsidRPr="00A70499">
        <w:t>Submission</w:t>
      </w:r>
      <w:r w:rsidRPr="00344796">
        <w:t xml:space="preserve"> type</w:t>
      </w:r>
      <w:bookmarkEnd w:id="11"/>
      <w:bookmarkEnd w:id="12"/>
      <w:bookmarkEnd w:id="13"/>
      <w:bookmarkEnd w:id="14"/>
    </w:p>
    <w:p w:rsidR="00344796" w:rsidRPr="00344796" w:rsidRDefault="00344796" w:rsidP="00344796">
      <w:r w:rsidRPr="00344796">
        <w:t xml:space="preserve">This is a type C application to extend the indication of </w:t>
      </w:r>
      <w:proofErr w:type="spellStart"/>
      <w:r w:rsidRPr="00344796">
        <w:t>etanercept</w:t>
      </w:r>
      <w:proofErr w:type="spellEnd"/>
      <w:r w:rsidRPr="00344796">
        <w:t xml:space="preserve"> (</w:t>
      </w:r>
      <w:r w:rsidR="006A7E9B">
        <w:t>Enbrel</w:t>
      </w:r>
      <w:r w:rsidRPr="00344796">
        <w:t xml:space="preserve">) powder for injection/solution for injection to include the treatment of active non-radiographic axial </w:t>
      </w:r>
      <w:proofErr w:type="spellStart"/>
      <w:r w:rsidRPr="00344796">
        <w:t>spondyloarthritis</w:t>
      </w:r>
      <w:proofErr w:type="spellEnd"/>
      <w:r w:rsidRPr="00344796">
        <w:t xml:space="preserve"> (nr-</w:t>
      </w:r>
      <w:proofErr w:type="spellStart"/>
      <w:r w:rsidRPr="00344796">
        <w:t>axSpA</w:t>
      </w:r>
      <w:proofErr w:type="spellEnd"/>
      <w:r w:rsidRPr="00344796">
        <w:t>).</w:t>
      </w:r>
    </w:p>
    <w:p w:rsidR="00344796" w:rsidRPr="00344796" w:rsidRDefault="00344796" w:rsidP="00A70499">
      <w:pPr>
        <w:pStyle w:val="Heading3"/>
      </w:pPr>
      <w:bookmarkStart w:id="15" w:name="_Toc272414596"/>
      <w:bookmarkStart w:id="16" w:name="_Toc290846218"/>
      <w:bookmarkStart w:id="17" w:name="_Toc401924933"/>
      <w:bookmarkStart w:id="18" w:name="_Toc433315311"/>
      <w:r w:rsidRPr="00344796">
        <w:t>Drug class and therapeutic indication</w:t>
      </w:r>
      <w:bookmarkEnd w:id="15"/>
      <w:bookmarkEnd w:id="16"/>
      <w:bookmarkEnd w:id="17"/>
      <w:bookmarkEnd w:id="18"/>
    </w:p>
    <w:p w:rsidR="00344796" w:rsidRPr="009E5AA9" w:rsidRDefault="00344796" w:rsidP="00344796">
      <w:r w:rsidRPr="009E5AA9">
        <w:t xml:space="preserve">The approved indication for </w:t>
      </w:r>
      <w:proofErr w:type="spellStart"/>
      <w:r w:rsidRPr="009E5AA9">
        <w:t>etanercept</w:t>
      </w:r>
      <w:proofErr w:type="spellEnd"/>
      <w:r w:rsidRPr="009E5AA9">
        <w:t xml:space="preserve"> submitted in the dossier was:</w:t>
      </w:r>
    </w:p>
    <w:p w:rsidR="00344796" w:rsidRPr="009E5AA9" w:rsidRDefault="006A7E9B" w:rsidP="009E5AA9">
      <w:pPr>
        <w:autoSpaceDE w:val="0"/>
        <w:autoSpaceDN w:val="0"/>
        <w:adjustRightInd w:val="0"/>
        <w:spacing w:before="0" w:line="240" w:lineRule="auto"/>
        <w:ind w:left="284"/>
        <w:rPr>
          <w:rFonts w:eastAsia="Times New Roman" w:cs="TimesNewRomanPSMT"/>
          <w:i/>
          <w:lang w:eastAsia="zh-TW"/>
        </w:rPr>
      </w:pPr>
      <w:r w:rsidRPr="009E5AA9">
        <w:rPr>
          <w:rFonts w:eastAsia="Times New Roman" w:cs="TimesNewRomanPSMT"/>
          <w:i/>
          <w:lang w:eastAsia="zh-TW"/>
        </w:rPr>
        <w:t>Enbrel</w:t>
      </w:r>
      <w:r w:rsidR="00344796" w:rsidRPr="009E5AA9">
        <w:rPr>
          <w:rFonts w:eastAsia="Times New Roman" w:cs="TimesNewRomanPSMT"/>
          <w:i/>
          <w:lang w:eastAsia="zh-TW"/>
        </w:rPr>
        <w:t xml:space="preserve"> is indicated for the treatment of:</w:t>
      </w:r>
    </w:p>
    <w:p w:rsidR="00344796" w:rsidRPr="009E5AA9" w:rsidRDefault="00344796" w:rsidP="00B52831">
      <w:pPr>
        <w:pStyle w:val="ListBullet"/>
        <w:ind w:left="709" w:hanging="425"/>
        <w:rPr>
          <w:i/>
          <w:lang w:eastAsia="zh-TW"/>
        </w:rPr>
      </w:pPr>
      <w:r w:rsidRPr="009E5AA9">
        <w:rPr>
          <w:rFonts w:eastAsia="SymbolMT" w:cs="SymbolMT"/>
          <w:i/>
          <w:lang w:eastAsia="zh-TW"/>
        </w:rPr>
        <w:t>A</w:t>
      </w:r>
      <w:r w:rsidRPr="009E5AA9">
        <w:rPr>
          <w:i/>
          <w:lang w:eastAsia="zh-TW"/>
        </w:rPr>
        <w:t xml:space="preserve">ctive, adult rheumatoid arthritis (RA) in patients who have had inadequate response to one or more disease modifying </w:t>
      </w:r>
      <w:proofErr w:type="spellStart"/>
      <w:r w:rsidRPr="009E5AA9">
        <w:rPr>
          <w:i/>
          <w:lang w:eastAsia="zh-TW"/>
        </w:rPr>
        <w:t>antirheumatic</w:t>
      </w:r>
      <w:proofErr w:type="spellEnd"/>
      <w:r w:rsidRPr="009E5AA9">
        <w:rPr>
          <w:i/>
          <w:lang w:eastAsia="zh-TW"/>
        </w:rPr>
        <w:t xml:space="preserve"> drugs (DMARDs). </w:t>
      </w:r>
      <w:r w:rsidR="006A7E9B" w:rsidRPr="009E5AA9">
        <w:rPr>
          <w:i/>
          <w:lang w:eastAsia="zh-TW"/>
        </w:rPr>
        <w:t>Enbrel</w:t>
      </w:r>
      <w:r w:rsidRPr="009E5AA9">
        <w:rPr>
          <w:i/>
          <w:lang w:eastAsia="zh-TW"/>
        </w:rPr>
        <w:t xml:space="preserve"> can be used in combination with methotrexate.</w:t>
      </w:r>
    </w:p>
    <w:p w:rsidR="00344796" w:rsidRPr="009E5AA9" w:rsidRDefault="00344796" w:rsidP="00B52831">
      <w:pPr>
        <w:pStyle w:val="ListBullet"/>
        <w:ind w:left="709" w:hanging="425"/>
        <w:rPr>
          <w:i/>
          <w:lang w:eastAsia="zh-TW"/>
        </w:rPr>
      </w:pPr>
      <w:r w:rsidRPr="009E5AA9">
        <w:rPr>
          <w:i/>
          <w:lang w:eastAsia="zh-TW"/>
        </w:rPr>
        <w:t>Severe, active, adult rheumatoid arthritis to slow progression of disease-associated structural damage in patients at high risk of erosive disease (see CLINICAL TRIALS).</w:t>
      </w:r>
    </w:p>
    <w:p w:rsidR="00344796" w:rsidRPr="009E5AA9" w:rsidRDefault="00344796" w:rsidP="00B52831">
      <w:pPr>
        <w:pStyle w:val="ListBullet"/>
        <w:ind w:left="709" w:hanging="425"/>
        <w:rPr>
          <w:i/>
          <w:kern w:val="16"/>
          <w:lang w:eastAsia="en-AU"/>
        </w:rPr>
      </w:pPr>
      <w:r w:rsidRPr="009E5AA9">
        <w:rPr>
          <w:i/>
          <w:lang w:eastAsia="zh-TW"/>
        </w:rPr>
        <w:t xml:space="preserve">Active </w:t>
      </w:r>
      <w:proofErr w:type="spellStart"/>
      <w:r w:rsidRPr="009E5AA9">
        <w:rPr>
          <w:i/>
          <w:lang w:eastAsia="zh-TW"/>
        </w:rPr>
        <w:t>polyarticular</w:t>
      </w:r>
      <w:proofErr w:type="spellEnd"/>
      <w:r w:rsidRPr="009E5AA9">
        <w:rPr>
          <w:i/>
          <w:lang w:eastAsia="zh-TW"/>
        </w:rPr>
        <w:t xml:space="preserve">-course juvenile chronic arthritis in patients (4 to 17 years) who have had inadequate response to one or more disease-modifying anti-rheumatic drugs. </w:t>
      </w:r>
      <w:r w:rsidR="006A7E9B" w:rsidRPr="009E5AA9">
        <w:rPr>
          <w:i/>
          <w:lang w:eastAsia="zh-TW"/>
        </w:rPr>
        <w:t>Enbrel</w:t>
      </w:r>
      <w:r w:rsidRPr="009E5AA9">
        <w:rPr>
          <w:i/>
          <w:lang w:eastAsia="zh-TW"/>
        </w:rPr>
        <w:t xml:space="preserve"> has not been studied in children less than 4 years of age.</w:t>
      </w:r>
    </w:p>
    <w:p w:rsidR="00344796" w:rsidRPr="009E5AA9" w:rsidRDefault="00344796" w:rsidP="00B52831">
      <w:pPr>
        <w:pStyle w:val="ListBullet"/>
        <w:ind w:left="709" w:hanging="425"/>
        <w:rPr>
          <w:i/>
          <w:lang w:eastAsia="zh-TW"/>
        </w:rPr>
      </w:pPr>
      <w:r w:rsidRPr="009E5AA9">
        <w:rPr>
          <w:i/>
          <w:lang w:eastAsia="zh-TW"/>
        </w:rPr>
        <w:t xml:space="preserve">The signs and symptoms of active and progressive psoriatic arthritis in adults, when the response to previous disease-modifying </w:t>
      </w:r>
      <w:proofErr w:type="spellStart"/>
      <w:r w:rsidRPr="009E5AA9">
        <w:rPr>
          <w:i/>
          <w:lang w:eastAsia="zh-TW"/>
        </w:rPr>
        <w:t>antirheumatic</w:t>
      </w:r>
      <w:proofErr w:type="spellEnd"/>
      <w:r w:rsidRPr="009E5AA9">
        <w:rPr>
          <w:i/>
          <w:lang w:eastAsia="zh-TW"/>
        </w:rPr>
        <w:t xml:space="preserve"> therapy has been inadequate. </w:t>
      </w:r>
      <w:r w:rsidR="006A7E9B" w:rsidRPr="009E5AA9">
        <w:rPr>
          <w:i/>
          <w:lang w:eastAsia="zh-TW"/>
        </w:rPr>
        <w:t>Enbrel</w:t>
      </w:r>
      <w:r w:rsidRPr="009E5AA9">
        <w:rPr>
          <w:i/>
          <w:lang w:eastAsia="zh-TW"/>
        </w:rPr>
        <w:t xml:space="preserve"> has been shown to reduce the rate of progression of joint damage as measured by X-ray and to improve physical function (see CLINICAL TRIALS).</w:t>
      </w:r>
    </w:p>
    <w:p w:rsidR="00344796" w:rsidRPr="009E5AA9" w:rsidRDefault="00344796" w:rsidP="009E5AA9">
      <w:pPr>
        <w:pStyle w:val="ListBullet"/>
        <w:ind w:left="284" w:firstLine="0"/>
        <w:rPr>
          <w:i/>
          <w:lang w:eastAsia="zh-TW"/>
        </w:rPr>
      </w:pPr>
      <w:r w:rsidRPr="009E5AA9">
        <w:rPr>
          <w:i/>
          <w:lang w:eastAsia="zh-TW"/>
        </w:rPr>
        <w:t>The signs and symptoms of active ankylosing spondylitis in adults.</w:t>
      </w:r>
    </w:p>
    <w:p w:rsidR="00344796" w:rsidRPr="009E5AA9" w:rsidRDefault="00344796" w:rsidP="00B52831">
      <w:pPr>
        <w:pStyle w:val="ListBullet"/>
        <w:ind w:left="709" w:hanging="425"/>
        <w:rPr>
          <w:i/>
          <w:lang w:eastAsia="zh-TW"/>
        </w:rPr>
      </w:pPr>
      <w:r w:rsidRPr="009E5AA9">
        <w:rPr>
          <w:i/>
          <w:lang w:eastAsia="zh-TW"/>
        </w:rPr>
        <w:t>Treatment of adult patients with moderate to severe chronic plaque psoriasis, who are candidates for ph</w:t>
      </w:r>
      <w:r w:rsidR="00A70499">
        <w:rPr>
          <w:i/>
          <w:lang w:eastAsia="zh-TW"/>
        </w:rPr>
        <w:t>ototherapy or systemic therapy.</w:t>
      </w:r>
    </w:p>
    <w:p w:rsidR="00344796" w:rsidRPr="009E5AA9" w:rsidRDefault="00344796" w:rsidP="00DC5907">
      <w:pPr>
        <w:pStyle w:val="ListBullet"/>
        <w:ind w:left="709" w:hanging="425"/>
        <w:rPr>
          <w:i/>
          <w:color w:val="000000"/>
          <w:lang w:eastAsia="zh-TW"/>
        </w:rPr>
      </w:pPr>
      <w:r w:rsidRPr="009E5AA9">
        <w:rPr>
          <w:i/>
          <w:color w:val="000000"/>
          <w:lang w:eastAsia="zh-TW"/>
        </w:rPr>
        <w:t xml:space="preserve">Chronic, severe plaque psoriasis in children and adolescents from 4 to 17 years, who are inadequately controlled by, or are intolerant to, other systemic therapies or phototherapies. Duration of therapy to be no longer than 24 weeks and treatment to be ceased after 12 weeks if a significant PASI response is not achieved. </w:t>
      </w:r>
    </w:p>
    <w:p w:rsidR="00344796" w:rsidRPr="00344796" w:rsidRDefault="00344796" w:rsidP="00344796">
      <w:pPr>
        <w:autoSpaceDE w:val="0"/>
        <w:autoSpaceDN w:val="0"/>
        <w:adjustRightInd w:val="0"/>
        <w:spacing w:before="0" w:line="240" w:lineRule="auto"/>
        <w:rPr>
          <w:rFonts w:eastAsia="Times New Roman" w:cs="TimesNewRomanPSMT"/>
          <w:color w:val="000000"/>
          <w:lang w:eastAsia="zh-TW"/>
        </w:rPr>
      </w:pPr>
      <w:r w:rsidRPr="00344796">
        <w:rPr>
          <w:rFonts w:eastAsia="Times New Roman" w:cs="TimesNewRomanPSMT"/>
          <w:color w:val="000000"/>
          <w:lang w:eastAsia="zh-TW"/>
        </w:rPr>
        <w:t xml:space="preserve">The current approved indication for </w:t>
      </w:r>
      <w:proofErr w:type="spellStart"/>
      <w:r w:rsidRPr="00344796">
        <w:rPr>
          <w:rFonts w:eastAsia="Times New Roman" w:cs="TimesNewRomanPSMT"/>
          <w:color w:val="000000"/>
          <w:lang w:eastAsia="zh-TW"/>
        </w:rPr>
        <w:t>etanercept</w:t>
      </w:r>
      <w:proofErr w:type="spellEnd"/>
      <w:r w:rsidRPr="00344796">
        <w:rPr>
          <w:rFonts w:eastAsia="Times New Roman" w:cs="TimesNewRomanPSMT"/>
          <w:color w:val="000000"/>
          <w:lang w:eastAsia="zh-TW"/>
        </w:rPr>
        <w:t xml:space="preserve"> (PI dated 12 February 2014) following a recent evaluation of data in relation to juvenile idiopathic arthritis (JIA) is as follows:</w:t>
      </w:r>
    </w:p>
    <w:p w:rsidR="00344796" w:rsidRPr="00344796" w:rsidRDefault="006A7E9B" w:rsidP="00344796">
      <w:pPr>
        <w:autoSpaceDE w:val="0"/>
        <w:autoSpaceDN w:val="0"/>
        <w:adjustRightInd w:val="0"/>
        <w:spacing w:before="0" w:line="240" w:lineRule="auto"/>
        <w:rPr>
          <w:rFonts w:eastAsia="Times New Roman"/>
          <w:color w:val="000000"/>
          <w:lang w:eastAsia="zh-TW"/>
        </w:rPr>
      </w:pPr>
      <w:r>
        <w:rPr>
          <w:rFonts w:eastAsia="Times New Roman"/>
          <w:color w:val="000000"/>
          <w:lang w:eastAsia="zh-TW"/>
        </w:rPr>
        <w:t>Enbrel</w:t>
      </w:r>
      <w:r w:rsidR="00344796" w:rsidRPr="00344796">
        <w:rPr>
          <w:rFonts w:eastAsia="Times New Roman"/>
          <w:color w:val="000000"/>
          <w:lang w:eastAsia="zh-TW"/>
        </w:rPr>
        <w:t xml:space="preserve"> is </w:t>
      </w:r>
      <w:r w:rsidR="00344796">
        <w:rPr>
          <w:rFonts w:eastAsia="Times New Roman"/>
          <w:color w:val="000000"/>
          <w:lang w:eastAsia="zh-TW"/>
        </w:rPr>
        <w:t>indicated for the treatment of:</w:t>
      </w:r>
    </w:p>
    <w:p w:rsidR="00344796" w:rsidRPr="006A7E9B" w:rsidRDefault="00B52831" w:rsidP="009E5AA9">
      <w:pPr>
        <w:tabs>
          <w:tab w:val="left" w:pos="284"/>
        </w:tabs>
        <w:autoSpaceDE w:val="0"/>
        <w:autoSpaceDN w:val="0"/>
        <w:adjustRightInd w:val="0"/>
        <w:spacing w:before="0" w:line="240" w:lineRule="auto"/>
        <w:ind w:left="284"/>
        <w:rPr>
          <w:rFonts w:eastAsia="Times New Roman"/>
          <w:i/>
          <w:color w:val="000000"/>
          <w:lang w:eastAsia="zh-TW"/>
        </w:rPr>
      </w:pPr>
      <w:r>
        <w:rPr>
          <w:rFonts w:eastAsia="Times New Roman"/>
          <w:b/>
          <w:bCs/>
          <w:i/>
          <w:iCs/>
          <w:color w:val="000000"/>
          <w:lang w:eastAsia="zh-TW"/>
        </w:rPr>
        <w:t>Adults</w:t>
      </w:r>
    </w:p>
    <w:p w:rsidR="00344796" w:rsidRPr="006A7E9B" w:rsidRDefault="00B52831" w:rsidP="009E5AA9">
      <w:pPr>
        <w:tabs>
          <w:tab w:val="left" w:pos="284"/>
        </w:tabs>
        <w:autoSpaceDE w:val="0"/>
        <w:autoSpaceDN w:val="0"/>
        <w:adjustRightInd w:val="0"/>
        <w:spacing w:before="0" w:line="240" w:lineRule="auto"/>
        <w:ind w:left="284"/>
        <w:rPr>
          <w:rFonts w:eastAsia="Times New Roman"/>
          <w:i/>
          <w:color w:val="000000"/>
          <w:lang w:eastAsia="zh-TW"/>
        </w:rPr>
      </w:pPr>
      <w:r>
        <w:rPr>
          <w:rFonts w:eastAsia="Times New Roman"/>
          <w:b/>
          <w:bCs/>
          <w:i/>
          <w:color w:val="000000"/>
          <w:lang w:eastAsia="zh-TW"/>
        </w:rPr>
        <w:t>Rheumatoid Arthritis</w:t>
      </w:r>
    </w:p>
    <w:p w:rsidR="00344796" w:rsidRPr="006A7E9B" w:rsidRDefault="00344796" w:rsidP="00DC5907">
      <w:pPr>
        <w:pStyle w:val="ListBullet"/>
        <w:ind w:left="709" w:hanging="425"/>
        <w:rPr>
          <w:i/>
          <w:lang w:eastAsia="zh-TW"/>
        </w:rPr>
      </w:pPr>
      <w:r w:rsidRPr="006A7E9B">
        <w:rPr>
          <w:i/>
          <w:lang w:eastAsia="zh-TW"/>
        </w:rPr>
        <w:t xml:space="preserve">Active, adult rheumatoid arthritis (RA) in patients who have had inadequate response to one or more disease modifying </w:t>
      </w:r>
      <w:proofErr w:type="spellStart"/>
      <w:r w:rsidRPr="006A7E9B">
        <w:rPr>
          <w:i/>
          <w:lang w:eastAsia="zh-TW"/>
        </w:rPr>
        <w:t>antirheumatic</w:t>
      </w:r>
      <w:proofErr w:type="spellEnd"/>
      <w:r w:rsidRPr="006A7E9B">
        <w:rPr>
          <w:i/>
          <w:lang w:eastAsia="zh-TW"/>
        </w:rPr>
        <w:t xml:space="preserve"> drugs (DMARDs). </w:t>
      </w:r>
      <w:r w:rsidR="006A7E9B">
        <w:rPr>
          <w:i/>
          <w:lang w:eastAsia="zh-TW"/>
        </w:rPr>
        <w:t>Enbrel</w:t>
      </w:r>
      <w:r w:rsidRPr="006A7E9B">
        <w:rPr>
          <w:i/>
          <w:lang w:eastAsia="zh-TW"/>
        </w:rPr>
        <w:t xml:space="preserve"> can be used in combination with methotrexate.</w:t>
      </w:r>
    </w:p>
    <w:p w:rsidR="00344796" w:rsidRPr="006A7E9B" w:rsidRDefault="00344796" w:rsidP="00DC5907">
      <w:pPr>
        <w:pStyle w:val="ListBullet"/>
        <w:tabs>
          <w:tab w:val="left" w:pos="-2268"/>
        </w:tabs>
        <w:ind w:left="709" w:hanging="425"/>
        <w:rPr>
          <w:i/>
          <w:lang w:eastAsia="zh-TW"/>
        </w:rPr>
      </w:pPr>
      <w:r w:rsidRPr="006A7E9B">
        <w:rPr>
          <w:i/>
          <w:lang w:eastAsia="zh-TW"/>
        </w:rPr>
        <w:t>Severe, active rheumatoid arthritis in adults to slow progression of disease-associated structural damage in patients at high risk of erosive disease (see CLINICAL TRIALS).</w:t>
      </w:r>
    </w:p>
    <w:p w:rsidR="00344796" w:rsidRPr="006A7E9B" w:rsidRDefault="008A1102" w:rsidP="009E5AA9">
      <w:pPr>
        <w:keepNext/>
        <w:tabs>
          <w:tab w:val="left" w:pos="284"/>
        </w:tabs>
        <w:autoSpaceDE w:val="0"/>
        <w:autoSpaceDN w:val="0"/>
        <w:adjustRightInd w:val="0"/>
        <w:spacing w:before="0" w:line="240" w:lineRule="auto"/>
        <w:ind w:left="284"/>
        <w:rPr>
          <w:rFonts w:eastAsia="Times New Roman"/>
          <w:i/>
          <w:color w:val="000000"/>
          <w:lang w:eastAsia="zh-TW"/>
        </w:rPr>
      </w:pPr>
      <w:r>
        <w:rPr>
          <w:rFonts w:eastAsia="Times New Roman"/>
          <w:b/>
          <w:bCs/>
          <w:i/>
          <w:color w:val="000000"/>
          <w:lang w:eastAsia="zh-TW"/>
        </w:rPr>
        <w:lastRenderedPageBreak/>
        <w:t>Psoriatic Arthritis</w:t>
      </w:r>
    </w:p>
    <w:p w:rsidR="00344796" w:rsidRPr="006A7E9B" w:rsidRDefault="00344796" w:rsidP="008A1102">
      <w:pPr>
        <w:pStyle w:val="ListBullet"/>
        <w:keepNext/>
        <w:tabs>
          <w:tab w:val="left" w:pos="-2127"/>
        </w:tabs>
        <w:ind w:left="709" w:hanging="425"/>
        <w:rPr>
          <w:i/>
          <w:lang w:eastAsia="zh-TW"/>
        </w:rPr>
      </w:pPr>
      <w:r w:rsidRPr="006A7E9B">
        <w:rPr>
          <w:i/>
          <w:lang w:eastAsia="zh-TW"/>
        </w:rPr>
        <w:t xml:space="preserve">The signs and symptoms of active and progressive psoriatic arthritis in adults, when the response to previous disease-modifying </w:t>
      </w:r>
      <w:proofErr w:type="spellStart"/>
      <w:r w:rsidRPr="006A7E9B">
        <w:rPr>
          <w:i/>
          <w:lang w:eastAsia="zh-TW"/>
        </w:rPr>
        <w:t>antirheumatic</w:t>
      </w:r>
      <w:proofErr w:type="spellEnd"/>
      <w:r w:rsidRPr="006A7E9B">
        <w:rPr>
          <w:i/>
          <w:lang w:eastAsia="zh-TW"/>
        </w:rPr>
        <w:t xml:space="preserve"> therapy has been </w:t>
      </w:r>
      <w:proofErr w:type="spellStart"/>
      <w:r w:rsidRPr="006A7E9B">
        <w:rPr>
          <w:i/>
          <w:lang w:eastAsia="zh-TW"/>
        </w:rPr>
        <w:t>inadequate.</w:t>
      </w:r>
      <w:r w:rsidR="006A7E9B">
        <w:rPr>
          <w:i/>
          <w:lang w:eastAsia="zh-TW"/>
        </w:rPr>
        <w:t>Enbrel</w:t>
      </w:r>
      <w:proofErr w:type="spellEnd"/>
      <w:r w:rsidRPr="006A7E9B">
        <w:rPr>
          <w:i/>
          <w:lang w:eastAsia="zh-TW"/>
        </w:rPr>
        <w:t xml:space="preserve"> has been shown to reduce the rate of progression of joint damage as measured by X-ray and to improve physical function (see CLINICAL TRIALS).</w:t>
      </w:r>
    </w:p>
    <w:p w:rsidR="00344796" w:rsidRPr="006A7E9B" w:rsidRDefault="00504B7E" w:rsidP="009E5AA9">
      <w:pPr>
        <w:tabs>
          <w:tab w:val="left" w:pos="284"/>
        </w:tabs>
        <w:autoSpaceDE w:val="0"/>
        <w:autoSpaceDN w:val="0"/>
        <w:adjustRightInd w:val="0"/>
        <w:spacing w:before="0" w:line="240" w:lineRule="auto"/>
        <w:ind w:left="284"/>
        <w:rPr>
          <w:rFonts w:eastAsia="Times New Roman"/>
          <w:i/>
          <w:color w:val="000000"/>
          <w:lang w:eastAsia="zh-TW"/>
        </w:rPr>
      </w:pPr>
      <w:r w:rsidRPr="006A7E9B">
        <w:rPr>
          <w:rFonts w:eastAsia="Times New Roman"/>
          <w:b/>
          <w:bCs/>
          <w:i/>
          <w:color w:val="000000"/>
          <w:lang w:eastAsia="zh-TW"/>
        </w:rPr>
        <w:t>Ankylosing Spondylitis</w:t>
      </w:r>
    </w:p>
    <w:p w:rsidR="00344796" w:rsidRPr="006A7E9B" w:rsidRDefault="00344796" w:rsidP="009E5AA9">
      <w:pPr>
        <w:pStyle w:val="ListBullet"/>
        <w:tabs>
          <w:tab w:val="left" w:pos="284"/>
        </w:tabs>
        <w:ind w:left="284" w:firstLine="0"/>
        <w:rPr>
          <w:i/>
          <w:lang w:eastAsia="zh-TW"/>
        </w:rPr>
      </w:pPr>
      <w:r w:rsidRPr="006A7E9B">
        <w:rPr>
          <w:i/>
          <w:lang w:eastAsia="zh-TW"/>
        </w:rPr>
        <w:t>The signs and symptoms of active an</w:t>
      </w:r>
      <w:r w:rsidR="00504B7E" w:rsidRPr="006A7E9B">
        <w:rPr>
          <w:i/>
          <w:lang w:eastAsia="zh-TW"/>
        </w:rPr>
        <w:t>kylosing spondylitis in adults.</w:t>
      </w:r>
    </w:p>
    <w:p w:rsidR="00344796" w:rsidRPr="006A7E9B" w:rsidRDefault="00504B7E" w:rsidP="009E5AA9">
      <w:pPr>
        <w:tabs>
          <w:tab w:val="left" w:pos="284"/>
        </w:tabs>
        <w:autoSpaceDE w:val="0"/>
        <w:autoSpaceDN w:val="0"/>
        <w:adjustRightInd w:val="0"/>
        <w:spacing w:before="0" w:line="240" w:lineRule="auto"/>
        <w:ind w:left="284"/>
        <w:rPr>
          <w:rFonts w:eastAsia="Times New Roman"/>
          <w:i/>
          <w:color w:val="000000"/>
          <w:lang w:eastAsia="zh-TW"/>
        </w:rPr>
      </w:pPr>
      <w:r w:rsidRPr="006A7E9B">
        <w:rPr>
          <w:rFonts w:eastAsia="Times New Roman"/>
          <w:b/>
          <w:bCs/>
          <w:i/>
          <w:color w:val="000000"/>
          <w:lang w:eastAsia="zh-TW"/>
        </w:rPr>
        <w:t>Plaque Psoriasis</w:t>
      </w:r>
    </w:p>
    <w:p w:rsidR="00344796" w:rsidRPr="006A7E9B" w:rsidRDefault="00344796" w:rsidP="0048343E">
      <w:pPr>
        <w:pStyle w:val="ListBullet"/>
        <w:tabs>
          <w:tab w:val="left" w:pos="-2127"/>
        </w:tabs>
        <w:ind w:left="709" w:hanging="425"/>
        <w:rPr>
          <w:i/>
          <w:lang w:eastAsia="zh-TW"/>
        </w:rPr>
      </w:pPr>
      <w:r w:rsidRPr="006A7E9B">
        <w:rPr>
          <w:i/>
          <w:lang w:eastAsia="zh-TW"/>
        </w:rPr>
        <w:t>Adult patients with moderate to severe chronic plaque psoriasis, who are candidates for p</w:t>
      </w:r>
      <w:r w:rsidR="00504B7E" w:rsidRPr="006A7E9B">
        <w:rPr>
          <w:i/>
          <w:lang w:eastAsia="zh-TW"/>
        </w:rPr>
        <w:t>hototherapy or systemic therapy</w:t>
      </w:r>
      <w:r w:rsidR="00840622">
        <w:rPr>
          <w:i/>
          <w:lang w:eastAsia="zh-TW"/>
        </w:rPr>
        <w:t>.</w:t>
      </w:r>
    </w:p>
    <w:p w:rsidR="00344796" w:rsidRPr="006A7E9B" w:rsidRDefault="00504B7E" w:rsidP="009E5AA9">
      <w:pPr>
        <w:tabs>
          <w:tab w:val="left" w:pos="284"/>
        </w:tabs>
        <w:autoSpaceDE w:val="0"/>
        <w:autoSpaceDN w:val="0"/>
        <w:adjustRightInd w:val="0"/>
        <w:spacing w:before="0" w:line="240" w:lineRule="auto"/>
        <w:ind w:left="284"/>
        <w:rPr>
          <w:rFonts w:eastAsia="Times New Roman"/>
          <w:b/>
          <w:bCs/>
          <w:i/>
          <w:iCs/>
          <w:color w:val="000000"/>
          <w:lang w:eastAsia="zh-TW"/>
        </w:rPr>
      </w:pPr>
      <w:r w:rsidRPr="006A7E9B">
        <w:rPr>
          <w:rFonts w:eastAsia="Times New Roman"/>
          <w:b/>
          <w:bCs/>
          <w:i/>
          <w:iCs/>
          <w:color w:val="000000"/>
          <w:lang w:eastAsia="zh-TW"/>
        </w:rPr>
        <w:t>Children and Adolescents</w:t>
      </w:r>
    </w:p>
    <w:p w:rsidR="00344796" w:rsidRPr="006A7E9B" w:rsidRDefault="00504B7E" w:rsidP="009E5AA9">
      <w:pPr>
        <w:tabs>
          <w:tab w:val="left" w:pos="284"/>
        </w:tabs>
        <w:autoSpaceDE w:val="0"/>
        <w:autoSpaceDN w:val="0"/>
        <w:adjustRightInd w:val="0"/>
        <w:spacing w:before="0" w:line="240" w:lineRule="auto"/>
        <w:ind w:left="284"/>
        <w:rPr>
          <w:rFonts w:eastAsia="Times New Roman"/>
          <w:i/>
          <w:color w:val="000000"/>
          <w:lang w:eastAsia="zh-TW"/>
        </w:rPr>
      </w:pPr>
      <w:r w:rsidRPr="006A7E9B">
        <w:rPr>
          <w:rFonts w:eastAsia="Times New Roman"/>
          <w:b/>
          <w:bCs/>
          <w:i/>
          <w:color w:val="000000"/>
          <w:lang w:eastAsia="zh-TW"/>
        </w:rPr>
        <w:t>Juvenile Idiopathic Arthritis</w:t>
      </w:r>
    </w:p>
    <w:p w:rsidR="00344796" w:rsidRPr="006A7E9B" w:rsidRDefault="00344796" w:rsidP="0048343E">
      <w:pPr>
        <w:pStyle w:val="ListBullet"/>
        <w:tabs>
          <w:tab w:val="left" w:pos="-2268"/>
        </w:tabs>
        <w:ind w:left="709" w:hanging="425"/>
        <w:rPr>
          <w:i/>
          <w:lang w:eastAsia="zh-TW"/>
        </w:rPr>
      </w:pPr>
      <w:r w:rsidRPr="006A7E9B">
        <w:rPr>
          <w:i/>
          <w:lang w:eastAsia="zh-TW"/>
        </w:rPr>
        <w:t xml:space="preserve">Active polyarthritis (rheumatoid factor positive or negative) in children and </w:t>
      </w:r>
      <w:proofErr w:type="gramStart"/>
      <w:r w:rsidRPr="006A7E9B">
        <w:rPr>
          <w:i/>
          <w:lang w:eastAsia="zh-TW"/>
        </w:rPr>
        <w:t>adolescents,</w:t>
      </w:r>
      <w:proofErr w:type="gramEnd"/>
      <w:r w:rsidRPr="006A7E9B">
        <w:rPr>
          <w:i/>
          <w:lang w:eastAsia="zh-TW"/>
        </w:rPr>
        <w:t xml:space="preserve"> aged 2 to 17 years, who have had an inadequate response to one or more DMARDs.</w:t>
      </w:r>
      <w:r w:rsidRPr="006A7E9B">
        <w:rPr>
          <w:i/>
          <w:vertAlign w:val="superscript"/>
          <w:lang w:eastAsia="zh-TW"/>
        </w:rPr>
        <w:footnoteReference w:id="1"/>
      </w:r>
    </w:p>
    <w:p w:rsidR="00344796" w:rsidRPr="006A7E9B" w:rsidRDefault="00344796" w:rsidP="0048343E">
      <w:pPr>
        <w:pStyle w:val="ListBullet"/>
        <w:tabs>
          <w:tab w:val="left" w:pos="-2268"/>
        </w:tabs>
        <w:ind w:left="709" w:hanging="425"/>
        <w:rPr>
          <w:i/>
          <w:lang w:eastAsia="zh-TW"/>
        </w:rPr>
      </w:pPr>
      <w:r w:rsidRPr="006A7E9B">
        <w:rPr>
          <w:i/>
          <w:lang w:eastAsia="zh-TW"/>
        </w:rPr>
        <w:t xml:space="preserve">Active extended </w:t>
      </w:r>
      <w:proofErr w:type="spellStart"/>
      <w:r w:rsidRPr="006A7E9B">
        <w:rPr>
          <w:i/>
          <w:lang w:eastAsia="zh-TW"/>
        </w:rPr>
        <w:t>oligoarthritis</w:t>
      </w:r>
      <w:proofErr w:type="spellEnd"/>
      <w:r w:rsidRPr="006A7E9B">
        <w:rPr>
          <w:i/>
          <w:lang w:eastAsia="zh-TW"/>
        </w:rPr>
        <w:t xml:space="preserve"> in children and adolescents, aged 2 to 17 years, who have had an inadequate response to, or who have proved intolerant to, methotrexate.</w:t>
      </w:r>
      <w:r w:rsidRPr="006A7E9B">
        <w:rPr>
          <w:i/>
          <w:vertAlign w:val="superscript"/>
          <w:lang w:eastAsia="zh-TW"/>
        </w:rPr>
        <w:footnoteReference w:customMarkFollows="1" w:id="2"/>
        <w:t>1</w:t>
      </w:r>
    </w:p>
    <w:p w:rsidR="00344796" w:rsidRPr="006A7E9B" w:rsidRDefault="00344796" w:rsidP="0048343E">
      <w:pPr>
        <w:pStyle w:val="ListBullet"/>
        <w:tabs>
          <w:tab w:val="left" w:pos="-2268"/>
        </w:tabs>
        <w:ind w:left="709" w:hanging="425"/>
        <w:rPr>
          <w:i/>
          <w:lang w:eastAsia="zh-TW"/>
        </w:rPr>
      </w:pPr>
      <w:r w:rsidRPr="006A7E9B">
        <w:rPr>
          <w:i/>
          <w:lang w:eastAsia="zh-TW"/>
        </w:rPr>
        <w:t xml:space="preserve">Active </w:t>
      </w:r>
      <w:proofErr w:type="spellStart"/>
      <w:r w:rsidRPr="006A7E9B">
        <w:rPr>
          <w:i/>
          <w:lang w:eastAsia="zh-TW"/>
        </w:rPr>
        <w:t>enthesitis</w:t>
      </w:r>
      <w:proofErr w:type="spellEnd"/>
      <w:r w:rsidRPr="006A7E9B">
        <w:rPr>
          <w:i/>
          <w:lang w:eastAsia="zh-TW"/>
        </w:rPr>
        <w:t>-related arthritis in adolescents, aged 12 to 17 years, who have had an inadequate response to, or who have proved intolerant to, conventional therapy.</w:t>
      </w:r>
      <w:r w:rsidRPr="006A7E9B">
        <w:rPr>
          <w:i/>
          <w:vertAlign w:val="superscript"/>
          <w:lang w:eastAsia="zh-TW"/>
        </w:rPr>
        <w:footnoteReference w:customMarkFollows="1" w:id="3"/>
        <w:t>1</w:t>
      </w:r>
    </w:p>
    <w:p w:rsidR="00344796" w:rsidRPr="006A7E9B" w:rsidRDefault="00344796" w:rsidP="0048343E">
      <w:pPr>
        <w:pStyle w:val="ListBullet"/>
        <w:tabs>
          <w:tab w:val="left" w:pos="-2268"/>
        </w:tabs>
        <w:ind w:left="709" w:hanging="425"/>
        <w:rPr>
          <w:i/>
          <w:lang w:eastAsia="zh-TW"/>
        </w:rPr>
      </w:pPr>
      <w:r w:rsidRPr="006A7E9B">
        <w:rPr>
          <w:i/>
          <w:lang w:eastAsia="zh-TW"/>
        </w:rPr>
        <w:t>Active psoriatic arthritis in adolescents, aged 12 to 17 years, who have had an inadequate response to, or who have proved intolerant to, methotrexate.</w:t>
      </w:r>
      <w:r w:rsidRPr="006A7E9B">
        <w:rPr>
          <w:i/>
          <w:vertAlign w:val="superscript"/>
          <w:lang w:eastAsia="zh-TW"/>
        </w:rPr>
        <w:footnoteReference w:customMarkFollows="1" w:id="4"/>
        <w:t>1</w:t>
      </w:r>
    </w:p>
    <w:p w:rsidR="00344796" w:rsidRPr="006A7E9B" w:rsidRDefault="006A7E9B" w:rsidP="009E5AA9">
      <w:pPr>
        <w:tabs>
          <w:tab w:val="left" w:pos="284"/>
        </w:tabs>
        <w:autoSpaceDE w:val="0"/>
        <w:autoSpaceDN w:val="0"/>
        <w:adjustRightInd w:val="0"/>
        <w:spacing w:before="0" w:line="240" w:lineRule="auto"/>
        <w:ind w:left="284"/>
        <w:rPr>
          <w:rFonts w:eastAsia="Times New Roman"/>
          <w:i/>
          <w:color w:val="000000"/>
          <w:lang w:eastAsia="zh-TW"/>
        </w:rPr>
      </w:pPr>
      <w:r>
        <w:rPr>
          <w:rFonts w:eastAsia="Times New Roman"/>
          <w:i/>
          <w:color w:val="000000"/>
          <w:lang w:eastAsia="zh-TW"/>
        </w:rPr>
        <w:t>Enbrel</w:t>
      </w:r>
      <w:r w:rsidR="00344796" w:rsidRPr="006A7E9B">
        <w:rPr>
          <w:rFonts w:eastAsia="Times New Roman"/>
          <w:i/>
          <w:color w:val="000000"/>
          <w:lang w:eastAsia="zh-TW"/>
        </w:rPr>
        <w:t xml:space="preserve"> has not been studied in c</w:t>
      </w:r>
      <w:r w:rsidR="00504B7E" w:rsidRPr="006A7E9B">
        <w:rPr>
          <w:rFonts w:eastAsia="Times New Roman"/>
          <w:i/>
          <w:color w:val="000000"/>
          <w:lang w:eastAsia="zh-TW"/>
        </w:rPr>
        <w:t>hildren aged less than 2 years.</w:t>
      </w:r>
    </w:p>
    <w:p w:rsidR="00344796" w:rsidRPr="006A7E9B" w:rsidRDefault="00504B7E" w:rsidP="009E5AA9">
      <w:pPr>
        <w:tabs>
          <w:tab w:val="left" w:pos="284"/>
        </w:tabs>
        <w:autoSpaceDE w:val="0"/>
        <w:autoSpaceDN w:val="0"/>
        <w:adjustRightInd w:val="0"/>
        <w:spacing w:before="0" w:line="240" w:lineRule="auto"/>
        <w:ind w:left="284"/>
        <w:rPr>
          <w:rFonts w:eastAsia="Times New Roman"/>
          <w:i/>
          <w:color w:val="000000"/>
          <w:lang w:eastAsia="zh-TW"/>
        </w:rPr>
      </w:pPr>
      <w:r w:rsidRPr="006A7E9B">
        <w:rPr>
          <w:rFonts w:eastAsia="Times New Roman"/>
          <w:b/>
          <w:bCs/>
          <w:i/>
          <w:color w:val="000000"/>
          <w:lang w:eastAsia="zh-TW"/>
        </w:rPr>
        <w:t>Paediatric Plaque Psoriasis</w:t>
      </w:r>
    </w:p>
    <w:p w:rsidR="00344796" w:rsidRPr="006A7E9B" w:rsidRDefault="00344796" w:rsidP="00196761">
      <w:pPr>
        <w:pStyle w:val="ListBullet"/>
        <w:tabs>
          <w:tab w:val="left" w:pos="-2268"/>
        </w:tabs>
        <w:ind w:left="709" w:hanging="425"/>
        <w:rPr>
          <w:i/>
          <w:lang w:eastAsia="zh-TW"/>
        </w:rPr>
      </w:pPr>
      <w:r w:rsidRPr="006A7E9B">
        <w:rPr>
          <w:i/>
          <w:lang w:eastAsia="zh-TW"/>
        </w:rPr>
        <w:t>Chronic, severe plaque psoriasis in children and adolescents from 4 to 17 years, who are inadequately controlled by, or are intolerant to, other systemic therapies or phototherapies. Duration of therapy to be no longer than 24 weeks and treatment to be ceased after 12 weeks if a significant</w:t>
      </w:r>
      <w:r w:rsidR="00504B7E" w:rsidRPr="006A7E9B">
        <w:rPr>
          <w:i/>
          <w:lang w:eastAsia="zh-TW"/>
        </w:rPr>
        <w:t xml:space="preserve"> PASI response is not achieved.</w:t>
      </w:r>
    </w:p>
    <w:p w:rsidR="00344796" w:rsidRPr="0092742E" w:rsidRDefault="00344796"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kern w:val="16"/>
          <w:lang w:eastAsia="en-AU"/>
        </w:rPr>
      </w:pPr>
      <w:r w:rsidRPr="0092742E">
        <w:rPr>
          <w:rFonts w:eastAsia="Times New Roman"/>
          <w:kern w:val="16"/>
          <w:lang w:eastAsia="en-AU"/>
        </w:rPr>
        <w:t>After one takes into account the recently approved extension of indication in JIA, the final wording of the indications resulting from this current submission will be (new wording for nr-</w:t>
      </w:r>
      <w:proofErr w:type="spellStart"/>
      <w:r w:rsidRPr="0092742E">
        <w:rPr>
          <w:rFonts w:eastAsia="Times New Roman"/>
          <w:kern w:val="16"/>
          <w:lang w:eastAsia="en-AU"/>
        </w:rPr>
        <w:t>axSpA</w:t>
      </w:r>
      <w:proofErr w:type="spellEnd"/>
      <w:r w:rsidRPr="0092742E">
        <w:rPr>
          <w:rFonts w:eastAsia="Times New Roman"/>
          <w:kern w:val="16"/>
          <w:lang w:eastAsia="en-AU"/>
        </w:rPr>
        <w:t xml:space="preserve"> underlined): </w:t>
      </w:r>
      <w:r w:rsidR="006A7E9B" w:rsidRPr="0092742E">
        <w:rPr>
          <w:rFonts w:eastAsia="Times New Roman"/>
          <w:kern w:val="16"/>
          <w:lang w:eastAsia="en-AU"/>
        </w:rPr>
        <w:t>Enbrel</w:t>
      </w:r>
      <w:r w:rsidRPr="0092742E">
        <w:rPr>
          <w:rFonts w:eastAsia="Times New Roman"/>
          <w:kern w:val="16"/>
          <w:lang w:eastAsia="en-AU"/>
        </w:rPr>
        <w:t xml:space="preserve"> is </w:t>
      </w:r>
      <w:r w:rsidR="00504B7E" w:rsidRPr="0092742E">
        <w:rPr>
          <w:rFonts w:eastAsia="Times New Roman"/>
          <w:kern w:val="16"/>
          <w:lang w:eastAsia="en-AU"/>
        </w:rPr>
        <w:t>indicated for the treatment of:</w:t>
      </w:r>
    </w:p>
    <w:p w:rsidR="00344796" w:rsidRPr="006A7E9B" w:rsidRDefault="00504B7E"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b/>
          <w:bCs/>
          <w:i/>
          <w:kern w:val="16"/>
          <w:lang w:eastAsia="en-AU"/>
        </w:rPr>
      </w:pPr>
      <w:r w:rsidRPr="006A7E9B">
        <w:rPr>
          <w:rFonts w:eastAsia="Times New Roman"/>
          <w:b/>
          <w:bCs/>
          <w:i/>
          <w:kern w:val="16"/>
          <w:lang w:eastAsia="en-AU"/>
        </w:rPr>
        <w:t>Adults</w:t>
      </w:r>
    </w:p>
    <w:p w:rsidR="00344796" w:rsidRPr="006A7E9B" w:rsidRDefault="00504B7E"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i/>
          <w:kern w:val="16"/>
          <w:lang w:eastAsia="en-AU"/>
        </w:rPr>
      </w:pPr>
      <w:r w:rsidRPr="006A7E9B">
        <w:rPr>
          <w:rFonts w:eastAsia="Times New Roman"/>
          <w:b/>
          <w:bCs/>
          <w:i/>
          <w:iCs/>
          <w:kern w:val="16"/>
          <w:lang w:eastAsia="en-AU"/>
        </w:rPr>
        <w:t>Rheumatoid Arthritis</w:t>
      </w:r>
    </w:p>
    <w:p w:rsidR="00344796" w:rsidRPr="006A7E9B" w:rsidRDefault="00344796"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i/>
          <w:kern w:val="16"/>
          <w:lang w:eastAsia="en-AU"/>
        </w:rPr>
      </w:pPr>
      <w:r w:rsidRPr="006A7E9B">
        <w:rPr>
          <w:rFonts w:eastAsia="Times New Roman"/>
          <w:i/>
          <w:kern w:val="16"/>
          <w:lang w:eastAsia="en-AU"/>
        </w:rPr>
        <w:t xml:space="preserve">Active, adult rheumatoid arthritis (RA) in patients who have had inadequate response to one or more disease modifying </w:t>
      </w:r>
      <w:proofErr w:type="spellStart"/>
      <w:r w:rsidRPr="006A7E9B">
        <w:rPr>
          <w:rFonts w:eastAsia="Times New Roman"/>
          <w:i/>
          <w:kern w:val="16"/>
          <w:lang w:eastAsia="en-AU"/>
        </w:rPr>
        <w:t>antirheumatic</w:t>
      </w:r>
      <w:proofErr w:type="spellEnd"/>
      <w:r w:rsidRPr="006A7E9B">
        <w:rPr>
          <w:rFonts w:eastAsia="Times New Roman"/>
          <w:i/>
          <w:kern w:val="16"/>
          <w:lang w:eastAsia="en-AU"/>
        </w:rPr>
        <w:t xml:space="preserve"> drugs (DMARDs). </w:t>
      </w:r>
      <w:r w:rsidR="006A7E9B">
        <w:rPr>
          <w:rFonts w:eastAsia="Times New Roman"/>
          <w:i/>
          <w:kern w:val="16"/>
          <w:lang w:eastAsia="en-AU"/>
        </w:rPr>
        <w:t>Enbrel</w:t>
      </w:r>
      <w:r w:rsidRPr="006A7E9B">
        <w:rPr>
          <w:rFonts w:eastAsia="Times New Roman"/>
          <w:i/>
          <w:kern w:val="16"/>
          <w:lang w:eastAsia="en-AU"/>
        </w:rPr>
        <w:t xml:space="preserve"> can be used in</w:t>
      </w:r>
      <w:r w:rsidR="00196761">
        <w:rPr>
          <w:rFonts w:eastAsia="Times New Roman"/>
          <w:i/>
          <w:kern w:val="16"/>
          <w:lang w:eastAsia="en-AU"/>
        </w:rPr>
        <w:t xml:space="preserve"> combination with methotrexate.</w:t>
      </w:r>
    </w:p>
    <w:p w:rsidR="00344796" w:rsidRPr="006A7E9B" w:rsidRDefault="00344796"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i/>
          <w:kern w:val="16"/>
          <w:lang w:eastAsia="en-AU"/>
        </w:rPr>
      </w:pPr>
      <w:proofErr w:type="gramStart"/>
      <w:r w:rsidRPr="006A7E9B">
        <w:rPr>
          <w:rFonts w:eastAsia="Times New Roman"/>
          <w:i/>
          <w:kern w:val="16"/>
          <w:lang w:eastAsia="en-AU"/>
        </w:rPr>
        <w:t>Severe, active, adult rheumatoid arthritis to slow progression of disease-associated structural damage in patients at high risk of erosive</w:t>
      </w:r>
      <w:r w:rsidR="00504B7E" w:rsidRPr="006A7E9B">
        <w:rPr>
          <w:rFonts w:eastAsia="Times New Roman"/>
          <w:i/>
          <w:kern w:val="16"/>
          <w:lang w:eastAsia="en-AU"/>
        </w:rPr>
        <w:t xml:space="preserve"> disease (see CLINICAL TRIALS).</w:t>
      </w:r>
      <w:proofErr w:type="gramEnd"/>
    </w:p>
    <w:p w:rsidR="00344796" w:rsidRPr="006A7E9B" w:rsidRDefault="00504B7E" w:rsidP="007E608A">
      <w:pPr>
        <w:pageBreakBefor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i/>
          <w:kern w:val="16"/>
          <w:lang w:eastAsia="en-AU"/>
        </w:rPr>
      </w:pPr>
      <w:r w:rsidRPr="006A7E9B">
        <w:rPr>
          <w:rFonts w:eastAsia="Times New Roman"/>
          <w:b/>
          <w:bCs/>
          <w:i/>
          <w:iCs/>
          <w:kern w:val="16"/>
          <w:lang w:eastAsia="en-AU"/>
        </w:rPr>
        <w:lastRenderedPageBreak/>
        <w:t>Psoriatic Arthritis</w:t>
      </w:r>
    </w:p>
    <w:p w:rsidR="00344796" w:rsidRPr="006A7E9B" w:rsidRDefault="00344796"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i/>
          <w:kern w:val="16"/>
          <w:lang w:eastAsia="en-AU"/>
        </w:rPr>
      </w:pPr>
      <w:proofErr w:type="gramStart"/>
      <w:r w:rsidRPr="006A7E9B">
        <w:rPr>
          <w:rFonts w:eastAsia="Times New Roman"/>
          <w:i/>
          <w:kern w:val="16"/>
          <w:lang w:eastAsia="en-AU"/>
        </w:rPr>
        <w:t xml:space="preserve">The signs and symptoms of active and progressive psoriatic arthritis in adults, when the response to previous disease-modifying </w:t>
      </w:r>
      <w:proofErr w:type="spellStart"/>
      <w:r w:rsidRPr="006A7E9B">
        <w:rPr>
          <w:rFonts w:eastAsia="Times New Roman"/>
          <w:i/>
          <w:kern w:val="16"/>
          <w:lang w:eastAsia="en-AU"/>
        </w:rPr>
        <w:t>antirheumatic</w:t>
      </w:r>
      <w:proofErr w:type="spellEnd"/>
      <w:r w:rsidRPr="006A7E9B">
        <w:rPr>
          <w:rFonts w:eastAsia="Times New Roman"/>
          <w:i/>
          <w:kern w:val="16"/>
          <w:lang w:eastAsia="en-AU"/>
        </w:rPr>
        <w:t xml:space="preserve"> therapy has been inadequate.</w:t>
      </w:r>
      <w:proofErr w:type="gramEnd"/>
      <w:r w:rsidRPr="006A7E9B">
        <w:rPr>
          <w:rFonts w:eastAsia="Times New Roman"/>
          <w:i/>
          <w:kern w:val="16"/>
          <w:lang w:eastAsia="en-AU"/>
        </w:rPr>
        <w:t xml:space="preserve"> </w:t>
      </w:r>
      <w:r w:rsidR="006A7E9B">
        <w:rPr>
          <w:rFonts w:eastAsia="Times New Roman"/>
          <w:i/>
          <w:kern w:val="16"/>
          <w:lang w:eastAsia="en-AU"/>
        </w:rPr>
        <w:t>Enbrel</w:t>
      </w:r>
      <w:r w:rsidRPr="006A7E9B">
        <w:rPr>
          <w:rFonts w:eastAsia="Times New Roman"/>
          <w:i/>
          <w:kern w:val="16"/>
          <w:lang w:eastAsia="en-AU"/>
        </w:rPr>
        <w:t xml:space="preserve"> has been shown to reduce the rate of progression of joint damage as measured by X-ray and to improve physical </w:t>
      </w:r>
      <w:r w:rsidR="00504B7E" w:rsidRPr="006A7E9B">
        <w:rPr>
          <w:rFonts w:eastAsia="Times New Roman"/>
          <w:i/>
          <w:kern w:val="16"/>
          <w:lang w:eastAsia="en-AU"/>
        </w:rPr>
        <w:t>function (see CLINICAL TRIALS).</w:t>
      </w:r>
    </w:p>
    <w:p w:rsidR="00344796" w:rsidRPr="006A7E9B" w:rsidRDefault="00504B7E"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i/>
          <w:kern w:val="16"/>
          <w:lang w:eastAsia="en-AU"/>
        </w:rPr>
      </w:pPr>
      <w:r w:rsidRPr="006A7E9B">
        <w:rPr>
          <w:rFonts w:eastAsia="Times New Roman"/>
          <w:b/>
          <w:bCs/>
          <w:i/>
          <w:iCs/>
          <w:kern w:val="16"/>
          <w:lang w:eastAsia="en-AU"/>
        </w:rPr>
        <w:t>Ankylosing Spondylitis</w:t>
      </w:r>
    </w:p>
    <w:p w:rsidR="00344796" w:rsidRPr="006A7E9B" w:rsidRDefault="00344796"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i/>
          <w:kern w:val="16"/>
          <w:lang w:eastAsia="en-AU"/>
        </w:rPr>
      </w:pPr>
      <w:proofErr w:type="gramStart"/>
      <w:r w:rsidRPr="006A7E9B">
        <w:rPr>
          <w:rFonts w:eastAsia="Times New Roman"/>
          <w:i/>
          <w:kern w:val="16"/>
          <w:lang w:eastAsia="en-AU"/>
        </w:rPr>
        <w:t>The signs and symptoms of active an</w:t>
      </w:r>
      <w:r w:rsidR="00504B7E" w:rsidRPr="006A7E9B">
        <w:rPr>
          <w:rFonts w:eastAsia="Times New Roman"/>
          <w:i/>
          <w:kern w:val="16"/>
          <w:lang w:eastAsia="en-AU"/>
        </w:rPr>
        <w:t>kylosing spondylitis in adults.</w:t>
      </w:r>
      <w:proofErr w:type="gramEnd"/>
    </w:p>
    <w:p w:rsidR="00344796" w:rsidRPr="006A7E9B" w:rsidRDefault="00504B7E"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i/>
          <w:kern w:val="16"/>
          <w:lang w:eastAsia="en-AU"/>
        </w:rPr>
      </w:pPr>
      <w:r w:rsidRPr="006A7E9B">
        <w:rPr>
          <w:rFonts w:eastAsia="Times New Roman"/>
          <w:b/>
          <w:bCs/>
          <w:i/>
          <w:iCs/>
          <w:kern w:val="16"/>
          <w:lang w:eastAsia="en-AU"/>
        </w:rPr>
        <w:t>Plaque Psoriasis</w:t>
      </w:r>
    </w:p>
    <w:p w:rsidR="00344796" w:rsidRPr="006A7E9B" w:rsidRDefault="00344796"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i/>
          <w:kern w:val="16"/>
          <w:lang w:eastAsia="en-AU"/>
        </w:rPr>
      </w:pPr>
      <w:proofErr w:type="gramStart"/>
      <w:r w:rsidRPr="006A7E9B">
        <w:rPr>
          <w:rFonts w:eastAsia="Times New Roman"/>
          <w:i/>
          <w:kern w:val="16"/>
          <w:lang w:eastAsia="en-AU"/>
        </w:rPr>
        <w:t>Adult patients with moderate to severe chronic plaque psoriasis, who are candidates for ph</w:t>
      </w:r>
      <w:r w:rsidR="00504B7E" w:rsidRPr="006A7E9B">
        <w:rPr>
          <w:rFonts w:eastAsia="Times New Roman"/>
          <w:i/>
          <w:kern w:val="16"/>
          <w:lang w:eastAsia="en-AU"/>
        </w:rPr>
        <w:t>ototherapy or systemic therapy.</w:t>
      </w:r>
      <w:proofErr w:type="gramEnd"/>
    </w:p>
    <w:p w:rsidR="00344796" w:rsidRPr="006A7E9B" w:rsidRDefault="00504B7E"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i/>
          <w:kern w:val="16"/>
          <w:u w:val="single"/>
          <w:lang w:eastAsia="en-AU"/>
        </w:rPr>
      </w:pPr>
      <w:r w:rsidRPr="006A7E9B">
        <w:rPr>
          <w:rFonts w:eastAsia="Times New Roman"/>
          <w:b/>
          <w:bCs/>
          <w:i/>
          <w:iCs/>
          <w:kern w:val="16"/>
          <w:u w:val="single"/>
          <w:lang w:eastAsia="en-AU"/>
        </w:rPr>
        <w:t xml:space="preserve">Axial </w:t>
      </w:r>
      <w:proofErr w:type="spellStart"/>
      <w:r w:rsidRPr="006A7E9B">
        <w:rPr>
          <w:rFonts w:eastAsia="Times New Roman"/>
          <w:b/>
          <w:bCs/>
          <w:i/>
          <w:iCs/>
          <w:kern w:val="16"/>
          <w:u w:val="single"/>
          <w:lang w:eastAsia="en-AU"/>
        </w:rPr>
        <w:t>spondyloarthritis</w:t>
      </w:r>
      <w:proofErr w:type="spellEnd"/>
    </w:p>
    <w:p w:rsidR="00344796" w:rsidRPr="006A7E9B" w:rsidRDefault="00344796"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i/>
          <w:kern w:val="16"/>
          <w:u w:val="single"/>
          <w:lang w:eastAsia="en-AU"/>
        </w:rPr>
      </w:pPr>
      <w:proofErr w:type="gramStart"/>
      <w:r w:rsidRPr="006A7E9B">
        <w:rPr>
          <w:rFonts w:eastAsia="Times New Roman"/>
          <w:i/>
          <w:kern w:val="16"/>
          <w:u w:val="single"/>
          <w:lang w:eastAsia="en-AU"/>
        </w:rPr>
        <w:t xml:space="preserve">Treatment of adults with active non-radiographic axial </w:t>
      </w:r>
      <w:proofErr w:type="spellStart"/>
      <w:r w:rsidRPr="006A7E9B">
        <w:rPr>
          <w:rFonts w:eastAsia="Times New Roman"/>
          <w:i/>
          <w:kern w:val="16"/>
          <w:u w:val="single"/>
          <w:lang w:eastAsia="en-AU"/>
        </w:rPr>
        <w:t>spondyloarthritis</w:t>
      </w:r>
      <w:proofErr w:type="spellEnd"/>
      <w:r w:rsidRPr="006A7E9B">
        <w:rPr>
          <w:rFonts w:eastAsia="Times New Roman"/>
          <w:i/>
          <w:kern w:val="16"/>
          <w:u w:val="single"/>
          <w:lang w:eastAsia="en-AU"/>
        </w:rPr>
        <w:t xml:space="preserve"> who have had an inadequate response to conventional</w:t>
      </w:r>
      <w:r w:rsidR="00504B7E" w:rsidRPr="006A7E9B">
        <w:rPr>
          <w:rFonts w:eastAsia="Times New Roman"/>
          <w:i/>
          <w:kern w:val="16"/>
          <w:u w:val="single"/>
          <w:lang w:eastAsia="en-AU"/>
        </w:rPr>
        <w:t xml:space="preserve"> therapy (see CLINICAL TRIALS).</w:t>
      </w:r>
      <w:proofErr w:type="gramEnd"/>
    </w:p>
    <w:p w:rsidR="00344796" w:rsidRPr="006A7E9B" w:rsidRDefault="00504B7E"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b/>
          <w:bCs/>
          <w:i/>
          <w:kern w:val="16"/>
          <w:lang w:eastAsia="en-AU"/>
        </w:rPr>
      </w:pPr>
      <w:r w:rsidRPr="006A7E9B">
        <w:rPr>
          <w:rFonts w:eastAsia="Times New Roman"/>
          <w:b/>
          <w:bCs/>
          <w:i/>
          <w:kern w:val="16"/>
          <w:lang w:eastAsia="en-AU"/>
        </w:rPr>
        <w:t>Children and Adolescents</w:t>
      </w:r>
    </w:p>
    <w:p w:rsidR="00344796" w:rsidRPr="006A7E9B" w:rsidRDefault="00504B7E"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i/>
          <w:kern w:val="16"/>
          <w:lang w:eastAsia="en-AU"/>
        </w:rPr>
      </w:pPr>
      <w:r w:rsidRPr="006A7E9B">
        <w:rPr>
          <w:rFonts w:eastAsia="Times New Roman"/>
          <w:b/>
          <w:bCs/>
          <w:i/>
          <w:iCs/>
          <w:kern w:val="16"/>
          <w:lang w:eastAsia="en-AU"/>
        </w:rPr>
        <w:t>Juvenile Idiopathic Arthritis</w:t>
      </w:r>
    </w:p>
    <w:p w:rsidR="00344796" w:rsidRPr="006A7E9B" w:rsidRDefault="00344796" w:rsidP="00196761">
      <w:pPr>
        <w:pStyle w:val="ListBullet"/>
        <w:tabs>
          <w:tab w:val="left" w:pos="-2268"/>
        </w:tabs>
        <w:ind w:left="709" w:hanging="425"/>
        <w:rPr>
          <w:i/>
          <w:lang w:eastAsia="en-AU"/>
        </w:rPr>
      </w:pPr>
      <w:r w:rsidRPr="006A7E9B">
        <w:rPr>
          <w:i/>
          <w:lang w:eastAsia="en-AU"/>
        </w:rPr>
        <w:t>Active polyarthritis (rheumatoid factor positive or negative) in children and adolescents, aged 2 to 17 years, who have had an inadequate response to one or more DMARDs.</w:t>
      </w:r>
      <w:r w:rsidRPr="006A7E9B">
        <w:rPr>
          <w:i/>
          <w:vertAlign w:val="superscript"/>
          <w:lang w:eastAsia="en-AU"/>
        </w:rPr>
        <w:footnoteReference w:customMarkFollows="1" w:id="5"/>
        <w:t>1</w:t>
      </w:r>
    </w:p>
    <w:p w:rsidR="00344796" w:rsidRPr="006A7E9B" w:rsidRDefault="00344796" w:rsidP="00196761">
      <w:pPr>
        <w:pStyle w:val="ListBullet"/>
        <w:tabs>
          <w:tab w:val="left" w:pos="-2268"/>
        </w:tabs>
        <w:ind w:left="709" w:hanging="425"/>
        <w:rPr>
          <w:i/>
          <w:lang w:eastAsia="en-AU"/>
        </w:rPr>
      </w:pPr>
      <w:r w:rsidRPr="006A7E9B">
        <w:rPr>
          <w:i/>
          <w:lang w:eastAsia="en-AU"/>
        </w:rPr>
        <w:t xml:space="preserve">Active extended </w:t>
      </w:r>
      <w:proofErr w:type="spellStart"/>
      <w:r w:rsidRPr="006A7E9B">
        <w:rPr>
          <w:i/>
          <w:lang w:eastAsia="en-AU"/>
        </w:rPr>
        <w:t>oligoarthritis</w:t>
      </w:r>
      <w:proofErr w:type="spellEnd"/>
      <w:r w:rsidRPr="006A7E9B">
        <w:rPr>
          <w:i/>
          <w:lang w:eastAsia="en-AU"/>
        </w:rPr>
        <w:t xml:space="preserve"> in children and adolescents, aged 2 to 17 years, who have had an inadequate response to, or who have proved intolerant to, methotrexate.</w:t>
      </w:r>
      <w:r w:rsidRPr="006A7E9B">
        <w:rPr>
          <w:i/>
          <w:vertAlign w:val="superscript"/>
          <w:lang w:eastAsia="en-AU"/>
        </w:rPr>
        <w:footnoteReference w:customMarkFollows="1" w:id="6"/>
        <w:t>1</w:t>
      </w:r>
    </w:p>
    <w:p w:rsidR="00344796" w:rsidRPr="006A7E9B" w:rsidRDefault="00344796" w:rsidP="00196761">
      <w:pPr>
        <w:pStyle w:val="ListBullet"/>
        <w:tabs>
          <w:tab w:val="left" w:pos="-2268"/>
        </w:tabs>
        <w:ind w:left="709" w:hanging="425"/>
        <w:rPr>
          <w:i/>
          <w:lang w:eastAsia="en-AU"/>
        </w:rPr>
      </w:pPr>
      <w:r w:rsidRPr="006A7E9B">
        <w:rPr>
          <w:i/>
          <w:lang w:eastAsia="en-AU"/>
        </w:rPr>
        <w:t xml:space="preserve">Active </w:t>
      </w:r>
      <w:proofErr w:type="spellStart"/>
      <w:r w:rsidRPr="006A7E9B">
        <w:rPr>
          <w:i/>
          <w:lang w:eastAsia="en-AU"/>
        </w:rPr>
        <w:t>enthesitis</w:t>
      </w:r>
      <w:proofErr w:type="spellEnd"/>
      <w:r w:rsidRPr="006A7E9B">
        <w:rPr>
          <w:i/>
          <w:lang w:eastAsia="en-AU"/>
        </w:rPr>
        <w:t>-related arthritis in adolescents, aged 12 to 17 years, who have had an inadequate response to, or who have proved intolerant to, conventional therapy.</w:t>
      </w:r>
      <w:r w:rsidRPr="006A7E9B">
        <w:rPr>
          <w:i/>
          <w:vertAlign w:val="superscript"/>
          <w:lang w:eastAsia="en-AU"/>
        </w:rPr>
        <w:footnoteReference w:customMarkFollows="1" w:id="7"/>
        <w:t>1</w:t>
      </w:r>
    </w:p>
    <w:p w:rsidR="00344796" w:rsidRPr="006A7E9B" w:rsidRDefault="00344796" w:rsidP="00196761">
      <w:pPr>
        <w:pStyle w:val="ListBullet"/>
        <w:tabs>
          <w:tab w:val="left" w:pos="-2410"/>
        </w:tabs>
        <w:ind w:left="709" w:hanging="425"/>
        <w:rPr>
          <w:i/>
          <w:lang w:eastAsia="en-AU"/>
        </w:rPr>
      </w:pPr>
      <w:r w:rsidRPr="006A7E9B">
        <w:rPr>
          <w:i/>
          <w:lang w:eastAsia="en-AU"/>
        </w:rPr>
        <w:t>Active psoriatic arthritis in adolescents, aged 12 to 17 years, who have had an inadequate response to, or who have proved intolerant to, methotrexate.</w:t>
      </w:r>
      <w:r w:rsidRPr="006A7E9B">
        <w:rPr>
          <w:i/>
          <w:vertAlign w:val="superscript"/>
          <w:lang w:eastAsia="en-AU"/>
        </w:rPr>
        <w:footnoteReference w:customMarkFollows="1" w:id="8"/>
        <w:t>1</w:t>
      </w:r>
    </w:p>
    <w:p w:rsidR="00AB3C20" w:rsidRDefault="006A7E9B"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i/>
          <w:kern w:val="16"/>
          <w:lang w:eastAsia="en-AU"/>
        </w:rPr>
      </w:pPr>
      <w:r>
        <w:rPr>
          <w:rFonts w:eastAsia="Times New Roman"/>
          <w:i/>
          <w:kern w:val="16"/>
          <w:lang w:eastAsia="en-AU"/>
        </w:rPr>
        <w:t>Enbrel</w:t>
      </w:r>
      <w:r w:rsidR="00344796" w:rsidRPr="006A7E9B">
        <w:rPr>
          <w:rFonts w:eastAsia="Times New Roman"/>
          <w:i/>
          <w:kern w:val="16"/>
          <w:lang w:eastAsia="en-AU"/>
        </w:rPr>
        <w:t xml:space="preserve"> has not been studied in c</w:t>
      </w:r>
      <w:r w:rsidR="00832B0E">
        <w:rPr>
          <w:rFonts w:eastAsia="Times New Roman"/>
          <w:i/>
          <w:kern w:val="16"/>
          <w:lang w:eastAsia="en-AU"/>
        </w:rPr>
        <w:t>hildren aged less than 2 years.</w:t>
      </w:r>
    </w:p>
    <w:p w:rsidR="00344796" w:rsidRPr="006A7E9B" w:rsidRDefault="00504B7E"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i/>
          <w:kern w:val="16"/>
          <w:lang w:eastAsia="en-AU"/>
        </w:rPr>
      </w:pPr>
      <w:r w:rsidRPr="006A7E9B">
        <w:rPr>
          <w:rFonts w:eastAsia="Times New Roman"/>
          <w:b/>
          <w:bCs/>
          <w:i/>
          <w:iCs/>
          <w:kern w:val="16"/>
          <w:lang w:eastAsia="en-AU"/>
        </w:rPr>
        <w:t>Paediatric Plaque Psoriasis</w:t>
      </w:r>
    </w:p>
    <w:p w:rsidR="00344796" w:rsidRPr="006A7E9B" w:rsidRDefault="00344796" w:rsidP="009E5A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i/>
          <w:kern w:val="16"/>
          <w:lang w:eastAsia="en-AU"/>
        </w:rPr>
      </w:pPr>
      <w:proofErr w:type="gramStart"/>
      <w:r w:rsidRPr="006A7E9B">
        <w:rPr>
          <w:rFonts w:eastAsia="Times New Roman"/>
          <w:i/>
          <w:kern w:val="16"/>
          <w:lang w:eastAsia="en-AU"/>
        </w:rPr>
        <w:t>Chronic, severe plaque psoriasis in children and adolescents from 4 to 17 years, who are inadequately controlled by, or are intolerant to, other systemic therapies or phototherapies.</w:t>
      </w:r>
      <w:proofErr w:type="gramEnd"/>
      <w:r w:rsidRPr="006A7E9B">
        <w:rPr>
          <w:rFonts w:eastAsia="Times New Roman"/>
          <w:i/>
          <w:kern w:val="16"/>
          <w:lang w:eastAsia="en-AU"/>
        </w:rPr>
        <w:t xml:space="preserve"> </w:t>
      </w:r>
      <w:proofErr w:type="gramStart"/>
      <w:r w:rsidRPr="006A7E9B">
        <w:rPr>
          <w:rFonts w:eastAsia="Times New Roman"/>
          <w:i/>
          <w:kern w:val="16"/>
          <w:lang w:eastAsia="en-AU"/>
        </w:rPr>
        <w:t>Duration of therapy to be no longer than 24 weeks and treatment to be ceased after 12 weeks if a significant</w:t>
      </w:r>
      <w:r w:rsidR="00504B7E" w:rsidRPr="006A7E9B">
        <w:rPr>
          <w:rFonts w:eastAsia="Times New Roman"/>
          <w:i/>
          <w:kern w:val="16"/>
          <w:lang w:eastAsia="en-AU"/>
        </w:rPr>
        <w:t xml:space="preserve"> PASI response is not achieved.</w:t>
      </w:r>
      <w:proofErr w:type="gramEnd"/>
    </w:p>
    <w:p w:rsidR="00344796" w:rsidRPr="00344796" w:rsidRDefault="00344796" w:rsidP="00FA2001">
      <w:pPr>
        <w:pStyle w:val="Heading4"/>
      </w:pPr>
      <w:bookmarkStart w:id="19" w:name="_Toc272414597"/>
      <w:bookmarkStart w:id="20" w:name="_Toc290846219"/>
      <w:bookmarkStart w:id="21" w:name="_Toc401924934"/>
      <w:r w:rsidRPr="00FA2001">
        <w:t>Dosage</w:t>
      </w:r>
      <w:r w:rsidRPr="00344796">
        <w:t xml:space="preserve"> </w:t>
      </w:r>
      <w:r w:rsidRPr="00832B0E">
        <w:t>forms</w:t>
      </w:r>
      <w:r w:rsidRPr="00344796">
        <w:t xml:space="preserve"> and strengths</w:t>
      </w:r>
      <w:bookmarkEnd w:id="19"/>
      <w:bookmarkEnd w:id="20"/>
      <w:bookmarkEnd w:id="21"/>
    </w:p>
    <w:p w:rsidR="00344796" w:rsidRPr="00504B7E" w:rsidRDefault="00344796" w:rsidP="00504B7E">
      <w:r w:rsidRPr="00504B7E">
        <w:t>The following dosage forms and strengths are currently regist</w:t>
      </w:r>
      <w:r w:rsidR="00504B7E">
        <w:t>ered:</w:t>
      </w:r>
    </w:p>
    <w:p w:rsidR="00344796" w:rsidRPr="00FA2001" w:rsidRDefault="006A7E9B" w:rsidP="00FA2001">
      <w:pPr>
        <w:pStyle w:val="ListBullet"/>
      </w:pPr>
      <w:r>
        <w:rPr>
          <w:lang w:eastAsia="zh-TW"/>
        </w:rPr>
        <w:t>Enbrel</w:t>
      </w:r>
      <w:r w:rsidRPr="00344796">
        <w:rPr>
          <w:lang w:eastAsia="zh-TW"/>
        </w:rPr>
        <w:t xml:space="preserve"> </w:t>
      </w:r>
      <w:r w:rsidR="00344796" w:rsidRPr="00344796">
        <w:rPr>
          <w:lang w:eastAsia="zh-TW"/>
        </w:rPr>
        <w:t>(</w:t>
      </w:r>
      <w:proofErr w:type="spellStart"/>
      <w:r w:rsidR="00344796" w:rsidRPr="00344796">
        <w:rPr>
          <w:lang w:eastAsia="zh-TW"/>
        </w:rPr>
        <w:t>Etanercept</w:t>
      </w:r>
      <w:proofErr w:type="spellEnd"/>
      <w:r w:rsidR="00344796" w:rsidRPr="00344796">
        <w:rPr>
          <w:lang w:eastAsia="zh-TW"/>
        </w:rPr>
        <w:t xml:space="preserve">) 25 mg and 50 mg powder </w:t>
      </w:r>
      <w:r w:rsidR="00344796" w:rsidRPr="00FA2001">
        <w:t>for inj</w:t>
      </w:r>
      <w:r w:rsidR="00504B7E" w:rsidRPr="00FA2001">
        <w:t>ection and water for injections</w:t>
      </w:r>
    </w:p>
    <w:p w:rsidR="00344796" w:rsidRPr="00FA2001" w:rsidRDefault="006A7E9B" w:rsidP="00FA2001">
      <w:pPr>
        <w:pStyle w:val="ListBullet"/>
      </w:pPr>
      <w:r w:rsidRPr="00FA2001">
        <w:t xml:space="preserve">Enbrel </w:t>
      </w:r>
      <w:r w:rsidR="00344796" w:rsidRPr="00FA2001">
        <w:t>(</w:t>
      </w:r>
      <w:proofErr w:type="spellStart"/>
      <w:r w:rsidR="00344796" w:rsidRPr="00FA2001">
        <w:t>Etanercept</w:t>
      </w:r>
      <w:proofErr w:type="spellEnd"/>
      <w:r w:rsidR="00344796" w:rsidRPr="00FA2001">
        <w:t xml:space="preserve">) 25 mg and 50 mg solution for </w:t>
      </w:r>
      <w:r w:rsidR="00504B7E" w:rsidRPr="00FA2001">
        <w:t>injection in pre-filled syringe</w:t>
      </w:r>
    </w:p>
    <w:p w:rsidR="00344796" w:rsidRPr="00344796" w:rsidRDefault="006A7E9B" w:rsidP="00FA2001">
      <w:pPr>
        <w:pStyle w:val="ListBullet"/>
        <w:rPr>
          <w:kern w:val="16"/>
          <w:lang w:eastAsia="en-AU"/>
        </w:rPr>
      </w:pPr>
      <w:r w:rsidRPr="00FA2001">
        <w:t xml:space="preserve">Enbrel </w:t>
      </w:r>
      <w:r w:rsidR="00344796" w:rsidRPr="00FA2001">
        <w:t>(</w:t>
      </w:r>
      <w:proofErr w:type="spellStart"/>
      <w:r w:rsidR="00344796" w:rsidRPr="00FA2001">
        <w:t>Etanercept</w:t>
      </w:r>
      <w:proofErr w:type="spellEnd"/>
      <w:r w:rsidR="00344796" w:rsidRPr="00FA2001">
        <w:t>) 50 mg solution for injection in</w:t>
      </w:r>
      <w:r w:rsidR="00344796" w:rsidRPr="00344796">
        <w:rPr>
          <w:kern w:val="16"/>
          <w:lang w:eastAsia="en-AU"/>
        </w:rPr>
        <w:t xml:space="preserve"> Auto-injector</w:t>
      </w:r>
    </w:p>
    <w:p w:rsidR="00344796" w:rsidRPr="00344796" w:rsidRDefault="00344796" w:rsidP="00344796">
      <w:pPr>
        <w:autoSpaceDE w:val="0"/>
        <w:autoSpaceDN w:val="0"/>
        <w:adjustRightInd w:val="0"/>
        <w:spacing w:before="0" w:line="240" w:lineRule="auto"/>
        <w:rPr>
          <w:rFonts w:eastAsia="Times New Roman"/>
          <w:color w:val="000000"/>
          <w:lang w:eastAsia="zh-TW"/>
        </w:rPr>
      </w:pPr>
      <w:r w:rsidRPr="00344796">
        <w:rPr>
          <w:rFonts w:eastAsia="Times New Roman"/>
          <w:color w:val="000000"/>
          <w:lang w:eastAsia="zh-TW"/>
        </w:rPr>
        <w:t>There are no new dosage forms or strengths proposed.</w:t>
      </w:r>
    </w:p>
    <w:p w:rsidR="00344796" w:rsidRPr="00344796" w:rsidRDefault="00344796" w:rsidP="00832B0E">
      <w:pPr>
        <w:pStyle w:val="Heading4"/>
      </w:pPr>
      <w:bookmarkStart w:id="22" w:name="_Toc272414598"/>
      <w:bookmarkStart w:id="23" w:name="_Toc290846220"/>
      <w:bookmarkStart w:id="24" w:name="_Toc401924935"/>
      <w:r w:rsidRPr="00344796">
        <w:lastRenderedPageBreak/>
        <w:t>Dosage and administration</w:t>
      </w:r>
      <w:bookmarkEnd w:id="22"/>
      <w:bookmarkEnd w:id="23"/>
      <w:bookmarkEnd w:id="24"/>
    </w:p>
    <w:p w:rsidR="00344796" w:rsidRPr="00504B7E" w:rsidRDefault="00344796" w:rsidP="00504B7E">
      <w:r w:rsidRPr="00504B7E">
        <w:t>There is no proposed change, apart from the addition of the new indication (underlined), to the dosage and administration in the PI which is as follows:</w:t>
      </w:r>
    </w:p>
    <w:p w:rsidR="00344796" w:rsidRPr="00344796" w:rsidRDefault="00344796" w:rsidP="006A7E9B">
      <w:pPr>
        <w:autoSpaceDE w:val="0"/>
        <w:autoSpaceDN w:val="0"/>
        <w:adjustRightInd w:val="0"/>
        <w:spacing w:before="0" w:line="240" w:lineRule="auto"/>
        <w:ind w:left="720"/>
        <w:rPr>
          <w:rFonts w:eastAsia="Times New Roman"/>
          <w:b/>
          <w:bCs/>
          <w:i/>
          <w:color w:val="000000"/>
          <w:lang w:eastAsia="zh-TW"/>
        </w:rPr>
      </w:pPr>
      <w:r w:rsidRPr="00344796">
        <w:rPr>
          <w:rFonts w:eastAsia="Times New Roman"/>
          <w:i/>
          <w:color w:val="000000"/>
          <w:lang w:eastAsia="zh-TW"/>
        </w:rPr>
        <w:t xml:space="preserve">Treatment should be initiated and supervised by specialist physicians experienced in the diagnosis and treatment of rheumatoid arthritis, juvenile idiopathic arthritis, psoriatic arthritis, ankylosing spondylitis, </w:t>
      </w:r>
      <w:r w:rsidRPr="00344796">
        <w:rPr>
          <w:rFonts w:eastAsia="Times New Roman"/>
          <w:i/>
          <w:color w:val="000000"/>
          <w:u w:val="single"/>
          <w:lang w:eastAsia="zh-TW"/>
        </w:rPr>
        <w:t xml:space="preserve">non-radiographic axial </w:t>
      </w:r>
      <w:proofErr w:type="spellStart"/>
      <w:r w:rsidRPr="00344796">
        <w:rPr>
          <w:rFonts w:eastAsia="Times New Roman"/>
          <w:i/>
          <w:color w:val="000000"/>
          <w:u w:val="single"/>
          <w:lang w:eastAsia="zh-TW"/>
        </w:rPr>
        <w:t>spondyloarthritis</w:t>
      </w:r>
      <w:proofErr w:type="spellEnd"/>
      <w:r w:rsidRPr="00344796">
        <w:rPr>
          <w:rFonts w:eastAsia="Times New Roman"/>
          <w:i/>
          <w:color w:val="000000"/>
          <w:lang w:eastAsia="zh-TW"/>
        </w:rPr>
        <w:t>, plaque psoriasis or paediatric plaque psoriasis. Patients may self-inject only if their physician determines that it is appropriate and with medical follow-up, as necessary, after proper training in injection technique.</w:t>
      </w:r>
    </w:p>
    <w:p w:rsidR="00344796" w:rsidRPr="00344796" w:rsidRDefault="00504B7E" w:rsidP="006A7E9B">
      <w:pPr>
        <w:autoSpaceDE w:val="0"/>
        <w:autoSpaceDN w:val="0"/>
        <w:adjustRightInd w:val="0"/>
        <w:spacing w:before="0" w:line="240" w:lineRule="auto"/>
        <w:ind w:left="720"/>
        <w:rPr>
          <w:rFonts w:eastAsia="Times New Roman"/>
          <w:i/>
          <w:color w:val="000000"/>
          <w:lang w:eastAsia="zh-TW"/>
        </w:rPr>
      </w:pPr>
      <w:r>
        <w:rPr>
          <w:rFonts w:eastAsia="Times New Roman"/>
          <w:b/>
          <w:bCs/>
          <w:i/>
          <w:color w:val="000000"/>
          <w:lang w:eastAsia="zh-TW"/>
        </w:rPr>
        <w:t>Adults</w:t>
      </w:r>
    </w:p>
    <w:p w:rsidR="00344796" w:rsidRPr="00344796" w:rsidRDefault="00344796" w:rsidP="006A7E9B">
      <w:pPr>
        <w:autoSpaceDE w:val="0"/>
        <w:autoSpaceDN w:val="0"/>
        <w:adjustRightInd w:val="0"/>
        <w:spacing w:before="0" w:line="240" w:lineRule="auto"/>
        <w:ind w:left="720"/>
        <w:rPr>
          <w:rFonts w:eastAsia="Times New Roman"/>
          <w:i/>
          <w:color w:val="000000"/>
          <w:lang w:eastAsia="zh-TW"/>
        </w:rPr>
      </w:pPr>
      <w:r w:rsidRPr="00344796">
        <w:rPr>
          <w:rFonts w:eastAsia="Times New Roman"/>
          <w:b/>
          <w:bCs/>
          <w:i/>
          <w:iCs/>
          <w:color w:val="000000"/>
          <w:lang w:eastAsia="zh-TW"/>
        </w:rPr>
        <w:t xml:space="preserve">Rheumatoid arthritis, psoriatic arthritis, </w:t>
      </w:r>
      <w:r w:rsidRPr="00344796">
        <w:rPr>
          <w:rFonts w:eastAsia="Times New Roman"/>
          <w:b/>
          <w:bCs/>
          <w:i/>
          <w:iCs/>
          <w:color w:val="000000"/>
          <w:u w:val="single"/>
          <w:lang w:eastAsia="zh-TW"/>
        </w:rPr>
        <w:t xml:space="preserve">non-radiographic axial </w:t>
      </w:r>
      <w:proofErr w:type="spellStart"/>
      <w:r w:rsidRPr="00344796">
        <w:rPr>
          <w:rFonts w:eastAsia="Times New Roman"/>
          <w:b/>
          <w:bCs/>
          <w:i/>
          <w:iCs/>
          <w:color w:val="000000"/>
          <w:u w:val="single"/>
          <w:lang w:eastAsia="zh-TW"/>
        </w:rPr>
        <w:t>spondyloarthritis</w:t>
      </w:r>
      <w:proofErr w:type="spellEnd"/>
      <w:r w:rsidR="00504B7E">
        <w:rPr>
          <w:rFonts w:eastAsia="Times New Roman"/>
          <w:b/>
          <w:bCs/>
          <w:i/>
          <w:iCs/>
          <w:color w:val="000000"/>
          <w:lang w:eastAsia="zh-TW"/>
        </w:rPr>
        <w:t xml:space="preserve"> and ankylosing spondylitis</w:t>
      </w:r>
    </w:p>
    <w:p w:rsidR="00504B7E" w:rsidRDefault="00344796" w:rsidP="006A7E9B">
      <w:pPr>
        <w:autoSpaceDE w:val="0"/>
        <w:autoSpaceDN w:val="0"/>
        <w:adjustRightInd w:val="0"/>
        <w:spacing w:before="0" w:line="240" w:lineRule="auto"/>
        <w:ind w:left="720"/>
        <w:rPr>
          <w:rFonts w:eastAsia="Times New Roman"/>
          <w:i/>
          <w:color w:val="000000"/>
          <w:lang w:eastAsia="zh-TW"/>
        </w:rPr>
      </w:pPr>
      <w:r w:rsidRPr="00344796">
        <w:rPr>
          <w:rFonts w:eastAsia="Times New Roman"/>
          <w:i/>
          <w:color w:val="000000"/>
          <w:lang w:eastAsia="zh-TW"/>
        </w:rPr>
        <w:t xml:space="preserve">The recommended dose of </w:t>
      </w:r>
      <w:r w:rsidR="006A7E9B">
        <w:rPr>
          <w:rFonts w:eastAsia="Times New Roman"/>
          <w:i/>
          <w:color w:val="000000"/>
          <w:lang w:eastAsia="zh-TW"/>
        </w:rPr>
        <w:t>Enbrel</w:t>
      </w:r>
      <w:r w:rsidRPr="00344796">
        <w:rPr>
          <w:rFonts w:eastAsia="Times New Roman"/>
          <w:i/>
          <w:color w:val="000000"/>
          <w:lang w:eastAsia="zh-TW"/>
        </w:rPr>
        <w:t xml:space="preserve"> is 50 mg per week, given as a subcutaneous injection, EITHER once weekly as a single 50 mg injection OR twice weekly as two separate 25 mg i</w:t>
      </w:r>
      <w:r w:rsidR="00504B7E">
        <w:rPr>
          <w:rFonts w:eastAsia="Times New Roman"/>
          <w:i/>
          <w:color w:val="000000"/>
          <w:lang w:eastAsia="zh-TW"/>
        </w:rPr>
        <w:t>njections given 3-4 days apart.</w:t>
      </w:r>
    </w:p>
    <w:p w:rsidR="00586F98" w:rsidRDefault="00586F98" w:rsidP="00832B0E">
      <w:pPr>
        <w:pStyle w:val="Heading2"/>
      </w:pPr>
      <w:bookmarkStart w:id="25" w:name="_Toc433315312"/>
      <w:r>
        <w:t>Clinical rationale</w:t>
      </w:r>
      <w:bookmarkEnd w:id="25"/>
    </w:p>
    <w:p w:rsidR="00504B7E" w:rsidRPr="00504B7E" w:rsidRDefault="00504B7E" w:rsidP="00504B7E">
      <w:proofErr w:type="spellStart"/>
      <w:r w:rsidRPr="00504B7E">
        <w:t>Etanercept</w:t>
      </w:r>
      <w:proofErr w:type="spellEnd"/>
      <w:r w:rsidRPr="00504B7E">
        <w:t xml:space="preserve"> (</w:t>
      </w:r>
      <w:r w:rsidR="006A7E9B">
        <w:t>Enbrel</w:t>
      </w:r>
      <w:r w:rsidRPr="00504B7E">
        <w:t xml:space="preserve">) is a recombinant human tumour necrosis factor alpha (TNFα) antagonist which binds to TNFα and blocks its interaction with the cell surface TNFα receptor. It is currently approved for the treatment of ankylosing spondylitis (AS) as well as several other conditions. The </w:t>
      </w:r>
      <w:r w:rsidR="006A7E9B">
        <w:t>s</w:t>
      </w:r>
      <w:r w:rsidRPr="00504B7E">
        <w:t xml:space="preserve">ponsor stated the following rationale for the proposed extended indication </w:t>
      </w:r>
      <w:r>
        <w:t>in their covering letter:</w:t>
      </w:r>
    </w:p>
    <w:p w:rsidR="00504B7E" w:rsidRPr="006A7E9B" w:rsidRDefault="00504B7E" w:rsidP="006A7E9B">
      <w:pPr>
        <w:ind w:left="720"/>
        <w:rPr>
          <w:i/>
        </w:rPr>
      </w:pPr>
      <w:proofErr w:type="spellStart"/>
      <w:r w:rsidRPr="006A7E9B">
        <w:rPr>
          <w:i/>
        </w:rPr>
        <w:t>Spondyloarthritis</w:t>
      </w:r>
      <w:proofErr w:type="spellEnd"/>
      <w:r w:rsidRPr="006A7E9B">
        <w:rPr>
          <w:i/>
        </w:rPr>
        <w:t xml:space="preserve"> (</w:t>
      </w:r>
      <w:proofErr w:type="spellStart"/>
      <w:r w:rsidRPr="006A7E9B">
        <w:rPr>
          <w:i/>
        </w:rPr>
        <w:t>SpA</w:t>
      </w:r>
      <w:proofErr w:type="spellEnd"/>
      <w:r w:rsidRPr="006A7E9B">
        <w:rPr>
          <w:i/>
        </w:rPr>
        <w:t xml:space="preserve">) encompasses closely related but clinically heterogeneous inflammatory diseases including ankylosing spondylitis (AS), psoriatic arthritis, inflammatory bowel disease-related arthritis, reactive arthritis, and other </w:t>
      </w:r>
      <w:r w:rsidR="00C93718">
        <w:rPr>
          <w:i/>
        </w:rPr>
        <w:t>‘</w:t>
      </w:r>
      <w:r w:rsidRPr="006A7E9B">
        <w:rPr>
          <w:i/>
        </w:rPr>
        <w:t>undifferentiated</w:t>
      </w:r>
      <w:r w:rsidR="00C93718">
        <w:rPr>
          <w:i/>
        </w:rPr>
        <w:t>’</w:t>
      </w:r>
      <w:r w:rsidRPr="006A7E9B">
        <w:rPr>
          <w:i/>
        </w:rPr>
        <w:t xml:space="preserve"> </w:t>
      </w:r>
      <w:proofErr w:type="spellStart"/>
      <w:r w:rsidRPr="006A7E9B">
        <w:rPr>
          <w:i/>
        </w:rPr>
        <w:t>SpA</w:t>
      </w:r>
      <w:proofErr w:type="spellEnd"/>
      <w:r w:rsidRPr="006A7E9B">
        <w:rPr>
          <w:i/>
        </w:rPr>
        <w:t xml:space="preserve">. In general, patients are classified by whether they have predominantly axial involvement (axial </w:t>
      </w:r>
      <w:proofErr w:type="spellStart"/>
      <w:r w:rsidRPr="006A7E9B">
        <w:rPr>
          <w:i/>
        </w:rPr>
        <w:t>SpA</w:t>
      </w:r>
      <w:proofErr w:type="spellEnd"/>
      <w:r w:rsidRPr="006A7E9B">
        <w:rPr>
          <w:i/>
        </w:rPr>
        <w:t xml:space="preserve"> [</w:t>
      </w:r>
      <w:proofErr w:type="spellStart"/>
      <w:r w:rsidRPr="006A7E9B">
        <w:rPr>
          <w:i/>
        </w:rPr>
        <w:t>axSpA</w:t>
      </w:r>
      <w:proofErr w:type="spellEnd"/>
      <w:r w:rsidRPr="006A7E9B">
        <w:rPr>
          <w:i/>
        </w:rPr>
        <w:t xml:space="preserve">]) or predominantly peripheral involvement (peripheral </w:t>
      </w:r>
      <w:proofErr w:type="spellStart"/>
      <w:r w:rsidRPr="006A7E9B">
        <w:rPr>
          <w:i/>
        </w:rPr>
        <w:t>SpA</w:t>
      </w:r>
      <w:proofErr w:type="spellEnd"/>
      <w:r w:rsidRPr="006A7E9B">
        <w:rPr>
          <w:i/>
        </w:rPr>
        <w:t xml:space="preserve">). The severity of </w:t>
      </w:r>
      <w:proofErr w:type="spellStart"/>
      <w:r w:rsidRPr="006A7E9B">
        <w:rPr>
          <w:i/>
        </w:rPr>
        <w:t>axSpA</w:t>
      </w:r>
      <w:proofErr w:type="spellEnd"/>
      <w:r w:rsidRPr="006A7E9B">
        <w:rPr>
          <w:i/>
        </w:rPr>
        <w:t xml:space="preserve"> can span from self-limited inflammation to bony destruction of the spine whose most devastating clinical manifestation is the loss of mobility.</w:t>
      </w:r>
    </w:p>
    <w:p w:rsidR="00504B7E" w:rsidRPr="006A7E9B" w:rsidRDefault="00504B7E" w:rsidP="006A7E9B">
      <w:pPr>
        <w:ind w:left="720"/>
        <w:rPr>
          <w:i/>
        </w:rPr>
      </w:pPr>
      <w:r w:rsidRPr="006A7E9B">
        <w:rPr>
          <w:i/>
        </w:rPr>
        <w:t xml:space="preserve">While AS is a well-characterised chronic and progressive form of </w:t>
      </w:r>
      <w:proofErr w:type="spellStart"/>
      <w:r w:rsidRPr="006A7E9B">
        <w:rPr>
          <w:i/>
        </w:rPr>
        <w:t>axSpA</w:t>
      </w:r>
      <w:proofErr w:type="spellEnd"/>
      <w:r w:rsidRPr="006A7E9B">
        <w:rPr>
          <w:i/>
        </w:rPr>
        <w:t>, the natural history of nr-</w:t>
      </w:r>
      <w:proofErr w:type="spellStart"/>
      <w:r w:rsidRPr="006A7E9B">
        <w:rPr>
          <w:i/>
        </w:rPr>
        <w:t>axSpA</w:t>
      </w:r>
      <w:proofErr w:type="spellEnd"/>
      <w:r w:rsidRPr="006A7E9B">
        <w:rPr>
          <w:i/>
        </w:rPr>
        <w:t xml:space="preserve"> is not well known. Available evidence suggests that the majority of patients with newly diagnosed </w:t>
      </w:r>
      <w:proofErr w:type="spellStart"/>
      <w:r w:rsidRPr="006A7E9B">
        <w:rPr>
          <w:i/>
        </w:rPr>
        <w:t>axSpA</w:t>
      </w:r>
      <w:proofErr w:type="spellEnd"/>
      <w:r w:rsidRPr="006A7E9B">
        <w:rPr>
          <w:i/>
        </w:rPr>
        <w:t xml:space="preserve"> can be expected to be nr-</w:t>
      </w:r>
      <w:proofErr w:type="spellStart"/>
      <w:r w:rsidRPr="006A7E9B">
        <w:rPr>
          <w:i/>
        </w:rPr>
        <w:t>axSpA</w:t>
      </w:r>
      <w:proofErr w:type="spellEnd"/>
      <w:r w:rsidRPr="006A7E9B">
        <w:rPr>
          <w:i/>
        </w:rPr>
        <w:t xml:space="preserve"> patients and if left untreated, nr-</w:t>
      </w:r>
      <w:proofErr w:type="spellStart"/>
      <w:r w:rsidRPr="006A7E9B">
        <w:rPr>
          <w:i/>
        </w:rPr>
        <w:t>axSpA</w:t>
      </w:r>
      <w:proofErr w:type="spellEnd"/>
      <w:r w:rsidRPr="006A7E9B">
        <w:rPr>
          <w:i/>
        </w:rPr>
        <w:t xml:space="preserve"> may progress to AS. It should be noted however that while a subset of patients with nr-</w:t>
      </w:r>
      <w:proofErr w:type="spellStart"/>
      <w:r w:rsidRPr="006A7E9B">
        <w:rPr>
          <w:i/>
        </w:rPr>
        <w:t>axSpA</w:t>
      </w:r>
      <w:proofErr w:type="spellEnd"/>
      <w:r w:rsidRPr="006A7E9B">
        <w:rPr>
          <w:i/>
        </w:rPr>
        <w:t xml:space="preserve"> may have early AS, it is currently unknown what proportion of patients with nr-</w:t>
      </w:r>
      <w:proofErr w:type="spellStart"/>
      <w:r w:rsidRPr="006A7E9B">
        <w:rPr>
          <w:i/>
        </w:rPr>
        <w:t>axSpA</w:t>
      </w:r>
      <w:proofErr w:type="spellEnd"/>
      <w:r w:rsidRPr="006A7E9B">
        <w:rPr>
          <w:i/>
        </w:rPr>
        <w:t xml:space="preserve"> will progress to AS. It may take years from the onset of inflammatory back pain symptoms until the appearance of radiographic </w:t>
      </w:r>
      <w:proofErr w:type="spellStart"/>
      <w:r w:rsidRPr="006A7E9B">
        <w:rPr>
          <w:i/>
        </w:rPr>
        <w:t>sacroiliitis</w:t>
      </w:r>
      <w:proofErr w:type="spellEnd"/>
      <w:r w:rsidRPr="006A7E9B">
        <w:rPr>
          <w:i/>
        </w:rPr>
        <w:t xml:space="preserve"> and there are no established criteria to identify patients who are likely to progress. Nevertheless, the burden of disease on patients can be equally severe in the presence or absence of radiographic </w:t>
      </w:r>
      <w:proofErr w:type="spellStart"/>
      <w:r w:rsidRPr="006A7E9B">
        <w:rPr>
          <w:i/>
        </w:rPr>
        <w:t>sacroiliitis</w:t>
      </w:r>
      <w:proofErr w:type="spellEnd"/>
      <w:r w:rsidRPr="006A7E9B">
        <w:rPr>
          <w:i/>
        </w:rPr>
        <w:t xml:space="preserve"> and early therapeutic intervention may potentially impact the natural history of the disease progression.</w:t>
      </w:r>
    </w:p>
    <w:p w:rsidR="00504B7E" w:rsidRPr="006A7E9B" w:rsidRDefault="00504B7E" w:rsidP="006A7E9B">
      <w:pPr>
        <w:ind w:left="720"/>
        <w:rPr>
          <w:i/>
        </w:rPr>
      </w:pPr>
      <w:r w:rsidRPr="006A7E9B">
        <w:rPr>
          <w:i/>
        </w:rPr>
        <w:t xml:space="preserve">Non-steroidal anti-inflammatory drugs (NSAIDs) are currently recommended for patients with </w:t>
      </w:r>
      <w:proofErr w:type="spellStart"/>
      <w:r w:rsidRPr="006A7E9B">
        <w:rPr>
          <w:i/>
        </w:rPr>
        <w:t>axSpA</w:t>
      </w:r>
      <w:proofErr w:type="spellEnd"/>
      <w:r w:rsidRPr="006A7E9B">
        <w:rPr>
          <w:i/>
        </w:rPr>
        <w:t>, including those with nr-</w:t>
      </w:r>
      <w:proofErr w:type="spellStart"/>
      <w:r w:rsidRPr="006A7E9B">
        <w:rPr>
          <w:i/>
        </w:rPr>
        <w:t>axSpA</w:t>
      </w:r>
      <w:proofErr w:type="spellEnd"/>
      <w:r w:rsidRPr="006A7E9B">
        <w:rPr>
          <w:i/>
        </w:rPr>
        <w:t xml:space="preserve">. Disease-modifying </w:t>
      </w:r>
      <w:proofErr w:type="spellStart"/>
      <w:r w:rsidRPr="006A7E9B">
        <w:rPr>
          <w:i/>
        </w:rPr>
        <w:t>antirheumatic</w:t>
      </w:r>
      <w:proofErr w:type="spellEnd"/>
      <w:r w:rsidRPr="006A7E9B">
        <w:rPr>
          <w:i/>
        </w:rPr>
        <w:t xml:space="preserve"> drugs (DMARDs) such as methotrexate and sulfasalazine are sometimes used but have demonstrated minimal efficacy in treating </w:t>
      </w:r>
      <w:proofErr w:type="spellStart"/>
      <w:r w:rsidRPr="006A7E9B">
        <w:rPr>
          <w:i/>
        </w:rPr>
        <w:t>axSpA</w:t>
      </w:r>
      <w:proofErr w:type="spellEnd"/>
      <w:r w:rsidRPr="006A7E9B">
        <w:rPr>
          <w:i/>
        </w:rPr>
        <w:t>. Thus, there is an unmet medical need for patients with nr-</w:t>
      </w:r>
      <w:proofErr w:type="spellStart"/>
      <w:r w:rsidRPr="006A7E9B">
        <w:rPr>
          <w:i/>
        </w:rPr>
        <w:t>axSpA</w:t>
      </w:r>
      <w:proofErr w:type="spellEnd"/>
      <w:r w:rsidRPr="006A7E9B">
        <w:rPr>
          <w:i/>
        </w:rPr>
        <w:t xml:space="preserve"> whose disease is not responsive to NSAIDs.</w:t>
      </w:r>
    </w:p>
    <w:p w:rsidR="00586F98" w:rsidRDefault="00586F98" w:rsidP="00832B0E">
      <w:pPr>
        <w:pStyle w:val="Heading2"/>
        <w:rPr>
          <w:lang w:eastAsia="en-AU"/>
        </w:rPr>
      </w:pPr>
      <w:bookmarkStart w:id="26" w:name="_Toc433315313"/>
      <w:r>
        <w:rPr>
          <w:lang w:eastAsia="en-AU"/>
        </w:rPr>
        <w:lastRenderedPageBreak/>
        <w:t>Contents of the clinical dossier</w:t>
      </w:r>
      <w:bookmarkEnd w:id="8"/>
      <w:bookmarkEnd w:id="9"/>
      <w:bookmarkEnd w:id="26"/>
    </w:p>
    <w:p w:rsidR="00586F98" w:rsidRDefault="00586F98" w:rsidP="00832B0E">
      <w:pPr>
        <w:pStyle w:val="Heading3"/>
      </w:pPr>
      <w:bookmarkStart w:id="27" w:name="_Toc433315314"/>
      <w:r>
        <w:t xml:space="preserve">Scope of the </w:t>
      </w:r>
      <w:r w:rsidRPr="00832B0E">
        <w:t>clinical</w:t>
      </w:r>
      <w:r>
        <w:t xml:space="preserve"> dossier</w:t>
      </w:r>
      <w:bookmarkEnd w:id="27"/>
    </w:p>
    <w:p w:rsidR="000E48FE" w:rsidRPr="000E48FE" w:rsidRDefault="000E48FE" w:rsidP="000E48FE">
      <w:r w:rsidRPr="000E48FE">
        <w:t>The submission contained the following clinical information:</w:t>
      </w:r>
    </w:p>
    <w:p w:rsidR="000E48FE" w:rsidRPr="000E48FE" w:rsidRDefault="000E48FE" w:rsidP="00832B0E">
      <w:pPr>
        <w:pStyle w:val="ListBullet"/>
      </w:pPr>
      <w:r w:rsidRPr="000E48FE">
        <w:t xml:space="preserve">One </w:t>
      </w:r>
      <w:r w:rsidR="00C93718" w:rsidRPr="00832B0E">
        <w:t>Phase</w:t>
      </w:r>
      <w:r w:rsidR="00C93718">
        <w:t xml:space="preserve"> II</w:t>
      </w:r>
      <w:r w:rsidRPr="000E48FE">
        <w:t>I study (B1801031)</w:t>
      </w:r>
    </w:p>
    <w:p w:rsidR="000E48FE" w:rsidRPr="000E48FE" w:rsidRDefault="000E48FE" w:rsidP="006A7E9B">
      <w:pPr>
        <w:pStyle w:val="ListBullet"/>
      </w:pPr>
      <w:r w:rsidRPr="000E48FE">
        <w:t>Literature references.</w:t>
      </w:r>
    </w:p>
    <w:p w:rsidR="00586F98" w:rsidRDefault="00586F98" w:rsidP="00832B0E">
      <w:pPr>
        <w:pStyle w:val="Heading3"/>
      </w:pPr>
      <w:bookmarkStart w:id="28" w:name="_Toc433315315"/>
      <w:r w:rsidRPr="00832B0E">
        <w:t>Paediatric</w:t>
      </w:r>
      <w:r>
        <w:t xml:space="preserve"> data</w:t>
      </w:r>
      <w:bookmarkEnd w:id="28"/>
    </w:p>
    <w:p w:rsidR="000E48FE" w:rsidRPr="000E48FE" w:rsidRDefault="000E48FE" w:rsidP="000E48FE">
      <w:r w:rsidRPr="000E48FE">
        <w:t>The submission did not include paediatric data and the extended indication is not sought for paediatric patients.</w:t>
      </w:r>
    </w:p>
    <w:p w:rsidR="00586F98" w:rsidRDefault="00586F98" w:rsidP="00586F98">
      <w:pPr>
        <w:pStyle w:val="Heading3"/>
      </w:pPr>
      <w:bookmarkStart w:id="29" w:name="_Toc433315316"/>
      <w:r>
        <w:t>Good clinical practice</w:t>
      </w:r>
      <w:bookmarkEnd w:id="29"/>
    </w:p>
    <w:p w:rsidR="000E48FE" w:rsidRPr="000E48FE" w:rsidRDefault="000E48FE" w:rsidP="000E48FE">
      <w:bookmarkStart w:id="30" w:name="_Toc241374282"/>
      <w:bookmarkStart w:id="31" w:name="_Toc355338639"/>
      <w:r w:rsidRPr="000E48FE">
        <w:t>The clinical study report for B1801031 included a statement that the study was conducted in accordance with GCP guidelines as well as local ethical and regulatory requirements.</w:t>
      </w:r>
    </w:p>
    <w:p w:rsidR="00586F98" w:rsidRDefault="00586F98" w:rsidP="00586F98">
      <w:pPr>
        <w:pStyle w:val="Heading2"/>
      </w:pPr>
      <w:bookmarkStart w:id="32" w:name="_Toc433315317"/>
      <w:bookmarkEnd w:id="30"/>
      <w:r>
        <w:t>Pharmacokinetics</w:t>
      </w:r>
      <w:bookmarkEnd w:id="31"/>
      <w:bookmarkEnd w:id="32"/>
    </w:p>
    <w:p w:rsidR="004C3C18" w:rsidRPr="004C3C18" w:rsidRDefault="004C3C18" w:rsidP="00832B0E">
      <w:pPr>
        <w:pStyle w:val="Heading3"/>
      </w:pPr>
      <w:bookmarkStart w:id="33" w:name="_Ref271017296"/>
      <w:bookmarkStart w:id="34" w:name="_Ref271018924"/>
      <w:bookmarkStart w:id="35" w:name="_Ref271018934"/>
      <w:bookmarkStart w:id="36" w:name="_Toc272414614"/>
      <w:bookmarkStart w:id="37" w:name="_Toc290846238"/>
      <w:bookmarkStart w:id="38" w:name="_Toc401924948"/>
      <w:bookmarkStart w:id="39" w:name="_Toc433315318"/>
      <w:r w:rsidRPr="004C3C18">
        <w:t>Studies</w:t>
      </w:r>
      <w:bookmarkEnd w:id="33"/>
      <w:bookmarkEnd w:id="34"/>
      <w:bookmarkEnd w:id="35"/>
      <w:r w:rsidRPr="004C3C18">
        <w:t xml:space="preserve"> </w:t>
      </w:r>
      <w:r w:rsidRPr="00832B0E">
        <w:t>providing</w:t>
      </w:r>
      <w:r w:rsidRPr="004C3C18">
        <w:t xml:space="preserve"> pharmacokinetic data</w:t>
      </w:r>
      <w:bookmarkEnd w:id="36"/>
      <w:bookmarkEnd w:id="37"/>
      <w:bookmarkEnd w:id="38"/>
      <w:bookmarkEnd w:id="39"/>
    </w:p>
    <w:p w:rsidR="004C3C18" w:rsidRPr="004C3C18" w:rsidRDefault="004C3C18" w:rsidP="004C3C18">
      <w:r w:rsidRPr="004C3C18">
        <w:t>There were no submitted pharmacokinetic studies.</w:t>
      </w:r>
    </w:p>
    <w:p w:rsidR="004C3C18" w:rsidRPr="004C3C18" w:rsidRDefault="004C3C18" w:rsidP="004C3C18">
      <w:pPr>
        <w:pStyle w:val="Heading3"/>
      </w:pPr>
      <w:bookmarkStart w:id="40" w:name="_Ref269118175"/>
      <w:bookmarkStart w:id="41" w:name="_Toc272414616"/>
      <w:bookmarkStart w:id="42" w:name="_Toc290846239"/>
      <w:bookmarkStart w:id="43" w:name="_Toc401924949"/>
      <w:bookmarkStart w:id="44" w:name="_Toc433315319"/>
      <w:r w:rsidRPr="004C3C18">
        <w:t>Summary of pharmacokinetics</w:t>
      </w:r>
      <w:bookmarkEnd w:id="40"/>
      <w:bookmarkEnd w:id="41"/>
      <w:bookmarkEnd w:id="42"/>
      <w:bookmarkEnd w:id="43"/>
      <w:bookmarkEnd w:id="44"/>
    </w:p>
    <w:p w:rsidR="004C3C18" w:rsidRPr="004C3C18" w:rsidRDefault="004C3C18" w:rsidP="004C3C18">
      <w:r w:rsidRPr="004C3C18">
        <w:t>The following information has been taken and summarised from the approved PI.</w:t>
      </w:r>
    </w:p>
    <w:p w:rsidR="004C3C18" w:rsidRPr="004C3C18" w:rsidRDefault="004C3C18" w:rsidP="004C3C18">
      <w:proofErr w:type="spellStart"/>
      <w:r w:rsidRPr="004C3C18">
        <w:t>Etanercept</w:t>
      </w:r>
      <w:proofErr w:type="spellEnd"/>
      <w:r w:rsidRPr="004C3C18">
        <w:t xml:space="preserve"> is a human tumour necrosis factor receptor p75 Fc fusion protein produced by recombinant DNA technology in a Chinese hamster ovary (CHO) mammalian expression system. </w:t>
      </w:r>
      <w:proofErr w:type="spellStart"/>
      <w:r w:rsidRPr="004C3C18">
        <w:t>Etanercept</w:t>
      </w:r>
      <w:proofErr w:type="spellEnd"/>
      <w:r w:rsidRPr="004C3C18">
        <w:t xml:space="preserve"> is a dimer of a protein genetically engineered by fusing the extracellular ligand binding domain of human tumour necrosis factor receptor-2 (TNFR2/p75) to the Fc domain of human IgG1. This Fc component contains the hinge, CH2 and CH3 regions but not the CH1 region of IgG1. </w:t>
      </w:r>
      <w:proofErr w:type="spellStart"/>
      <w:r w:rsidRPr="004C3C18">
        <w:t>Etanercept</w:t>
      </w:r>
      <w:proofErr w:type="spellEnd"/>
      <w:r w:rsidRPr="004C3C18">
        <w:t xml:space="preserve"> contains 934 amino acids and has an apparent molecular weight of approximately 150 </w:t>
      </w:r>
      <w:proofErr w:type="spellStart"/>
      <w:r w:rsidRPr="004C3C18">
        <w:t>kilodaltons</w:t>
      </w:r>
      <w:proofErr w:type="spellEnd"/>
      <w:r w:rsidRPr="004C3C18">
        <w:t xml:space="preserve">. </w:t>
      </w:r>
      <w:proofErr w:type="spellStart"/>
      <w:r w:rsidRPr="004C3C18">
        <w:t>Etanercept</w:t>
      </w:r>
      <w:proofErr w:type="spellEnd"/>
      <w:r w:rsidRPr="004C3C18">
        <w:t xml:space="preserve"> is now manufactu</w:t>
      </w:r>
      <w:r>
        <w:t>red using a serum-free process.</w:t>
      </w:r>
    </w:p>
    <w:p w:rsidR="004C3C18" w:rsidRPr="004C3C18" w:rsidRDefault="004C3C18" w:rsidP="00832B0E">
      <w:pPr>
        <w:pStyle w:val="Heading4"/>
      </w:pPr>
      <w:bookmarkStart w:id="45" w:name="_Toc401924950"/>
      <w:r w:rsidRPr="00832B0E">
        <w:t>Absorption</w:t>
      </w:r>
      <w:bookmarkEnd w:id="45"/>
    </w:p>
    <w:p w:rsidR="004C3C18" w:rsidRPr="004C3C18" w:rsidRDefault="004C3C18" w:rsidP="004C3C18">
      <w:proofErr w:type="spellStart"/>
      <w:r w:rsidRPr="004C3C18">
        <w:t>Etanercept</w:t>
      </w:r>
      <w:proofErr w:type="spellEnd"/>
      <w:r w:rsidRPr="004C3C18">
        <w:t xml:space="preserve"> is slowly absorbed from the site of subcutaneous (SC) injection, reaching maximum concentration between 24 and 96 hours after a single dose. The absolute bioavailability is 76% as calculated in a population pharmacokinetic analysis of several studies. With twice weekly doses, it is anticipated that steady-state concentrations may be two to five</w:t>
      </w:r>
      <w:r w:rsidR="006A7E9B">
        <w:t xml:space="preserve"> </w:t>
      </w:r>
      <w:r w:rsidRPr="004C3C18">
        <w:t xml:space="preserve">fold greater than those observed after single doses. After a single SC dose of 25 mg </w:t>
      </w:r>
      <w:r w:rsidR="006A7E9B">
        <w:t>Enbrel</w:t>
      </w:r>
      <w:r w:rsidRPr="004C3C18">
        <w:t>, the average maximum serum concentration observed in healthy volunteers was 1.65±0.66 mg/L, and area under the curve was 235</w:t>
      </w:r>
      <w:r>
        <w:t>±</w:t>
      </w:r>
      <w:r w:rsidRPr="004C3C18">
        <w:t>96.6 mg.hr/L. Dose proportionality has not been formally evaluated, but there is no apparent saturation of cle</w:t>
      </w:r>
      <w:r>
        <w:t>arance across the dosing range.</w:t>
      </w:r>
    </w:p>
    <w:p w:rsidR="004C3C18" w:rsidRPr="004C3C18" w:rsidRDefault="004C3C18" w:rsidP="004C3C18">
      <w:pPr>
        <w:pStyle w:val="Heading4"/>
      </w:pPr>
      <w:bookmarkStart w:id="46" w:name="_Toc241374288"/>
      <w:bookmarkStart w:id="47" w:name="_Toc272414621"/>
      <w:bookmarkStart w:id="48" w:name="_Toc290846244"/>
      <w:bookmarkStart w:id="49" w:name="_Toc401924951"/>
      <w:r w:rsidRPr="004C3C18">
        <w:t>Distribution</w:t>
      </w:r>
      <w:bookmarkEnd w:id="46"/>
      <w:bookmarkEnd w:id="47"/>
      <w:bookmarkEnd w:id="48"/>
      <w:bookmarkEnd w:id="49"/>
    </w:p>
    <w:p w:rsidR="004C3C18" w:rsidRPr="004C3C18" w:rsidRDefault="004C3C18" w:rsidP="004C3C18">
      <w:r w:rsidRPr="004C3C18">
        <w:t xml:space="preserve">A bi-exponential curve is required to describe the concentration time curve of </w:t>
      </w:r>
      <w:proofErr w:type="spellStart"/>
      <w:r w:rsidRPr="004C3C18">
        <w:t>etanercept</w:t>
      </w:r>
      <w:proofErr w:type="spellEnd"/>
      <w:r w:rsidRPr="004C3C18">
        <w:t xml:space="preserve">. The central volume of distribution of </w:t>
      </w:r>
      <w:proofErr w:type="spellStart"/>
      <w:r w:rsidRPr="004C3C18">
        <w:t>etanercept</w:t>
      </w:r>
      <w:proofErr w:type="spellEnd"/>
      <w:r w:rsidRPr="004C3C18">
        <w:t xml:space="preserve"> is 7.6 L, while the volume of distribution at steady state is 10.4 L. After continued dosing of RA patients (n = 25) with </w:t>
      </w:r>
      <w:r w:rsidR="006A7E9B">
        <w:t>Enbrel</w:t>
      </w:r>
      <w:r w:rsidRPr="004C3C18">
        <w:t xml:space="preserve"> for 6 months with 25 mg twice weekly, the median observed level was 3.</w:t>
      </w:r>
      <w:r>
        <w:t>0 mg/L (range 1.7 to 5.6 mg/L).</w:t>
      </w:r>
    </w:p>
    <w:p w:rsidR="004C3C18" w:rsidRPr="004C3C18" w:rsidRDefault="004C3C18" w:rsidP="004C3C18">
      <w:pPr>
        <w:pStyle w:val="Heading4"/>
      </w:pPr>
      <w:bookmarkStart w:id="50" w:name="_Toc241374289"/>
      <w:bookmarkStart w:id="51" w:name="_Toc272414623"/>
      <w:bookmarkStart w:id="52" w:name="_Toc290846246"/>
      <w:bookmarkStart w:id="53" w:name="_Toc401924952"/>
      <w:r w:rsidRPr="004C3C18">
        <w:lastRenderedPageBreak/>
        <w:t>E</w:t>
      </w:r>
      <w:bookmarkEnd w:id="50"/>
      <w:r w:rsidRPr="004C3C18">
        <w:t>xcretion</w:t>
      </w:r>
      <w:bookmarkEnd w:id="51"/>
      <w:bookmarkEnd w:id="52"/>
      <w:bookmarkEnd w:id="53"/>
    </w:p>
    <w:p w:rsidR="004C3C18" w:rsidRPr="004C3C18" w:rsidRDefault="004C3C18" w:rsidP="004C3C18">
      <w:proofErr w:type="spellStart"/>
      <w:r w:rsidRPr="004C3C18">
        <w:t>Etanercept</w:t>
      </w:r>
      <w:proofErr w:type="spellEnd"/>
      <w:r w:rsidRPr="004C3C18">
        <w:t xml:space="preserve"> is cleared slowly from the body. The half-life is approximately 80 hours. Clearance is approximately 0.066 L/hr in patients with RA, somewhat lower than the value of 0.11 L/hr observed in healthy volunteers. Additionally, the pharmacokinetics of </w:t>
      </w:r>
      <w:proofErr w:type="spellStart"/>
      <w:r w:rsidRPr="004C3C18">
        <w:t>etanercept</w:t>
      </w:r>
      <w:proofErr w:type="spellEnd"/>
      <w:r w:rsidRPr="004C3C18">
        <w:t xml:space="preserve"> in rheumatoid arthritis patients, plaque psoriasis and ankylosing sp</w:t>
      </w:r>
      <w:r>
        <w:t>ondylitis patients are similar.</w:t>
      </w:r>
    </w:p>
    <w:p w:rsidR="004C3C18" w:rsidRPr="004C3C18" w:rsidRDefault="004C3C18" w:rsidP="004C3C18">
      <w:r w:rsidRPr="004C3C18">
        <w:t xml:space="preserve">Serum concentration profiles at steady state were comparable among patients with RA treated with 50 mg </w:t>
      </w:r>
      <w:r w:rsidR="006A7E9B">
        <w:t>Enbrel</w:t>
      </w:r>
      <w:r w:rsidRPr="004C3C18">
        <w:t xml:space="preserve"> powder for injection once weekly and those treated with 25 mg </w:t>
      </w:r>
      <w:r w:rsidR="006A7E9B">
        <w:t>Enbrel</w:t>
      </w:r>
      <w:r w:rsidRPr="004C3C18">
        <w:t xml:space="preserve"> powder for injection twice weekly. A single 50 mg/mL injection of </w:t>
      </w:r>
      <w:r w:rsidR="006A7E9B">
        <w:t>Enbrel</w:t>
      </w:r>
      <w:r w:rsidRPr="004C3C18">
        <w:t xml:space="preserve"> was also found to be bioequivalent to two simultaneous injections of 25 mg/</w:t>
      </w:r>
      <w:proofErr w:type="spellStart"/>
      <w:r w:rsidRPr="004C3C18">
        <w:t>mL.</w:t>
      </w:r>
      <w:proofErr w:type="spellEnd"/>
      <w:r w:rsidRPr="004C3C18">
        <w:t xml:space="preserve"> The mean (± standard deviation) </w:t>
      </w:r>
      <w:proofErr w:type="spellStart"/>
      <w:r w:rsidRPr="004C3C18">
        <w:t>Cmax</w:t>
      </w:r>
      <w:proofErr w:type="spellEnd"/>
      <w:r w:rsidRPr="004C3C18">
        <w:t>,</w:t>
      </w:r>
      <w:r>
        <w:t xml:space="preserve"> </w:t>
      </w:r>
      <w:proofErr w:type="spellStart"/>
      <w:r>
        <w:t>Cmin</w:t>
      </w:r>
      <w:proofErr w:type="spellEnd"/>
      <w:r>
        <w:t xml:space="preserve"> and partial AUC were 2.4 ±</w:t>
      </w:r>
      <w:r w:rsidRPr="004C3C18">
        <w:t xml:space="preserve"> 1.</w:t>
      </w:r>
      <w:r>
        <w:t>5 mg/L, 1.2 ± 0.7 mg/L and 297 ±</w:t>
      </w:r>
      <w:r w:rsidRPr="004C3C18">
        <w:t xml:space="preserve"> 166 </w:t>
      </w:r>
      <w:proofErr w:type="spellStart"/>
      <w:r w:rsidRPr="004C3C18">
        <w:t>mg.h</w:t>
      </w:r>
      <w:proofErr w:type="spellEnd"/>
      <w:r w:rsidRPr="004C3C18">
        <w:t xml:space="preserve">/L, respectively, for patients treated with 50 mg </w:t>
      </w:r>
      <w:r w:rsidR="006A7E9B">
        <w:t>Enbrel</w:t>
      </w:r>
      <w:r w:rsidRPr="004C3C18">
        <w:t xml:space="preserve"> once weekly (n = 21); and 2.6 ± 1.</w:t>
      </w:r>
      <w:r>
        <w:t>2 mg/L, 1.4 ± 0.7 mg/L and 316 ±</w:t>
      </w:r>
      <w:r w:rsidRPr="004C3C18">
        <w:t xml:space="preserve"> 135 </w:t>
      </w:r>
      <w:proofErr w:type="spellStart"/>
      <w:r w:rsidRPr="004C3C18">
        <w:t>mg.h</w:t>
      </w:r>
      <w:proofErr w:type="spellEnd"/>
      <w:r w:rsidRPr="004C3C18">
        <w:t xml:space="preserve">/L for patients treated with 25 mg </w:t>
      </w:r>
      <w:r w:rsidR="006A7E9B">
        <w:t>Enbrel</w:t>
      </w:r>
      <w:r w:rsidRPr="004C3C18">
        <w:t xml:space="preserve"> twice weekly (n = 16). Serum concentrations in patients with RA have not been measured for periods of dosing that exceed 6 months.</w:t>
      </w:r>
    </w:p>
    <w:p w:rsidR="004C3C18" w:rsidRPr="004C3C18" w:rsidRDefault="004C3C18" w:rsidP="004C3C18">
      <w:r w:rsidRPr="004C3C18">
        <w:t xml:space="preserve">Although there is elimination of radioactivity in urine after administration of radiolabelled </w:t>
      </w:r>
      <w:proofErr w:type="spellStart"/>
      <w:r w:rsidRPr="004C3C18">
        <w:t>etanercept</w:t>
      </w:r>
      <w:proofErr w:type="spellEnd"/>
      <w:r w:rsidRPr="004C3C18">
        <w:t xml:space="preserve"> to patients and volunteers, increased </w:t>
      </w:r>
      <w:proofErr w:type="spellStart"/>
      <w:r w:rsidRPr="004C3C18">
        <w:t>etanercept</w:t>
      </w:r>
      <w:proofErr w:type="spellEnd"/>
      <w:r w:rsidRPr="004C3C18">
        <w:t xml:space="preserve"> concentrations were not observed in patients with acute renal or hepatic failure. The presence of renal and hepatic impairment should not require a change in dosage. There is no apparent pharmacokinetic difference between men and women.</w:t>
      </w:r>
    </w:p>
    <w:p w:rsidR="004C3C18" w:rsidRPr="004C3C18" w:rsidRDefault="004C3C18" w:rsidP="004C3C18">
      <w:r w:rsidRPr="004C3C18">
        <w:t xml:space="preserve">No formal pharmacokinetic studies have been conducted to examine the metabolism of </w:t>
      </w:r>
      <w:proofErr w:type="spellStart"/>
      <w:r w:rsidRPr="004C3C18">
        <w:t>etanercept</w:t>
      </w:r>
      <w:proofErr w:type="spellEnd"/>
      <w:r w:rsidRPr="004C3C18">
        <w:t xml:space="preserve"> or the effects of renal or hepatic impairment. Methotrexate has no effect on the pharmacokinetics of </w:t>
      </w:r>
      <w:proofErr w:type="spellStart"/>
      <w:r w:rsidRPr="004C3C18">
        <w:t>etanercept</w:t>
      </w:r>
      <w:proofErr w:type="spellEnd"/>
      <w:r w:rsidRPr="004C3C18">
        <w:t xml:space="preserve">. The effect of </w:t>
      </w:r>
      <w:r w:rsidR="006A7E9B">
        <w:t>Enbrel</w:t>
      </w:r>
      <w:r w:rsidRPr="004C3C18">
        <w:t xml:space="preserve"> on the human pharmacokinetics of methotrexate has not been investigated.</w:t>
      </w:r>
    </w:p>
    <w:p w:rsidR="004C3C18" w:rsidRPr="004C3C18" w:rsidRDefault="004C3C18" w:rsidP="004C3C18">
      <w:r>
        <w:t xml:space="preserve">In the Clinical Overview, </w:t>
      </w:r>
      <w:r w:rsidR="006A7E9B">
        <w:t xml:space="preserve">the sponsor </w:t>
      </w:r>
      <w:r w:rsidRPr="004C3C18">
        <w:t>stated that: Population pharmacokinetic analyses in adults have not identified pharmacokinetic differences that can be linked to specific disease observed in the subjects studied. These data were based on patients with rheumatoid arthritis and ankylosing spondylitis (Zhou et al 2011).</w:t>
      </w:r>
    </w:p>
    <w:p w:rsidR="004C3C18" w:rsidRPr="004C3C18" w:rsidRDefault="004C3C18" w:rsidP="007F4DF9">
      <w:pPr>
        <w:pStyle w:val="Heading4"/>
      </w:pPr>
      <w:bookmarkStart w:id="54" w:name="_Toc241374293"/>
      <w:bookmarkStart w:id="55" w:name="_Toc272414626"/>
      <w:bookmarkStart w:id="56" w:name="_Toc290846249"/>
      <w:bookmarkStart w:id="57" w:name="_Toc401924953"/>
      <w:r w:rsidRPr="004C3C18">
        <w:t>Pharmacokinetics in other special populations</w:t>
      </w:r>
      <w:bookmarkEnd w:id="54"/>
      <w:bookmarkEnd w:id="55"/>
      <w:bookmarkEnd w:id="56"/>
      <w:bookmarkEnd w:id="57"/>
    </w:p>
    <w:p w:rsidR="004C3C18" w:rsidRPr="004C3C18" w:rsidRDefault="004C3C18" w:rsidP="004C3C18">
      <w:pPr>
        <w:autoSpaceDE w:val="0"/>
        <w:autoSpaceDN w:val="0"/>
        <w:adjustRightInd w:val="0"/>
        <w:spacing w:before="0" w:line="240" w:lineRule="auto"/>
        <w:rPr>
          <w:rFonts w:eastAsia="Times New Roman"/>
          <w:color w:val="000000"/>
          <w:lang w:eastAsia="zh-TW"/>
        </w:rPr>
      </w:pPr>
      <w:r>
        <w:rPr>
          <w:rFonts w:eastAsia="Times New Roman"/>
          <w:i/>
          <w:iCs/>
          <w:color w:val="000000"/>
          <w:lang w:eastAsia="zh-TW"/>
        </w:rPr>
        <w:t>Elderly (&gt;</w:t>
      </w:r>
      <w:r w:rsidR="007F4DF9">
        <w:rPr>
          <w:rFonts w:eastAsia="Times New Roman"/>
          <w:i/>
          <w:iCs/>
          <w:color w:val="000000"/>
          <w:lang w:eastAsia="zh-TW"/>
        </w:rPr>
        <w:t xml:space="preserve"> </w:t>
      </w:r>
      <w:r>
        <w:rPr>
          <w:rFonts w:eastAsia="Times New Roman"/>
          <w:i/>
          <w:iCs/>
          <w:color w:val="000000"/>
          <w:lang w:eastAsia="zh-TW"/>
        </w:rPr>
        <w:t>65 years)</w:t>
      </w:r>
    </w:p>
    <w:p w:rsidR="004C3C18" w:rsidRPr="004C3C18" w:rsidRDefault="004C3C18" w:rsidP="004C3C18">
      <w:pPr>
        <w:autoSpaceDE w:val="0"/>
        <w:autoSpaceDN w:val="0"/>
        <w:adjustRightInd w:val="0"/>
        <w:spacing w:before="0" w:line="240" w:lineRule="auto"/>
        <w:rPr>
          <w:rFonts w:eastAsia="Times New Roman"/>
          <w:color w:val="000000"/>
          <w:lang w:eastAsia="zh-TW"/>
        </w:rPr>
      </w:pPr>
      <w:r w:rsidRPr="004C3C18">
        <w:rPr>
          <w:rFonts w:eastAsia="Times New Roman"/>
          <w:color w:val="000000"/>
          <w:lang w:eastAsia="zh-TW"/>
        </w:rPr>
        <w:t xml:space="preserve">The impact of advanced age was studied in the population pharmacokinetic analysis of </w:t>
      </w:r>
      <w:proofErr w:type="spellStart"/>
      <w:r w:rsidRPr="004C3C18">
        <w:rPr>
          <w:rFonts w:eastAsia="Times New Roman"/>
          <w:color w:val="000000"/>
          <w:lang w:eastAsia="zh-TW"/>
        </w:rPr>
        <w:t>etanercept</w:t>
      </w:r>
      <w:proofErr w:type="spellEnd"/>
      <w:r w:rsidRPr="004C3C18">
        <w:rPr>
          <w:rFonts w:eastAsia="Times New Roman"/>
          <w:color w:val="000000"/>
          <w:lang w:eastAsia="zh-TW"/>
        </w:rPr>
        <w:t xml:space="preserve"> serum concentrations. Clearance and volume estimates in patients aged 65 to 87 years were similar to estimates in pati</w:t>
      </w:r>
      <w:r>
        <w:rPr>
          <w:rFonts w:eastAsia="Times New Roman"/>
          <w:color w:val="000000"/>
          <w:lang w:eastAsia="zh-TW"/>
        </w:rPr>
        <w:t>ents less than 65 years of age.</w:t>
      </w:r>
    </w:p>
    <w:p w:rsidR="004C3C18" w:rsidRPr="004C3C18" w:rsidRDefault="004C3C18" w:rsidP="007F4DF9">
      <w:pPr>
        <w:pStyle w:val="Heading3"/>
      </w:pPr>
      <w:bookmarkStart w:id="58" w:name="_Toc241374296"/>
      <w:bookmarkStart w:id="59" w:name="_Ref269982040"/>
      <w:bookmarkStart w:id="60" w:name="_Ref271018704"/>
      <w:bookmarkStart w:id="61" w:name="_Ref271018755"/>
      <w:bookmarkStart w:id="62" w:name="_Toc272414635"/>
      <w:bookmarkStart w:id="63" w:name="_Toc290846258"/>
      <w:bookmarkStart w:id="64" w:name="_Toc401924954"/>
      <w:bookmarkStart w:id="65" w:name="_Toc433315320"/>
      <w:r w:rsidRPr="004C3C18">
        <w:t>Evaluator’s overall conclusions on pharmacokinetics</w:t>
      </w:r>
      <w:bookmarkEnd w:id="58"/>
      <w:bookmarkEnd w:id="59"/>
      <w:bookmarkEnd w:id="60"/>
      <w:bookmarkEnd w:id="61"/>
      <w:bookmarkEnd w:id="62"/>
      <w:bookmarkEnd w:id="63"/>
      <w:bookmarkEnd w:id="64"/>
      <w:bookmarkEnd w:id="65"/>
    </w:p>
    <w:p w:rsidR="004C3C18" w:rsidRPr="004C3C18" w:rsidRDefault="004C3C18" w:rsidP="004C3C18">
      <w:r w:rsidRPr="004C3C18">
        <w:t xml:space="preserve">There was no new clinical pharmacology data submitted. There is no reason to believe that the PK of </w:t>
      </w:r>
      <w:proofErr w:type="spellStart"/>
      <w:r w:rsidRPr="004C3C18">
        <w:t>etanercept</w:t>
      </w:r>
      <w:proofErr w:type="spellEnd"/>
      <w:r w:rsidRPr="004C3C18">
        <w:t xml:space="preserve"> would be altered in the proposed new patient population compared to those adu</w:t>
      </w:r>
      <w:r w:rsidR="007F4DF9">
        <w:t>lt populations already studied.</w:t>
      </w:r>
    </w:p>
    <w:p w:rsidR="004C3C18" w:rsidRPr="004C3C18" w:rsidRDefault="004C3C18" w:rsidP="004C3C18">
      <w:r w:rsidRPr="004C3C18">
        <w:t xml:space="preserve">The formulation of </w:t>
      </w:r>
      <w:proofErr w:type="spellStart"/>
      <w:r w:rsidRPr="004C3C18">
        <w:t>etanercept</w:t>
      </w:r>
      <w:proofErr w:type="spellEnd"/>
      <w:r w:rsidRPr="004C3C18">
        <w:t xml:space="preserve"> used in </w:t>
      </w:r>
      <w:r w:rsidR="006A7E9B">
        <w:t>Study B180</w:t>
      </w:r>
      <w:r w:rsidRPr="004C3C18">
        <w:t xml:space="preserve">1031 is the same as the 50 mg/mL pre-filled syringe that is currently approved in the EU. The dosage regimen used in </w:t>
      </w:r>
      <w:r w:rsidR="006A7E9B">
        <w:t>Study B180</w:t>
      </w:r>
      <w:r w:rsidRPr="004C3C18">
        <w:t>1031 (50 mg SC once weekly) is the same as that approved for the treatment of adults with RA, AS, psoriatic arthritis, or psoriasis.</w:t>
      </w:r>
    </w:p>
    <w:p w:rsidR="004C3C18" w:rsidRPr="006A7E9B" w:rsidRDefault="00EE6497" w:rsidP="006A7E9B">
      <w:pPr>
        <w:pStyle w:val="Comment"/>
      </w:pPr>
      <w:r>
        <w:rPr>
          <w:b/>
        </w:rPr>
        <w:t>Evaluators c</w:t>
      </w:r>
      <w:r w:rsidR="004C3C18" w:rsidRPr="006A7E9B">
        <w:rPr>
          <w:b/>
        </w:rPr>
        <w:t>omment:</w:t>
      </w:r>
      <w:r w:rsidR="004C3C18" w:rsidRPr="006A7E9B">
        <w:t xml:space="preserve"> As the data were not available to the evaluator, </w:t>
      </w:r>
      <w:r w:rsidR="006A7E9B" w:rsidRPr="006A7E9B">
        <w:t xml:space="preserve">the sponsor </w:t>
      </w:r>
      <w:r w:rsidR="004C3C18" w:rsidRPr="006A7E9B">
        <w:t xml:space="preserve">needs to confirm that the formulation of </w:t>
      </w:r>
      <w:proofErr w:type="spellStart"/>
      <w:r w:rsidR="004C3C18" w:rsidRPr="006A7E9B">
        <w:t>etanercept</w:t>
      </w:r>
      <w:proofErr w:type="spellEnd"/>
      <w:r w:rsidR="004C3C18" w:rsidRPr="006A7E9B">
        <w:t xml:space="preserve"> registered in Australia is the same as that used in </w:t>
      </w:r>
      <w:r w:rsidR="006A7E9B" w:rsidRPr="006A7E9B">
        <w:t>Study B180</w:t>
      </w:r>
      <w:r w:rsidR="004C3C18" w:rsidRPr="006A7E9B">
        <w:t>1031.</w:t>
      </w:r>
    </w:p>
    <w:p w:rsidR="00586F98" w:rsidRDefault="00586F98" w:rsidP="00586F98">
      <w:pPr>
        <w:pStyle w:val="Heading2"/>
      </w:pPr>
      <w:bookmarkStart w:id="66" w:name="_Toc433315321"/>
      <w:r>
        <w:lastRenderedPageBreak/>
        <w:t>Pharmacodynamics</w:t>
      </w:r>
      <w:bookmarkEnd w:id="66"/>
    </w:p>
    <w:p w:rsidR="004C3C18" w:rsidRPr="004C3C18" w:rsidRDefault="004C3C18" w:rsidP="004C3C18">
      <w:pPr>
        <w:pStyle w:val="Heading3"/>
      </w:pPr>
      <w:bookmarkStart w:id="67" w:name="_Toc272414637"/>
      <w:bookmarkStart w:id="68" w:name="_Toc290846260"/>
      <w:bookmarkStart w:id="69" w:name="_Toc401924956"/>
      <w:bookmarkStart w:id="70" w:name="_Toc433315322"/>
      <w:r w:rsidRPr="004C3C18">
        <w:t xml:space="preserve">Studies providing </w:t>
      </w:r>
      <w:proofErr w:type="spellStart"/>
      <w:r w:rsidRPr="004C3C18">
        <w:t>pharmacodynamic</w:t>
      </w:r>
      <w:proofErr w:type="spellEnd"/>
      <w:r w:rsidRPr="004C3C18">
        <w:t xml:space="preserve"> data</w:t>
      </w:r>
      <w:bookmarkEnd w:id="67"/>
      <w:bookmarkEnd w:id="68"/>
      <w:bookmarkEnd w:id="69"/>
      <w:bookmarkEnd w:id="70"/>
    </w:p>
    <w:p w:rsidR="004C3C18" w:rsidRPr="004C3C18" w:rsidRDefault="004C3C18" w:rsidP="004C3C18">
      <w:r w:rsidRPr="004C3C18">
        <w:t xml:space="preserve">There were no submitted </w:t>
      </w:r>
      <w:proofErr w:type="spellStart"/>
      <w:r w:rsidRPr="004C3C18">
        <w:t>pharmacodynamic</w:t>
      </w:r>
      <w:proofErr w:type="spellEnd"/>
      <w:r w:rsidRPr="004C3C18">
        <w:t xml:space="preserve"> studies.</w:t>
      </w:r>
    </w:p>
    <w:p w:rsidR="004C3C18" w:rsidRPr="004C3C18" w:rsidRDefault="004C3C18" w:rsidP="004C3C18">
      <w:pPr>
        <w:pStyle w:val="Heading3"/>
      </w:pPr>
      <w:bookmarkStart w:id="71" w:name="_Ref269119989"/>
      <w:bookmarkStart w:id="72" w:name="_Toc272414639"/>
      <w:bookmarkStart w:id="73" w:name="_Toc290846261"/>
      <w:bookmarkStart w:id="74" w:name="_Toc401924957"/>
      <w:bookmarkStart w:id="75" w:name="_Toc433315323"/>
      <w:r w:rsidRPr="004C3C18">
        <w:t>Summary of pharmacodynamics</w:t>
      </w:r>
      <w:bookmarkEnd w:id="71"/>
      <w:bookmarkEnd w:id="72"/>
      <w:bookmarkEnd w:id="73"/>
      <w:bookmarkEnd w:id="74"/>
      <w:bookmarkEnd w:id="75"/>
    </w:p>
    <w:p w:rsidR="004C3C18" w:rsidRPr="004C3C18" w:rsidRDefault="004C3C18" w:rsidP="004C3C18">
      <w:r w:rsidRPr="004C3C18">
        <w:t>The following information is taken from the approved PI.</w:t>
      </w:r>
    </w:p>
    <w:p w:rsidR="004C3C18" w:rsidRPr="004C3C18" w:rsidRDefault="004C3C18" w:rsidP="004C3C18">
      <w:proofErr w:type="spellStart"/>
      <w:r w:rsidRPr="004C3C18">
        <w:t>Etanercept</w:t>
      </w:r>
      <w:proofErr w:type="spellEnd"/>
      <w:r w:rsidRPr="004C3C18">
        <w:t xml:space="preserve"> binds specifically to tumour necrosis factor alpha (TNFα) and blocks its interaction with cell surface TNFα</w:t>
      </w:r>
      <w:r>
        <w:t xml:space="preserve"> receptors.</w:t>
      </w:r>
    </w:p>
    <w:p w:rsidR="004C3C18" w:rsidRPr="004C3C18" w:rsidRDefault="004C3C18" w:rsidP="004C3C18">
      <w:r w:rsidRPr="004C3C18">
        <w:t xml:space="preserve">Pro-inflammatory molecules that are linked in a network controlled by TNF mediate much of the joint pathology in rheumatoid arthritis and ankylosing spondylitis and skin pathology in plaque psoriasis. The mechanism of action of </w:t>
      </w:r>
      <w:proofErr w:type="spellStart"/>
      <w:r w:rsidRPr="004C3C18">
        <w:t>etanercept</w:t>
      </w:r>
      <w:proofErr w:type="spellEnd"/>
      <w:r w:rsidRPr="004C3C18">
        <w:t xml:space="preserve"> is thought to be its competitive inhibition of TNF binding to cell surface TNF receptor, preventing TNF-mediated cellular responses by rendering TNF biologically inactive. </w:t>
      </w:r>
      <w:proofErr w:type="spellStart"/>
      <w:r w:rsidRPr="004C3C18">
        <w:t>Etanercept</w:t>
      </w:r>
      <w:proofErr w:type="spellEnd"/>
      <w:r w:rsidRPr="004C3C18">
        <w:t xml:space="preserve"> may also modulate biological responses controlled by additional downstream molecules (</w:t>
      </w:r>
      <w:r w:rsidR="006A7E9B">
        <w:t>for example,</w:t>
      </w:r>
      <w:r w:rsidRPr="004C3C18">
        <w:t xml:space="preserve"> cytokines, adhesion molecules, or proteinases) that are induced or regulated by TNF.</w:t>
      </w:r>
    </w:p>
    <w:p w:rsidR="004C3C18" w:rsidRPr="004C3C18" w:rsidRDefault="004C3C18" w:rsidP="004C3C18">
      <w:pPr>
        <w:pStyle w:val="Heading3"/>
      </w:pPr>
      <w:bookmarkStart w:id="76" w:name="_Ref269983272"/>
      <w:bookmarkStart w:id="77" w:name="_Toc272414648"/>
      <w:bookmarkStart w:id="78" w:name="_Toc290846270"/>
      <w:bookmarkStart w:id="79" w:name="_Toc401924958"/>
      <w:bookmarkStart w:id="80" w:name="_Toc433315324"/>
      <w:r w:rsidRPr="004C3C18">
        <w:t>Evaluator’s overall conclusions on pharmacodynamics</w:t>
      </w:r>
      <w:bookmarkEnd w:id="76"/>
      <w:bookmarkEnd w:id="77"/>
      <w:bookmarkEnd w:id="78"/>
      <w:bookmarkEnd w:id="79"/>
      <w:bookmarkEnd w:id="80"/>
    </w:p>
    <w:p w:rsidR="004C3C18" w:rsidRPr="004C3C18" w:rsidRDefault="004C3C18" w:rsidP="00C93718">
      <w:r w:rsidRPr="004C3C18">
        <w:t xml:space="preserve">There </w:t>
      </w:r>
      <w:proofErr w:type="gramStart"/>
      <w:r w:rsidRPr="004C3C18">
        <w:t>were</w:t>
      </w:r>
      <w:proofErr w:type="gramEnd"/>
      <w:r w:rsidRPr="004C3C18">
        <w:t xml:space="preserve"> no new clinical pharmacology data submitted.</w:t>
      </w:r>
    </w:p>
    <w:p w:rsidR="004C3C18" w:rsidRPr="004C3C18" w:rsidRDefault="004C3C18" w:rsidP="00C93718">
      <w:r w:rsidRPr="004C3C18">
        <w:t>Anti-</w:t>
      </w:r>
      <w:proofErr w:type="spellStart"/>
      <w:r w:rsidRPr="004C3C18">
        <w:t>etanercept</w:t>
      </w:r>
      <w:proofErr w:type="spellEnd"/>
      <w:r w:rsidRPr="004C3C18">
        <w:t xml:space="preserve"> antibodies were not assessed in the </w:t>
      </w:r>
      <w:r w:rsidR="006A7E9B">
        <w:t>Study B180</w:t>
      </w:r>
      <w:r w:rsidRPr="004C3C18">
        <w:t>1031.</w:t>
      </w:r>
    </w:p>
    <w:p w:rsidR="00586F98" w:rsidRDefault="00C22678" w:rsidP="00586F98">
      <w:pPr>
        <w:pStyle w:val="Heading2"/>
      </w:pPr>
      <w:bookmarkStart w:id="81" w:name="_Toc433315325"/>
      <w:r>
        <w:t>Dosage selection for the pivotal studies</w:t>
      </w:r>
      <w:bookmarkEnd w:id="81"/>
    </w:p>
    <w:p w:rsidR="004C3C18" w:rsidRPr="004C3C18" w:rsidRDefault="004C3C18" w:rsidP="004C3C18">
      <w:r w:rsidRPr="004C3C18">
        <w:t xml:space="preserve">There is no proposed change to the approved dosage as the dosage regimen used in </w:t>
      </w:r>
      <w:r w:rsidR="006A7E9B">
        <w:t>Study B180</w:t>
      </w:r>
      <w:r w:rsidRPr="004C3C18">
        <w:t>1031 was the approved regimen of 50 mg SC once weekly.</w:t>
      </w:r>
    </w:p>
    <w:p w:rsidR="00C22678" w:rsidRDefault="00C22678" w:rsidP="00C22678">
      <w:pPr>
        <w:pStyle w:val="Heading2"/>
      </w:pPr>
      <w:bookmarkStart w:id="82" w:name="_Toc433315326"/>
      <w:r>
        <w:t>Clinical efficacy</w:t>
      </w:r>
      <w:bookmarkEnd w:id="82"/>
    </w:p>
    <w:p w:rsidR="004B7713" w:rsidRPr="004B7713" w:rsidRDefault="004B7713" w:rsidP="004B7713">
      <w:pPr>
        <w:pStyle w:val="Heading3"/>
      </w:pPr>
      <w:bookmarkStart w:id="83" w:name="_Ref271199564"/>
      <w:bookmarkStart w:id="84" w:name="_Toc272414651"/>
      <w:bookmarkStart w:id="85" w:name="_Toc290846273"/>
      <w:bookmarkStart w:id="86" w:name="_Toc401924961"/>
      <w:bookmarkStart w:id="87" w:name="_Toc433315327"/>
      <w:r w:rsidRPr="004B7713">
        <w:t xml:space="preserve">Non-radiographic axial </w:t>
      </w:r>
      <w:proofErr w:type="spellStart"/>
      <w:r w:rsidRPr="004B7713">
        <w:t>spondyloarthritis</w:t>
      </w:r>
      <w:bookmarkEnd w:id="83"/>
      <w:bookmarkEnd w:id="84"/>
      <w:bookmarkEnd w:id="85"/>
      <w:bookmarkEnd w:id="86"/>
      <w:bookmarkEnd w:id="87"/>
      <w:proofErr w:type="spellEnd"/>
    </w:p>
    <w:p w:rsidR="004B7713" w:rsidRPr="004B7713" w:rsidRDefault="004B7713" w:rsidP="004B7713">
      <w:pPr>
        <w:pStyle w:val="Heading4"/>
      </w:pPr>
      <w:bookmarkStart w:id="88" w:name="_Ref271037274"/>
      <w:bookmarkStart w:id="89" w:name="_Toc272414652"/>
      <w:bookmarkStart w:id="90" w:name="_Toc290846274"/>
      <w:bookmarkStart w:id="91" w:name="_Toc401924962"/>
      <w:r w:rsidRPr="004B7713">
        <w:t>Pivotal efficacy study</w:t>
      </w:r>
      <w:bookmarkEnd w:id="88"/>
      <w:bookmarkEnd w:id="89"/>
      <w:bookmarkEnd w:id="90"/>
      <w:bookmarkEnd w:id="91"/>
    </w:p>
    <w:p w:rsidR="004B7713" w:rsidRPr="004B7713" w:rsidRDefault="004B7713" w:rsidP="004B7713">
      <w:pPr>
        <w:pStyle w:val="Heading5"/>
        <w:rPr>
          <w:lang w:eastAsia="en-AU"/>
        </w:rPr>
      </w:pPr>
      <w:bookmarkStart w:id="92" w:name="_Ref243301615"/>
      <w:bookmarkStart w:id="93" w:name="_Ref271040927"/>
      <w:bookmarkStart w:id="94" w:name="_Ref271040932"/>
      <w:bookmarkStart w:id="95" w:name="_Toc272414653"/>
      <w:bookmarkStart w:id="96" w:name="_Toc290846275"/>
      <w:bookmarkStart w:id="97" w:name="_Toc401924963"/>
      <w:r w:rsidRPr="004B7713">
        <w:rPr>
          <w:lang w:eastAsia="en-AU"/>
        </w:rPr>
        <w:t xml:space="preserve">Study </w:t>
      </w:r>
      <w:bookmarkEnd w:id="92"/>
      <w:r w:rsidRPr="004B7713">
        <w:rPr>
          <w:lang w:eastAsia="en-AU"/>
        </w:rPr>
        <w:t>B1801031</w:t>
      </w:r>
      <w:bookmarkEnd w:id="93"/>
      <w:bookmarkEnd w:id="94"/>
      <w:bookmarkEnd w:id="95"/>
      <w:bookmarkEnd w:id="96"/>
      <w:bookmarkEnd w:id="97"/>
    </w:p>
    <w:p w:rsidR="004B7713" w:rsidRPr="004B7713" w:rsidRDefault="004B7713" w:rsidP="004B7713">
      <w:pPr>
        <w:pStyle w:val="Heading6"/>
        <w:rPr>
          <w:lang w:eastAsia="en-AU"/>
        </w:rPr>
      </w:pPr>
      <w:r w:rsidRPr="004B7713">
        <w:rPr>
          <w:lang w:eastAsia="en-AU"/>
        </w:rPr>
        <w:t>Study design, objectives, locations and dates</w:t>
      </w:r>
    </w:p>
    <w:p w:rsidR="004B7713" w:rsidRPr="004B7713" w:rsidRDefault="004B7713" w:rsidP="004B7713">
      <w:r w:rsidRPr="004B7713">
        <w:t xml:space="preserve">This was a </w:t>
      </w:r>
      <w:r w:rsidR="00C93718">
        <w:t>Phase II</w:t>
      </w:r>
      <w:r w:rsidRPr="004B7713">
        <w:t xml:space="preserve">I, multicentre, 12 week double-blind, placebo-controlled, randomised study with a 92 week open label extension period, which evaluated the efficacy of </w:t>
      </w:r>
      <w:proofErr w:type="spellStart"/>
      <w:r w:rsidRPr="004B7713">
        <w:t>etanercept</w:t>
      </w:r>
      <w:proofErr w:type="spellEnd"/>
      <w:r w:rsidRPr="004B7713">
        <w:t xml:space="preserve"> on background NSAID therapy in adults with active </w:t>
      </w:r>
      <w:proofErr w:type="spellStart"/>
      <w:r w:rsidRPr="004B7713">
        <w:t>AxSpA</w:t>
      </w:r>
      <w:proofErr w:type="spellEnd"/>
      <w:r w:rsidRPr="004B7713">
        <w:t xml:space="preserve"> despite optimal NSAID therapy. Non-radiographic </w:t>
      </w:r>
      <w:proofErr w:type="spellStart"/>
      <w:r w:rsidRPr="004B7713">
        <w:t>sacroiliitis</w:t>
      </w:r>
      <w:proofErr w:type="spellEnd"/>
      <w:r w:rsidRPr="004B7713">
        <w:t xml:space="preserve"> was defined as those subjects who did not meet the modified New York (NY) criteria. The study was conducted between May 2011 and February 2013 at 48 centres in 14 countries in South America, east and west Europe and Asia.</w:t>
      </w:r>
    </w:p>
    <w:p w:rsidR="004B7713" w:rsidRDefault="004B7713" w:rsidP="004B7713">
      <w:r w:rsidRPr="004B7713">
        <w:t xml:space="preserve">After a 4 week screening period, eligible subjects were randomised in a 1:1 ratio to ETN or placebo on a background of stable, optimal dose NSAID. Subjects were stratified based on positive or negative </w:t>
      </w:r>
      <w:proofErr w:type="spellStart"/>
      <w:r w:rsidRPr="004B7713">
        <w:t>sacroiliitis</w:t>
      </w:r>
      <w:proofErr w:type="spellEnd"/>
      <w:r w:rsidRPr="004B7713">
        <w:t xml:space="preserve"> on MRI. Subjects who successfully completed the 12 week </w:t>
      </w:r>
      <w:r w:rsidRPr="00E54EDF">
        <w:t>double-blind period entered a 92 week open label period of with ETN and NSAID therapy (Figure 1). Subjects</w:t>
      </w:r>
      <w:r w:rsidRPr="004B7713">
        <w:t xml:space="preserve"> discontinuing early had a 30 day follow up.</w:t>
      </w:r>
    </w:p>
    <w:p w:rsidR="00E54EDF" w:rsidRPr="006A49A8" w:rsidRDefault="00E54EDF" w:rsidP="00E54EDF">
      <w:pPr>
        <w:pStyle w:val="FigureTitle"/>
      </w:pPr>
      <w:bookmarkStart w:id="98" w:name="_Ref386618267"/>
      <w:bookmarkStart w:id="99" w:name="_Toc401925030"/>
      <w:r w:rsidRPr="006A49A8">
        <w:lastRenderedPageBreak/>
        <w:t xml:space="preserve">Figure </w:t>
      </w:r>
      <w:bookmarkEnd w:id="98"/>
      <w:bookmarkEnd w:id="99"/>
      <w:r>
        <w:t xml:space="preserve">1: </w:t>
      </w:r>
      <w:r w:rsidRPr="006A49A8">
        <w:t>Study B1801031 Study design and plan</w:t>
      </w:r>
    </w:p>
    <w:p w:rsidR="00E54EDF" w:rsidRPr="006A49A8" w:rsidRDefault="00E54EDF" w:rsidP="00E54EDF">
      <w:pPr>
        <w:rPr>
          <w:rFonts w:ascii="Calibri" w:hAnsi="Calibri"/>
          <w:sz w:val="20"/>
          <w:szCs w:val="20"/>
        </w:rPr>
      </w:pPr>
      <w:r w:rsidRPr="006A49A8">
        <w:rPr>
          <w:rFonts w:ascii="Calibri" w:hAnsi="Calibri"/>
          <w:noProof/>
          <w:sz w:val="20"/>
          <w:szCs w:val="20"/>
          <w:lang w:eastAsia="en-AU"/>
        </w:rPr>
        <w:drawing>
          <wp:inline distT="0" distB="0" distL="0" distR="0" wp14:anchorId="438D85B2" wp14:editId="274EC8BE">
            <wp:extent cx="5210175" cy="2466975"/>
            <wp:effectExtent l="0" t="0" r="0" b="0"/>
            <wp:docPr id="1" name="Picture 1" descr="Figure 1: Study B1801031 Study design an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lum bright="-20000" contrast="40000"/>
                    </a:blip>
                    <a:srcRect t="14468" b="4066"/>
                    <a:stretch/>
                  </pic:blipFill>
                  <pic:spPr bwMode="auto">
                    <a:xfrm>
                      <a:off x="0" y="0"/>
                      <a:ext cx="5207867" cy="2465882"/>
                    </a:xfrm>
                    <a:prstGeom prst="rect">
                      <a:avLst/>
                    </a:prstGeom>
                    <a:noFill/>
                    <a:ln>
                      <a:noFill/>
                    </a:ln>
                    <a:extLst>
                      <a:ext uri="{53640926-AAD7-44D8-BBD7-CCE9431645EC}">
                        <a14:shadowObscured xmlns:a14="http://schemas.microsoft.com/office/drawing/2010/main"/>
                      </a:ext>
                    </a:extLst>
                  </pic:spPr>
                </pic:pic>
              </a:graphicData>
            </a:graphic>
          </wp:inline>
        </w:drawing>
      </w:r>
    </w:p>
    <w:p w:rsidR="004B7713" w:rsidRPr="004B7713" w:rsidRDefault="004B7713" w:rsidP="004B7713">
      <w:r w:rsidRPr="004B7713">
        <w:t xml:space="preserve">The dossier included the interim CSR which contained data to the end of the 12 week double-blind and 12 week open label periods (24 weeks total). The study is ongoing to </w:t>
      </w:r>
      <w:r w:rsidR="00C93718">
        <w:t xml:space="preserve">Week 92 </w:t>
      </w:r>
      <w:r w:rsidRPr="004B7713">
        <w:t>of the open label period.</w:t>
      </w:r>
    </w:p>
    <w:p w:rsidR="004B7713" w:rsidRPr="004B7713" w:rsidRDefault="004B7713" w:rsidP="004B7713">
      <w:r w:rsidRPr="004B7713">
        <w:t xml:space="preserve">There was a central reading of </w:t>
      </w:r>
      <w:r w:rsidR="00C93718">
        <w:t>X-rays</w:t>
      </w:r>
      <w:r w:rsidRPr="004B7713">
        <w:t xml:space="preserve"> and MRIs and a central laboratory for all samples (except ESR and urine pregnancy test which were performed using supplied kits). MRI scores were given by two independent readers with adjudication by a third if results were discordant.</w:t>
      </w:r>
    </w:p>
    <w:p w:rsidR="004B7713" w:rsidRDefault="004B7713" w:rsidP="004B7713">
      <w:r w:rsidRPr="004B7713">
        <w:t>The primary objective was to compare the efficacy of ETN against placebo in improving symptoms of early nr-</w:t>
      </w:r>
      <w:proofErr w:type="spellStart"/>
      <w:r w:rsidRPr="004B7713">
        <w:t>AxSpA</w:t>
      </w:r>
      <w:proofErr w:type="spellEnd"/>
      <w:r w:rsidRPr="004B7713">
        <w:t xml:space="preserve"> at 12 weeks when added to a background NSAID at the optimal anti-inflammatory dose.</w:t>
      </w:r>
    </w:p>
    <w:p w:rsidR="004B7713" w:rsidRPr="004B7713" w:rsidRDefault="004B7713" w:rsidP="004B7713">
      <w:pPr>
        <w:autoSpaceDE w:val="0"/>
        <w:autoSpaceDN w:val="0"/>
        <w:adjustRightInd w:val="0"/>
        <w:spacing w:before="0" w:line="240" w:lineRule="auto"/>
        <w:rPr>
          <w:rFonts w:eastAsia="Times New Roman" w:cs="TimesNewRoman"/>
          <w:lang w:eastAsia="zh-TW"/>
        </w:rPr>
      </w:pPr>
      <w:r>
        <w:rPr>
          <w:rFonts w:eastAsia="Times New Roman" w:cs="TimesNewRoman"/>
          <w:lang w:eastAsia="zh-TW"/>
        </w:rPr>
        <w:t>Secondary objectives were:</w:t>
      </w:r>
    </w:p>
    <w:p w:rsidR="004B7713" w:rsidRPr="00C93718" w:rsidRDefault="004B7713" w:rsidP="00C93718">
      <w:pPr>
        <w:pStyle w:val="ListBullet"/>
      </w:pPr>
      <w:r w:rsidRPr="00C93718">
        <w:t>To assess the efficacy and safety of ETN and background NSAID over 104 weeks.</w:t>
      </w:r>
    </w:p>
    <w:p w:rsidR="004B7713" w:rsidRPr="00C93718" w:rsidRDefault="004B7713" w:rsidP="00C93718">
      <w:pPr>
        <w:pStyle w:val="ListBullet"/>
      </w:pPr>
      <w:r w:rsidRPr="00C93718">
        <w:t>To compare the effect of ETN 50 mg once weekly versus placebo on inflammation seen in MRI of the spine at 12 weeks when added to a background NSAID at the optimal anti-inflammatory dose.</w:t>
      </w:r>
    </w:p>
    <w:p w:rsidR="004B7713" w:rsidRPr="00C93718" w:rsidRDefault="004B7713" w:rsidP="00C93718">
      <w:pPr>
        <w:pStyle w:val="ListBullet"/>
      </w:pPr>
      <w:r w:rsidRPr="00C93718">
        <w:t xml:space="preserve">To compare the quality of life between those subjects treated with ETN 50 mg once weekly </w:t>
      </w:r>
      <w:r w:rsidR="00455BC5">
        <w:t>versus</w:t>
      </w:r>
      <w:r w:rsidRPr="00C93718">
        <w:t xml:space="preserve"> placebo over 12 weeks when added to a background NSAID at the optimal anti-inflammatory dose.</w:t>
      </w:r>
    </w:p>
    <w:p w:rsidR="004B7713" w:rsidRDefault="004B7713" w:rsidP="004B7713">
      <w:r w:rsidRPr="004B7713">
        <w:t>An exploratory objective was to evaluate the effect of ETN plus background NSAID on radiographic and MRI changes for up to 104 weeks.</w:t>
      </w:r>
    </w:p>
    <w:p w:rsidR="004B7713" w:rsidRPr="004B7713" w:rsidRDefault="004B7713" w:rsidP="004B7713">
      <w:pPr>
        <w:pStyle w:val="Heading6"/>
      </w:pPr>
      <w:r w:rsidRPr="004B7713">
        <w:t>Inclusion and exclusion criteria</w:t>
      </w:r>
    </w:p>
    <w:p w:rsidR="004B7713" w:rsidRPr="004B7713" w:rsidRDefault="004B7713" w:rsidP="004B771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jc w:val="both"/>
        <w:rPr>
          <w:rFonts w:eastAsia="Times New Roman"/>
          <w:kern w:val="16"/>
          <w:lang w:eastAsia="en-AU"/>
        </w:rPr>
      </w:pPr>
      <w:r w:rsidRPr="004B7713">
        <w:rPr>
          <w:rFonts w:eastAsia="Times New Roman"/>
          <w:kern w:val="16"/>
          <w:lang w:eastAsia="en-AU"/>
        </w:rPr>
        <w:t>In</w:t>
      </w:r>
      <w:r>
        <w:rPr>
          <w:rFonts w:eastAsia="Times New Roman"/>
          <w:kern w:val="16"/>
          <w:lang w:eastAsia="en-AU"/>
        </w:rPr>
        <w:t>clusion criteria were:</w:t>
      </w:r>
    </w:p>
    <w:p w:rsidR="004B7713" w:rsidRPr="004B7713" w:rsidRDefault="004B7713" w:rsidP="004B7713">
      <w:pPr>
        <w:pStyle w:val="ListBullet"/>
        <w:rPr>
          <w:lang w:eastAsia="en-AU"/>
        </w:rPr>
      </w:pPr>
      <w:r w:rsidRPr="004B7713">
        <w:rPr>
          <w:lang w:eastAsia="en-AU"/>
        </w:rPr>
        <w:t xml:space="preserve">Diagnosis of </w:t>
      </w:r>
      <w:proofErr w:type="spellStart"/>
      <w:r w:rsidRPr="004B7713">
        <w:rPr>
          <w:lang w:eastAsia="en-AU"/>
        </w:rPr>
        <w:t>AxSpA</w:t>
      </w:r>
      <w:proofErr w:type="spellEnd"/>
      <w:r w:rsidRPr="004B7713">
        <w:rPr>
          <w:lang w:eastAsia="en-AU"/>
        </w:rPr>
        <w:t xml:space="preserve">, as defined by the ASAS </w:t>
      </w:r>
      <w:r w:rsidRPr="00E54EDF">
        <w:rPr>
          <w:lang w:eastAsia="en-AU"/>
        </w:rPr>
        <w:t xml:space="preserve">criteria (Figure </w:t>
      </w:r>
      <w:r w:rsidR="00E54EDF" w:rsidRPr="00E54EDF">
        <w:rPr>
          <w:lang w:eastAsia="en-AU"/>
        </w:rPr>
        <w:t>2</w:t>
      </w:r>
      <w:r w:rsidRPr="00E54EDF">
        <w:rPr>
          <w:lang w:eastAsia="en-AU"/>
        </w:rPr>
        <w:t>)</w:t>
      </w:r>
      <w:r w:rsidRPr="00E54EDF">
        <w:rPr>
          <w:vertAlign w:val="superscript"/>
          <w:lang w:eastAsia="en-AU"/>
        </w:rPr>
        <w:footnoteReference w:id="9"/>
      </w:r>
      <w:r w:rsidRPr="00E54EDF">
        <w:rPr>
          <w:lang w:eastAsia="en-AU"/>
        </w:rPr>
        <w:t>, with</w:t>
      </w:r>
      <w:r w:rsidRPr="004B7713">
        <w:rPr>
          <w:lang w:eastAsia="en-AU"/>
        </w:rPr>
        <w:t xml:space="preserve"> </w:t>
      </w:r>
      <w:proofErr w:type="gramStart"/>
      <w:r w:rsidRPr="004B7713">
        <w:rPr>
          <w:lang w:eastAsia="en-AU"/>
        </w:rPr>
        <w:t>a duration</w:t>
      </w:r>
      <w:proofErr w:type="gramEnd"/>
      <w:r w:rsidRPr="004B7713">
        <w:rPr>
          <w:lang w:eastAsia="en-AU"/>
        </w:rPr>
        <w:t xml:space="preserve"> of symptoms of &gt;</w:t>
      </w:r>
      <w:r>
        <w:rPr>
          <w:lang w:eastAsia="en-AU"/>
        </w:rPr>
        <w:t xml:space="preserve"> </w:t>
      </w:r>
      <w:r w:rsidRPr="004B7713">
        <w:rPr>
          <w:lang w:eastAsia="en-AU"/>
        </w:rPr>
        <w:t>3 months and &lt;</w:t>
      </w:r>
      <w:r>
        <w:rPr>
          <w:lang w:eastAsia="en-AU"/>
        </w:rPr>
        <w:t xml:space="preserve"> </w:t>
      </w:r>
      <w:r w:rsidRPr="004B7713">
        <w:rPr>
          <w:lang w:eastAsia="en-AU"/>
        </w:rPr>
        <w:t>5 years.</w:t>
      </w:r>
    </w:p>
    <w:p w:rsidR="004B7713" w:rsidRPr="004B7713" w:rsidRDefault="004B7713" w:rsidP="004B7713">
      <w:pPr>
        <w:pStyle w:val="ListBullet"/>
        <w:rPr>
          <w:lang w:eastAsia="en-AU"/>
        </w:rPr>
      </w:pPr>
      <w:r w:rsidRPr="004B7713">
        <w:rPr>
          <w:lang w:eastAsia="en-AU"/>
        </w:rPr>
        <w:t>Activ</w:t>
      </w:r>
      <w:r>
        <w:rPr>
          <w:lang w:eastAsia="en-AU"/>
        </w:rPr>
        <w:t xml:space="preserve">e symptoms defined by a BASDAI ≥ </w:t>
      </w:r>
      <w:r w:rsidRPr="004B7713">
        <w:rPr>
          <w:lang w:eastAsia="en-AU"/>
        </w:rPr>
        <w:t>4 at the screening.</w:t>
      </w:r>
    </w:p>
    <w:p w:rsidR="004B7713" w:rsidRPr="004B7713" w:rsidRDefault="004B7713" w:rsidP="004B7713">
      <w:pPr>
        <w:pStyle w:val="ListBullet"/>
        <w:rPr>
          <w:lang w:eastAsia="en-AU"/>
        </w:rPr>
      </w:pPr>
      <w:r w:rsidRPr="004B7713">
        <w:rPr>
          <w:lang w:eastAsia="en-AU"/>
        </w:rPr>
        <w:lastRenderedPageBreak/>
        <w:t>Axial symptoms of back pain with a less than favourable response to current intake of NSAID at the optimal dose as determined by the Investigator. Subjects should have failed at least 2 NSAIDs (including the current one) taken separately at the optimal dose with a total combined duration of &gt;</w:t>
      </w:r>
      <w:r>
        <w:rPr>
          <w:lang w:eastAsia="en-AU"/>
        </w:rPr>
        <w:t xml:space="preserve"> </w:t>
      </w:r>
      <w:r w:rsidRPr="004B7713">
        <w:rPr>
          <w:lang w:eastAsia="en-AU"/>
        </w:rPr>
        <w:t>4 weeks.</w:t>
      </w:r>
    </w:p>
    <w:p w:rsidR="004B7713" w:rsidRPr="004B7713" w:rsidRDefault="004B7713" w:rsidP="004B7713">
      <w:pPr>
        <w:pStyle w:val="ListBullet"/>
        <w:rPr>
          <w:lang w:eastAsia="en-AU"/>
        </w:rPr>
      </w:pPr>
      <w:r w:rsidRPr="004B7713">
        <w:rPr>
          <w:lang w:eastAsia="en-AU"/>
        </w:rPr>
        <w:t>Taking a stable dose of NSAID for at least 14 days before baseline.</w:t>
      </w:r>
    </w:p>
    <w:p w:rsidR="004B7713" w:rsidRPr="004B7713" w:rsidRDefault="004B7713" w:rsidP="004B7713">
      <w:pPr>
        <w:pStyle w:val="ListBullet"/>
        <w:rPr>
          <w:lang w:eastAsia="en-AU"/>
        </w:rPr>
      </w:pPr>
      <w:r>
        <w:rPr>
          <w:lang w:eastAsia="en-AU"/>
        </w:rPr>
        <w:t xml:space="preserve">≥ </w:t>
      </w:r>
      <w:r w:rsidRPr="004B7713">
        <w:rPr>
          <w:lang w:eastAsia="en-AU"/>
        </w:rPr>
        <w:t>18 years and &lt;</w:t>
      </w:r>
      <w:r>
        <w:rPr>
          <w:lang w:eastAsia="en-AU"/>
        </w:rPr>
        <w:t xml:space="preserve"> </w:t>
      </w:r>
      <w:r w:rsidRPr="004B7713">
        <w:rPr>
          <w:lang w:eastAsia="en-AU"/>
        </w:rPr>
        <w:t>50 years.</w:t>
      </w:r>
    </w:p>
    <w:p w:rsidR="004B7713" w:rsidRPr="004B7713" w:rsidRDefault="004B7713" w:rsidP="004B7713">
      <w:pPr>
        <w:pStyle w:val="ListBullet"/>
        <w:rPr>
          <w:lang w:eastAsia="en-AU"/>
        </w:rPr>
      </w:pPr>
      <w:r w:rsidRPr="004B7713">
        <w:rPr>
          <w:lang w:eastAsia="en-AU"/>
        </w:rPr>
        <w:t>No contraindication to MRI examination, able to self-inject drug and store injectable study drug under refrigerated conditions</w:t>
      </w:r>
      <w:r>
        <w:rPr>
          <w:lang w:eastAsia="en-AU"/>
        </w:rPr>
        <w:t>.</w:t>
      </w:r>
    </w:p>
    <w:p w:rsidR="004B7713" w:rsidRPr="004B7713" w:rsidRDefault="004B7713" w:rsidP="004B7713">
      <w:pPr>
        <w:pStyle w:val="ListBullet"/>
        <w:rPr>
          <w:lang w:eastAsia="en-AU"/>
        </w:rPr>
      </w:pPr>
      <w:r w:rsidRPr="004B7713">
        <w:rPr>
          <w:lang w:eastAsia="en-AU"/>
        </w:rPr>
        <w:t>Negative serum pregnancy test and use of effective contraception.</w:t>
      </w:r>
    </w:p>
    <w:p w:rsidR="004B7713" w:rsidRPr="004B7713" w:rsidRDefault="004B7713" w:rsidP="004B7713">
      <w:pPr>
        <w:pStyle w:val="ListBullet"/>
        <w:rPr>
          <w:lang w:eastAsia="en-AU"/>
        </w:rPr>
      </w:pPr>
      <w:r w:rsidRPr="004B7713">
        <w:rPr>
          <w:lang w:eastAsia="en-AU"/>
        </w:rPr>
        <w:t>Adequate screening for TB in accordance with local country guidelines.</w:t>
      </w:r>
    </w:p>
    <w:p w:rsidR="004B7713" w:rsidRDefault="004B7713" w:rsidP="004B7713">
      <w:pPr>
        <w:pStyle w:val="ListBullet"/>
        <w:rPr>
          <w:lang w:eastAsia="en-AU"/>
        </w:rPr>
      </w:pPr>
      <w:r w:rsidRPr="004B7713">
        <w:rPr>
          <w:lang w:eastAsia="en-AU"/>
        </w:rPr>
        <w:t xml:space="preserve">In Germany only: subjects who were not eligible to get new spine and/or pelvic X-rays due to local regulations should have had these X-rays taken within 12 months prior to screening. The central reader was to consider the X-rays to be acceptable for evaluation of </w:t>
      </w:r>
      <w:proofErr w:type="spellStart"/>
      <w:r w:rsidRPr="004B7713">
        <w:rPr>
          <w:lang w:eastAsia="en-AU"/>
        </w:rPr>
        <w:t>sacroiliitis</w:t>
      </w:r>
      <w:proofErr w:type="spellEnd"/>
      <w:r w:rsidRPr="004B7713">
        <w:rPr>
          <w:lang w:eastAsia="en-AU"/>
        </w:rPr>
        <w:t xml:space="preserve">, </w:t>
      </w:r>
      <w:proofErr w:type="spellStart"/>
      <w:r w:rsidRPr="004B7713">
        <w:rPr>
          <w:lang w:eastAsia="en-AU"/>
        </w:rPr>
        <w:t>mSASSS</w:t>
      </w:r>
      <w:proofErr w:type="spellEnd"/>
      <w:r w:rsidRPr="004B7713">
        <w:rPr>
          <w:lang w:eastAsia="en-AU"/>
        </w:rPr>
        <w:t xml:space="preserve"> and RASSS.</w:t>
      </w:r>
    </w:p>
    <w:p w:rsidR="00E54EDF" w:rsidRDefault="00E54EDF" w:rsidP="00CA02D7">
      <w:pPr>
        <w:pStyle w:val="FigureTitle"/>
      </w:pPr>
      <w:r w:rsidRPr="00E54EDF">
        <w:t xml:space="preserve">Figure </w:t>
      </w:r>
      <w:r>
        <w:t>2</w:t>
      </w:r>
      <w:r w:rsidRPr="00E54EDF">
        <w:t xml:space="preserve">: ASAS Classification criteria for Axial </w:t>
      </w:r>
      <w:proofErr w:type="spellStart"/>
      <w:r w:rsidRPr="00E54EDF">
        <w:t>Spondyloarth</w:t>
      </w:r>
      <w:r>
        <w:t>r</w:t>
      </w:r>
      <w:r w:rsidRPr="00E54EDF">
        <w:t>itis</w:t>
      </w:r>
      <w:proofErr w:type="spellEnd"/>
      <w:r w:rsidRPr="00E54EDF">
        <w:t xml:space="preserve"> in patients with ≥3 months of </w:t>
      </w:r>
      <w:r w:rsidRPr="00CA02D7">
        <w:t>Back</w:t>
      </w:r>
      <w:r w:rsidRPr="00E54EDF">
        <w:t xml:space="preserve"> pain and Age onset &lt;45 years.</w:t>
      </w:r>
    </w:p>
    <w:p w:rsidR="00E54EDF" w:rsidRDefault="00E54EDF" w:rsidP="00E54EDF">
      <w:r w:rsidRPr="006A49A8">
        <w:rPr>
          <w:noProof/>
          <w:lang w:eastAsia="en-AU"/>
        </w:rPr>
        <w:drawing>
          <wp:inline distT="0" distB="0" distL="0" distR="0" wp14:anchorId="1477FB04" wp14:editId="59E581B2">
            <wp:extent cx="4133850" cy="4378800"/>
            <wp:effectExtent l="0" t="0" r="0" b="0"/>
            <wp:docPr id="274" name="Picture 2" descr="Figure 2: ASAS Classification criteria for Axial Spondyloarthritis in patients with ≥3 months of Back pain and Age onset &lt;4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lum bright="-20000" contrast="40000"/>
                    </a:blip>
                    <a:srcRect t="9632"/>
                    <a:stretch/>
                  </pic:blipFill>
                  <pic:spPr bwMode="auto">
                    <a:xfrm>
                      <a:off x="0" y="0"/>
                      <a:ext cx="4141350" cy="4386744"/>
                    </a:xfrm>
                    <a:prstGeom prst="rect">
                      <a:avLst/>
                    </a:prstGeom>
                    <a:noFill/>
                    <a:ln>
                      <a:noFill/>
                    </a:ln>
                    <a:extLst>
                      <a:ext uri="{53640926-AAD7-44D8-BBD7-CCE9431645EC}">
                        <a14:shadowObscured xmlns:a14="http://schemas.microsoft.com/office/drawing/2010/main"/>
                      </a:ext>
                    </a:extLst>
                  </pic:spPr>
                </pic:pic>
              </a:graphicData>
            </a:graphic>
          </wp:inline>
        </w:drawing>
      </w:r>
    </w:p>
    <w:p w:rsidR="004B7713" w:rsidRPr="004B7713" w:rsidRDefault="004B7713" w:rsidP="00CA02D7">
      <w:pPr>
        <w:rPr>
          <w:lang w:eastAsia="en-AU"/>
        </w:rPr>
      </w:pPr>
      <w:r w:rsidRPr="004B7713">
        <w:rPr>
          <w:lang w:eastAsia="en-AU"/>
        </w:rPr>
        <w:t>Exclusion criteria were:</w:t>
      </w:r>
    </w:p>
    <w:p w:rsidR="004B7713" w:rsidRPr="004B7713" w:rsidRDefault="004B7713" w:rsidP="004B7713">
      <w:pPr>
        <w:pStyle w:val="ListBullet"/>
        <w:rPr>
          <w:kern w:val="16"/>
          <w:lang w:eastAsia="en-AU"/>
        </w:rPr>
      </w:pPr>
      <w:r w:rsidRPr="004B7713">
        <w:rPr>
          <w:kern w:val="16"/>
          <w:lang w:eastAsia="en-AU"/>
        </w:rPr>
        <w:t xml:space="preserve">Previous treatment with TNFα inhibitor or </w:t>
      </w:r>
      <w:r w:rsidRPr="004B7713">
        <w:rPr>
          <w:lang w:eastAsia="zh-TW"/>
        </w:rPr>
        <w:t>other biologic agent or immunosuppressive agent.</w:t>
      </w:r>
    </w:p>
    <w:p w:rsidR="004B7713" w:rsidRPr="004B7713" w:rsidRDefault="004B7713" w:rsidP="004B7713">
      <w:pPr>
        <w:pStyle w:val="ListBullet"/>
        <w:rPr>
          <w:kern w:val="16"/>
          <w:lang w:eastAsia="en-AU"/>
        </w:rPr>
      </w:pPr>
      <w:r w:rsidRPr="004B7713">
        <w:rPr>
          <w:kern w:val="16"/>
          <w:lang w:eastAsia="en-AU"/>
        </w:rPr>
        <w:t xml:space="preserve">Any </w:t>
      </w:r>
      <w:proofErr w:type="spellStart"/>
      <w:r w:rsidRPr="004B7713">
        <w:rPr>
          <w:kern w:val="16"/>
          <w:lang w:eastAsia="en-AU"/>
        </w:rPr>
        <w:t>orthopedic</w:t>
      </w:r>
      <w:proofErr w:type="spellEnd"/>
      <w:r w:rsidRPr="004B7713">
        <w:rPr>
          <w:kern w:val="16"/>
          <w:lang w:eastAsia="en-AU"/>
        </w:rPr>
        <w:t xml:space="preserve"> or medical condition that could cause chronic back pain such as spondylodiscitis, tumour or advanced </w:t>
      </w:r>
      <w:proofErr w:type="spellStart"/>
      <w:r w:rsidRPr="004B7713">
        <w:rPr>
          <w:kern w:val="16"/>
          <w:lang w:eastAsia="en-AU"/>
        </w:rPr>
        <w:t>discopathy</w:t>
      </w:r>
      <w:proofErr w:type="spellEnd"/>
      <w:r w:rsidRPr="004B7713">
        <w:rPr>
          <w:kern w:val="16"/>
          <w:lang w:eastAsia="en-AU"/>
        </w:rPr>
        <w:t>.</w:t>
      </w:r>
    </w:p>
    <w:p w:rsidR="004B7713" w:rsidRPr="004B7713" w:rsidRDefault="004B7713" w:rsidP="004B7713">
      <w:pPr>
        <w:pStyle w:val="ListBullet"/>
        <w:rPr>
          <w:kern w:val="16"/>
          <w:lang w:eastAsia="en-AU"/>
        </w:rPr>
      </w:pPr>
      <w:r w:rsidRPr="004B7713">
        <w:rPr>
          <w:kern w:val="16"/>
          <w:lang w:eastAsia="en-AU"/>
        </w:rPr>
        <w:lastRenderedPageBreak/>
        <w:t>IBD flare within 6 months, current or recent episodes of uveitis within 6 months.</w:t>
      </w:r>
    </w:p>
    <w:p w:rsidR="004B7713" w:rsidRPr="004B7713" w:rsidRDefault="004B7713" w:rsidP="004B7713">
      <w:pPr>
        <w:pStyle w:val="ListBullet"/>
      </w:pPr>
      <w:r w:rsidRPr="004B7713">
        <w:rPr>
          <w:kern w:val="16"/>
          <w:lang w:eastAsia="en-AU"/>
        </w:rPr>
        <w:t xml:space="preserve">Radiological evidence of </w:t>
      </w:r>
      <w:proofErr w:type="spellStart"/>
      <w:r w:rsidRPr="004B7713">
        <w:rPr>
          <w:kern w:val="16"/>
          <w:lang w:eastAsia="en-AU"/>
        </w:rPr>
        <w:t>sacroiliitis</w:t>
      </w:r>
      <w:proofErr w:type="spellEnd"/>
      <w:r w:rsidRPr="004B7713">
        <w:rPr>
          <w:kern w:val="16"/>
          <w:lang w:eastAsia="en-AU"/>
        </w:rPr>
        <w:t xml:space="preserve"> </w:t>
      </w:r>
      <w:r w:rsidR="00C93718">
        <w:rPr>
          <w:kern w:val="16"/>
          <w:lang w:eastAsia="en-AU"/>
        </w:rPr>
        <w:t>Grade 3</w:t>
      </w:r>
      <w:r>
        <w:rPr>
          <w:kern w:val="16"/>
          <w:lang w:eastAsia="en-AU"/>
        </w:rPr>
        <w:t xml:space="preserve">-4 unilaterally or grade ≥ </w:t>
      </w:r>
      <w:r w:rsidRPr="004B7713">
        <w:rPr>
          <w:kern w:val="16"/>
          <w:lang w:eastAsia="en-AU"/>
        </w:rPr>
        <w:t>2 bilaterally as defined by the Modified NY Criteria for ankylosing spondylitis</w:t>
      </w:r>
      <w:r w:rsidRPr="004B7713">
        <w:rPr>
          <w:kern w:val="16"/>
          <w:vertAlign w:val="superscript"/>
          <w:lang w:eastAsia="en-AU"/>
        </w:rPr>
        <w:footnoteReference w:id="10"/>
      </w:r>
      <w:r w:rsidRPr="004B7713">
        <w:rPr>
          <w:kern w:val="16"/>
          <w:lang w:eastAsia="en-AU"/>
        </w:rPr>
        <w:t xml:space="preserve">. Only results from the central </w:t>
      </w:r>
      <w:r w:rsidRPr="004B7713">
        <w:t xml:space="preserve">imaging reader determined eligibility. In all countries (except Germany) historical X-rays obtained within 4 months of screening may have been utilised, however, these subjects with historical X-rays had to exhibit radiological </w:t>
      </w:r>
      <w:proofErr w:type="spellStart"/>
      <w:r w:rsidRPr="004B7713">
        <w:t>sacroiliitis</w:t>
      </w:r>
      <w:proofErr w:type="spellEnd"/>
      <w:r w:rsidRPr="004B7713">
        <w:t xml:space="preserve"> </w:t>
      </w:r>
      <w:r w:rsidR="00C93718">
        <w:t>G</w:t>
      </w:r>
      <w:r w:rsidRPr="004B7713">
        <w:t xml:space="preserve">rade 0-1 unilaterally or </w:t>
      </w:r>
      <w:r w:rsidR="00C93718">
        <w:t>G</w:t>
      </w:r>
      <w:r w:rsidRPr="004B7713">
        <w:t>rade 0 bilaterally. In Germany historical X-rays were accepted if obtained within 12 months of screening (country specific protocol amendment).</w:t>
      </w:r>
    </w:p>
    <w:p w:rsidR="004B7713" w:rsidRPr="004B7713" w:rsidRDefault="004B7713" w:rsidP="00C93718">
      <w:pPr>
        <w:pStyle w:val="Comment"/>
        <w:rPr>
          <w:lang w:eastAsia="en-AU"/>
        </w:rPr>
      </w:pPr>
      <w:r w:rsidRPr="00C93718">
        <w:rPr>
          <w:b/>
          <w:lang w:eastAsia="en-AU"/>
        </w:rPr>
        <w:t>Evaluators Comment:</w:t>
      </w:r>
      <w:r w:rsidRPr="004B7713">
        <w:rPr>
          <w:lang w:eastAsia="en-AU"/>
        </w:rPr>
        <w:t xml:space="preserve"> It is therefore assumed from these criteria that </w:t>
      </w:r>
      <w:r w:rsidR="00C93718">
        <w:rPr>
          <w:lang w:eastAsia="en-AU"/>
        </w:rPr>
        <w:t>‘</w:t>
      </w:r>
      <w:r w:rsidRPr="004B7713">
        <w:rPr>
          <w:lang w:eastAsia="en-AU"/>
        </w:rPr>
        <w:t>non-radiographic</w:t>
      </w:r>
      <w:r w:rsidR="00C93718">
        <w:rPr>
          <w:lang w:eastAsia="en-AU"/>
        </w:rPr>
        <w:t>’</w:t>
      </w:r>
      <w:r w:rsidRPr="004B7713">
        <w:rPr>
          <w:lang w:eastAsia="en-AU"/>
        </w:rPr>
        <w:t xml:space="preserve"> </w:t>
      </w:r>
      <w:proofErr w:type="spellStart"/>
      <w:r w:rsidRPr="004B7713">
        <w:rPr>
          <w:lang w:eastAsia="en-AU"/>
        </w:rPr>
        <w:t>sacroiliitis</w:t>
      </w:r>
      <w:proofErr w:type="spellEnd"/>
      <w:r w:rsidRPr="004B7713">
        <w:rPr>
          <w:lang w:eastAsia="en-AU"/>
        </w:rPr>
        <w:t xml:space="preserve"> would be </w:t>
      </w:r>
      <w:proofErr w:type="spellStart"/>
      <w:r w:rsidRPr="004B7713">
        <w:rPr>
          <w:lang w:eastAsia="en-AU"/>
        </w:rPr>
        <w:t>sacroiliitis</w:t>
      </w:r>
      <w:proofErr w:type="spellEnd"/>
      <w:r w:rsidRPr="004B7713">
        <w:rPr>
          <w:lang w:eastAsia="en-AU"/>
        </w:rPr>
        <w:t xml:space="preserve"> on screening X-ray of either </w:t>
      </w:r>
      <w:r w:rsidR="00C93718">
        <w:rPr>
          <w:lang w:eastAsia="en-AU"/>
        </w:rPr>
        <w:t>G</w:t>
      </w:r>
      <w:r w:rsidRPr="004B7713">
        <w:rPr>
          <w:lang w:eastAsia="en-AU"/>
        </w:rPr>
        <w:t xml:space="preserve">rades 0, 1 or 2 unilaterally or </w:t>
      </w:r>
      <w:r w:rsidR="00C93718">
        <w:rPr>
          <w:lang w:eastAsia="en-AU"/>
        </w:rPr>
        <w:t>G</w:t>
      </w:r>
      <w:r w:rsidRPr="004B7713">
        <w:rPr>
          <w:lang w:eastAsia="en-AU"/>
        </w:rPr>
        <w:t>rades 0 or1 bilaterally. However if historical X-rays were used, the grading requirement wa</w:t>
      </w:r>
      <w:r w:rsidR="00C93718">
        <w:rPr>
          <w:lang w:eastAsia="en-AU"/>
        </w:rPr>
        <w:t>s lower at 0-1 unilaterally or G</w:t>
      </w:r>
      <w:r w:rsidRPr="004B7713">
        <w:rPr>
          <w:lang w:eastAsia="en-AU"/>
        </w:rPr>
        <w:t xml:space="preserve">rade 0 bilaterally. The </w:t>
      </w:r>
      <w:r w:rsidR="00C93718">
        <w:rPr>
          <w:lang w:eastAsia="en-AU"/>
        </w:rPr>
        <w:t>s</w:t>
      </w:r>
      <w:r w:rsidRPr="004B7713">
        <w:rPr>
          <w:lang w:eastAsia="en-AU"/>
        </w:rPr>
        <w:t>ponsor has been asked to confirm this.</w:t>
      </w:r>
    </w:p>
    <w:p w:rsidR="004B7713" w:rsidRPr="004B7713" w:rsidRDefault="004B7713" w:rsidP="004B7713">
      <w:pPr>
        <w:pStyle w:val="ListBullet"/>
        <w:rPr>
          <w:lang w:eastAsia="en-AU"/>
        </w:rPr>
      </w:pPr>
      <w:r w:rsidRPr="004B7713">
        <w:rPr>
          <w:lang w:eastAsia="en-AU"/>
        </w:rPr>
        <w:t>Known or suspected allergy, hypersensitivity, or contraindication to ETN or related compounds.</w:t>
      </w:r>
    </w:p>
    <w:p w:rsidR="004B7713" w:rsidRPr="004B7713" w:rsidRDefault="004B7713" w:rsidP="004B7713">
      <w:pPr>
        <w:pStyle w:val="ListBullet"/>
        <w:rPr>
          <w:lang w:eastAsia="en-AU"/>
        </w:rPr>
      </w:pPr>
      <w:r w:rsidRPr="004B7713">
        <w:rPr>
          <w:lang w:eastAsia="en-AU"/>
        </w:rPr>
        <w:t>Concurrent treatment with more than one NSAID or the dose had changed within 14 days at baseline (aspirin use at daily doses up to 325 mg for cardiovascular protection was allowed).</w:t>
      </w:r>
    </w:p>
    <w:p w:rsidR="004B7713" w:rsidRPr="004B7713" w:rsidRDefault="004B7713" w:rsidP="004B7713">
      <w:pPr>
        <w:pStyle w:val="ListBullet"/>
        <w:rPr>
          <w:lang w:eastAsia="en-AU"/>
        </w:rPr>
      </w:pPr>
      <w:r w:rsidRPr="004B7713">
        <w:rPr>
          <w:lang w:eastAsia="en-AU"/>
        </w:rPr>
        <w:t xml:space="preserve">DMARDS other than methotrexate, sulfasalazine and </w:t>
      </w:r>
      <w:proofErr w:type="spellStart"/>
      <w:r w:rsidRPr="004B7713">
        <w:rPr>
          <w:lang w:eastAsia="en-AU"/>
        </w:rPr>
        <w:t>hydroxychloroquine</w:t>
      </w:r>
      <w:proofErr w:type="spellEnd"/>
      <w:r w:rsidRPr="004B7713">
        <w:rPr>
          <w:lang w:eastAsia="en-AU"/>
        </w:rPr>
        <w:t xml:space="preserve"> within 4 weeks of baselin</w:t>
      </w:r>
      <w:r w:rsidR="00CA02D7">
        <w:rPr>
          <w:lang w:eastAsia="en-AU"/>
        </w:rPr>
        <w:t>e.</w:t>
      </w:r>
    </w:p>
    <w:p w:rsidR="004B7713" w:rsidRPr="004B7713" w:rsidRDefault="004B7713" w:rsidP="004B7713">
      <w:pPr>
        <w:pStyle w:val="ListBullet"/>
        <w:rPr>
          <w:lang w:eastAsia="en-AU"/>
        </w:rPr>
      </w:pPr>
      <w:r w:rsidRPr="004B7713">
        <w:rPr>
          <w:lang w:eastAsia="en-AU"/>
        </w:rPr>
        <w:t>Dose of prednisone &gt;</w:t>
      </w:r>
      <w:r>
        <w:rPr>
          <w:lang w:eastAsia="en-AU"/>
        </w:rPr>
        <w:t xml:space="preserve"> </w:t>
      </w:r>
      <w:r w:rsidRPr="004B7713">
        <w:rPr>
          <w:lang w:eastAsia="en-AU"/>
        </w:rPr>
        <w:t>10 mg/day (or equivalent) or had a dose changed, or had received an intra-articular, intravenous, intramuscular, or SC corticosteroid within 4 weeks before baseline.</w:t>
      </w:r>
    </w:p>
    <w:p w:rsidR="004B7713" w:rsidRPr="004B7713" w:rsidRDefault="004B7713" w:rsidP="004B7713">
      <w:pPr>
        <w:pStyle w:val="ListBullet"/>
        <w:rPr>
          <w:lang w:eastAsia="en-AU"/>
        </w:rPr>
      </w:pPr>
      <w:r w:rsidRPr="004B7713">
        <w:rPr>
          <w:lang w:eastAsia="en-AU"/>
        </w:rPr>
        <w:t>Pregnancy or breastfeeding.</w:t>
      </w:r>
    </w:p>
    <w:p w:rsidR="004B7713" w:rsidRPr="004B7713" w:rsidRDefault="004B7713" w:rsidP="004B7713">
      <w:pPr>
        <w:pStyle w:val="ListBullet"/>
        <w:rPr>
          <w:rFonts w:cs="TimesNewRoman"/>
          <w:lang w:eastAsia="zh-TW"/>
        </w:rPr>
      </w:pPr>
      <w:r w:rsidRPr="004B7713">
        <w:rPr>
          <w:rFonts w:cs="TimesNewRoman"/>
          <w:lang w:eastAsia="zh-TW"/>
        </w:rPr>
        <w:t>Current or recent (within 2 years) active TB infection or untreated latent TB.</w:t>
      </w:r>
    </w:p>
    <w:p w:rsidR="004B7713" w:rsidRPr="004B7713" w:rsidRDefault="004B7713" w:rsidP="004B7713">
      <w:pPr>
        <w:pStyle w:val="ListBullet"/>
        <w:rPr>
          <w:rFonts w:cs="TimesNewRoman"/>
          <w:lang w:eastAsia="zh-TW"/>
        </w:rPr>
      </w:pPr>
      <w:r w:rsidRPr="004B7713">
        <w:rPr>
          <w:rFonts w:cs="TimesNewRoman"/>
          <w:lang w:eastAsia="zh-TW"/>
        </w:rPr>
        <w:t>TB chemoprophylaxis during screening with ALT or AST &gt;</w:t>
      </w:r>
      <w:r>
        <w:rPr>
          <w:rFonts w:cs="TimesNewRoman"/>
          <w:lang w:eastAsia="zh-TW"/>
        </w:rPr>
        <w:t xml:space="preserve"> </w:t>
      </w:r>
      <w:r w:rsidRPr="004B7713">
        <w:rPr>
          <w:rFonts w:cs="TimesNewRoman"/>
          <w:lang w:eastAsia="zh-TW"/>
        </w:rPr>
        <w:t>2x ULN.</w:t>
      </w:r>
    </w:p>
    <w:p w:rsidR="004B7713" w:rsidRPr="004B7713" w:rsidRDefault="004B7713" w:rsidP="004B7713">
      <w:pPr>
        <w:pStyle w:val="ListBullet"/>
        <w:rPr>
          <w:rFonts w:cs="TimesNewRoman"/>
          <w:lang w:eastAsia="zh-TW"/>
        </w:rPr>
      </w:pPr>
      <w:r w:rsidRPr="004B7713">
        <w:rPr>
          <w:rFonts w:cs="TimesNewRoman"/>
          <w:lang w:eastAsia="zh-TW"/>
        </w:rPr>
        <w:t>Serious infection within 1 month or current active infection.</w:t>
      </w:r>
    </w:p>
    <w:p w:rsidR="004B7713" w:rsidRPr="004B7713" w:rsidRDefault="004B7713" w:rsidP="004B7713">
      <w:pPr>
        <w:pStyle w:val="ListBullet"/>
        <w:rPr>
          <w:rFonts w:cs="TimesNewRoman"/>
          <w:lang w:eastAsia="zh-TW"/>
        </w:rPr>
      </w:pPr>
      <w:r w:rsidRPr="004B7713">
        <w:rPr>
          <w:rFonts w:cs="TimesNewRoman"/>
          <w:lang w:eastAsia="zh-TW"/>
        </w:rPr>
        <w:t>Live vaccine within 4 weeks</w:t>
      </w:r>
      <w:r>
        <w:rPr>
          <w:rFonts w:cs="TimesNewRoman"/>
          <w:lang w:eastAsia="zh-TW"/>
        </w:rPr>
        <w:t>.</w:t>
      </w:r>
    </w:p>
    <w:p w:rsidR="004B7713" w:rsidRPr="004B7713" w:rsidRDefault="004B7713" w:rsidP="004B7713">
      <w:pPr>
        <w:pStyle w:val="ListBullet"/>
        <w:rPr>
          <w:lang w:eastAsia="en-AU"/>
        </w:rPr>
      </w:pPr>
      <w:r w:rsidRPr="004B7713">
        <w:rPr>
          <w:rFonts w:cs="TimesNewRoman"/>
          <w:lang w:eastAsia="zh-TW"/>
        </w:rPr>
        <w:t>Abnormal haematology or blood chemistry:</w:t>
      </w:r>
      <w:r w:rsidRPr="004B7713">
        <w:rPr>
          <w:lang w:eastAsia="en-AU"/>
        </w:rPr>
        <w:t xml:space="preserve"> w</w:t>
      </w:r>
      <w:r>
        <w:rPr>
          <w:rFonts w:cs="TimesNewRoman"/>
          <w:lang w:eastAsia="zh-TW"/>
        </w:rPr>
        <w:t>hite blood cell (WBC) count ≤ 3.5 x 10</w:t>
      </w:r>
      <w:r w:rsidRPr="00F0386D">
        <w:rPr>
          <w:rFonts w:cs="TimesNewRoman"/>
          <w:vertAlign w:val="superscript"/>
          <w:lang w:eastAsia="zh-TW"/>
        </w:rPr>
        <w:t>9</w:t>
      </w:r>
      <w:r>
        <w:rPr>
          <w:rFonts w:cs="TimesNewRoman"/>
          <w:lang w:eastAsia="zh-TW"/>
        </w:rPr>
        <w:t xml:space="preserve">/L; haemoglobin ≤ 85 g/L or ≤ 5.3 </w:t>
      </w:r>
      <w:proofErr w:type="spellStart"/>
      <w:r>
        <w:rPr>
          <w:rFonts w:cs="TimesNewRoman"/>
          <w:lang w:eastAsia="zh-TW"/>
        </w:rPr>
        <w:t>mmol</w:t>
      </w:r>
      <w:proofErr w:type="spellEnd"/>
      <w:r>
        <w:rPr>
          <w:rFonts w:cs="TimesNewRoman"/>
          <w:lang w:eastAsia="zh-TW"/>
        </w:rPr>
        <w:t xml:space="preserve">/L; haematocrit ≤ 27%; platelet count ≤ </w:t>
      </w:r>
      <w:r w:rsidRPr="004B7713">
        <w:rPr>
          <w:rFonts w:cs="TimesNewRoman"/>
          <w:lang w:eastAsia="zh-TW"/>
        </w:rPr>
        <w:t>125 x</w:t>
      </w:r>
      <w:r>
        <w:rPr>
          <w:rFonts w:cs="TimesNewRoman"/>
          <w:lang w:eastAsia="zh-TW"/>
        </w:rPr>
        <w:t xml:space="preserve"> 10</w:t>
      </w:r>
      <w:r w:rsidRPr="00F0386D">
        <w:rPr>
          <w:rFonts w:cs="TimesNewRoman"/>
          <w:vertAlign w:val="superscript"/>
          <w:lang w:eastAsia="zh-TW"/>
        </w:rPr>
        <w:t>9</w:t>
      </w:r>
      <w:r>
        <w:rPr>
          <w:rFonts w:cs="TimesNewRoman"/>
          <w:lang w:eastAsia="zh-TW"/>
        </w:rPr>
        <w:t xml:space="preserve">/L; serum creatinine level ≥ 175 </w:t>
      </w:r>
      <w:proofErr w:type="spellStart"/>
      <w:r>
        <w:rPr>
          <w:rFonts w:cs="TimesNewRoman"/>
          <w:lang w:eastAsia="zh-TW"/>
        </w:rPr>
        <w:t>μmol</w:t>
      </w:r>
      <w:proofErr w:type="spellEnd"/>
      <w:r>
        <w:rPr>
          <w:rFonts w:cs="TimesNewRoman"/>
          <w:lang w:eastAsia="zh-TW"/>
        </w:rPr>
        <w:t xml:space="preserve">/L (≥ </w:t>
      </w:r>
      <w:r w:rsidRPr="004B7713">
        <w:rPr>
          <w:rFonts w:cs="TimesNewRoman"/>
          <w:lang w:eastAsia="zh-TW"/>
        </w:rPr>
        <w:t>1.98 mg/</w:t>
      </w:r>
      <w:proofErr w:type="spellStart"/>
      <w:r>
        <w:rPr>
          <w:rFonts w:cs="TimesNewRoman"/>
          <w:lang w:eastAsia="zh-TW"/>
        </w:rPr>
        <w:t>dL</w:t>
      </w:r>
      <w:proofErr w:type="spellEnd"/>
      <w:r>
        <w:rPr>
          <w:rFonts w:cs="TimesNewRoman"/>
          <w:lang w:eastAsia="zh-TW"/>
        </w:rPr>
        <w:t xml:space="preserve">); AST or ALT level ≥ </w:t>
      </w:r>
      <w:r w:rsidRPr="004B7713">
        <w:rPr>
          <w:rFonts w:cs="TimesNewRoman"/>
          <w:lang w:eastAsia="zh-TW"/>
        </w:rPr>
        <w:t>2 x ULN.</w:t>
      </w:r>
    </w:p>
    <w:p w:rsidR="004B7713" w:rsidRPr="004B7713" w:rsidRDefault="004B7713" w:rsidP="006060A7">
      <w:pPr>
        <w:pStyle w:val="ListBullet"/>
        <w:spacing w:line="240" w:lineRule="auto"/>
        <w:rPr>
          <w:lang w:eastAsia="en-AU"/>
        </w:rPr>
      </w:pPr>
      <w:r w:rsidRPr="004B7713">
        <w:rPr>
          <w:rFonts w:cs="TimesNewRoman"/>
          <w:lang w:eastAsia="zh-TW"/>
        </w:rPr>
        <w:t xml:space="preserve">Clinically relevant medical history including: hepatitis B; hepatitis C; HIV; </w:t>
      </w:r>
      <w:r w:rsidR="00C93718">
        <w:rPr>
          <w:rFonts w:cs="TimesNewRoman"/>
          <w:lang w:eastAsia="zh-TW"/>
        </w:rPr>
        <w:t>C</w:t>
      </w:r>
      <w:r w:rsidRPr="004B7713">
        <w:rPr>
          <w:rFonts w:cs="TimesNewRoman"/>
          <w:lang w:eastAsia="zh-TW"/>
        </w:rPr>
        <w:t xml:space="preserve">lass III or IV heart failure; uncontrolled hypertension; MI, CABG or PTCA within 12 months; unstable angina within 6 months; severe pulmonary disease; blood </w:t>
      </w:r>
      <w:proofErr w:type="spellStart"/>
      <w:r w:rsidRPr="004B7713">
        <w:rPr>
          <w:rFonts w:cs="TimesNewRoman"/>
          <w:lang w:eastAsia="zh-TW"/>
        </w:rPr>
        <w:t>dyscrasias</w:t>
      </w:r>
      <w:proofErr w:type="spellEnd"/>
      <w:r w:rsidRPr="004B7713">
        <w:rPr>
          <w:rFonts w:cs="TimesNewRoman"/>
          <w:lang w:eastAsia="zh-TW"/>
        </w:rPr>
        <w:t xml:space="preserve">; multiple sclerosis or other demyelinating disorder; history of cancer; uncontrolled diabetes mellitus; rheumatoid arthritis, SLE, scleroderma or </w:t>
      </w:r>
      <w:proofErr w:type="spellStart"/>
      <w:r w:rsidRPr="004B7713">
        <w:rPr>
          <w:rFonts w:cs="TimesNewRoman"/>
          <w:lang w:eastAsia="zh-TW"/>
        </w:rPr>
        <w:t>polymyositis</w:t>
      </w:r>
      <w:proofErr w:type="spellEnd"/>
      <w:r w:rsidRPr="004B7713">
        <w:rPr>
          <w:rFonts w:cs="TimesNewRoman"/>
          <w:lang w:eastAsia="zh-TW"/>
        </w:rPr>
        <w:t>; cutaneous ulcers; and liver cirrhosis or fibrosis.</w:t>
      </w:r>
    </w:p>
    <w:p w:rsidR="004B7713" w:rsidRPr="004B7713" w:rsidRDefault="004B7713" w:rsidP="006060A7">
      <w:pPr>
        <w:pStyle w:val="Heading6"/>
        <w:spacing w:line="276" w:lineRule="auto"/>
        <w:rPr>
          <w:lang w:eastAsia="en-AU"/>
        </w:rPr>
      </w:pPr>
      <w:r w:rsidRPr="004B7713">
        <w:rPr>
          <w:lang w:eastAsia="en-AU"/>
        </w:rPr>
        <w:t>Study treatments</w:t>
      </w:r>
    </w:p>
    <w:p w:rsidR="004B7713" w:rsidRPr="004B7713" w:rsidRDefault="004B7713" w:rsidP="00DD6A2F">
      <w:pPr>
        <w:spacing w:after="240"/>
      </w:pPr>
      <w:r w:rsidRPr="004B7713">
        <w:t xml:space="preserve">Treatment was with weekly ETN 50 mg SC injections or matching placebo. All subjects received optimal anti-inflammatory </w:t>
      </w:r>
      <w:proofErr w:type="spellStart"/>
      <w:r w:rsidRPr="004B7713">
        <w:t>theray</w:t>
      </w:r>
      <w:proofErr w:type="spellEnd"/>
      <w:r w:rsidRPr="004B7713">
        <w:t xml:space="preserve">. Eligible subjects who continued into the open-label period were treated with ETN 50 mg SC injection weekly plus a stable background NSAID at optimal </w:t>
      </w:r>
      <w:r w:rsidRPr="004B7713">
        <w:lastRenderedPageBreak/>
        <w:t>dose. ETN or placebo was provided in 1.0 mL (50 mg/mL) prefilled syringes which was stored under refrigerated conditions.</w:t>
      </w:r>
    </w:p>
    <w:p w:rsidR="004B7713" w:rsidRPr="004B7713" w:rsidRDefault="004B7713" w:rsidP="00DD6A2F">
      <w:pPr>
        <w:spacing w:after="240"/>
      </w:pPr>
      <w:r w:rsidRPr="004B7713">
        <w:t xml:space="preserve">Only one NSAID was allowed at a time with a stable dose through the double-blind period. The NSAID could be ceased or lowered during open label treatment. DMARDs of </w:t>
      </w:r>
      <w:proofErr w:type="spellStart"/>
      <w:r w:rsidRPr="004B7713">
        <w:t>sulphasalazine</w:t>
      </w:r>
      <w:proofErr w:type="spellEnd"/>
      <w:r w:rsidRPr="004B7713">
        <w:t xml:space="preserve">, </w:t>
      </w:r>
      <w:proofErr w:type="spellStart"/>
      <w:r w:rsidRPr="004B7713">
        <w:t>hydroxychlorquine</w:t>
      </w:r>
      <w:proofErr w:type="spellEnd"/>
      <w:r w:rsidRPr="004B7713">
        <w:t xml:space="preserve"> or methotrexate were allowed at a stable dose during the double-blind period. Ora</w:t>
      </w:r>
      <w:r w:rsidR="001A0172">
        <w:t xml:space="preserve">l corticosteroids needed to be ≤ </w:t>
      </w:r>
      <w:r w:rsidRPr="004B7713">
        <w:t>10 mg/day of prednisolone.</w:t>
      </w:r>
    </w:p>
    <w:p w:rsidR="004B7713" w:rsidRPr="004B7713" w:rsidRDefault="004B7713" w:rsidP="00B25416">
      <w:pPr>
        <w:spacing w:after="240"/>
      </w:pPr>
      <w:r w:rsidRPr="004B7713">
        <w:t xml:space="preserve">Prohibited medications included: live vaccines; other TNF antagonists, biologics or </w:t>
      </w:r>
      <w:proofErr w:type="spellStart"/>
      <w:r w:rsidRPr="004B7713">
        <w:t>immunosuppressants</w:t>
      </w:r>
      <w:proofErr w:type="spellEnd"/>
      <w:r w:rsidRPr="004B7713">
        <w:t>; multiple NSAIDs; DMARDs other than those listed above; IV, IM or SC corticosteroids (CCS); intra-articular CCS during double-blind treatment; and long acting analgesics or narcotics.</w:t>
      </w:r>
    </w:p>
    <w:p w:rsidR="001A0172" w:rsidRPr="001A0172" w:rsidRDefault="001A0172" w:rsidP="006060A7">
      <w:pPr>
        <w:pStyle w:val="Heading6"/>
        <w:spacing w:line="276" w:lineRule="auto"/>
        <w:rPr>
          <w:lang w:eastAsia="en-AU"/>
        </w:rPr>
      </w:pPr>
      <w:r w:rsidRPr="001A0172">
        <w:rPr>
          <w:lang w:eastAsia="en-AU"/>
        </w:rPr>
        <w:t>Efficacy variables and outcomes</w:t>
      </w:r>
    </w:p>
    <w:p w:rsidR="001A0172" w:rsidRPr="001A0172" w:rsidRDefault="001A0172" w:rsidP="001A0172">
      <w:r w:rsidRPr="001A0172">
        <w:t>The primary efficacy outcome was the proportion of subjects who achieved Assessment in Ankylosing Spondylitis (ASAS) 40 at Week 12. ASAS 40 was derived from 4 AS assessments: subject assessment of disease activity, pain, physical function and inflammation. If a subject had a missing evaluation for any 1 of the 4 AS assessment domains, the subject was to be considered a non-responder for analysis.</w:t>
      </w:r>
    </w:p>
    <w:p w:rsidR="001A0172" w:rsidRPr="001A0172" w:rsidRDefault="001A0172" w:rsidP="006060A7">
      <w:pPr>
        <w:spacing w:before="240" w:after="240"/>
      </w:pPr>
      <w:r w:rsidRPr="001A0172">
        <w:t>ASAS 40 responders were defined as subjects who sa</w:t>
      </w:r>
      <w:r>
        <w:t>tisfied the following criteria:</w:t>
      </w:r>
    </w:p>
    <w:p w:rsidR="001A0172" w:rsidRPr="001A0172" w:rsidRDefault="001A0172" w:rsidP="00B25416">
      <w:pPr>
        <w:pStyle w:val="Numberbullet0"/>
        <w:spacing w:after="240"/>
        <w:rPr>
          <w:lang w:eastAsia="en-AU"/>
        </w:rPr>
      </w:pPr>
      <w:r w:rsidRPr="001A0172">
        <w:rPr>
          <w:lang w:eastAsia="en-AU"/>
        </w:rPr>
        <w:t>An improvement of at least 40% and absolute improvement of at least 2 units on a 0 to 10 cm scale (converted from 0 to 100 mm) or an improvement of 100% for those domains that had a baseline score &lt;</w:t>
      </w:r>
      <w:r>
        <w:rPr>
          <w:lang w:eastAsia="en-AU"/>
        </w:rPr>
        <w:t xml:space="preserve"> </w:t>
      </w:r>
      <w:r w:rsidRPr="001A0172">
        <w:rPr>
          <w:lang w:eastAsia="en-AU"/>
        </w:rPr>
        <w:t>2 in at least 3 of the following four domains:</w:t>
      </w:r>
    </w:p>
    <w:p w:rsidR="001A0172" w:rsidRPr="001A0172" w:rsidRDefault="001A0172" w:rsidP="001A0172">
      <w:pPr>
        <w:pStyle w:val="Numberbullet2"/>
        <w:rPr>
          <w:lang w:eastAsia="en-AU"/>
        </w:rPr>
      </w:pPr>
      <w:r w:rsidRPr="001A0172">
        <w:rPr>
          <w:lang w:eastAsia="en-AU"/>
        </w:rPr>
        <w:t>Subject Assessment of Disease Activity,</w:t>
      </w:r>
    </w:p>
    <w:p w:rsidR="001A0172" w:rsidRPr="001A0172" w:rsidRDefault="001A0172" w:rsidP="001A0172">
      <w:pPr>
        <w:pStyle w:val="Numberbullet2"/>
        <w:rPr>
          <w:lang w:eastAsia="en-AU"/>
        </w:rPr>
      </w:pPr>
      <w:r w:rsidRPr="001A0172">
        <w:rPr>
          <w:lang w:eastAsia="en-AU"/>
        </w:rPr>
        <w:t>Mean of subject assessment of nocturnal pain and total back pain,</w:t>
      </w:r>
    </w:p>
    <w:p w:rsidR="001A0172" w:rsidRPr="001A0172" w:rsidRDefault="001A0172" w:rsidP="001A0172">
      <w:pPr>
        <w:pStyle w:val="Numberbullet2"/>
        <w:rPr>
          <w:lang w:eastAsia="en-AU"/>
        </w:rPr>
      </w:pPr>
      <w:r w:rsidRPr="001A0172">
        <w:rPr>
          <w:lang w:eastAsia="en-AU"/>
        </w:rPr>
        <w:t>Function represented by the BASFI score,</w:t>
      </w:r>
    </w:p>
    <w:p w:rsidR="001A0172" w:rsidRPr="001A0172" w:rsidRDefault="001A0172" w:rsidP="001A0172">
      <w:pPr>
        <w:pStyle w:val="Numberbullet2"/>
        <w:rPr>
          <w:lang w:eastAsia="en-AU"/>
        </w:rPr>
      </w:pPr>
      <w:r w:rsidRPr="001A0172">
        <w:rPr>
          <w:lang w:eastAsia="en-AU"/>
        </w:rPr>
        <w:t>Inflammation represented by the mean of the 2 morning stiffness-related BASDAI scores.</w:t>
      </w:r>
    </w:p>
    <w:p w:rsidR="001A0172" w:rsidRPr="001A0172" w:rsidRDefault="001A0172" w:rsidP="006060A7">
      <w:pPr>
        <w:pStyle w:val="Numberbullet0"/>
        <w:spacing w:before="240" w:after="240"/>
        <w:rPr>
          <w:lang w:eastAsia="en-AU"/>
        </w:rPr>
      </w:pPr>
      <w:r w:rsidRPr="001A0172">
        <w:rPr>
          <w:lang w:eastAsia="en-AU"/>
        </w:rPr>
        <w:t>No worsening at all in any of the domains.</w:t>
      </w:r>
    </w:p>
    <w:p w:rsidR="001A0172" w:rsidRPr="001A0172" w:rsidRDefault="001A0172" w:rsidP="00B25416">
      <w:pPr>
        <w:spacing w:after="240"/>
      </w:pPr>
      <w:r w:rsidRPr="001A0172">
        <w:t>Other efficacy endpoints included:</w:t>
      </w:r>
    </w:p>
    <w:p w:rsidR="001A0172" w:rsidRPr="001A0172" w:rsidRDefault="001A0172" w:rsidP="001A0172">
      <w:pPr>
        <w:pStyle w:val="Numberbullet2"/>
        <w:rPr>
          <w:lang w:eastAsia="zh-TW"/>
        </w:rPr>
      </w:pPr>
      <w:r w:rsidRPr="001A0172">
        <w:rPr>
          <w:lang w:eastAsia="zh-TW"/>
        </w:rPr>
        <w:t>Proportion of subjects who achieve ASAS 40 at time points other than 12 weeks.</w:t>
      </w:r>
    </w:p>
    <w:p w:rsidR="001A0172" w:rsidRPr="001A0172" w:rsidRDefault="001A0172" w:rsidP="001A0172">
      <w:pPr>
        <w:pStyle w:val="Numberbullet2"/>
        <w:rPr>
          <w:lang w:eastAsia="zh-TW"/>
        </w:rPr>
      </w:pPr>
      <w:r w:rsidRPr="001A0172">
        <w:rPr>
          <w:lang w:eastAsia="zh-TW"/>
        </w:rPr>
        <w:t>Proportion of subjects who achieve ASAS 20</w:t>
      </w:r>
      <w:r w:rsidRPr="001A0172">
        <w:rPr>
          <w:vertAlign w:val="superscript"/>
          <w:lang w:eastAsia="zh-TW"/>
        </w:rPr>
        <w:footnoteReference w:id="11"/>
      </w:r>
      <w:r w:rsidRPr="001A0172">
        <w:rPr>
          <w:lang w:eastAsia="zh-TW"/>
        </w:rPr>
        <w:t>.</w:t>
      </w:r>
    </w:p>
    <w:p w:rsidR="001A0172" w:rsidRPr="001A0172" w:rsidRDefault="001A0172" w:rsidP="001A0172">
      <w:pPr>
        <w:pStyle w:val="Numberbullet2"/>
        <w:rPr>
          <w:lang w:eastAsia="zh-TW"/>
        </w:rPr>
      </w:pPr>
      <w:r w:rsidRPr="001A0172">
        <w:rPr>
          <w:lang w:eastAsia="zh-TW"/>
        </w:rPr>
        <w:t>Proportion of subjects who achieve ASAS 5/6</w:t>
      </w:r>
      <w:r w:rsidRPr="001A0172">
        <w:rPr>
          <w:vertAlign w:val="superscript"/>
          <w:lang w:eastAsia="zh-TW"/>
        </w:rPr>
        <w:footnoteReference w:id="12"/>
      </w:r>
      <w:r w:rsidRPr="001A0172">
        <w:rPr>
          <w:lang w:eastAsia="zh-TW"/>
        </w:rPr>
        <w:t>.</w:t>
      </w:r>
    </w:p>
    <w:p w:rsidR="001A0172" w:rsidRPr="001A0172" w:rsidRDefault="001A0172" w:rsidP="001A0172">
      <w:pPr>
        <w:pStyle w:val="Numberbullet2"/>
        <w:rPr>
          <w:lang w:eastAsia="zh-TW"/>
        </w:rPr>
      </w:pPr>
      <w:r w:rsidRPr="001A0172">
        <w:rPr>
          <w:lang w:eastAsia="zh-TW"/>
        </w:rPr>
        <w:lastRenderedPageBreak/>
        <w:t>Changes from baseline in Ankylosing Spondylitis Disease Activity Score (ASDAS)</w:t>
      </w:r>
      <w:r w:rsidRPr="001A0172">
        <w:rPr>
          <w:vertAlign w:val="superscript"/>
          <w:lang w:eastAsia="zh-TW"/>
        </w:rPr>
        <w:footnoteReference w:id="13"/>
      </w:r>
      <w:r w:rsidRPr="001A0172">
        <w:rPr>
          <w:lang w:eastAsia="zh-TW"/>
        </w:rPr>
        <w:t>.</w:t>
      </w:r>
    </w:p>
    <w:p w:rsidR="001A0172" w:rsidRPr="001A0172" w:rsidRDefault="001A0172" w:rsidP="001A0172">
      <w:pPr>
        <w:pStyle w:val="Numberbullet2"/>
        <w:rPr>
          <w:lang w:eastAsia="zh-TW"/>
        </w:rPr>
      </w:pPr>
      <w:r w:rsidRPr="001A0172">
        <w:rPr>
          <w:lang w:eastAsia="zh-TW"/>
        </w:rPr>
        <w:t>Proportion of subjects with ASAS partial remission</w:t>
      </w:r>
      <w:r w:rsidRPr="001A0172">
        <w:rPr>
          <w:vertAlign w:val="superscript"/>
          <w:lang w:eastAsia="zh-TW"/>
        </w:rPr>
        <w:footnoteReference w:id="14"/>
      </w:r>
      <w:r w:rsidRPr="001A0172">
        <w:rPr>
          <w:lang w:eastAsia="zh-TW"/>
        </w:rPr>
        <w:t>.</w:t>
      </w:r>
    </w:p>
    <w:p w:rsidR="001A0172" w:rsidRPr="001A0172" w:rsidRDefault="001A0172" w:rsidP="001A0172">
      <w:pPr>
        <w:pStyle w:val="Numberbullet2"/>
        <w:rPr>
          <w:lang w:eastAsia="zh-TW"/>
        </w:rPr>
      </w:pPr>
      <w:r w:rsidRPr="001A0172">
        <w:rPr>
          <w:lang w:eastAsia="zh-TW"/>
        </w:rPr>
        <w:t>Time to ASAS partial remission.</w:t>
      </w:r>
    </w:p>
    <w:p w:rsidR="001A0172" w:rsidRPr="001A0172" w:rsidRDefault="001A0172" w:rsidP="001A0172">
      <w:pPr>
        <w:pStyle w:val="Numberbullet2"/>
        <w:rPr>
          <w:lang w:eastAsia="zh-TW"/>
        </w:rPr>
      </w:pPr>
      <w:r w:rsidRPr="001A0172">
        <w:rPr>
          <w:lang w:eastAsia="zh-TW"/>
        </w:rPr>
        <w:t>Changes from baseline in Subject Assessment of Disease Activity (visual analogue scale [VAS])</w:t>
      </w:r>
      <w:r w:rsidRPr="001A0172">
        <w:rPr>
          <w:vertAlign w:val="superscript"/>
          <w:lang w:eastAsia="zh-TW"/>
        </w:rPr>
        <w:footnoteReference w:id="15"/>
      </w:r>
      <w:r w:rsidRPr="001A0172">
        <w:rPr>
          <w:lang w:eastAsia="zh-TW"/>
        </w:rPr>
        <w:t>.</w:t>
      </w:r>
    </w:p>
    <w:p w:rsidR="001A0172" w:rsidRPr="001A0172" w:rsidRDefault="001A0172" w:rsidP="001A0172">
      <w:pPr>
        <w:pStyle w:val="Numberbullet2"/>
        <w:rPr>
          <w:lang w:eastAsia="zh-TW"/>
        </w:rPr>
      </w:pPr>
      <w:r w:rsidRPr="001A0172">
        <w:rPr>
          <w:lang w:eastAsia="zh-TW"/>
        </w:rPr>
        <w:t>Changes from baseline in the VAS Physician Global Assessment (PGA)</w:t>
      </w:r>
      <w:r w:rsidRPr="001A0172">
        <w:rPr>
          <w:vertAlign w:val="superscript"/>
          <w:lang w:eastAsia="zh-TW"/>
        </w:rPr>
        <w:footnoteReference w:id="16"/>
      </w:r>
      <w:r w:rsidRPr="001A0172">
        <w:rPr>
          <w:lang w:eastAsia="zh-TW"/>
        </w:rPr>
        <w:t>.</w:t>
      </w:r>
    </w:p>
    <w:p w:rsidR="001A0172" w:rsidRPr="001A0172" w:rsidRDefault="001A0172" w:rsidP="001A0172">
      <w:pPr>
        <w:pStyle w:val="Numberbullet2"/>
        <w:rPr>
          <w:lang w:eastAsia="zh-TW"/>
        </w:rPr>
      </w:pPr>
      <w:r w:rsidRPr="001A0172">
        <w:rPr>
          <w:lang w:eastAsia="zh-TW"/>
        </w:rPr>
        <w:t>Changes from baseline in VAS nocturnal and total back pain over time.</w:t>
      </w:r>
    </w:p>
    <w:p w:rsidR="001A0172" w:rsidRPr="001A0172" w:rsidRDefault="001A0172" w:rsidP="001A0172">
      <w:pPr>
        <w:pStyle w:val="Numberbullet2"/>
        <w:rPr>
          <w:lang w:eastAsia="zh-TW"/>
        </w:rPr>
      </w:pPr>
      <w:r w:rsidRPr="001A0172">
        <w:rPr>
          <w:lang w:eastAsia="zh-TW"/>
        </w:rPr>
        <w:t>Changes from baseline in the Bath Ankylosing Spondylitis Functional Index (BASFI)</w:t>
      </w:r>
      <w:r w:rsidRPr="001A0172">
        <w:rPr>
          <w:vertAlign w:val="superscript"/>
          <w:lang w:eastAsia="zh-TW"/>
        </w:rPr>
        <w:footnoteReference w:id="17"/>
      </w:r>
      <w:r w:rsidRPr="001A0172">
        <w:rPr>
          <w:lang w:eastAsia="zh-TW"/>
        </w:rPr>
        <w:t xml:space="preserve"> and its components.</w:t>
      </w:r>
    </w:p>
    <w:p w:rsidR="001A0172" w:rsidRPr="001A0172" w:rsidRDefault="001A0172" w:rsidP="001A0172">
      <w:pPr>
        <w:pStyle w:val="Numberbullet2"/>
        <w:rPr>
          <w:lang w:eastAsia="zh-TW"/>
        </w:rPr>
      </w:pPr>
      <w:r w:rsidRPr="001A0172">
        <w:rPr>
          <w:lang w:eastAsia="zh-TW"/>
        </w:rPr>
        <w:t>Changes from baseline in the Bath Ankylosing Spondylitis Disease Activity Index (BASDAI)</w:t>
      </w:r>
      <w:r w:rsidRPr="001A0172">
        <w:rPr>
          <w:vertAlign w:val="superscript"/>
          <w:lang w:eastAsia="zh-TW"/>
        </w:rPr>
        <w:footnoteReference w:id="18"/>
      </w:r>
      <w:r w:rsidRPr="001A0172">
        <w:rPr>
          <w:lang w:eastAsia="zh-TW"/>
        </w:rPr>
        <w:t xml:space="preserve"> and its components.</w:t>
      </w:r>
    </w:p>
    <w:p w:rsidR="001A0172" w:rsidRPr="001A0172" w:rsidRDefault="001A0172" w:rsidP="001A0172">
      <w:pPr>
        <w:pStyle w:val="Numberbullet2"/>
        <w:rPr>
          <w:lang w:eastAsia="zh-TW"/>
        </w:rPr>
      </w:pPr>
      <w:r w:rsidRPr="001A0172">
        <w:rPr>
          <w:lang w:eastAsia="zh-TW"/>
        </w:rPr>
        <w:t>Proportion of subjects who achieved BASDAI 20 and BASDAI 50.</w:t>
      </w:r>
    </w:p>
    <w:p w:rsidR="001A0172" w:rsidRPr="001A0172" w:rsidRDefault="001A0172" w:rsidP="001A0172">
      <w:pPr>
        <w:pStyle w:val="Numberbullet2"/>
        <w:rPr>
          <w:kern w:val="24"/>
          <w:lang w:eastAsia="en-AU"/>
        </w:rPr>
      </w:pPr>
      <w:r w:rsidRPr="001A0172">
        <w:rPr>
          <w:lang w:eastAsia="zh-TW"/>
        </w:rPr>
        <w:t>Changes in Bath Ankylosing Spondylitis Patient Global Assessment Score (BAS-G)</w:t>
      </w:r>
      <w:r w:rsidRPr="001A0172">
        <w:rPr>
          <w:vertAlign w:val="superscript"/>
          <w:lang w:eastAsia="zh-TW"/>
        </w:rPr>
        <w:footnoteReference w:id="19"/>
      </w:r>
      <w:r w:rsidRPr="001A0172">
        <w:rPr>
          <w:lang w:eastAsia="zh-TW"/>
        </w:rPr>
        <w:t>.</w:t>
      </w:r>
    </w:p>
    <w:p w:rsidR="001A0172" w:rsidRPr="001A0172" w:rsidRDefault="001A0172" w:rsidP="001A0172">
      <w:pPr>
        <w:pStyle w:val="Numberbullet2"/>
        <w:rPr>
          <w:lang w:eastAsia="zh-TW"/>
        </w:rPr>
      </w:pPr>
      <w:r w:rsidRPr="001A0172">
        <w:rPr>
          <w:lang w:eastAsia="zh-TW"/>
        </w:rPr>
        <w:t>Changes from baseline in spinal mobility as measured by Bath Ankylosing Spondylitis Metrology Index (BASMI)</w:t>
      </w:r>
      <w:r w:rsidRPr="001A0172">
        <w:rPr>
          <w:vertAlign w:val="superscript"/>
          <w:lang w:eastAsia="zh-TW"/>
        </w:rPr>
        <w:footnoteReference w:id="20"/>
      </w:r>
      <w:r w:rsidRPr="001A0172">
        <w:rPr>
          <w:lang w:eastAsia="zh-TW"/>
        </w:rPr>
        <w:t xml:space="preserve"> (and its individual components), and </w:t>
      </w:r>
      <w:proofErr w:type="spellStart"/>
      <w:r w:rsidRPr="001A0172">
        <w:rPr>
          <w:lang w:eastAsia="zh-TW"/>
        </w:rPr>
        <w:t>occiputo</w:t>
      </w:r>
      <w:proofErr w:type="spellEnd"/>
      <w:r w:rsidRPr="001A0172">
        <w:rPr>
          <w:lang w:eastAsia="zh-TW"/>
        </w:rPr>
        <w:t>-wall distance, and chest expansion.</w:t>
      </w:r>
    </w:p>
    <w:p w:rsidR="001A0172" w:rsidRPr="001A0172" w:rsidRDefault="001A0172" w:rsidP="001A0172">
      <w:pPr>
        <w:pStyle w:val="Numberbullet2"/>
        <w:rPr>
          <w:lang w:eastAsia="zh-TW"/>
        </w:rPr>
      </w:pPr>
      <w:r w:rsidRPr="001A0172">
        <w:rPr>
          <w:lang w:eastAsia="zh-TW"/>
        </w:rPr>
        <w:t>Changes in inflammation at Week 12 as measured by MRI of the spine at Week 12.</w:t>
      </w:r>
    </w:p>
    <w:p w:rsidR="001A0172" w:rsidRPr="001A0172" w:rsidRDefault="001A0172" w:rsidP="001A0172">
      <w:pPr>
        <w:pStyle w:val="Numberbullet2"/>
        <w:rPr>
          <w:lang w:eastAsia="zh-TW"/>
        </w:rPr>
      </w:pPr>
      <w:r w:rsidRPr="001A0172">
        <w:rPr>
          <w:lang w:eastAsia="zh-TW"/>
        </w:rPr>
        <w:t xml:space="preserve">Changes from baseline in tender and swollen joint counts (44 </w:t>
      </w:r>
      <w:proofErr w:type="gramStart"/>
      <w:r w:rsidRPr="001A0172">
        <w:rPr>
          <w:lang w:eastAsia="zh-TW"/>
        </w:rPr>
        <w:t>count</w:t>
      </w:r>
      <w:proofErr w:type="gramEnd"/>
      <w:r w:rsidRPr="001A0172">
        <w:rPr>
          <w:lang w:eastAsia="zh-TW"/>
        </w:rPr>
        <w:t>).</w:t>
      </w:r>
    </w:p>
    <w:p w:rsidR="001A0172" w:rsidRPr="001A0172" w:rsidRDefault="001A0172" w:rsidP="001A0172">
      <w:pPr>
        <w:pStyle w:val="Numberbullet2"/>
        <w:rPr>
          <w:lang w:eastAsia="zh-TW"/>
        </w:rPr>
      </w:pPr>
      <w:r w:rsidRPr="001A0172">
        <w:rPr>
          <w:lang w:eastAsia="zh-TW"/>
        </w:rPr>
        <w:t xml:space="preserve">Changes from baseline in </w:t>
      </w:r>
      <w:proofErr w:type="spellStart"/>
      <w:r w:rsidRPr="001A0172">
        <w:rPr>
          <w:lang w:eastAsia="zh-TW"/>
        </w:rPr>
        <w:t>dactylitis</w:t>
      </w:r>
      <w:proofErr w:type="spellEnd"/>
      <w:r w:rsidRPr="001A0172">
        <w:rPr>
          <w:lang w:eastAsia="zh-TW"/>
        </w:rPr>
        <w:t xml:space="preserve"> and </w:t>
      </w:r>
      <w:proofErr w:type="spellStart"/>
      <w:r w:rsidRPr="001A0172">
        <w:rPr>
          <w:lang w:eastAsia="zh-TW"/>
        </w:rPr>
        <w:t>enthesitis</w:t>
      </w:r>
      <w:proofErr w:type="spellEnd"/>
      <w:r w:rsidRPr="001A0172">
        <w:rPr>
          <w:lang w:eastAsia="zh-TW"/>
        </w:rPr>
        <w:t xml:space="preserve"> score (Maastricht </w:t>
      </w:r>
      <w:proofErr w:type="spellStart"/>
      <w:r w:rsidRPr="001A0172">
        <w:rPr>
          <w:lang w:eastAsia="zh-TW"/>
        </w:rPr>
        <w:t>Anklyosing</w:t>
      </w:r>
      <w:proofErr w:type="spellEnd"/>
      <w:r w:rsidRPr="001A0172">
        <w:rPr>
          <w:lang w:eastAsia="zh-TW"/>
        </w:rPr>
        <w:t xml:space="preserve"> Spondylitis </w:t>
      </w:r>
      <w:proofErr w:type="spellStart"/>
      <w:r w:rsidRPr="001A0172">
        <w:rPr>
          <w:lang w:eastAsia="zh-TW"/>
        </w:rPr>
        <w:t>Entheses</w:t>
      </w:r>
      <w:proofErr w:type="spellEnd"/>
      <w:r w:rsidRPr="001A0172">
        <w:rPr>
          <w:lang w:eastAsia="zh-TW"/>
        </w:rPr>
        <w:t xml:space="preserve"> Score [MASES]).</w:t>
      </w:r>
    </w:p>
    <w:p w:rsidR="001A0172" w:rsidRPr="001A0172" w:rsidRDefault="001A0172" w:rsidP="001A0172">
      <w:pPr>
        <w:pStyle w:val="Numberbullet2"/>
        <w:rPr>
          <w:lang w:eastAsia="zh-TW"/>
        </w:rPr>
      </w:pPr>
      <w:r w:rsidRPr="001A0172">
        <w:rPr>
          <w:lang w:eastAsia="zh-TW"/>
        </w:rPr>
        <w:t>Changes from baseline in the acute phase reactants high sensitivity C-reactive protein (</w:t>
      </w:r>
      <w:proofErr w:type="spellStart"/>
      <w:r w:rsidRPr="001A0172">
        <w:rPr>
          <w:lang w:eastAsia="zh-TW"/>
        </w:rPr>
        <w:t>hsCRP</w:t>
      </w:r>
      <w:proofErr w:type="spellEnd"/>
      <w:r w:rsidRPr="001A0172">
        <w:rPr>
          <w:lang w:eastAsia="zh-TW"/>
        </w:rPr>
        <w:t>) and erythrocyte sedimentation rate (ESR).</w:t>
      </w:r>
    </w:p>
    <w:p w:rsidR="001A0172" w:rsidRPr="001A0172" w:rsidRDefault="001A0172" w:rsidP="001A0172">
      <w:pPr>
        <w:pStyle w:val="Numberbullet2"/>
        <w:rPr>
          <w:kern w:val="16"/>
          <w:lang w:eastAsia="en-AU"/>
        </w:rPr>
      </w:pPr>
      <w:r w:rsidRPr="001A0172">
        <w:rPr>
          <w:lang w:eastAsia="zh-TW"/>
        </w:rPr>
        <w:t xml:space="preserve">Health Outcomes Assessments using the following instruments: WPAI, HADS, EQ-5D, SF-36, </w:t>
      </w:r>
      <w:proofErr w:type="spellStart"/>
      <w:r w:rsidRPr="001A0172">
        <w:rPr>
          <w:lang w:eastAsia="zh-TW"/>
        </w:rPr>
        <w:t>ASQoL</w:t>
      </w:r>
      <w:proofErr w:type="spellEnd"/>
      <w:r w:rsidRPr="001A0172">
        <w:rPr>
          <w:lang w:eastAsia="zh-TW"/>
        </w:rPr>
        <w:t>, AS-WIS, MOS, MFI, PASS, and MCII</w:t>
      </w:r>
      <w:r w:rsidRPr="001A0172">
        <w:rPr>
          <w:kern w:val="16"/>
          <w:lang w:eastAsia="en-AU"/>
        </w:rPr>
        <w:t>.</w:t>
      </w:r>
    </w:p>
    <w:p w:rsidR="001A0172" w:rsidRPr="001A0172" w:rsidRDefault="001A0172" w:rsidP="001A0172">
      <w:pPr>
        <w:pStyle w:val="Numberbullet2"/>
        <w:rPr>
          <w:kern w:val="16"/>
          <w:lang w:eastAsia="en-AU"/>
        </w:rPr>
      </w:pPr>
      <w:r w:rsidRPr="001A0172">
        <w:rPr>
          <w:kern w:val="16"/>
          <w:lang w:eastAsia="en-AU"/>
        </w:rPr>
        <w:t>Exploratory endpoints included:</w:t>
      </w:r>
    </w:p>
    <w:p w:rsidR="001A0172" w:rsidRPr="001A0172" w:rsidRDefault="001A0172" w:rsidP="001A0172">
      <w:pPr>
        <w:pStyle w:val="Numberbullet2"/>
        <w:rPr>
          <w:kern w:val="16"/>
          <w:lang w:eastAsia="en-AU"/>
        </w:rPr>
      </w:pPr>
      <w:r w:rsidRPr="001A0172">
        <w:rPr>
          <w:kern w:val="16"/>
          <w:lang w:eastAsia="en-AU"/>
        </w:rPr>
        <w:lastRenderedPageBreak/>
        <w:t>Changes from baseline in inflammation of the SI joint at 12 weeks, and in the spine and SI joint at 48 weeks and 104 weeks as measured by MRI. Scoring of the SI joints used the SPARCC</w:t>
      </w:r>
      <w:r w:rsidRPr="001A0172">
        <w:rPr>
          <w:kern w:val="16"/>
          <w:vertAlign w:val="superscript"/>
          <w:lang w:eastAsia="en-AU"/>
        </w:rPr>
        <w:footnoteReference w:id="21"/>
      </w:r>
      <w:r w:rsidRPr="001A0172">
        <w:rPr>
          <w:kern w:val="16"/>
          <w:lang w:eastAsia="en-AU"/>
        </w:rPr>
        <w:t xml:space="preserve"> method and also the AS spine MRI score (</w:t>
      </w:r>
      <w:proofErr w:type="spellStart"/>
      <w:r w:rsidRPr="001A0172">
        <w:rPr>
          <w:kern w:val="16"/>
          <w:lang w:eastAsia="en-AU"/>
        </w:rPr>
        <w:t>ASspiMIR</w:t>
      </w:r>
      <w:proofErr w:type="spellEnd"/>
      <w:r w:rsidRPr="001A0172">
        <w:rPr>
          <w:kern w:val="16"/>
          <w:lang w:eastAsia="en-AU"/>
        </w:rPr>
        <w:t>-a).</w:t>
      </w:r>
    </w:p>
    <w:p w:rsidR="001A0172" w:rsidRPr="001A0172" w:rsidRDefault="001A0172" w:rsidP="001A0172">
      <w:pPr>
        <w:pStyle w:val="Numberbullet2"/>
        <w:rPr>
          <w:kern w:val="16"/>
          <w:lang w:eastAsia="en-AU"/>
        </w:rPr>
      </w:pPr>
      <w:r w:rsidRPr="001A0172">
        <w:rPr>
          <w:kern w:val="16"/>
          <w:lang w:eastAsia="en-AU"/>
        </w:rPr>
        <w:t>Changes from baseline in spinal X-ray at 104 weeks as measured by Modified Stoke Ankylosing Spondylitis Spine Score (</w:t>
      </w:r>
      <w:proofErr w:type="spellStart"/>
      <w:r w:rsidRPr="001A0172">
        <w:rPr>
          <w:kern w:val="16"/>
          <w:lang w:eastAsia="en-AU"/>
        </w:rPr>
        <w:t>mSASSS</w:t>
      </w:r>
      <w:proofErr w:type="spellEnd"/>
      <w:r w:rsidRPr="001A0172">
        <w:rPr>
          <w:kern w:val="16"/>
          <w:lang w:eastAsia="en-AU"/>
        </w:rPr>
        <w:t>) and Radiographic Ankylosing Spondylitis Spine Score (RASSS).</w:t>
      </w:r>
    </w:p>
    <w:p w:rsidR="001A0172" w:rsidRPr="001A0172" w:rsidRDefault="001A0172" w:rsidP="001A0172">
      <w:pPr>
        <w:pStyle w:val="Heading6"/>
        <w:rPr>
          <w:lang w:eastAsia="en-AU"/>
        </w:rPr>
      </w:pPr>
      <w:r w:rsidRPr="001A0172">
        <w:rPr>
          <w:lang w:eastAsia="en-AU"/>
        </w:rPr>
        <w:t>Randomisation and blinding methods</w:t>
      </w:r>
    </w:p>
    <w:p w:rsidR="001A0172" w:rsidRPr="001A0172" w:rsidRDefault="001A0172" w:rsidP="001A0172">
      <w:r w:rsidRPr="001A0172">
        <w:t xml:space="preserve">Subjects were randomised in a 1:1 ratio, stratified by MRI results (positive or negative </w:t>
      </w:r>
      <w:proofErr w:type="spellStart"/>
      <w:r w:rsidRPr="001A0172">
        <w:t>sacroiliitis</w:t>
      </w:r>
      <w:proofErr w:type="spellEnd"/>
      <w:r w:rsidRPr="001A0172">
        <w:t>) using an IVRS.</w:t>
      </w:r>
    </w:p>
    <w:p w:rsidR="001A0172" w:rsidRPr="007A3335" w:rsidRDefault="001A0172" w:rsidP="001A0172">
      <w:pPr>
        <w:pStyle w:val="Heading6"/>
      </w:pPr>
      <w:r w:rsidRPr="007A3335">
        <w:t>Analysis populations</w:t>
      </w:r>
    </w:p>
    <w:p w:rsidR="004B7713" w:rsidRDefault="001A0172" w:rsidP="004B7713">
      <w:r w:rsidRPr="001A0172">
        <w:t>Primary analysis was on the modified intent-to-treat (</w:t>
      </w:r>
      <w:proofErr w:type="spellStart"/>
      <w:r w:rsidRPr="001A0172">
        <w:t>mITT</w:t>
      </w:r>
      <w:proofErr w:type="spellEnd"/>
      <w:r w:rsidRPr="001A0172">
        <w:t xml:space="preserve">) population which was defined as all randomised subjects who took at least one dose of study medication, had at least one on-therapy evaluation and met the ASAS classification criteria for </w:t>
      </w:r>
      <w:proofErr w:type="spellStart"/>
      <w:r w:rsidRPr="001A0172">
        <w:t>AxSpA</w:t>
      </w:r>
      <w:proofErr w:type="spellEnd"/>
      <w:r w:rsidRPr="001A0172">
        <w:t>. Data were analysed using the LOCF.</w:t>
      </w:r>
    </w:p>
    <w:p w:rsidR="001A0172" w:rsidRDefault="001A0172" w:rsidP="004B7713">
      <w:r w:rsidRPr="007A3335">
        <w:t>If more than 20% of the items on a scale were missing the total score was considered missing. If 20% or less items were missing a derived total score was calculated using the average of available items.</w:t>
      </w:r>
    </w:p>
    <w:p w:rsidR="001A0172" w:rsidRPr="001A0172" w:rsidDel="0081373E" w:rsidRDefault="001A0172" w:rsidP="001A0172">
      <w:pPr>
        <w:pStyle w:val="Heading6"/>
      </w:pPr>
      <w:r w:rsidRPr="001A0172" w:rsidDel="0081373E">
        <w:t>Sample size</w:t>
      </w:r>
    </w:p>
    <w:p w:rsidR="001A0172" w:rsidRPr="001A0172" w:rsidRDefault="001A0172" w:rsidP="001A0172">
      <w:r w:rsidRPr="001A0172">
        <w:t xml:space="preserve">The </w:t>
      </w:r>
      <w:r w:rsidR="00C93718">
        <w:t>s</w:t>
      </w:r>
      <w:r w:rsidRPr="001A0172">
        <w:t xml:space="preserve">ponsor assumed an ASAS 20 response rate of at least 55% in the ETN + NSAID group and up to 30% in the placebo + NSAID group based on historical data. With this response, a sample of 100 subjects per group would give the study 90% power at a 0.05 significance level (2 sided). The </w:t>
      </w:r>
      <w:r w:rsidR="00C93718">
        <w:t>s</w:t>
      </w:r>
      <w:r w:rsidRPr="001A0172">
        <w:t>ponsor stated that the ASAS 40 response rate would be lower but expected the difference between groups to still be 25% which gave the sample size of 200 the same power.</w:t>
      </w:r>
    </w:p>
    <w:p w:rsidR="001A0172" w:rsidRPr="001A0172" w:rsidRDefault="001A0172" w:rsidP="001A0172">
      <w:pPr>
        <w:pStyle w:val="Heading6"/>
      </w:pPr>
      <w:r w:rsidRPr="001A0172">
        <w:t>Statistical methods</w:t>
      </w:r>
    </w:p>
    <w:p w:rsidR="001A0172" w:rsidRPr="001A0172" w:rsidRDefault="001A0172" w:rsidP="001A0172">
      <w:r w:rsidRPr="001A0172">
        <w:t>The comparison between 2 treatment groups was performed using the Cochran-Mantel-</w:t>
      </w:r>
      <w:proofErr w:type="spellStart"/>
      <w:r w:rsidRPr="001A0172">
        <w:t>Haenszel</w:t>
      </w:r>
      <w:proofErr w:type="spellEnd"/>
      <w:r w:rsidRPr="001A0172">
        <w:t xml:space="preserve"> (CMH) chi-square test, stratified by positive or negative </w:t>
      </w:r>
      <w:proofErr w:type="spellStart"/>
      <w:r w:rsidRPr="001A0172">
        <w:t>sacroiliitis</w:t>
      </w:r>
      <w:proofErr w:type="spellEnd"/>
      <w:r w:rsidRPr="001A0172">
        <w:t xml:space="preserve"> on MRI and geographic region. The test was 2 sided at a 0.05 significance level. A sensitivity analysis was conducted where subjects who discontinued before Week 12 were counted as non-responders (instead of using an LOCF). A further sensitivity analysis used a generalised estimating equations (GEE) model.</w:t>
      </w:r>
    </w:p>
    <w:p w:rsidR="001A0172" w:rsidRPr="001A0172" w:rsidRDefault="001A0172" w:rsidP="001A0172">
      <w:r w:rsidRPr="001A0172">
        <w:t xml:space="preserve">It was noted that there was an alteration to the planned analysis of the primary endpoint in relation to EMA guidelines on AS. The </w:t>
      </w:r>
      <w:r w:rsidR="00C93718">
        <w:t>s</w:t>
      </w:r>
      <w:r w:rsidRPr="001A0172">
        <w:t>ponsor made the following statement:</w:t>
      </w:r>
    </w:p>
    <w:p w:rsidR="001A0172" w:rsidRPr="00C93718" w:rsidRDefault="001A0172" w:rsidP="00C93718">
      <w:pPr>
        <w:ind w:left="720"/>
        <w:rPr>
          <w:i/>
        </w:rPr>
      </w:pPr>
      <w:r w:rsidRPr="00C93718">
        <w:rPr>
          <w:i/>
        </w:rPr>
        <w:t>The primary endpoint was the ASAS 40 response (</w:t>
      </w:r>
      <w:r w:rsidR="00E54EDF">
        <w:rPr>
          <w:i/>
        </w:rPr>
        <w:t>that is</w:t>
      </w:r>
      <w:r w:rsidRPr="00C93718">
        <w:rPr>
          <w:i/>
        </w:rPr>
        <w:t xml:space="preserve">, responder or non-responder) at Week 12. This ASAS 40 and all other ASAS endpoints were planned in the SAP using the 2005 EMA guideline on clinical investigation of medicinal products for the treatment of AS. After data base lock, it was brought to the Sponsor’s attention by external experts that current convention was to use the 2009 EMA guideline on clinical investigation of medicinal products for the treatment of AS, where ‘nocturnal pain and total back pain’ was replaced by ‘nocturnal or total back pain’. Therefore, following advice from clinical experts consulted, a decision was made to use the more recent guidelines including ‘total back pain’. For completeness the primary endpoint was </w:t>
      </w:r>
      <w:proofErr w:type="spellStart"/>
      <w:r w:rsidRPr="00C93718">
        <w:rPr>
          <w:i/>
        </w:rPr>
        <w:t>analyzed</w:t>
      </w:r>
      <w:proofErr w:type="spellEnd"/>
      <w:r w:rsidRPr="00C93718">
        <w:rPr>
          <w:i/>
        </w:rPr>
        <w:t xml:space="preserve"> both ways (in accordance with 2005 and 2009 EMA guidelines).</w:t>
      </w:r>
    </w:p>
    <w:p w:rsidR="001A0172" w:rsidRPr="00C93718" w:rsidRDefault="001A0172" w:rsidP="00C93718">
      <w:pPr>
        <w:ind w:left="720"/>
        <w:rPr>
          <w:i/>
        </w:rPr>
      </w:pPr>
      <w:r w:rsidRPr="00C93718">
        <w:rPr>
          <w:i/>
        </w:rPr>
        <w:t>Secondary endpoints were analysed like the primary endpoint using the CMH chi-square test. Time to partial remission used the Kaplan-Meier method. Continuous variables were analysed using ANCOVA. There were no adjustments for multiplicity.</w:t>
      </w:r>
    </w:p>
    <w:p w:rsidR="001A0172" w:rsidRPr="001A0172" w:rsidRDefault="001A0172" w:rsidP="001A0172">
      <w:r w:rsidRPr="001A0172">
        <w:lastRenderedPageBreak/>
        <w:t>There were 4 protocol amendments. Amendments 1 and 3 were specific for Germany and related to limiting X-ray exposure. Amendment 2 changed the primary endpoint from response rate on ASAS 20 to ASAS 40. Amendment 4 updated standard safety language.</w:t>
      </w:r>
    </w:p>
    <w:p w:rsidR="001A0172" w:rsidRPr="007A3335" w:rsidRDefault="001A0172" w:rsidP="001A0172">
      <w:pPr>
        <w:pStyle w:val="Heading6"/>
      </w:pPr>
      <w:r w:rsidRPr="007A3335">
        <w:t>Participant flow</w:t>
      </w:r>
    </w:p>
    <w:p w:rsidR="001A0172" w:rsidRPr="001A0172" w:rsidRDefault="001A0172" w:rsidP="001A0172">
      <w:r w:rsidRPr="001A0172">
        <w:t>There were 369 subjects with SI joint X-rays read centrally, 71 did not meet eligibility criteria as they had AS by the Modified NY Criteria and 73 did not have AS on X-ray (</w:t>
      </w:r>
      <w:r w:rsidR="00E54EDF">
        <w:t>that is,</w:t>
      </w:r>
      <w:r w:rsidRPr="001A0172">
        <w:t xml:space="preserve"> met the X-ray criteria) but did not meet other inclusion/exclusion criteria. There were 225 subjects randomised with 224 receiving study drug, 111 in the ETN 50 mg and 113 in the placebo group (Safety Population). For the 225 randomised subjects, the SI joint findings were as follows: 80 with Grade 2 unilateral; 53 with Grade 1 bilateral; 47 with Grade 0 bilateral; and 45 with Grade 1 unilateral.</w:t>
      </w:r>
    </w:p>
    <w:p w:rsidR="001A0172" w:rsidRPr="001A0172" w:rsidRDefault="001A0172" w:rsidP="001A0172">
      <w:r w:rsidRPr="001A0172">
        <w:t xml:space="preserve">There were 15 subjects who discontinued during the double-blind period (9 [8.1%] and 6 [5.3%] in the ETN and placebo groups, respectively), 209 subjects completed double-blind treatment and 208 entered the open label period. </w:t>
      </w:r>
      <w:r w:rsidR="00C34B88">
        <w:t>At Week 24</w:t>
      </w:r>
      <w:r w:rsidRPr="001A0172">
        <w:t xml:space="preserve"> there were 200 subjects (98 and 102 from the ETN and placebo groups, respectively) with 4 subjects from each original group discontinuing. The reasons for discontinuation of the double-blind and open label treatment were similar between groups</w:t>
      </w:r>
      <w:r w:rsidR="00E54EDF">
        <w:t>.</w:t>
      </w:r>
    </w:p>
    <w:p w:rsidR="001A0172" w:rsidRPr="00E54EDF" w:rsidRDefault="001A0172" w:rsidP="001A0172">
      <w:r w:rsidRPr="001A0172">
        <w:t xml:space="preserve">The </w:t>
      </w:r>
      <w:proofErr w:type="spellStart"/>
      <w:r w:rsidRPr="001A0172">
        <w:t>mITT</w:t>
      </w:r>
      <w:proofErr w:type="spellEnd"/>
      <w:r w:rsidRPr="001A0172">
        <w:t xml:space="preserve"> population excluded 10 subjects (4.4%) who did not meet the ASAS classification for </w:t>
      </w:r>
      <w:r w:rsidRPr="00E54EDF">
        <w:t xml:space="preserve">axial </w:t>
      </w:r>
      <w:proofErr w:type="spellStart"/>
      <w:r w:rsidRPr="00E54EDF">
        <w:t>SpA</w:t>
      </w:r>
      <w:proofErr w:type="spellEnd"/>
      <w:r w:rsidRPr="00E54EDF">
        <w:t xml:space="preserve"> (Figure</w:t>
      </w:r>
      <w:r w:rsidR="00E54EDF">
        <w:t xml:space="preserve"> 2</w:t>
      </w:r>
      <w:r w:rsidRPr="00E54EDF">
        <w:t xml:space="preserve">) leading to a total of 215 subjects (106 and 109 in the respective groups) with 206 completing the double-blind and 198 completing the week 24 open label period (Figure </w:t>
      </w:r>
      <w:r w:rsidR="00E54EDF">
        <w:t>3</w:t>
      </w:r>
      <w:r w:rsidRPr="00E54EDF">
        <w:t>).</w:t>
      </w:r>
    </w:p>
    <w:p w:rsidR="00E54EDF" w:rsidRDefault="00E54EDF" w:rsidP="00BC38AD">
      <w:pPr>
        <w:pStyle w:val="FigureTitle"/>
      </w:pPr>
      <w:r>
        <w:t xml:space="preserve">Figure 3: Subject </w:t>
      </w:r>
      <w:r w:rsidRPr="00BC38AD">
        <w:t>disposition</w:t>
      </w:r>
    </w:p>
    <w:p w:rsidR="00E54EDF" w:rsidRPr="001A0172" w:rsidRDefault="00E54EDF" w:rsidP="00BC38AD">
      <w:r w:rsidRPr="006A49A8">
        <w:rPr>
          <w:noProof/>
          <w:lang w:eastAsia="en-AU"/>
        </w:rPr>
        <w:drawing>
          <wp:inline distT="0" distB="0" distL="0" distR="0" wp14:anchorId="3A88994C" wp14:editId="256DBE5F">
            <wp:extent cx="5017642" cy="4276725"/>
            <wp:effectExtent l="0" t="0" r="0" b="0"/>
            <wp:docPr id="5" name="Picture 3" descr="Figure 3: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lum bright="-20000" contrast="40000"/>
                    </a:blip>
                    <a:srcRect l="5316" t="7431"/>
                    <a:stretch/>
                  </pic:blipFill>
                  <pic:spPr bwMode="auto">
                    <a:xfrm>
                      <a:off x="0" y="0"/>
                      <a:ext cx="5018998" cy="4277881"/>
                    </a:xfrm>
                    <a:prstGeom prst="rect">
                      <a:avLst/>
                    </a:prstGeom>
                    <a:noFill/>
                    <a:ln>
                      <a:noFill/>
                    </a:ln>
                    <a:extLst>
                      <a:ext uri="{53640926-AAD7-44D8-BBD7-CCE9431645EC}">
                        <a14:shadowObscured xmlns:a14="http://schemas.microsoft.com/office/drawing/2010/main"/>
                      </a:ext>
                    </a:extLst>
                  </pic:spPr>
                </pic:pic>
              </a:graphicData>
            </a:graphic>
          </wp:inline>
        </w:drawing>
      </w:r>
    </w:p>
    <w:p w:rsidR="001A0172" w:rsidRPr="007A3335" w:rsidRDefault="001A0172" w:rsidP="001A0172">
      <w:pPr>
        <w:pStyle w:val="Heading6"/>
      </w:pPr>
      <w:r w:rsidRPr="007A3335">
        <w:lastRenderedPageBreak/>
        <w:t>Major protocol violations/deviations</w:t>
      </w:r>
    </w:p>
    <w:p w:rsidR="001A0172" w:rsidRDefault="00455BC5" w:rsidP="001A0172">
      <w:r>
        <w:t>A listing of p</w:t>
      </w:r>
      <w:r w:rsidR="001A0172" w:rsidRPr="001A0172">
        <w:t xml:space="preserve">rotocol deviations </w:t>
      </w:r>
      <w:r>
        <w:t>showed that t</w:t>
      </w:r>
      <w:r w:rsidR="001A0172" w:rsidRPr="001A0172">
        <w:t>here were 5 subjects (2.2%) who took &gt;</w:t>
      </w:r>
      <w:r w:rsidR="001A0172">
        <w:t xml:space="preserve"> </w:t>
      </w:r>
      <w:r w:rsidR="001A0172" w:rsidRPr="001A0172">
        <w:t xml:space="preserve">1 DMARD and 10 subjects (4.4%) who did not meet ASAS criteria. Many subjects did not have measurements performed properly (40%) although this was not exclusionary from the per protocol (PP) population. The PP population included 206 (91.5%) </w:t>
      </w:r>
      <w:r w:rsidR="001A0172" w:rsidRPr="00E13B1F">
        <w:t xml:space="preserve">subjects (Table </w:t>
      </w:r>
      <w:r w:rsidRPr="00E13B1F">
        <w:t>1</w:t>
      </w:r>
      <w:r w:rsidR="001A0172" w:rsidRPr="00E13B1F">
        <w:t>).</w:t>
      </w:r>
    </w:p>
    <w:p w:rsidR="00455BC5" w:rsidRPr="006A49A8" w:rsidRDefault="00455BC5" w:rsidP="005E2056">
      <w:pPr>
        <w:pStyle w:val="Tabletitle"/>
        <w:rPr>
          <w:rFonts w:ascii="Calibri" w:hAnsi="Calibri"/>
          <w:sz w:val="20"/>
          <w:szCs w:val="20"/>
        </w:rPr>
      </w:pPr>
      <w:bookmarkStart w:id="100" w:name="_Ref386618281"/>
      <w:bookmarkStart w:id="101" w:name="_Toc401925036"/>
      <w:r w:rsidRPr="006A49A8">
        <w:rPr>
          <w:szCs w:val="20"/>
        </w:rPr>
        <w:t xml:space="preserve">Table </w:t>
      </w:r>
      <w:bookmarkEnd w:id="100"/>
      <w:bookmarkEnd w:id="101"/>
      <w:r>
        <w:t xml:space="preserve">1: </w:t>
      </w:r>
      <w:r w:rsidRPr="00F0386D">
        <w:t>Study B1801031</w:t>
      </w:r>
      <w:r>
        <w:t xml:space="preserve"> Subject populations</w:t>
      </w:r>
      <w:r w:rsidRPr="006A49A8">
        <w:rPr>
          <w:rFonts w:ascii="Calibri" w:hAnsi="Calibri"/>
          <w:noProof/>
          <w:sz w:val="20"/>
          <w:szCs w:val="20"/>
          <w:lang w:eastAsia="en-AU"/>
        </w:rPr>
        <w:drawing>
          <wp:inline distT="0" distB="0" distL="0" distR="0" wp14:anchorId="2B98B6DD" wp14:editId="1CAC056B">
            <wp:extent cx="4867275" cy="3108512"/>
            <wp:effectExtent l="0" t="0" r="0" b="0"/>
            <wp:docPr id="3" name="Picture 7" descr="Table 1: Study B1801031 Subjec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lum bright="-20000" contrast="40000"/>
                    </a:blip>
                    <a:srcRect l="998" t="5643" b="8537"/>
                    <a:stretch/>
                  </pic:blipFill>
                  <pic:spPr bwMode="auto">
                    <a:xfrm>
                      <a:off x="0" y="0"/>
                      <a:ext cx="4873214" cy="3112305"/>
                    </a:xfrm>
                    <a:prstGeom prst="rect">
                      <a:avLst/>
                    </a:prstGeom>
                    <a:noFill/>
                    <a:ln>
                      <a:noFill/>
                    </a:ln>
                    <a:extLst>
                      <a:ext uri="{53640926-AAD7-44D8-BBD7-CCE9431645EC}">
                        <a14:shadowObscured xmlns:a14="http://schemas.microsoft.com/office/drawing/2010/main"/>
                      </a:ext>
                    </a:extLst>
                  </pic:spPr>
                </pic:pic>
              </a:graphicData>
            </a:graphic>
          </wp:inline>
        </w:drawing>
      </w:r>
    </w:p>
    <w:p w:rsidR="001A0172" w:rsidRPr="001A0172" w:rsidRDefault="001A0172" w:rsidP="001A0172">
      <w:r w:rsidRPr="001A0172">
        <w:t xml:space="preserve">The analysis of the primary endpoint was conducted on 213 of the 215 subjects in the </w:t>
      </w:r>
      <w:proofErr w:type="spellStart"/>
      <w:r w:rsidRPr="001A0172">
        <w:t>mITT</w:t>
      </w:r>
      <w:proofErr w:type="spellEnd"/>
      <w:r w:rsidRPr="001A0172">
        <w:t xml:space="preserve"> population. There were 2 subjects excluded, one from each treatment group. One subject had a single post-baseline assessment at a discontinuation visit 28 days post their only ETN dose which was outside the 15 day assessment window. The second did not have a baseline BASFI value.</w:t>
      </w:r>
    </w:p>
    <w:p w:rsidR="001A0172" w:rsidRPr="001A0172" w:rsidRDefault="001A0172" w:rsidP="001A0172">
      <w:r w:rsidRPr="001A0172">
        <w:t>There was one site in Taiwan which was noted to have GCP non-compliance issues. This site included 4 subjects and primary and key secondary endpoint analysis was also conducted excluding these subjects (n</w:t>
      </w:r>
      <w:r>
        <w:t xml:space="preserve"> </w:t>
      </w:r>
      <w:r w:rsidRPr="001A0172">
        <w:t>=</w:t>
      </w:r>
      <w:r>
        <w:t xml:space="preserve"> </w:t>
      </w:r>
      <w:r w:rsidRPr="001A0172">
        <w:t>209).</w:t>
      </w:r>
    </w:p>
    <w:p w:rsidR="001A0172" w:rsidRPr="007A3335" w:rsidRDefault="001A0172" w:rsidP="001A0172">
      <w:pPr>
        <w:pStyle w:val="Heading6"/>
      </w:pPr>
      <w:r w:rsidRPr="007A3335">
        <w:t>Baseline data</w:t>
      </w:r>
    </w:p>
    <w:p w:rsidR="001A0172" w:rsidRPr="00A6051D" w:rsidRDefault="001A0172" w:rsidP="00A6051D">
      <w:r w:rsidRPr="00A6051D">
        <w:t xml:space="preserve">The groups were balanced on baseline demographic and disease characteristics. In the </w:t>
      </w:r>
      <w:proofErr w:type="spellStart"/>
      <w:r w:rsidRPr="00A6051D">
        <w:t>mITT</w:t>
      </w:r>
      <w:proofErr w:type="spellEnd"/>
      <w:r w:rsidRPr="00A6051D">
        <w:t xml:space="preserve"> population, the mean age was 32 years, 60% were male, 73% white, 22% As</w:t>
      </w:r>
      <w:r w:rsidR="00455BC5">
        <w:t>ian with a mean BMI of 25 kg/m</w:t>
      </w:r>
      <w:r w:rsidR="00455BC5" w:rsidRPr="00455BC5">
        <w:rPr>
          <w:vertAlign w:val="superscript"/>
        </w:rPr>
        <w:t>2</w:t>
      </w:r>
      <w:r w:rsidRPr="00A6051D">
        <w:t>. Most subjects (82% of the ETN group and 80% of the placebo group) met inclusion criteria based on ASAS imaging rather than clinical criteria (</w:t>
      </w:r>
      <w:r w:rsidR="00E54EDF">
        <w:t>that is,</w:t>
      </w:r>
      <w:r w:rsidRPr="00A6051D">
        <w:t xml:space="preserve"> had a positive MRI for </w:t>
      </w:r>
      <w:proofErr w:type="spellStart"/>
      <w:r w:rsidRPr="00A6051D">
        <w:t>sacroiliitis</w:t>
      </w:r>
      <w:proofErr w:type="spellEnd"/>
      <w:r w:rsidRPr="00A6051D">
        <w:t xml:space="preserve"> with at least one </w:t>
      </w:r>
      <w:proofErr w:type="spellStart"/>
      <w:r w:rsidRPr="00A6051D">
        <w:t>SpA</w:t>
      </w:r>
      <w:proofErr w:type="spellEnd"/>
      <w:r w:rsidRPr="00A6051D">
        <w:t xml:space="preserve"> feature).</w:t>
      </w:r>
    </w:p>
    <w:p w:rsidR="001A0172" w:rsidRDefault="00A6051D" w:rsidP="00455BC5">
      <w:pPr>
        <w:pStyle w:val="Comment"/>
        <w:tabs>
          <w:tab w:val="left" w:pos="2268"/>
        </w:tabs>
      </w:pPr>
      <w:r w:rsidRPr="00455BC5">
        <w:rPr>
          <w:b/>
        </w:rPr>
        <w:t xml:space="preserve">Evaluators </w:t>
      </w:r>
      <w:r w:rsidR="00BC38AD">
        <w:rPr>
          <w:b/>
        </w:rPr>
        <w:t>c</w:t>
      </w:r>
      <w:r w:rsidR="001A0172" w:rsidRPr="00455BC5">
        <w:rPr>
          <w:b/>
        </w:rPr>
        <w:t>omment</w:t>
      </w:r>
      <w:r w:rsidR="001A0172">
        <w:t xml:space="preserve">: </w:t>
      </w:r>
      <w:r w:rsidR="00455BC5">
        <w:t>The s</w:t>
      </w:r>
      <w:r w:rsidR="001A0172">
        <w:t xml:space="preserve">ponsor has been asked to verify the </w:t>
      </w:r>
      <w:proofErr w:type="spellStart"/>
      <w:r w:rsidR="001A0172">
        <w:t>gradings</w:t>
      </w:r>
      <w:proofErr w:type="spellEnd"/>
      <w:r w:rsidR="001A0172">
        <w:t xml:space="preserve"> on X-ray of the included subjects to ensure that all did meet the criteria of having </w:t>
      </w:r>
      <w:r w:rsidR="00C93718">
        <w:t>‘</w:t>
      </w:r>
      <w:r w:rsidR="001A0172">
        <w:t>non-radiographic</w:t>
      </w:r>
      <w:r w:rsidR="00C93718">
        <w:t>’</w:t>
      </w:r>
      <w:r w:rsidR="001A0172">
        <w:t xml:space="preserve"> axial </w:t>
      </w:r>
      <w:proofErr w:type="spellStart"/>
      <w:r w:rsidR="001A0172">
        <w:t>SpA</w:t>
      </w:r>
      <w:proofErr w:type="spellEnd"/>
      <w:r w:rsidR="001A0172">
        <w:t>.</w:t>
      </w:r>
    </w:p>
    <w:p w:rsidR="001A0172" w:rsidRPr="00A6051D" w:rsidRDefault="001A0172" w:rsidP="00A6051D">
      <w:r w:rsidRPr="00A6051D">
        <w:t xml:space="preserve">The mean disease duration was 2.4 years, mean baseline BASDAI total score was 5.96 (SD 1.8) and mean baseline BASFI score was 4.0 (SD 2.5). Mean baseline </w:t>
      </w:r>
      <w:proofErr w:type="spellStart"/>
      <w:r w:rsidRPr="00A6051D">
        <w:t>hsCRP</w:t>
      </w:r>
      <w:proofErr w:type="spellEnd"/>
      <w:r w:rsidRPr="00A6051D">
        <w:t xml:space="preserve"> level was 6.6 (SD 10.5). The mean baseline SPARCC MRI SI score was 7.9 (SD 9.9) and 81% of subjects were positive for </w:t>
      </w:r>
      <w:proofErr w:type="spellStart"/>
      <w:r w:rsidRPr="00A6051D">
        <w:t>sacroiliitis</w:t>
      </w:r>
      <w:proofErr w:type="spellEnd"/>
      <w:r w:rsidRPr="00A6051D">
        <w:t xml:space="preserve"> on MRI by ASAS criteria. Between 23 and 25% of subjects reported prior use of DMARDs. Concomitant medication use during the study was similar between groups for DMARDs (19-21%) but higher in the placebo group for CCS (10% compared to 5% in the </w:t>
      </w:r>
      <w:proofErr w:type="spellStart"/>
      <w:r w:rsidRPr="00A6051D">
        <w:lastRenderedPageBreak/>
        <w:t>etanercept</w:t>
      </w:r>
      <w:proofErr w:type="spellEnd"/>
      <w:r w:rsidRPr="00A6051D">
        <w:t xml:space="preserve"> group</w:t>
      </w:r>
      <w:r w:rsidR="00455BC5">
        <w:t>.</w:t>
      </w:r>
      <w:r w:rsidRPr="00A6051D">
        <w:t xml:space="preserve"> Scoring of NSAIDs based on potency showed similar levels between baseline and end of double-blind treatment.</w:t>
      </w:r>
    </w:p>
    <w:p w:rsidR="001A0172" w:rsidRPr="00A6051D" w:rsidRDefault="001A0172" w:rsidP="00A6051D">
      <w:r w:rsidRPr="00A6051D">
        <w:t>Study drug compliance was reported as high wi</w:t>
      </w:r>
      <w:r w:rsidR="00A6051D">
        <w:t xml:space="preserve">th all except one subject with ≥ </w:t>
      </w:r>
      <w:r w:rsidRPr="00A6051D">
        <w:t>80% compliance and 100% compliance reported in 88% of subjects during double-blind treatment. Reported compliance during the open label period was 98%.</w:t>
      </w:r>
    </w:p>
    <w:p w:rsidR="001A0172" w:rsidRPr="007A3335" w:rsidRDefault="001A0172" w:rsidP="00A6051D">
      <w:pPr>
        <w:pStyle w:val="Heading6"/>
      </w:pPr>
      <w:r w:rsidRPr="007A3335">
        <w:t>Results for the primary efficacy outcome</w:t>
      </w:r>
    </w:p>
    <w:p w:rsidR="001A0172" w:rsidRDefault="001A0172" w:rsidP="00A6051D">
      <w:r w:rsidRPr="00A6051D">
        <w:t xml:space="preserve">In the </w:t>
      </w:r>
      <w:proofErr w:type="spellStart"/>
      <w:r w:rsidRPr="00A6051D">
        <w:t>mITT</w:t>
      </w:r>
      <w:proofErr w:type="spellEnd"/>
      <w:r w:rsidRPr="00A6051D">
        <w:t xml:space="preserve"> population with LOCF, the proportion of subjects achieving ASAS 40 </w:t>
      </w:r>
      <w:r w:rsidR="00C34B88">
        <w:t>at Week 12</w:t>
      </w:r>
      <w:r w:rsidRPr="00A6051D">
        <w:t xml:space="preserve"> was 32.4% </w:t>
      </w:r>
      <w:r w:rsidR="00455BC5">
        <w:t>versus</w:t>
      </w:r>
      <w:r w:rsidRPr="00A6051D">
        <w:t xml:space="preserve"> 15.7% in the ETN and placebo groups respectively. The difference of 16.6% (95% CI: 5.4, 27.9) was significant (p</w:t>
      </w:r>
      <w:r w:rsidR="00A6051D">
        <w:t xml:space="preserve"> </w:t>
      </w:r>
      <w:r w:rsidRPr="00A6051D">
        <w:t>=</w:t>
      </w:r>
      <w:r w:rsidR="00A6051D">
        <w:t xml:space="preserve"> </w:t>
      </w:r>
      <w:r w:rsidR="00455BC5">
        <w:t>0.0062).</w:t>
      </w:r>
      <w:r w:rsidRPr="00A6051D">
        <w:t xml:space="preserve"> When the data were analysed using the 2009 EMA guideline criteria, the week 12 response rates were similar: 33.3% </w:t>
      </w:r>
      <w:r w:rsidR="00455BC5">
        <w:t>versus</w:t>
      </w:r>
      <w:r w:rsidRPr="00A6051D">
        <w:t xml:space="preserve"> 14.8% with a significant difference of 18.5% (95% CI: 7.3, 29.8, p</w:t>
      </w:r>
      <w:r w:rsidR="00A6051D">
        <w:t xml:space="preserve"> </w:t>
      </w:r>
      <w:r w:rsidRPr="00A6051D">
        <w:t>=</w:t>
      </w:r>
      <w:r w:rsidR="00A6051D">
        <w:t xml:space="preserve"> </w:t>
      </w:r>
      <w:r w:rsidRPr="00A6051D">
        <w:t>0</w:t>
      </w:r>
      <w:r w:rsidRPr="005D2BE4">
        <w:t>.0023) (</w:t>
      </w:r>
      <w:r w:rsidR="00A6051D" w:rsidRPr="005D2BE4">
        <w:t xml:space="preserve">Table </w:t>
      </w:r>
      <w:r w:rsidR="005D2BE4" w:rsidRPr="005D2BE4">
        <w:t>2</w:t>
      </w:r>
      <w:r w:rsidRPr="005D2BE4">
        <w:t>).</w:t>
      </w:r>
    </w:p>
    <w:p w:rsidR="005D2BE4" w:rsidRDefault="005D2BE4" w:rsidP="005D2BE4">
      <w:pPr>
        <w:pStyle w:val="Tabletitle"/>
      </w:pPr>
      <w:r>
        <w:t>Table 2: Proportion of subjects achieving ASAS 40 (</w:t>
      </w:r>
      <w:proofErr w:type="spellStart"/>
      <w:r>
        <w:t>mITT</w:t>
      </w:r>
      <w:proofErr w:type="spellEnd"/>
      <w:r>
        <w:t xml:space="preserve"> Population, LOCF)</w:t>
      </w:r>
    </w:p>
    <w:p w:rsidR="005D2BE4" w:rsidRPr="00A6051D" w:rsidRDefault="005D2BE4" w:rsidP="00A6051D">
      <w:r w:rsidRPr="006A49A8">
        <w:rPr>
          <w:rFonts w:ascii="Calibri" w:hAnsi="Calibri"/>
          <w:noProof/>
          <w:sz w:val="20"/>
          <w:szCs w:val="20"/>
          <w:lang w:eastAsia="en-AU"/>
        </w:rPr>
        <w:drawing>
          <wp:inline distT="0" distB="0" distL="0" distR="0" wp14:anchorId="0E589824" wp14:editId="77D14E61">
            <wp:extent cx="4714875" cy="2702046"/>
            <wp:effectExtent l="0" t="0" r="0" b="0"/>
            <wp:docPr id="12" name="Picture 11" descr="Table 2: Proportion of subjects achieving ASAS 40 (mITT Population,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lum bright="-20000" contrast="40000"/>
                    </a:blip>
                    <a:srcRect t="5769" b="7702"/>
                    <a:stretch/>
                  </pic:blipFill>
                  <pic:spPr bwMode="auto">
                    <a:xfrm>
                      <a:off x="0" y="0"/>
                      <a:ext cx="4715631" cy="2702479"/>
                    </a:xfrm>
                    <a:prstGeom prst="rect">
                      <a:avLst/>
                    </a:prstGeom>
                    <a:noFill/>
                    <a:ln>
                      <a:noFill/>
                    </a:ln>
                    <a:extLst>
                      <a:ext uri="{53640926-AAD7-44D8-BBD7-CCE9431645EC}">
                        <a14:shadowObscured xmlns:a14="http://schemas.microsoft.com/office/drawing/2010/main"/>
                      </a:ext>
                    </a:extLst>
                  </pic:spPr>
                </pic:pic>
              </a:graphicData>
            </a:graphic>
          </wp:inline>
        </w:drawing>
      </w:r>
    </w:p>
    <w:p w:rsidR="001A0172" w:rsidRPr="005D2BE4" w:rsidRDefault="00A6051D" w:rsidP="005D2BE4">
      <w:pPr>
        <w:pStyle w:val="Comment"/>
      </w:pPr>
      <w:r w:rsidRPr="005D2BE4">
        <w:rPr>
          <w:b/>
        </w:rPr>
        <w:t xml:space="preserve">Evaluators </w:t>
      </w:r>
      <w:r w:rsidR="00BC38AD">
        <w:rPr>
          <w:b/>
        </w:rPr>
        <w:t>c</w:t>
      </w:r>
      <w:r w:rsidR="001A0172" w:rsidRPr="005D2BE4">
        <w:rPr>
          <w:b/>
        </w:rPr>
        <w:t>omment</w:t>
      </w:r>
      <w:r w:rsidR="001A0172" w:rsidRPr="005D2BE4">
        <w:t>: the achieved response rate difference between active and placebo groups of 17% was less than the anticipated rate of 25%.</w:t>
      </w:r>
    </w:p>
    <w:p w:rsidR="001A0172" w:rsidRDefault="005D2BE4" w:rsidP="00A6051D">
      <w:r w:rsidRPr="00C34B88">
        <w:t xml:space="preserve">By Week 24 </w:t>
      </w:r>
      <w:r w:rsidR="001A0172" w:rsidRPr="00C34B88">
        <w:t>the ASAS 40 response rates were 44.0% and 51.9% in the ETN/ETN and placebo/ETN groups, respectively (</w:t>
      </w:r>
      <w:r w:rsidR="00A6051D" w:rsidRPr="00C34B88">
        <w:t xml:space="preserve">Table </w:t>
      </w:r>
      <w:r w:rsidRPr="00C34B88">
        <w:t>2</w:t>
      </w:r>
      <w:r w:rsidR="001A0172" w:rsidRPr="00C34B88">
        <w:t xml:space="preserve">). Achievement of ASAS 40 over time is shown in </w:t>
      </w:r>
      <w:r w:rsidR="00A6051D" w:rsidRPr="00C34B88">
        <w:t xml:space="preserve">Figure </w:t>
      </w:r>
      <w:r w:rsidR="005E2056">
        <w:t>4</w:t>
      </w:r>
      <w:r w:rsidR="001A0172" w:rsidRPr="00C34B88">
        <w:t>.</w:t>
      </w:r>
    </w:p>
    <w:p w:rsidR="005D2BE4" w:rsidRPr="006A49A8" w:rsidRDefault="005D2BE4" w:rsidP="00BC38AD">
      <w:pPr>
        <w:pStyle w:val="FigureTitle"/>
        <w:rPr>
          <w:rFonts w:ascii="Calibri" w:hAnsi="Calibri"/>
          <w:sz w:val="20"/>
          <w:szCs w:val="20"/>
        </w:rPr>
      </w:pPr>
      <w:bookmarkStart w:id="102" w:name="_Ref386618303"/>
      <w:bookmarkStart w:id="103" w:name="_Toc401925041"/>
      <w:r w:rsidRPr="006A49A8">
        <w:lastRenderedPageBreak/>
        <w:t xml:space="preserve">Figure </w:t>
      </w:r>
      <w:r w:rsidR="005E2056">
        <w:t>4</w:t>
      </w:r>
      <w:r>
        <w:t>:</w:t>
      </w:r>
      <w:bookmarkEnd w:id="102"/>
      <w:bookmarkEnd w:id="103"/>
      <w:r>
        <w:t xml:space="preserve"> </w:t>
      </w:r>
      <w:r w:rsidRPr="00F0386D">
        <w:t>Study B1801031</w:t>
      </w:r>
      <w:r>
        <w:t xml:space="preserve"> Proportion of subjects achieving ASAS 40 </w:t>
      </w:r>
      <w:proofErr w:type="spellStart"/>
      <w:r>
        <w:t>mITT</w:t>
      </w:r>
      <w:proofErr w:type="spellEnd"/>
      <w:r>
        <w:t xml:space="preserve"> population (double-blind </w:t>
      </w:r>
      <w:r w:rsidRPr="00BC38AD">
        <w:t>and</w:t>
      </w:r>
      <w:r>
        <w:t xml:space="preserve"> open-label periods)</w:t>
      </w:r>
    </w:p>
    <w:p w:rsidR="005D2BE4" w:rsidRPr="006A49A8" w:rsidRDefault="005D2BE4" w:rsidP="00BC38AD">
      <w:r w:rsidRPr="006A49A8">
        <w:rPr>
          <w:noProof/>
          <w:lang w:eastAsia="en-AU"/>
        </w:rPr>
        <w:drawing>
          <wp:inline distT="0" distB="0" distL="0" distR="0" wp14:anchorId="38333B9D" wp14:editId="2082C6BC">
            <wp:extent cx="4747143" cy="3619500"/>
            <wp:effectExtent l="0" t="0" r="0" b="0"/>
            <wp:docPr id="13" name="Picture 12" descr="Figure 4: Study B1801031 Proportion of subjects achieving ASAS 40 mITT population (double-blind and open-label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lum bright="-20000" contrast="40000"/>
                    </a:blip>
                    <a:srcRect t="9795" b="3753"/>
                    <a:stretch/>
                  </pic:blipFill>
                  <pic:spPr bwMode="auto">
                    <a:xfrm>
                      <a:off x="0" y="0"/>
                      <a:ext cx="4745040" cy="3617897"/>
                    </a:xfrm>
                    <a:prstGeom prst="rect">
                      <a:avLst/>
                    </a:prstGeom>
                    <a:noFill/>
                    <a:ln>
                      <a:noFill/>
                    </a:ln>
                    <a:extLst>
                      <a:ext uri="{53640926-AAD7-44D8-BBD7-CCE9431645EC}">
                        <a14:shadowObscured xmlns:a14="http://schemas.microsoft.com/office/drawing/2010/main"/>
                      </a:ext>
                    </a:extLst>
                  </pic:spPr>
                </pic:pic>
              </a:graphicData>
            </a:graphic>
          </wp:inline>
        </w:drawing>
      </w:r>
    </w:p>
    <w:p w:rsidR="001A0172" w:rsidRPr="007A3335" w:rsidRDefault="00A6051D" w:rsidP="005D2BE4">
      <w:pPr>
        <w:pStyle w:val="Comment"/>
      </w:pPr>
      <w:r w:rsidRPr="005D2BE4">
        <w:rPr>
          <w:b/>
        </w:rPr>
        <w:t xml:space="preserve">Evaluators </w:t>
      </w:r>
      <w:r w:rsidR="00EE72CF">
        <w:rPr>
          <w:b/>
        </w:rPr>
        <w:t>c</w:t>
      </w:r>
      <w:r w:rsidR="001A0172" w:rsidRPr="005D2BE4">
        <w:rPr>
          <w:b/>
        </w:rPr>
        <w:t>omment</w:t>
      </w:r>
      <w:r w:rsidR="001A0172">
        <w:t>: The response in the placebo group wh</w:t>
      </w:r>
      <w:r w:rsidR="005D2BE4">
        <w:t xml:space="preserve">o switched to </w:t>
      </w:r>
      <w:proofErr w:type="spellStart"/>
      <w:r w:rsidR="005D2BE4">
        <w:t>etanercept</w:t>
      </w:r>
      <w:proofErr w:type="spellEnd"/>
      <w:r w:rsidR="005D2BE4">
        <w:t xml:space="preserve"> in the </w:t>
      </w:r>
      <w:r w:rsidR="001A0172">
        <w:t>open label period is higher than in the ETN/ETN group with a rapid response in the f</w:t>
      </w:r>
      <w:r w:rsidR="005D2BE4">
        <w:t>irst 4 weeks of treatment. The s</w:t>
      </w:r>
      <w:r w:rsidR="001A0172">
        <w:t>ponsor has been asked to comment on these findings.</w:t>
      </w:r>
    </w:p>
    <w:p w:rsidR="00A6051D" w:rsidRPr="007A3335" w:rsidRDefault="00A6051D" w:rsidP="00455970">
      <w:pPr>
        <w:pStyle w:val="Heading6"/>
      </w:pPr>
      <w:r w:rsidRPr="007A3335">
        <w:t>Results for other efficacy outcomes</w:t>
      </w:r>
    </w:p>
    <w:p w:rsidR="00A6051D" w:rsidRPr="00455970" w:rsidRDefault="00A6051D" w:rsidP="00455970">
      <w:r w:rsidRPr="00455970">
        <w:t xml:space="preserve">In the </w:t>
      </w:r>
      <w:proofErr w:type="spellStart"/>
      <w:r w:rsidRPr="00455970">
        <w:t>mITT</w:t>
      </w:r>
      <w:proofErr w:type="spellEnd"/>
      <w:r w:rsidRPr="00455970">
        <w:t xml:space="preserve"> population with LOCF, a significantly higher proportion of the ETN group achieved of ASAS 20 at </w:t>
      </w:r>
      <w:r w:rsidR="005D2BE4">
        <w:t>W</w:t>
      </w:r>
      <w:r w:rsidRPr="00455970">
        <w:t xml:space="preserve">eeks 2 and 12, but not at </w:t>
      </w:r>
      <w:r w:rsidR="005D2BE4">
        <w:t>W</w:t>
      </w:r>
      <w:r w:rsidRPr="00455970">
        <w:t xml:space="preserve">eeks 4 and 8. The rates in the ETN and placebo groups </w:t>
      </w:r>
      <w:r w:rsidR="00C34B88">
        <w:t>at Week 12</w:t>
      </w:r>
      <w:r w:rsidRPr="00455970">
        <w:t xml:space="preserve"> were 52.4% and 36.1%, respectively, with a difference of 16.3% (95% CI: 3.1, 39.4, p</w:t>
      </w:r>
      <w:r w:rsidR="00455970">
        <w:t xml:space="preserve"> </w:t>
      </w:r>
      <w:r w:rsidRPr="00455970">
        <w:t>=</w:t>
      </w:r>
      <w:r w:rsidR="00455970">
        <w:t xml:space="preserve"> </w:t>
      </w:r>
      <w:r w:rsidRPr="00455970">
        <w:t>0.0195)</w:t>
      </w:r>
      <w:r w:rsidR="00455970">
        <w:t>.</w:t>
      </w:r>
    </w:p>
    <w:p w:rsidR="00A6051D" w:rsidRDefault="00A6051D" w:rsidP="00455970">
      <w:r w:rsidRPr="00455970">
        <w:t xml:space="preserve">ASAS partial remission rates </w:t>
      </w:r>
      <w:r w:rsidR="00C34B88">
        <w:t>a</w:t>
      </w:r>
      <w:r w:rsidRPr="00455970">
        <w:t xml:space="preserve">t </w:t>
      </w:r>
      <w:r w:rsidR="005D2BE4">
        <w:t>W</w:t>
      </w:r>
      <w:r w:rsidRPr="00455970">
        <w:t xml:space="preserve">eek 12 </w:t>
      </w:r>
      <w:r w:rsidR="00C34B88">
        <w:t>showed</w:t>
      </w:r>
      <w:r w:rsidRPr="00455970">
        <w:t xml:space="preserve"> a significantly greater rate with </w:t>
      </w:r>
      <w:proofErr w:type="spellStart"/>
      <w:r w:rsidRPr="00455970">
        <w:t>etanercept</w:t>
      </w:r>
      <w:proofErr w:type="spellEnd"/>
      <w:r w:rsidRPr="00455970">
        <w:t xml:space="preserve"> with a between group difference of 12.8% (95% CI: 2.6, 23.1, p</w:t>
      </w:r>
      <w:r w:rsidR="00455970">
        <w:t xml:space="preserve"> </w:t>
      </w:r>
      <w:r w:rsidRPr="00455970">
        <w:t>=</w:t>
      </w:r>
      <w:r w:rsidR="00455970">
        <w:t xml:space="preserve"> </w:t>
      </w:r>
      <w:r w:rsidRPr="00455970">
        <w:t xml:space="preserve">0.021). The Kaplan Meier plot of cumulative partial remission rates also shows a response in favour of </w:t>
      </w:r>
      <w:proofErr w:type="spellStart"/>
      <w:r w:rsidRPr="00C34B88">
        <w:t>etanercept</w:t>
      </w:r>
      <w:proofErr w:type="spellEnd"/>
      <w:r w:rsidRPr="00C34B88">
        <w:t xml:space="preserve"> (</w:t>
      </w:r>
      <w:r w:rsidR="00455970" w:rsidRPr="00C34B88">
        <w:t xml:space="preserve">Figure </w:t>
      </w:r>
      <w:r w:rsidR="005E2056">
        <w:t>5</w:t>
      </w:r>
      <w:r w:rsidRPr="00C34B88">
        <w:t>).</w:t>
      </w:r>
    </w:p>
    <w:p w:rsidR="005D2BE4" w:rsidRPr="006A49A8" w:rsidRDefault="005D2BE4" w:rsidP="00EE72CF">
      <w:pPr>
        <w:pStyle w:val="FigureTitle"/>
        <w:rPr>
          <w:sz w:val="20"/>
          <w:szCs w:val="20"/>
        </w:rPr>
      </w:pPr>
      <w:bookmarkStart w:id="104" w:name="_Ref386618309"/>
      <w:bookmarkStart w:id="105" w:name="_Toc401925044"/>
      <w:r w:rsidRPr="006A49A8">
        <w:lastRenderedPageBreak/>
        <w:t xml:space="preserve">Figure </w:t>
      </w:r>
      <w:r w:rsidR="005E2056">
        <w:t>5</w:t>
      </w:r>
      <w:r>
        <w:t>:</w:t>
      </w:r>
      <w:bookmarkEnd w:id="104"/>
      <w:bookmarkEnd w:id="105"/>
      <w:r>
        <w:t xml:space="preserve"> </w:t>
      </w:r>
      <w:r w:rsidRPr="006A49A8">
        <w:rPr>
          <w:sz w:val="20"/>
          <w:szCs w:val="20"/>
        </w:rPr>
        <w:t xml:space="preserve">Study </w:t>
      </w:r>
      <w:r w:rsidRPr="00EE72CF">
        <w:t>B1801031</w:t>
      </w:r>
      <w:r>
        <w:t xml:space="preserve"> Cumulative partial remission (%) </w:t>
      </w:r>
      <w:proofErr w:type="spellStart"/>
      <w:r>
        <w:t>mITT</w:t>
      </w:r>
      <w:proofErr w:type="spellEnd"/>
      <w:r>
        <w:t xml:space="preserve"> population (double-blind period)</w:t>
      </w:r>
    </w:p>
    <w:p w:rsidR="005D2BE4" w:rsidRPr="006A49A8" w:rsidRDefault="005D2BE4" w:rsidP="00EE72CF">
      <w:r w:rsidRPr="006A49A8">
        <w:rPr>
          <w:noProof/>
          <w:lang w:eastAsia="en-AU"/>
        </w:rPr>
        <w:drawing>
          <wp:inline distT="0" distB="0" distL="0" distR="0" wp14:anchorId="109A9731" wp14:editId="15A6E648">
            <wp:extent cx="5477746" cy="2781300"/>
            <wp:effectExtent l="0" t="0" r="0" b="0"/>
            <wp:docPr id="16" name="Picture 15" descr="Figure 5: Study B1801031 Cumulative partial remission (%) mITT population (double-blind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lum bright="-20000" contrast="40000"/>
                    </a:blip>
                    <a:srcRect l="996" t="11264" r="2471" b="7692"/>
                    <a:stretch/>
                  </pic:blipFill>
                  <pic:spPr bwMode="auto">
                    <a:xfrm>
                      <a:off x="0" y="0"/>
                      <a:ext cx="5480151" cy="2782521"/>
                    </a:xfrm>
                    <a:prstGeom prst="rect">
                      <a:avLst/>
                    </a:prstGeom>
                    <a:noFill/>
                    <a:ln>
                      <a:noFill/>
                    </a:ln>
                    <a:extLst>
                      <a:ext uri="{53640926-AAD7-44D8-BBD7-CCE9431645EC}">
                        <a14:shadowObscured xmlns:a14="http://schemas.microsoft.com/office/drawing/2010/main"/>
                      </a:ext>
                    </a:extLst>
                  </pic:spPr>
                </pic:pic>
              </a:graphicData>
            </a:graphic>
          </wp:inline>
        </w:drawing>
      </w:r>
    </w:p>
    <w:p w:rsidR="00A6051D" w:rsidRPr="00C34B88" w:rsidRDefault="00455970" w:rsidP="00455970">
      <w:r>
        <w:t xml:space="preserve">Achievement of ≥ </w:t>
      </w:r>
      <w:r w:rsidR="00A6051D" w:rsidRPr="00455970">
        <w:t xml:space="preserve">20% improvement in 5 of </w:t>
      </w:r>
      <w:r w:rsidR="00A6051D" w:rsidRPr="00C34B88">
        <w:t>6 ASAS criteria followed a similar positive trend to ASAS 40 through doub</w:t>
      </w:r>
      <w:r w:rsidR="00C34B88" w:rsidRPr="00C34B88">
        <w:t>le-blind and open label periods (Table 3)</w:t>
      </w:r>
      <w:r w:rsidR="00A6051D" w:rsidRPr="00C34B88">
        <w:t>.</w:t>
      </w:r>
    </w:p>
    <w:p w:rsidR="00C34B88" w:rsidRPr="006A49A8" w:rsidRDefault="00C34B88" w:rsidP="00EE72CF">
      <w:pPr>
        <w:pStyle w:val="Tabletitle"/>
        <w:rPr>
          <w:sz w:val="20"/>
          <w:szCs w:val="20"/>
        </w:rPr>
      </w:pPr>
      <w:bookmarkStart w:id="106" w:name="_Ref386618312"/>
      <w:bookmarkStart w:id="107" w:name="_Toc401925045"/>
      <w:r w:rsidRPr="00C34B88">
        <w:t xml:space="preserve">Table </w:t>
      </w:r>
      <w:bookmarkEnd w:id="106"/>
      <w:bookmarkEnd w:id="107"/>
      <w:r w:rsidRPr="00C34B88">
        <w:t xml:space="preserve">3: </w:t>
      </w:r>
      <w:r w:rsidRPr="00F0386D">
        <w:t>Study B1801031</w:t>
      </w:r>
      <w:r w:rsidRPr="00C34B88">
        <w:t xml:space="preserve"> Proportion of subjects achieving ASAS 5/6 by time point (</w:t>
      </w:r>
      <w:proofErr w:type="spellStart"/>
      <w:r w:rsidRPr="00C34B88">
        <w:t>mITT</w:t>
      </w:r>
      <w:proofErr w:type="spellEnd"/>
      <w:r w:rsidRPr="00C34B88">
        <w:t xml:space="preserve"> population LOF)</w:t>
      </w:r>
    </w:p>
    <w:p w:rsidR="00C34B88" w:rsidRDefault="00C34B88" w:rsidP="00C34B88">
      <w:pPr>
        <w:jc w:val="both"/>
        <w:rPr>
          <w:rFonts w:ascii="Calibri" w:hAnsi="Calibri"/>
          <w:b/>
          <w:sz w:val="20"/>
          <w:szCs w:val="20"/>
        </w:rPr>
      </w:pPr>
      <w:r w:rsidRPr="006A49A8">
        <w:rPr>
          <w:rFonts w:ascii="Calibri" w:hAnsi="Calibri"/>
          <w:noProof/>
          <w:sz w:val="20"/>
          <w:szCs w:val="20"/>
          <w:lang w:eastAsia="en-AU"/>
        </w:rPr>
        <w:drawing>
          <wp:inline distT="0" distB="0" distL="0" distR="0" wp14:anchorId="1F868C62" wp14:editId="07C45902">
            <wp:extent cx="5289197" cy="3038475"/>
            <wp:effectExtent l="0" t="0" r="0" b="0"/>
            <wp:docPr id="17" name="Picture 16" descr="Table 3: Study B1801031 Proportion of subjects achieving ASAS 5/6 by time point (mITT population L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lum bright="-20000" contrast="40000"/>
                    </a:blip>
                    <a:srcRect l="1711" t="9660" b="5881"/>
                    <a:stretch/>
                  </pic:blipFill>
                  <pic:spPr bwMode="auto">
                    <a:xfrm>
                      <a:off x="0" y="0"/>
                      <a:ext cx="5307823" cy="3049175"/>
                    </a:xfrm>
                    <a:prstGeom prst="rect">
                      <a:avLst/>
                    </a:prstGeom>
                    <a:noFill/>
                    <a:ln>
                      <a:noFill/>
                    </a:ln>
                    <a:extLst>
                      <a:ext uri="{53640926-AAD7-44D8-BBD7-CCE9431645EC}">
                        <a14:shadowObscured xmlns:a14="http://schemas.microsoft.com/office/drawing/2010/main"/>
                      </a:ext>
                    </a:extLst>
                  </pic:spPr>
                </pic:pic>
              </a:graphicData>
            </a:graphic>
          </wp:inline>
        </w:drawing>
      </w:r>
    </w:p>
    <w:p w:rsidR="00A6051D" w:rsidRDefault="00A6051D" w:rsidP="00455970">
      <w:r w:rsidRPr="00455970">
        <w:t xml:space="preserve">There were multiple other secondary endpoints, the results of which are </w:t>
      </w:r>
      <w:r w:rsidRPr="00C34B88">
        <w:t xml:space="preserve">summarised in Table </w:t>
      </w:r>
      <w:r w:rsidR="00C34B88" w:rsidRPr="00C34B88">
        <w:t>4</w:t>
      </w:r>
      <w:r w:rsidR="00455970" w:rsidRPr="00C34B88">
        <w:t>.</w:t>
      </w:r>
    </w:p>
    <w:p w:rsidR="00C34B88" w:rsidRDefault="00C34B88" w:rsidP="00C34B88">
      <w:pPr>
        <w:pStyle w:val="Tabletitle"/>
      </w:pPr>
      <w:bookmarkStart w:id="108" w:name="_Ref386618317"/>
      <w:bookmarkStart w:id="109" w:name="_Ref386618320"/>
      <w:bookmarkStart w:id="110" w:name="_Ref386618325"/>
      <w:bookmarkStart w:id="111" w:name="_Ref386618328"/>
      <w:bookmarkStart w:id="112" w:name="_Toc401925046"/>
      <w:r w:rsidRPr="006A49A8">
        <w:lastRenderedPageBreak/>
        <w:t xml:space="preserve">Table </w:t>
      </w:r>
      <w:bookmarkEnd w:id="108"/>
      <w:bookmarkEnd w:id="109"/>
      <w:bookmarkEnd w:id="110"/>
      <w:bookmarkEnd w:id="111"/>
      <w:bookmarkEnd w:id="112"/>
      <w:r>
        <w:t xml:space="preserve">4: </w:t>
      </w:r>
      <w:r w:rsidRPr="006A49A8">
        <w:t>Study B1801031</w:t>
      </w:r>
      <w:r>
        <w:t xml:space="preserve"> Summary of selected secondary end points</w:t>
      </w:r>
    </w:p>
    <w:p w:rsidR="00C34B88" w:rsidRPr="00455970" w:rsidRDefault="00C34B88" w:rsidP="001B529F">
      <w:r>
        <w:rPr>
          <w:noProof/>
          <w:lang w:eastAsia="en-AU"/>
        </w:rPr>
        <w:drawing>
          <wp:inline distT="0" distB="0" distL="0" distR="0" wp14:anchorId="5C391E5A" wp14:editId="164E4767">
            <wp:extent cx="4524375" cy="5391411"/>
            <wp:effectExtent l="0" t="0" r="0" b="0"/>
            <wp:docPr id="4" name="Picture 4" descr="Table 4: Study B1801031 Summary of selected secondary end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l="2659" t="5803"/>
                    <a:stretch/>
                  </pic:blipFill>
                  <pic:spPr bwMode="auto">
                    <a:xfrm>
                      <a:off x="0" y="0"/>
                      <a:ext cx="4529009" cy="5396933"/>
                    </a:xfrm>
                    <a:prstGeom prst="rect">
                      <a:avLst/>
                    </a:prstGeom>
                    <a:ln>
                      <a:noFill/>
                    </a:ln>
                    <a:extLst>
                      <a:ext uri="{53640926-AAD7-44D8-BBD7-CCE9431645EC}">
                        <a14:shadowObscured xmlns:a14="http://schemas.microsoft.com/office/drawing/2010/main"/>
                      </a:ext>
                    </a:extLst>
                  </pic:spPr>
                </pic:pic>
              </a:graphicData>
            </a:graphic>
          </wp:inline>
        </w:drawing>
      </w:r>
    </w:p>
    <w:p w:rsidR="00455970" w:rsidRPr="0092742E" w:rsidRDefault="00A6051D" w:rsidP="0092742E">
      <w:pPr>
        <w:pStyle w:val="Heading7"/>
        <w:numPr>
          <w:ilvl w:val="0"/>
          <w:numId w:val="0"/>
        </w:numPr>
        <w:rPr>
          <w:i/>
          <w:sz w:val="20"/>
          <w:szCs w:val="20"/>
        </w:rPr>
      </w:pPr>
      <w:proofErr w:type="gramStart"/>
      <w:r w:rsidRPr="0092742E">
        <w:rPr>
          <w:i/>
          <w:sz w:val="20"/>
          <w:szCs w:val="20"/>
        </w:rPr>
        <w:t>Components of ASAS.</w:t>
      </w:r>
      <w:proofErr w:type="gramEnd"/>
    </w:p>
    <w:p w:rsidR="00A6051D" w:rsidRPr="00455970" w:rsidRDefault="00A6051D" w:rsidP="00455970">
      <w:r w:rsidRPr="00455970">
        <w:t xml:space="preserve">For subject assessment of disease activity, the mean percentage change from baseline in the VAS score was 35.4% </w:t>
      </w:r>
      <w:r w:rsidR="00455BC5">
        <w:t>versus</w:t>
      </w:r>
      <w:r w:rsidRPr="00455970">
        <w:t xml:space="preserve"> 21.9% in the ETN and placebo groups, respectively. By week 24, the mean change from baseline was similar at 50.6% and 55</w:t>
      </w:r>
      <w:proofErr w:type="gramStart"/>
      <w:r w:rsidRPr="00455970">
        <w:t>.%</w:t>
      </w:r>
      <w:proofErr w:type="gramEnd"/>
      <w:r w:rsidRPr="00455970">
        <w:t xml:space="preserve">% in the ETN/ETN and placebo/ETN groups, respectively. The mean change from baseline in VAS for nocturnal back pain and total back pain as well as the BASDAI level of morning stiffness all showed significant changes in favour of </w:t>
      </w:r>
      <w:proofErr w:type="spellStart"/>
      <w:r w:rsidRPr="00C34B88">
        <w:t>etanercept</w:t>
      </w:r>
      <w:proofErr w:type="spellEnd"/>
      <w:r w:rsidRPr="00C34B88">
        <w:t xml:space="preserve"> (</w:t>
      </w:r>
      <w:r w:rsidR="00455970" w:rsidRPr="00C34B88">
        <w:t xml:space="preserve">Table </w:t>
      </w:r>
      <w:r w:rsidR="00C34B88" w:rsidRPr="00C34B88">
        <w:t>4</w:t>
      </w:r>
      <w:r w:rsidRPr="00C34B88">
        <w:t xml:space="preserve">). </w:t>
      </w:r>
      <w:r w:rsidR="00C34B88">
        <w:t>At Week 12</w:t>
      </w:r>
      <w:r w:rsidRPr="00C34B88">
        <w:t>, the</w:t>
      </w:r>
      <w:r w:rsidRPr="00455970">
        <w:t xml:space="preserve"> change from baseline in BASMI lateral side flexion score was 10.3% and 2.7% , respectively, with an adjusted mean difference of 1.18 (95% CI: 0.03, 2.33) which just reached statistical significance (p</w:t>
      </w:r>
      <w:r w:rsidR="00455970">
        <w:t xml:space="preserve"> </w:t>
      </w:r>
      <w:r w:rsidRPr="00455970">
        <w:t>=</w:t>
      </w:r>
      <w:r w:rsidR="00455970">
        <w:t xml:space="preserve"> </w:t>
      </w:r>
      <w:r w:rsidRPr="00455970">
        <w:t xml:space="preserve">0.045). </w:t>
      </w:r>
      <w:r w:rsidR="00C34B88">
        <w:t>At Week 24</w:t>
      </w:r>
      <w:r w:rsidRPr="00455970">
        <w:t xml:space="preserve">, the improvement in lateral side flexion was 12.4% and 5.5% in the ETN/ETN and placebo/ETN groups respectively. ETN treatment led to a positive response in </w:t>
      </w:r>
      <w:proofErr w:type="spellStart"/>
      <w:r w:rsidRPr="00455970">
        <w:t>hsCRP</w:t>
      </w:r>
      <w:proofErr w:type="spellEnd"/>
      <w:r w:rsidRPr="00455970">
        <w:t xml:space="preserve"> with an adjusted mean difference </w:t>
      </w:r>
      <w:r w:rsidR="00C34B88">
        <w:t>at Week 12</w:t>
      </w:r>
      <w:r w:rsidRPr="00455970">
        <w:t xml:space="preserve"> of -3.12 (95% CI: -5.23, -1.02, p</w:t>
      </w:r>
      <w:r w:rsidR="00455970">
        <w:t xml:space="preserve"> </w:t>
      </w:r>
      <w:r w:rsidRPr="00455970">
        <w:t>=</w:t>
      </w:r>
      <w:r w:rsidR="00455970">
        <w:t xml:space="preserve"> </w:t>
      </w:r>
      <w:r w:rsidRPr="00455970">
        <w:t>0.0038).</w:t>
      </w:r>
    </w:p>
    <w:p w:rsidR="00455970" w:rsidRPr="0092742E" w:rsidRDefault="00A6051D" w:rsidP="0092742E">
      <w:pPr>
        <w:pStyle w:val="Heading7"/>
        <w:numPr>
          <w:ilvl w:val="0"/>
          <w:numId w:val="0"/>
        </w:numPr>
        <w:rPr>
          <w:i/>
          <w:sz w:val="20"/>
          <w:szCs w:val="20"/>
        </w:rPr>
      </w:pPr>
      <w:proofErr w:type="gramStart"/>
      <w:r w:rsidRPr="0092742E">
        <w:rPr>
          <w:i/>
          <w:sz w:val="20"/>
          <w:szCs w:val="20"/>
        </w:rPr>
        <w:t>ASDAS.</w:t>
      </w:r>
      <w:proofErr w:type="gramEnd"/>
    </w:p>
    <w:p w:rsidR="00A6051D" w:rsidRPr="00455970" w:rsidRDefault="00A6051D" w:rsidP="00455970">
      <w:r w:rsidRPr="00455970">
        <w:t xml:space="preserve">The proportion of subjects with ASDAS </w:t>
      </w:r>
      <w:proofErr w:type="spellStart"/>
      <w:r w:rsidRPr="00455970">
        <w:t>hsCRP</w:t>
      </w:r>
      <w:proofErr w:type="spellEnd"/>
      <w:r w:rsidRPr="00455970">
        <w:t xml:space="preserve"> ‘inactive disease’ was greater with ETN (40.0% </w:t>
      </w:r>
      <w:r w:rsidR="00455BC5">
        <w:t>versus</w:t>
      </w:r>
      <w:r w:rsidRPr="00455970">
        <w:t xml:space="preserve"> 17.4%) </w:t>
      </w:r>
      <w:r w:rsidR="00C34B88">
        <w:t>at Week 12</w:t>
      </w:r>
      <w:r w:rsidRPr="00455970">
        <w:t xml:space="preserve"> (p</w:t>
      </w:r>
      <w:r w:rsidR="00455970">
        <w:t xml:space="preserve"> </w:t>
      </w:r>
      <w:r w:rsidRPr="00455970">
        <w:t>=</w:t>
      </w:r>
      <w:r w:rsidR="00455970">
        <w:t xml:space="preserve"> </w:t>
      </w:r>
      <w:r w:rsidRPr="00455970">
        <w:t xml:space="preserve">0.004). This was maintained to week 24 (47.0% and 58.1%). The mean change from baseline in ASDAS </w:t>
      </w:r>
      <w:proofErr w:type="spellStart"/>
      <w:r w:rsidRPr="00455970">
        <w:t>hsCRP</w:t>
      </w:r>
      <w:proofErr w:type="spellEnd"/>
      <w:r w:rsidRPr="00455970">
        <w:t xml:space="preserve"> </w:t>
      </w:r>
      <w:r w:rsidR="00C34B88">
        <w:t>at Week 12</w:t>
      </w:r>
      <w:r w:rsidRPr="00455970">
        <w:t xml:space="preserve"> showed a significant difference in favour of ETN (-0.6, 95% CI: -0.83,-0.37, p</w:t>
      </w:r>
      <w:r w:rsidR="00455970">
        <w:t xml:space="preserve"> </w:t>
      </w:r>
      <w:r w:rsidRPr="00455970">
        <w:t>&lt;</w:t>
      </w:r>
      <w:r w:rsidR="00455970">
        <w:t xml:space="preserve"> </w:t>
      </w:r>
      <w:r w:rsidRPr="00455970">
        <w:t>0.001).</w:t>
      </w:r>
    </w:p>
    <w:p w:rsidR="00A6051D" w:rsidRPr="00455970" w:rsidRDefault="00A6051D" w:rsidP="00455970">
      <w:r w:rsidRPr="00455970">
        <w:lastRenderedPageBreak/>
        <w:t xml:space="preserve">Response on the BASDAI total score followed similar trend with a mean percentage change from baseline to </w:t>
      </w:r>
      <w:r w:rsidR="003E4117">
        <w:t>W</w:t>
      </w:r>
      <w:r w:rsidRPr="00455970">
        <w:t xml:space="preserve">eek 12 of 32.7% and 22.0% in the </w:t>
      </w:r>
      <w:proofErr w:type="spellStart"/>
      <w:r w:rsidRPr="00455970">
        <w:t>etanercept</w:t>
      </w:r>
      <w:proofErr w:type="spellEnd"/>
      <w:r w:rsidRPr="00455970">
        <w:t xml:space="preserve"> and placebo groups, respectively. </w:t>
      </w:r>
      <w:r w:rsidR="00C34B88">
        <w:t>At Week 24</w:t>
      </w:r>
      <w:r w:rsidRPr="00455970">
        <w:t xml:space="preserve"> the response showed ongoing improvement (48.0% and 54.5%). The proportion of subjects achieving BASDAI 50 was 43.8% </w:t>
      </w:r>
      <w:r w:rsidR="00455BC5">
        <w:t>versus</w:t>
      </w:r>
      <w:r w:rsidRPr="00455970">
        <w:t xml:space="preserve"> 23.9% (difference 19.96%, 95% CI: 7.5, 32.4, p=0.003). The proportion responding was maintained to </w:t>
      </w:r>
      <w:r w:rsidR="003E4117">
        <w:t>W</w:t>
      </w:r>
      <w:r w:rsidRPr="00455970">
        <w:t xml:space="preserve">eek 24 in </w:t>
      </w:r>
      <w:proofErr w:type="spellStart"/>
      <w:r w:rsidRPr="00455970">
        <w:t>etanercept</w:t>
      </w:r>
      <w:proofErr w:type="spellEnd"/>
      <w:r w:rsidRPr="00455970">
        <w:t xml:space="preserve">-treated subjects (50.0%) and increased in those switching to </w:t>
      </w:r>
      <w:proofErr w:type="spellStart"/>
      <w:r w:rsidRPr="00455970">
        <w:t>etanercept</w:t>
      </w:r>
      <w:proofErr w:type="spellEnd"/>
      <w:r w:rsidRPr="00455970">
        <w:t xml:space="preserve"> (62.9%).</w:t>
      </w:r>
    </w:p>
    <w:p w:rsidR="006D0299" w:rsidRPr="0092742E" w:rsidRDefault="00A6051D" w:rsidP="0092742E">
      <w:pPr>
        <w:pStyle w:val="Heading7"/>
        <w:numPr>
          <w:ilvl w:val="0"/>
          <w:numId w:val="0"/>
        </w:numPr>
        <w:rPr>
          <w:i/>
          <w:sz w:val="20"/>
          <w:szCs w:val="20"/>
        </w:rPr>
      </w:pPr>
      <w:r w:rsidRPr="0092742E">
        <w:rPr>
          <w:i/>
          <w:sz w:val="20"/>
          <w:szCs w:val="20"/>
        </w:rPr>
        <w:t>Physical function</w:t>
      </w:r>
    </w:p>
    <w:p w:rsidR="00A6051D" w:rsidRPr="006D0299" w:rsidRDefault="003E4117" w:rsidP="006D0299">
      <w:r>
        <w:t>A</w:t>
      </w:r>
      <w:r w:rsidR="00A6051D" w:rsidRPr="006D0299">
        <w:t xml:space="preserve">s measured by the BASFI total score </w:t>
      </w:r>
      <w:r>
        <w:t xml:space="preserve">physical function </w:t>
      </w:r>
      <w:r w:rsidR="00A6051D" w:rsidRPr="006D0299">
        <w:t xml:space="preserve">was significantly greater with </w:t>
      </w:r>
      <w:proofErr w:type="spellStart"/>
      <w:r w:rsidR="00A6051D" w:rsidRPr="006D0299">
        <w:t>etanercept</w:t>
      </w:r>
      <w:proofErr w:type="spellEnd"/>
      <w:r w:rsidR="00A6051D" w:rsidRPr="006D0299">
        <w:t xml:space="preserve"> </w:t>
      </w:r>
      <w:r w:rsidR="00C34B88">
        <w:t>at Week 12</w:t>
      </w:r>
      <w:r w:rsidR="00A6051D" w:rsidRPr="006D0299">
        <w:t xml:space="preserve"> with a mean percentage change from baseline of 33.6% </w:t>
      </w:r>
      <w:r w:rsidR="00455BC5">
        <w:t>versus</w:t>
      </w:r>
      <w:r w:rsidR="00A6051D" w:rsidRPr="006D0299">
        <w:t xml:space="preserve"> 21.6% and an adjusted mean difference of -0.57 (95% CI -1.04, -0.11, p</w:t>
      </w:r>
      <w:r w:rsidR="006D0299">
        <w:t xml:space="preserve"> </w:t>
      </w:r>
      <w:r w:rsidR="00A6051D" w:rsidRPr="006D0299">
        <w:t>=</w:t>
      </w:r>
      <w:r w:rsidR="006D0299">
        <w:t xml:space="preserve"> </w:t>
      </w:r>
      <w:r w:rsidR="00A6051D" w:rsidRPr="006D0299">
        <w:t>0.0164). There was some ongoing improvement to week 24 (mean change from baseline of 44.5% and 48.3%).</w:t>
      </w:r>
    </w:p>
    <w:p w:rsidR="00A6051D" w:rsidRPr="006D0299" w:rsidRDefault="00A6051D" w:rsidP="006D0299">
      <w:r w:rsidRPr="006D0299">
        <w:t>The</w:t>
      </w:r>
      <w:r w:rsidR="003E4117">
        <w:t>re</w:t>
      </w:r>
      <w:r w:rsidRPr="006D0299">
        <w:t xml:space="preserve"> was a small but statistically significant improvement in the Physician Global Assessment (PGA) VAS score (mean percentage change of 48.5% </w:t>
      </w:r>
      <w:r w:rsidR="00455BC5">
        <w:t>versus</w:t>
      </w:r>
      <w:r w:rsidRPr="006D0299">
        <w:t xml:space="preserve"> 39.6%, adjusted mean difference of -0.70, p=0.0156). This improved to week 24 (mean percentage change of 63.9% and 63.0%).</w:t>
      </w:r>
    </w:p>
    <w:p w:rsidR="006D0299" w:rsidRPr="0092742E" w:rsidRDefault="00A6051D" w:rsidP="0092742E">
      <w:pPr>
        <w:pStyle w:val="Heading7"/>
        <w:numPr>
          <w:ilvl w:val="0"/>
          <w:numId w:val="0"/>
        </w:numPr>
        <w:rPr>
          <w:i/>
          <w:sz w:val="20"/>
          <w:szCs w:val="20"/>
        </w:rPr>
      </w:pPr>
      <w:r w:rsidRPr="0092742E">
        <w:rPr>
          <w:i/>
          <w:sz w:val="20"/>
          <w:szCs w:val="20"/>
        </w:rPr>
        <w:t>Spinal mobility</w:t>
      </w:r>
    </w:p>
    <w:p w:rsidR="00A6051D" w:rsidRDefault="003E4117" w:rsidP="006D0299">
      <w:r>
        <w:t>A</w:t>
      </w:r>
      <w:r w:rsidR="00A6051D" w:rsidRPr="006D0299">
        <w:t xml:space="preserve">s measured by the BASMI total score found no statistically significant difference between groups </w:t>
      </w:r>
      <w:r w:rsidR="00C34B88">
        <w:t>at Week 12</w:t>
      </w:r>
      <w:r w:rsidR="00A6051D" w:rsidRPr="006D0299">
        <w:t xml:space="preserve"> (mean percent change from baseline of 22.7% </w:t>
      </w:r>
      <w:r w:rsidR="00455BC5">
        <w:t>versus</w:t>
      </w:r>
      <w:r w:rsidR="00A6051D" w:rsidRPr="006D0299">
        <w:t xml:space="preserve"> 21.3%, adjusted mean difference -0.06, </w:t>
      </w:r>
      <w:r w:rsidR="00A6051D" w:rsidRPr="003E4117">
        <w:t>p</w:t>
      </w:r>
      <w:r w:rsidR="006D0299" w:rsidRPr="003E4117">
        <w:t xml:space="preserve"> </w:t>
      </w:r>
      <w:r w:rsidR="00A6051D" w:rsidRPr="003E4117">
        <w:t>=</w:t>
      </w:r>
      <w:r w:rsidR="006D0299" w:rsidRPr="003E4117">
        <w:t xml:space="preserve"> </w:t>
      </w:r>
      <w:r w:rsidR="00A6051D" w:rsidRPr="003E4117">
        <w:t>0.687) (</w:t>
      </w:r>
      <w:r w:rsidR="006D0299" w:rsidRPr="003E4117">
        <w:t xml:space="preserve">Table </w:t>
      </w:r>
      <w:r w:rsidRPr="003E4117">
        <w:t>5</w:t>
      </w:r>
      <w:r w:rsidR="00A6051D" w:rsidRPr="003E4117">
        <w:t xml:space="preserve">). There was a trend for improvement to </w:t>
      </w:r>
      <w:r w:rsidRPr="003E4117">
        <w:t>W</w:t>
      </w:r>
      <w:r w:rsidR="00A6051D" w:rsidRPr="003E4117">
        <w:t>eek 24 (mean percentage change from baseline of 35.7% and 27</w:t>
      </w:r>
      <w:r w:rsidR="00A6051D" w:rsidRPr="006D0299">
        <w:t xml:space="preserve">.1%). There were no statistically significant differences between group </w:t>
      </w:r>
      <w:r w:rsidR="00C34B88">
        <w:t>at Week 12</w:t>
      </w:r>
      <w:r w:rsidR="00A6051D" w:rsidRPr="006D0299">
        <w:t xml:space="preserve"> in the BASMI component scores (cervical rotation, tragus-to-wall distance, modified </w:t>
      </w:r>
      <w:proofErr w:type="spellStart"/>
      <w:r w:rsidR="00A6051D" w:rsidRPr="006D0299">
        <w:t>Schober’s</w:t>
      </w:r>
      <w:proofErr w:type="spellEnd"/>
      <w:r w:rsidR="00A6051D" w:rsidRPr="006D0299">
        <w:t xml:space="preserve"> test, </w:t>
      </w:r>
      <w:proofErr w:type="spellStart"/>
      <w:r w:rsidR="00A6051D" w:rsidRPr="006D0299">
        <w:t>intermalleolar</w:t>
      </w:r>
      <w:proofErr w:type="spellEnd"/>
      <w:r w:rsidR="00A6051D" w:rsidRPr="006D0299">
        <w:t xml:space="preserve"> distance and lateral side flexion) nor in other mobility measures of chest expansion and occiput-to-wall test.</w:t>
      </w:r>
    </w:p>
    <w:p w:rsidR="003E4117" w:rsidRPr="006A49A8" w:rsidRDefault="003E4117" w:rsidP="003E4117">
      <w:pPr>
        <w:pStyle w:val="Tabletitle"/>
        <w:rPr>
          <w:sz w:val="20"/>
          <w:szCs w:val="20"/>
        </w:rPr>
      </w:pPr>
      <w:bookmarkStart w:id="113" w:name="_Ref386618323"/>
      <w:bookmarkStart w:id="114" w:name="_Toc401925047"/>
      <w:r w:rsidRPr="006A49A8">
        <w:lastRenderedPageBreak/>
        <w:t xml:space="preserve">Table </w:t>
      </w:r>
      <w:bookmarkEnd w:id="113"/>
      <w:bookmarkEnd w:id="114"/>
      <w:r>
        <w:t xml:space="preserve">5: </w:t>
      </w:r>
      <w:r w:rsidRPr="00F0386D">
        <w:t>Study B1801031</w:t>
      </w:r>
      <w:r>
        <w:t xml:space="preserve"> Change from baseline in BASMI total score by time point (</w:t>
      </w:r>
      <w:proofErr w:type="spellStart"/>
      <w:r>
        <w:t>mITT</w:t>
      </w:r>
      <w:proofErr w:type="spellEnd"/>
      <w:r>
        <w:t xml:space="preserve"> population LOCF)</w:t>
      </w:r>
    </w:p>
    <w:p w:rsidR="003E4117" w:rsidRPr="006A49A8" w:rsidRDefault="003E4117" w:rsidP="003E4117">
      <w:pPr>
        <w:rPr>
          <w:rFonts w:ascii="Calibri" w:hAnsi="Calibri"/>
          <w:sz w:val="20"/>
          <w:szCs w:val="20"/>
        </w:rPr>
      </w:pPr>
      <w:r w:rsidRPr="006A49A8">
        <w:rPr>
          <w:rFonts w:ascii="Calibri" w:hAnsi="Calibri"/>
          <w:noProof/>
          <w:sz w:val="20"/>
          <w:szCs w:val="20"/>
          <w:lang w:eastAsia="en-AU"/>
        </w:rPr>
        <w:drawing>
          <wp:inline distT="0" distB="0" distL="0" distR="0" wp14:anchorId="5022FB5D" wp14:editId="691206DC">
            <wp:extent cx="4248065" cy="4800600"/>
            <wp:effectExtent l="0" t="0" r="0" b="0"/>
            <wp:docPr id="20" name="Picture 1" descr="Table 5: Study B1801031 Change from baseline in BASMI total score by time point (mITT population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lum bright="-20000" contrast="40000"/>
                    </a:blip>
                    <a:srcRect l="1497" t="5425" b="1473"/>
                    <a:stretch/>
                  </pic:blipFill>
                  <pic:spPr bwMode="auto">
                    <a:xfrm>
                      <a:off x="0" y="0"/>
                      <a:ext cx="4253249" cy="4806458"/>
                    </a:xfrm>
                    <a:prstGeom prst="rect">
                      <a:avLst/>
                    </a:prstGeom>
                    <a:noFill/>
                    <a:ln>
                      <a:noFill/>
                    </a:ln>
                    <a:extLst>
                      <a:ext uri="{53640926-AAD7-44D8-BBD7-CCE9431645EC}">
                        <a14:shadowObscured xmlns:a14="http://schemas.microsoft.com/office/drawing/2010/main"/>
                      </a:ext>
                    </a:extLst>
                  </pic:spPr>
                </pic:pic>
              </a:graphicData>
            </a:graphic>
          </wp:inline>
        </w:drawing>
      </w:r>
    </w:p>
    <w:p w:rsidR="006D0299" w:rsidRPr="0092742E" w:rsidRDefault="00A6051D" w:rsidP="0092742E">
      <w:pPr>
        <w:pStyle w:val="Heading7"/>
        <w:numPr>
          <w:ilvl w:val="0"/>
          <w:numId w:val="0"/>
        </w:numPr>
        <w:rPr>
          <w:i/>
          <w:sz w:val="20"/>
          <w:szCs w:val="20"/>
        </w:rPr>
      </w:pPr>
      <w:r w:rsidRPr="0092742E">
        <w:rPr>
          <w:i/>
          <w:sz w:val="20"/>
          <w:szCs w:val="20"/>
        </w:rPr>
        <w:t>Imaging</w:t>
      </w:r>
    </w:p>
    <w:p w:rsidR="00A6051D" w:rsidRPr="006D0299" w:rsidRDefault="00A6051D" w:rsidP="006D0299">
      <w:proofErr w:type="gramStart"/>
      <w:r w:rsidRPr="006D0299">
        <w:t>Changes in inflammation using MRI of the spine was</w:t>
      </w:r>
      <w:proofErr w:type="gramEnd"/>
      <w:r w:rsidRPr="006D0299">
        <w:t xml:space="preserve"> measured using the SPARCC score for the SI joint. The mean change from baseline to week 12 in this score was -3.77 and -0.84 in the ETN and placebo groups, respectively. The adjusted mean difference of -2.93 (95% CI: -4.16, -1.70) was statistically significant (p</w:t>
      </w:r>
      <w:r w:rsidR="006D0299">
        <w:t xml:space="preserve"> </w:t>
      </w:r>
      <w:r w:rsidRPr="006D0299">
        <w:t>&lt;</w:t>
      </w:r>
      <w:r w:rsidR="006D0299">
        <w:t xml:space="preserve"> </w:t>
      </w:r>
      <w:r w:rsidRPr="006D0299">
        <w:t>0.001</w:t>
      </w:r>
      <w:r w:rsidRPr="003E4117">
        <w:t>) (</w:t>
      </w:r>
      <w:r w:rsidR="006D0299" w:rsidRPr="003E4117">
        <w:t xml:space="preserve">Table </w:t>
      </w:r>
      <w:r w:rsidR="003E4117" w:rsidRPr="003E4117">
        <w:t>4</w:t>
      </w:r>
      <w:r w:rsidRPr="003E4117">
        <w:t xml:space="preserve">). The SPARCC-Spine 6 </w:t>
      </w:r>
      <w:proofErr w:type="spellStart"/>
      <w:r w:rsidRPr="003E4117">
        <w:t>discovertebral</w:t>
      </w:r>
      <w:proofErr w:type="spellEnd"/>
      <w:r w:rsidRPr="003E4117">
        <w:t xml:space="preserve"> units (DVU) total score was also in favour of </w:t>
      </w:r>
      <w:proofErr w:type="spellStart"/>
      <w:r w:rsidRPr="003E4117">
        <w:t>etanercept</w:t>
      </w:r>
      <w:proofErr w:type="spellEnd"/>
      <w:r w:rsidRPr="003E4117">
        <w:t xml:space="preserve"> (adjusted mean difference of -0.96, 95% CI: -1.88, -0.04, p</w:t>
      </w:r>
      <w:r w:rsidR="006D0299" w:rsidRPr="003E4117">
        <w:t xml:space="preserve"> </w:t>
      </w:r>
      <w:r w:rsidRPr="003E4117">
        <w:t>=</w:t>
      </w:r>
      <w:r w:rsidR="006D0299" w:rsidRPr="003E4117">
        <w:t xml:space="preserve"> </w:t>
      </w:r>
      <w:r w:rsidRPr="003E4117">
        <w:t xml:space="preserve">0.041) as was the </w:t>
      </w:r>
      <w:proofErr w:type="spellStart"/>
      <w:r w:rsidRPr="003E4117">
        <w:t>ASspiMRI</w:t>
      </w:r>
      <w:proofErr w:type="spellEnd"/>
      <w:r w:rsidRPr="003E4117">
        <w:t>-a total score (</w:t>
      </w:r>
      <w:r w:rsidR="003E4117" w:rsidRPr="003E4117">
        <w:t>Table 4</w:t>
      </w:r>
      <w:r w:rsidRPr="003E4117">
        <w:t>).</w:t>
      </w:r>
    </w:p>
    <w:p w:rsidR="006D0299" w:rsidRDefault="00A6051D" w:rsidP="0092742E">
      <w:pPr>
        <w:pStyle w:val="Heading7"/>
        <w:numPr>
          <w:ilvl w:val="0"/>
          <w:numId w:val="0"/>
        </w:numPr>
      </w:pPr>
      <w:proofErr w:type="gramStart"/>
      <w:r w:rsidRPr="0092742E">
        <w:rPr>
          <w:i/>
          <w:sz w:val="20"/>
          <w:szCs w:val="20"/>
        </w:rPr>
        <w:t>Health outcomes</w:t>
      </w:r>
      <w:r w:rsidRPr="00717ED2">
        <w:t>.</w:t>
      </w:r>
      <w:proofErr w:type="gramEnd"/>
    </w:p>
    <w:p w:rsidR="00A6051D" w:rsidRPr="00717ED2" w:rsidRDefault="00A6051D" w:rsidP="00A6051D">
      <w:bookmarkStart w:id="115" w:name="_Hlk387869465"/>
      <w:r w:rsidRPr="00717ED2">
        <w:t xml:space="preserve">For sites in Russia and the Czech Republic only certain questionnaires were translated (BASDAI, BASFI, Subject Assessment of Disease, total pain and nocturnal back pain assessments) resulting in </w:t>
      </w:r>
      <w:r w:rsidR="006D0299">
        <w:t>lower numbers in some analyses.</w:t>
      </w:r>
    </w:p>
    <w:p w:rsidR="00A6051D" w:rsidRPr="00717ED2" w:rsidRDefault="006D0299" w:rsidP="006D0299">
      <w:pPr>
        <w:pStyle w:val="Comment"/>
      </w:pPr>
      <w:r w:rsidRPr="00242A54">
        <w:rPr>
          <w:b/>
        </w:rPr>
        <w:t xml:space="preserve">Evaluators </w:t>
      </w:r>
      <w:r w:rsidR="001B529F">
        <w:rPr>
          <w:b/>
        </w:rPr>
        <w:t>c</w:t>
      </w:r>
      <w:r w:rsidR="00A6051D" w:rsidRPr="00242A54">
        <w:rPr>
          <w:b/>
        </w:rPr>
        <w:t xml:space="preserve">omment: </w:t>
      </w:r>
      <w:r w:rsidR="00A6051D" w:rsidRPr="00242A54">
        <w:rPr>
          <w:b/>
        </w:rPr>
        <w:tab/>
      </w:r>
      <w:r w:rsidR="00A6051D" w:rsidRPr="00717ED2">
        <w:t xml:space="preserve">The </w:t>
      </w:r>
      <w:r w:rsidR="00242A54">
        <w:t>s</w:t>
      </w:r>
      <w:r w:rsidR="00A6051D" w:rsidRPr="00717ED2">
        <w:t xml:space="preserve">ponsor has been asked to clarify this </w:t>
      </w:r>
      <w:proofErr w:type="gramStart"/>
      <w:r w:rsidR="00A6051D" w:rsidRPr="00717ED2">
        <w:t>issue,</w:t>
      </w:r>
      <w:proofErr w:type="gramEnd"/>
      <w:r w:rsidR="00A6051D" w:rsidRPr="00717ED2">
        <w:t xml:space="preserve"> the numbers involved and if there </w:t>
      </w:r>
      <w:r w:rsidR="00A6051D">
        <w:t>was</w:t>
      </w:r>
      <w:r w:rsidR="00A6051D" w:rsidRPr="00717ED2">
        <w:t xml:space="preserve"> any impact on other outcomes.</w:t>
      </w:r>
    </w:p>
    <w:bookmarkEnd w:id="115"/>
    <w:p w:rsidR="00A6051D" w:rsidRDefault="00A6051D" w:rsidP="006D0299">
      <w:r w:rsidRPr="006D0299">
        <w:t xml:space="preserve">The EuroQoL-5D VAS score was significantly improved with </w:t>
      </w:r>
      <w:proofErr w:type="spellStart"/>
      <w:r w:rsidRPr="006D0299">
        <w:t>etanercept</w:t>
      </w:r>
      <w:proofErr w:type="spellEnd"/>
      <w:r w:rsidRPr="006D0299">
        <w:t xml:space="preserve"> </w:t>
      </w:r>
      <w:r w:rsidR="00C34B88">
        <w:t>at Week 12</w:t>
      </w:r>
      <w:r w:rsidRPr="006D0299">
        <w:t xml:space="preserve"> and showed ongoing improvement to </w:t>
      </w:r>
      <w:r w:rsidR="00D9068D" w:rsidRPr="00D9068D">
        <w:t>W</w:t>
      </w:r>
      <w:r w:rsidRPr="00D9068D">
        <w:t>eek 24 (</w:t>
      </w:r>
      <w:r w:rsidR="006D0299" w:rsidRPr="00D9068D">
        <w:t xml:space="preserve">Table </w:t>
      </w:r>
      <w:r w:rsidR="00D9068D" w:rsidRPr="00D9068D">
        <w:t>6</w:t>
      </w:r>
      <w:r w:rsidR="006D0299" w:rsidRPr="00D9068D">
        <w:t>)</w:t>
      </w:r>
      <w:r w:rsidRPr="00D9068D">
        <w:t xml:space="preserve">. There was, however, no significant difference between groups </w:t>
      </w:r>
      <w:r w:rsidR="00C34B88" w:rsidRPr="00D9068D">
        <w:t>at Week 12</w:t>
      </w:r>
      <w:r w:rsidRPr="00D9068D">
        <w:t xml:space="preserve"> in the proportion of subjects with a score &gt;82 (26.2% </w:t>
      </w:r>
      <w:r w:rsidR="00455BC5" w:rsidRPr="00D9068D">
        <w:t>versus</w:t>
      </w:r>
      <w:r w:rsidRPr="00D9068D">
        <w:t xml:space="preserve"> 17.4%, p</w:t>
      </w:r>
      <w:r w:rsidR="006D0299" w:rsidRPr="00D9068D">
        <w:t xml:space="preserve"> </w:t>
      </w:r>
      <w:r w:rsidRPr="00D9068D">
        <w:t>=</w:t>
      </w:r>
      <w:r w:rsidR="006D0299" w:rsidRPr="00D9068D">
        <w:t xml:space="preserve"> </w:t>
      </w:r>
      <w:r w:rsidRPr="00D9068D">
        <w:t xml:space="preserve">0.148) and the proportion remained steady to </w:t>
      </w:r>
      <w:r w:rsidR="00D9068D" w:rsidRPr="00D9068D">
        <w:t>W</w:t>
      </w:r>
      <w:r w:rsidRPr="00D9068D">
        <w:t xml:space="preserve">eek 24 (28-30%) </w:t>
      </w:r>
      <w:proofErr w:type="gramStart"/>
      <w:r w:rsidRPr="00D9068D">
        <w:t>(</w:t>
      </w:r>
      <w:r w:rsidR="006D0299" w:rsidRPr="00D9068D">
        <w:t>Table 7</w:t>
      </w:r>
      <w:r w:rsidRPr="00D9068D">
        <w:t>)</w:t>
      </w:r>
      <w:r w:rsidR="00242A54">
        <w:t>.</w:t>
      </w:r>
      <w:proofErr w:type="gramEnd"/>
      <w:r w:rsidRPr="00D9068D">
        <w:t xml:space="preserve"> There was no significant difference between groups </w:t>
      </w:r>
      <w:r w:rsidR="00C34B88" w:rsidRPr="00D9068D">
        <w:t>at Week 12</w:t>
      </w:r>
      <w:r w:rsidRPr="00D9068D">
        <w:t xml:space="preserve"> in the EQ-4D utility sc</w:t>
      </w:r>
      <w:r w:rsidR="006D0299" w:rsidRPr="00D9068D">
        <w:t>ore (difference 0.06, p = 0.135).</w:t>
      </w:r>
    </w:p>
    <w:p w:rsidR="00D9068D" w:rsidRPr="006A49A8" w:rsidRDefault="00D9068D" w:rsidP="00D9068D">
      <w:pPr>
        <w:pStyle w:val="Tabletitle"/>
        <w:rPr>
          <w:sz w:val="20"/>
          <w:szCs w:val="20"/>
        </w:rPr>
      </w:pPr>
      <w:bookmarkStart w:id="116" w:name="_Ref386618330"/>
      <w:bookmarkStart w:id="117" w:name="_Toc401925048"/>
      <w:r w:rsidRPr="006A49A8">
        <w:lastRenderedPageBreak/>
        <w:t xml:space="preserve">Table </w:t>
      </w:r>
      <w:bookmarkEnd w:id="116"/>
      <w:bookmarkEnd w:id="117"/>
      <w:r>
        <w:t xml:space="preserve">6: </w:t>
      </w:r>
      <w:r w:rsidRPr="00F0386D">
        <w:t>Study B1801031</w:t>
      </w:r>
      <w:r>
        <w:t xml:space="preserve"> Change from baseline in EQ-5D VAS score (mm) by time point (</w:t>
      </w:r>
      <w:proofErr w:type="spellStart"/>
      <w:r>
        <w:t>mITT</w:t>
      </w:r>
      <w:proofErr w:type="spellEnd"/>
      <w:r>
        <w:t xml:space="preserve"> population, Observed Cases)</w:t>
      </w:r>
    </w:p>
    <w:p w:rsidR="00D9068D" w:rsidRDefault="00D9068D" w:rsidP="00930C6A">
      <w:r w:rsidRPr="006A49A8">
        <w:rPr>
          <w:noProof/>
          <w:lang w:eastAsia="en-AU"/>
        </w:rPr>
        <w:drawing>
          <wp:inline distT="0" distB="0" distL="0" distR="0" wp14:anchorId="6A407D27" wp14:editId="470E38C1">
            <wp:extent cx="4277641" cy="4410075"/>
            <wp:effectExtent l="0" t="0" r="0" b="0"/>
            <wp:docPr id="21" name="Picture 1" descr="Table 6: Study B1801031 Change frm baseline in EQ-5D VAS score (mm) by time point (mITT population, Observ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lum bright="-20000" contrast="40000"/>
                    </a:blip>
                    <a:srcRect l="1662" t="6298"/>
                    <a:stretch/>
                  </pic:blipFill>
                  <pic:spPr bwMode="auto">
                    <a:xfrm>
                      <a:off x="0" y="0"/>
                      <a:ext cx="4283078" cy="4415681"/>
                    </a:xfrm>
                    <a:prstGeom prst="rect">
                      <a:avLst/>
                    </a:prstGeom>
                    <a:noFill/>
                    <a:ln>
                      <a:noFill/>
                    </a:ln>
                    <a:extLst>
                      <a:ext uri="{53640926-AAD7-44D8-BBD7-CCE9431645EC}">
                        <a14:shadowObscured xmlns:a14="http://schemas.microsoft.com/office/drawing/2010/main"/>
                      </a:ext>
                    </a:extLst>
                  </pic:spPr>
                </pic:pic>
              </a:graphicData>
            </a:graphic>
          </wp:inline>
        </w:drawing>
      </w:r>
    </w:p>
    <w:p w:rsidR="00D9068D" w:rsidRPr="006A49A8" w:rsidRDefault="00D9068D" w:rsidP="00D9068D">
      <w:pPr>
        <w:pStyle w:val="Tabletitle"/>
        <w:rPr>
          <w:sz w:val="20"/>
          <w:szCs w:val="20"/>
        </w:rPr>
      </w:pPr>
      <w:bookmarkStart w:id="118" w:name="_Ref386618332"/>
      <w:bookmarkStart w:id="119" w:name="_Toc401925049"/>
      <w:r w:rsidRPr="006A49A8">
        <w:t>Table 7</w:t>
      </w:r>
      <w:r>
        <w:t xml:space="preserve">: </w:t>
      </w:r>
      <w:bookmarkEnd w:id="118"/>
      <w:bookmarkEnd w:id="119"/>
      <w:r w:rsidRPr="00F0386D">
        <w:t>Study B1801031</w:t>
      </w:r>
      <w:r>
        <w:t xml:space="preserve"> Proportion of subjects ache9iving EQ-5D VAS score of &gt;82 (</w:t>
      </w:r>
      <w:proofErr w:type="spellStart"/>
      <w:proofErr w:type="gramStart"/>
      <w:r>
        <w:t>mITT</w:t>
      </w:r>
      <w:proofErr w:type="spellEnd"/>
      <w:proofErr w:type="gramEnd"/>
      <w:r>
        <w:t xml:space="preserve"> population; Observed Cases.</w:t>
      </w:r>
    </w:p>
    <w:p w:rsidR="00D9068D" w:rsidRPr="006A49A8" w:rsidRDefault="00D9068D" w:rsidP="00930C6A">
      <w:r w:rsidRPr="006A49A8">
        <w:rPr>
          <w:noProof/>
          <w:lang w:eastAsia="en-AU"/>
        </w:rPr>
        <w:drawing>
          <wp:inline distT="0" distB="0" distL="0" distR="0" wp14:anchorId="368BB323" wp14:editId="286426D3">
            <wp:extent cx="4343400" cy="2392122"/>
            <wp:effectExtent l="0" t="0" r="0" b="0"/>
            <wp:docPr id="22" name="Picture 2" descr="Table 7: Study B1801031 Proportion of subjects ache9iving EQ-5D VAS score of &gt;82 (mITT population observ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lum bright="-20000" contrast="40000"/>
                    </a:blip>
                    <a:srcRect t="8929" b="6623"/>
                    <a:stretch/>
                  </pic:blipFill>
                  <pic:spPr bwMode="auto">
                    <a:xfrm>
                      <a:off x="0" y="0"/>
                      <a:ext cx="4351429" cy="2396544"/>
                    </a:xfrm>
                    <a:prstGeom prst="rect">
                      <a:avLst/>
                    </a:prstGeom>
                    <a:noFill/>
                    <a:ln>
                      <a:noFill/>
                    </a:ln>
                    <a:extLst>
                      <a:ext uri="{53640926-AAD7-44D8-BBD7-CCE9431645EC}">
                        <a14:shadowObscured xmlns:a14="http://schemas.microsoft.com/office/drawing/2010/main"/>
                      </a:ext>
                    </a:extLst>
                  </pic:spPr>
                </pic:pic>
              </a:graphicData>
            </a:graphic>
          </wp:inline>
        </w:drawing>
      </w:r>
    </w:p>
    <w:p w:rsidR="00A6051D" w:rsidRDefault="00A6051D" w:rsidP="006D0299">
      <w:r w:rsidRPr="006D0299">
        <w:t xml:space="preserve">On the SF-36 Physical Component Summary (PCS), the mean change from baseline was 16.4% and 10.2% in the </w:t>
      </w:r>
      <w:proofErr w:type="spellStart"/>
      <w:r w:rsidRPr="006D0299">
        <w:t>etanercept</w:t>
      </w:r>
      <w:proofErr w:type="spellEnd"/>
      <w:r w:rsidRPr="006D0299">
        <w:t xml:space="preserve"> and placebo groups, respectively (p</w:t>
      </w:r>
      <w:r w:rsidR="006D0299" w:rsidRPr="006D0299">
        <w:t xml:space="preserve"> </w:t>
      </w:r>
      <w:r w:rsidRPr="006D0299">
        <w:t>=</w:t>
      </w:r>
      <w:r w:rsidR="006D0299" w:rsidRPr="006D0299">
        <w:t xml:space="preserve"> </w:t>
      </w:r>
      <w:r w:rsidRPr="006D0299">
        <w:t xml:space="preserve">0.013).There was no further </w:t>
      </w:r>
      <w:r w:rsidRPr="00242A54">
        <w:t xml:space="preserve">improvement with ongoing </w:t>
      </w:r>
      <w:proofErr w:type="spellStart"/>
      <w:r w:rsidRPr="00242A54">
        <w:t>etanercept</w:t>
      </w:r>
      <w:proofErr w:type="spellEnd"/>
      <w:r w:rsidRPr="00242A54">
        <w:t xml:space="preserve"> treatment to </w:t>
      </w:r>
      <w:r w:rsidR="00242A54" w:rsidRPr="00242A54">
        <w:t>W</w:t>
      </w:r>
      <w:r w:rsidRPr="00242A54">
        <w:t>eek 24 (17.7% in the ETN/ETN group) (</w:t>
      </w:r>
      <w:r w:rsidR="006D0299" w:rsidRPr="00242A54">
        <w:t xml:space="preserve">Table </w:t>
      </w:r>
      <w:r w:rsidR="00242A54" w:rsidRPr="00242A54">
        <w:t>8</w:t>
      </w:r>
      <w:r w:rsidRPr="00242A54">
        <w:t>). There was no significant difference in the proportion of subjects with improvement in the SF-36 general</w:t>
      </w:r>
      <w:r w:rsidRPr="006D0299">
        <w:t xml:space="preserve"> ph</w:t>
      </w:r>
      <w:r w:rsidR="006D0299">
        <w:t xml:space="preserve">ysical function (SF-36 PCS) of ≥ </w:t>
      </w:r>
      <w:r w:rsidRPr="006D0299">
        <w:t xml:space="preserve">2.5 (68.2% </w:t>
      </w:r>
      <w:r w:rsidR="00455BC5">
        <w:t>versus</w:t>
      </w:r>
      <w:r w:rsidRPr="006D0299">
        <w:t xml:space="preserve"> 56.4%, p</w:t>
      </w:r>
      <w:r w:rsidR="006D0299">
        <w:t xml:space="preserve"> </w:t>
      </w:r>
      <w:r w:rsidRPr="006D0299">
        <w:t>=</w:t>
      </w:r>
      <w:r w:rsidR="006D0299">
        <w:t xml:space="preserve"> </w:t>
      </w:r>
      <w:r w:rsidRPr="006D0299">
        <w:t xml:space="preserve">0.164) while </w:t>
      </w:r>
      <w:r w:rsidRPr="006D0299">
        <w:lastRenderedPageBreak/>
        <w:t xml:space="preserve">those with SF-36 PCS improvement of ≥5 reached statistical significance (51.8% </w:t>
      </w:r>
      <w:r w:rsidR="00455BC5">
        <w:t>versus</w:t>
      </w:r>
      <w:r w:rsidRPr="006D0299">
        <w:t xml:space="preserve"> 35.1%, p</w:t>
      </w:r>
      <w:r w:rsidR="006D0299">
        <w:t xml:space="preserve"> </w:t>
      </w:r>
      <w:r w:rsidRPr="006D0299">
        <w:t>=</w:t>
      </w:r>
      <w:r w:rsidR="006D0299">
        <w:t xml:space="preserve"> </w:t>
      </w:r>
      <w:r w:rsidRPr="006D0299">
        <w:t>0.036). There was no significant difference between groups in the gen</w:t>
      </w:r>
      <w:r w:rsidR="006D0299">
        <w:t>eral mental function component.</w:t>
      </w:r>
    </w:p>
    <w:p w:rsidR="00930C6A" w:rsidRDefault="00242A54" w:rsidP="00242A54">
      <w:pPr>
        <w:pStyle w:val="Tabletitle"/>
      </w:pPr>
      <w:bookmarkStart w:id="120" w:name="_Ref386618334"/>
      <w:bookmarkStart w:id="121" w:name="_Toc401925050"/>
      <w:r w:rsidRPr="006A49A8">
        <w:t xml:space="preserve">Table </w:t>
      </w:r>
      <w:r>
        <w:t xml:space="preserve">8: </w:t>
      </w:r>
      <w:bookmarkEnd w:id="120"/>
      <w:bookmarkEnd w:id="121"/>
      <w:r w:rsidRPr="00F0386D">
        <w:t>Study B1801031</w:t>
      </w:r>
      <w:r>
        <w:t xml:space="preserve"> Change from baseline in SF-36 PCS by time point (</w:t>
      </w:r>
      <w:proofErr w:type="spellStart"/>
      <w:r>
        <w:t>mITT</w:t>
      </w:r>
      <w:proofErr w:type="spellEnd"/>
      <w:r>
        <w:t xml:space="preserve"> population, Observed cases)</w:t>
      </w:r>
    </w:p>
    <w:p w:rsidR="00242A54" w:rsidRPr="006A49A8" w:rsidRDefault="00242A54" w:rsidP="005A06AD">
      <w:r w:rsidRPr="006A49A8">
        <w:rPr>
          <w:noProof/>
          <w:lang w:eastAsia="en-AU"/>
        </w:rPr>
        <w:drawing>
          <wp:inline distT="0" distB="0" distL="0" distR="0" wp14:anchorId="1301FA48" wp14:editId="4DEB497D">
            <wp:extent cx="4681637" cy="4067175"/>
            <wp:effectExtent l="0" t="0" r="0" b="0"/>
            <wp:docPr id="23" name="Picture 3" descr="Table 8: Study B1801031 Change from baseline in SF-36 PCS by time point (mITT population, Observ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lum bright="-20000" contrast="40000"/>
                    </a:blip>
                    <a:srcRect t="6788"/>
                    <a:stretch/>
                  </pic:blipFill>
                  <pic:spPr bwMode="auto">
                    <a:xfrm>
                      <a:off x="0" y="0"/>
                      <a:ext cx="4683378" cy="4068687"/>
                    </a:xfrm>
                    <a:prstGeom prst="rect">
                      <a:avLst/>
                    </a:prstGeom>
                    <a:noFill/>
                    <a:ln>
                      <a:noFill/>
                    </a:ln>
                    <a:extLst>
                      <a:ext uri="{53640926-AAD7-44D8-BBD7-CCE9431645EC}">
                        <a14:shadowObscured xmlns:a14="http://schemas.microsoft.com/office/drawing/2010/main"/>
                      </a:ext>
                    </a:extLst>
                  </pic:spPr>
                </pic:pic>
              </a:graphicData>
            </a:graphic>
          </wp:inline>
        </w:drawing>
      </w:r>
    </w:p>
    <w:p w:rsidR="00A6051D" w:rsidRDefault="00A6051D" w:rsidP="006D0299">
      <w:r w:rsidRPr="006D0299">
        <w:t xml:space="preserve">There was also no significant difference between groups in the AS </w:t>
      </w:r>
      <w:proofErr w:type="spellStart"/>
      <w:r w:rsidRPr="00242A54">
        <w:t>QoL</w:t>
      </w:r>
      <w:proofErr w:type="spellEnd"/>
      <w:r w:rsidRPr="00242A54">
        <w:t xml:space="preserve"> score (</w:t>
      </w:r>
      <w:r w:rsidR="006D0299" w:rsidRPr="00242A54">
        <w:t xml:space="preserve">Table </w:t>
      </w:r>
      <w:r w:rsidR="00242A54" w:rsidRPr="00242A54">
        <w:t>9</w:t>
      </w:r>
      <w:r w:rsidRPr="00242A54">
        <w:t xml:space="preserve">). On the Work Productivity and Activity Impairment questionnaire (WPAI) </w:t>
      </w:r>
      <w:r w:rsidR="00C34B88" w:rsidRPr="00242A54">
        <w:t>at Week 12</w:t>
      </w:r>
      <w:r w:rsidRPr="00242A54">
        <w:t xml:space="preserve"> there was no</w:t>
      </w:r>
      <w:r w:rsidRPr="006D0299">
        <w:t xml:space="preserve"> difference in the proportion of subjects employed, percent of work time missed, or overall work impairment due to health problems. On the Hospital Anxiety and Depression Scale (HADS) there were no significant differences on the anxiety or depression scores duri</w:t>
      </w:r>
      <w:r w:rsidR="006D0299">
        <w:t>ng the double-blind period.</w:t>
      </w:r>
    </w:p>
    <w:p w:rsidR="00242A54" w:rsidRPr="006A49A8" w:rsidRDefault="00242A54" w:rsidP="00242A54">
      <w:pPr>
        <w:pStyle w:val="Tabletitle"/>
        <w:rPr>
          <w:sz w:val="20"/>
          <w:szCs w:val="20"/>
        </w:rPr>
      </w:pPr>
      <w:bookmarkStart w:id="122" w:name="_Ref386618336"/>
      <w:bookmarkStart w:id="123" w:name="_Toc401925051"/>
      <w:r w:rsidRPr="006A49A8">
        <w:lastRenderedPageBreak/>
        <w:t xml:space="preserve">Table </w:t>
      </w:r>
      <w:bookmarkEnd w:id="122"/>
      <w:bookmarkEnd w:id="123"/>
      <w:r>
        <w:t xml:space="preserve">9: </w:t>
      </w:r>
      <w:r w:rsidRPr="00F0386D">
        <w:t>Study B1801031</w:t>
      </w:r>
      <w:r>
        <w:t xml:space="preserve">. Change from baseline in </w:t>
      </w:r>
      <w:proofErr w:type="spellStart"/>
      <w:r>
        <w:t>ASQoL</w:t>
      </w:r>
      <w:proofErr w:type="spellEnd"/>
      <w:r>
        <w:t xml:space="preserve"> score by time point (</w:t>
      </w:r>
      <w:proofErr w:type="spellStart"/>
      <w:r>
        <w:t>mITT</w:t>
      </w:r>
      <w:proofErr w:type="spellEnd"/>
      <w:r>
        <w:t xml:space="preserve"> population, Observed cases).</w:t>
      </w:r>
    </w:p>
    <w:p w:rsidR="00242A54" w:rsidRPr="006A49A8" w:rsidRDefault="00242A54" w:rsidP="005A06AD">
      <w:r w:rsidRPr="006A49A8">
        <w:rPr>
          <w:noProof/>
          <w:lang w:eastAsia="en-AU"/>
        </w:rPr>
        <w:drawing>
          <wp:inline distT="0" distB="0" distL="0" distR="0" wp14:anchorId="5E10A923" wp14:editId="403583B3">
            <wp:extent cx="4619625" cy="3466264"/>
            <wp:effectExtent l="0" t="0" r="0" b="0"/>
            <wp:docPr id="24" name="Picture 4" descr="Table 9: Study B1801031. Change from baseline in ASQoL score by time point (mITT population, Observ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lum bright="-20000" contrast="40000"/>
                    </a:blip>
                    <a:srcRect l="1164" t="8607"/>
                    <a:stretch/>
                  </pic:blipFill>
                  <pic:spPr bwMode="auto">
                    <a:xfrm>
                      <a:off x="0" y="0"/>
                      <a:ext cx="4628267" cy="3472748"/>
                    </a:xfrm>
                    <a:prstGeom prst="rect">
                      <a:avLst/>
                    </a:prstGeom>
                    <a:noFill/>
                    <a:ln>
                      <a:noFill/>
                    </a:ln>
                    <a:extLst>
                      <a:ext uri="{53640926-AAD7-44D8-BBD7-CCE9431645EC}">
                        <a14:shadowObscured xmlns:a14="http://schemas.microsoft.com/office/drawing/2010/main"/>
                      </a:ext>
                    </a:extLst>
                  </pic:spPr>
                </pic:pic>
              </a:graphicData>
            </a:graphic>
          </wp:inline>
        </w:drawing>
      </w:r>
    </w:p>
    <w:p w:rsidR="00A6051D" w:rsidRPr="006D0299" w:rsidRDefault="00A6051D" w:rsidP="006D0299">
      <w:r w:rsidRPr="006D0299">
        <w:t xml:space="preserve">There was no significant difference in the mean change from baseline in the Bath AS patient global assessment score (BAS-G) (29.3% </w:t>
      </w:r>
      <w:r w:rsidR="00455BC5">
        <w:t>versus</w:t>
      </w:r>
      <w:r w:rsidRPr="006D0299">
        <w:t xml:space="preserve"> 21.5% </w:t>
      </w:r>
      <w:r w:rsidR="00C34B88">
        <w:t>at Week 12</w:t>
      </w:r>
      <w:r w:rsidRPr="006D0299">
        <w:t>, p</w:t>
      </w:r>
      <w:r w:rsidR="006D0299">
        <w:t xml:space="preserve"> </w:t>
      </w:r>
      <w:r w:rsidRPr="006D0299">
        <w:t>=</w:t>
      </w:r>
      <w:r w:rsidR="006D0299">
        <w:t xml:space="preserve"> </w:t>
      </w:r>
      <w:r w:rsidRPr="006D0299">
        <w:t>0.06).</w:t>
      </w:r>
    </w:p>
    <w:p w:rsidR="00242A54" w:rsidRDefault="00A6051D" w:rsidP="00E13B1F">
      <w:pPr>
        <w:pStyle w:val="Heading6"/>
      </w:pPr>
      <w:r w:rsidRPr="007A3335">
        <w:t>Other outcomes</w:t>
      </w:r>
    </w:p>
    <w:p w:rsidR="00A6051D" w:rsidRPr="006D0299" w:rsidRDefault="00A6051D" w:rsidP="00A6051D">
      <w:r w:rsidRPr="006D0299">
        <w:t xml:space="preserve">The mean percentage change in ESR from baseline to week 12 was 44.5% and 15.1% in the ETN and placebo groups respectively. There were no differences in peripheral articular involvement, number of tender joints or </w:t>
      </w:r>
      <w:proofErr w:type="spellStart"/>
      <w:r w:rsidRPr="006D0299">
        <w:t>dactylitis</w:t>
      </w:r>
      <w:proofErr w:type="spellEnd"/>
      <w:r w:rsidRPr="006D0299">
        <w:t xml:space="preserve"> score while there was a trend in favour of greater reduction in the </w:t>
      </w:r>
      <w:proofErr w:type="spellStart"/>
      <w:r w:rsidRPr="006D0299">
        <w:t>enthesitis</w:t>
      </w:r>
      <w:proofErr w:type="spellEnd"/>
      <w:r w:rsidRPr="006D0299">
        <w:t xml:space="preserve"> (MASES change fr</w:t>
      </w:r>
      <w:r w:rsidR="006D0299">
        <w:t xml:space="preserve">om baseline of 44.2% </w:t>
      </w:r>
      <w:r w:rsidR="00455BC5">
        <w:t>versus</w:t>
      </w:r>
      <w:r w:rsidR="006D0299">
        <w:t xml:space="preserve"> 25.4%).</w:t>
      </w:r>
    </w:p>
    <w:p w:rsidR="00242A54" w:rsidRDefault="00A6051D" w:rsidP="00E13B1F">
      <w:pPr>
        <w:pStyle w:val="Heading6"/>
      </w:pPr>
      <w:r w:rsidRPr="007A3335">
        <w:t>Subgroup analyses</w:t>
      </w:r>
    </w:p>
    <w:p w:rsidR="00A6051D" w:rsidRPr="006D0299" w:rsidRDefault="00A6051D" w:rsidP="006D0299">
      <w:r w:rsidRPr="006D0299">
        <w:t xml:space="preserve">There were no subgroups, as based on demographic and disease characteristics, with significant interaction on logistic regression of the primary endpoint (ASAS 40). ASAS 40 response rates for males and females (35.3% </w:t>
      </w:r>
      <w:r w:rsidR="00455BC5">
        <w:t>versus</w:t>
      </w:r>
      <w:r w:rsidRPr="006D0299">
        <w:t xml:space="preserve"> 28.9%), </w:t>
      </w:r>
      <w:r w:rsidR="00242A54">
        <w:t>W</w:t>
      </w:r>
      <w:r w:rsidRPr="006D0299">
        <w:t>hites and non-</w:t>
      </w:r>
      <w:r w:rsidR="00242A54">
        <w:t>W</w:t>
      </w:r>
      <w:r w:rsidRPr="006D0299">
        <w:t xml:space="preserve">hites (35.4% </w:t>
      </w:r>
      <w:r w:rsidR="00455BC5">
        <w:t>versus</w:t>
      </w:r>
      <w:r w:rsidRPr="006D0299">
        <w:t xml:space="preserve"> 25.9%), weight under or over 70 kg (32.5% </w:t>
      </w:r>
      <w:r w:rsidR="00455BC5">
        <w:t>versus</w:t>
      </w:r>
      <w:r w:rsidRPr="006D0299">
        <w:t xml:space="preserve"> 33.3%) and use or not of DMARD at baseline (28.6% </w:t>
      </w:r>
      <w:r w:rsidR="00455BC5">
        <w:t>versus</w:t>
      </w:r>
      <w:r w:rsidRPr="006D0299">
        <w:t xml:space="preserve"> 34.1%) were similar between groups with differences no greater than that seen in the placebo subgroup.</w:t>
      </w:r>
    </w:p>
    <w:p w:rsidR="00A6051D" w:rsidRDefault="00A6051D" w:rsidP="006D0299">
      <w:r w:rsidRPr="006D0299">
        <w:t xml:space="preserve">In subjects treated with </w:t>
      </w:r>
      <w:proofErr w:type="spellStart"/>
      <w:r w:rsidRPr="006D0299">
        <w:t>etanercept</w:t>
      </w:r>
      <w:proofErr w:type="spellEnd"/>
      <w:r w:rsidRPr="006D0299">
        <w:t>, tho</w:t>
      </w:r>
      <w:r w:rsidR="006D0299">
        <w:t xml:space="preserve">se with a high baseline </w:t>
      </w:r>
      <w:proofErr w:type="spellStart"/>
      <w:r w:rsidR="006D0299">
        <w:t>hsCRP</w:t>
      </w:r>
      <w:proofErr w:type="spellEnd"/>
      <w:r w:rsidR="006D0299">
        <w:t xml:space="preserve"> (≥ </w:t>
      </w:r>
      <w:r w:rsidRPr="006D0299">
        <w:t>3 mg/L) compared to a normal level (&lt;</w:t>
      </w:r>
      <w:r w:rsidR="006D0299">
        <w:t xml:space="preserve"> </w:t>
      </w:r>
      <w:r w:rsidRPr="006D0299">
        <w:t xml:space="preserve">3mg/L) had a greater ASAS 40 response </w:t>
      </w:r>
      <w:r w:rsidR="00C34B88">
        <w:t>at Week 12</w:t>
      </w:r>
      <w:r w:rsidRPr="006D0299">
        <w:t xml:space="preserve"> (47.9% </w:t>
      </w:r>
      <w:r w:rsidR="00455BC5">
        <w:t>versus</w:t>
      </w:r>
      <w:r w:rsidRPr="006D0299">
        <w:t xml:space="preserve"> 20.7%). A post-hoc analysis of baseline </w:t>
      </w:r>
      <w:proofErr w:type="spellStart"/>
      <w:r w:rsidRPr="006D0299">
        <w:t>hsCRP</w:t>
      </w:r>
      <w:proofErr w:type="spellEnd"/>
      <w:r w:rsidRPr="006D0299">
        <w:t xml:space="preserve"> level showed a significant interaction (p</w:t>
      </w:r>
      <w:r w:rsidR="006D0299">
        <w:t xml:space="preserve"> </w:t>
      </w:r>
      <w:r w:rsidRPr="006D0299">
        <w:t>=</w:t>
      </w:r>
      <w:r w:rsidR="006D0299">
        <w:t xml:space="preserve"> </w:t>
      </w:r>
      <w:r w:rsidRPr="006D0299">
        <w:t>0.</w:t>
      </w:r>
      <w:r w:rsidRPr="00242A54">
        <w:t>003) (</w:t>
      </w:r>
      <w:r w:rsidR="006D0299" w:rsidRPr="00242A54">
        <w:t xml:space="preserve">Figure </w:t>
      </w:r>
      <w:r w:rsidR="005E2056">
        <w:t>6</w:t>
      </w:r>
      <w:r w:rsidR="006D0299" w:rsidRPr="00242A54">
        <w:t>).</w:t>
      </w:r>
    </w:p>
    <w:p w:rsidR="00242A54" w:rsidRPr="006A49A8" w:rsidRDefault="00242A54" w:rsidP="005A06AD">
      <w:pPr>
        <w:pStyle w:val="FigureTitle"/>
        <w:rPr>
          <w:sz w:val="20"/>
          <w:szCs w:val="20"/>
        </w:rPr>
      </w:pPr>
      <w:bookmarkStart w:id="124" w:name="_Ref386618341"/>
      <w:bookmarkStart w:id="125" w:name="_Toc401925054"/>
      <w:r w:rsidRPr="006A49A8">
        <w:lastRenderedPageBreak/>
        <w:t xml:space="preserve">Figure </w:t>
      </w:r>
      <w:r w:rsidR="005E2056">
        <w:t>6</w:t>
      </w:r>
      <w:r>
        <w:t>:</w:t>
      </w:r>
      <w:bookmarkEnd w:id="124"/>
      <w:bookmarkEnd w:id="125"/>
      <w:r>
        <w:t xml:space="preserve"> </w:t>
      </w:r>
      <w:r w:rsidRPr="006D3C8A">
        <w:t>S</w:t>
      </w:r>
      <w:r w:rsidRPr="00F0386D">
        <w:t xml:space="preserve">tudy </w:t>
      </w:r>
      <w:r w:rsidRPr="005A06AD">
        <w:t>B1801031</w:t>
      </w:r>
      <w:r>
        <w:t xml:space="preserve"> Fitted Logistic Regression of ASAS 40 on Baseline </w:t>
      </w:r>
      <w:proofErr w:type="spellStart"/>
      <w:r>
        <w:t>hsCRP</w:t>
      </w:r>
      <w:proofErr w:type="spellEnd"/>
    </w:p>
    <w:p w:rsidR="00242A54" w:rsidRPr="006A49A8" w:rsidRDefault="00242A54" w:rsidP="005A06AD">
      <w:r w:rsidRPr="006A49A8">
        <w:rPr>
          <w:noProof/>
          <w:lang w:eastAsia="en-AU"/>
        </w:rPr>
        <w:drawing>
          <wp:inline distT="0" distB="0" distL="0" distR="0" wp14:anchorId="13CB5001" wp14:editId="79C8EDE2">
            <wp:extent cx="4581525" cy="2166438"/>
            <wp:effectExtent l="0" t="0" r="0" b="0"/>
            <wp:docPr id="27" name="Picture 8" descr="Figure 6: Study B1801031 Fitted Logistic Regression of ASAS 40 on Baseline h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lum bright="-20000" contrast="40000"/>
                    </a:blip>
                    <a:srcRect l="5816" t="12536" b="7463"/>
                    <a:stretch/>
                  </pic:blipFill>
                  <pic:spPr bwMode="auto">
                    <a:xfrm>
                      <a:off x="0" y="0"/>
                      <a:ext cx="4591224" cy="2171024"/>
                    </a:xfrm>
                    <a:prstGeom prst="rect">
                      <a:avLst/>
                    </a:prstGeom>
                    <a:noFill/>
                    <a:ln>
                      <a:noFill/>
                    </a:ln>
                    <a:extLst>
                      <a:ext uri="{53640926-AAD7-44D8-BBD7-CCE9431645EC}">
                        <a14:shadowObscured xmlns:a14="http://schemas.microsoft.com/office/drawing/2010/main"/>
                      </a:ext>
                    </a:extLst>
                  </pic:spPr>
                </pic:pic>
              </a:graphicData>
            </a:graphic>
          </wp:inline>
        </w:drawing>
      </w:r>
    </w:p>
    <w:p w:rsidR="00A6051D" w:rsidRDefault="00A6051D" w:rsidP="006D0299">
      <w:r w:rsidRPr="006D0299">
        <w:t>Due to the low numbers of subjects that were negative MRI at baseline, a further post-hoc analysis</w:t>
      </w:r>
      <w:r w:rsidR="006D0299">
        <w:t xml:space="preserve"> of baseline SPARCC SIJ score (≥ </w:t>
      </w:r>
      <w:r w:rsidRPr="006D0299">
        <w:t xml:space="preserve">2 </w:t>
      </w:r>
      <w:r w:rsidR="00455BC5">
        <w:t>versus</w:t>
      </w:r>
      <w:r w:rsidRPr="006D0299">
        <w:t xml:space="preserve"> &lt;</w:t>
      </w:r>
      <w:r w:rsidR="006D0299">
        <w:t xml:space="preserve"> </w:t>
      </w:r>
      <w:r w:rsidRPr="006D0299">
        <w:t xml:space="preserve">2) was undertaken. This found a trend for better response to </w:t>
      </w:r>
      <w:proofErr w:type="spellStart"/>
      <w:r w:rsidRPr="006D0299">
        <w:t>etanercept</w:t>
      </w:r>
      <w:proofErr w:type="spellEnd"/>
      <w:r w:rsidRPr="006D0299">
        <w:t xml:space="preserve"> on ASAS 40 in those with higher SPARCC scores (41.8% </w:t>
      </w:r>
      <w:r w:rsidR="00455BC5">
        <w:t>versus</w:t>
      </w:r>
      <w:r w:rsidRPr="006D0299">
        <w:t xml:space="preserve"> 17.9%) although the interaction was not statistically significant on categorical or continuous </w:t>
      </w:r>
      <w:r w:rsidRPr="00E13B1F">
        <w:t>variable analysis (</w:t>
      </w:r>
      <w:r w:rsidR="006D0299" w:rsidRPr="00E13B1F">
        <w:t xml:space="preserve">Figure </w:t>
      </w:r>
      <w:r w:rsidR="005E2056">
        <w:t>7</w:t>
      </w:r>
      <w:r w:rsidRPr="00E13B1F">
        <w:t>).</w:t>
      </w:r>
    </w:p>
    <w:p w:rsidR="00E13B1F" w:rsidRPr="006A49A8" w:rsidRDefault="00E13B1F" w:rsidP="005A06AD">
      <w:pPr>
        <w:pStyle w:val="FigureTitle"/>
        <w:rPr>
          <w:sz w:val="20"/>
          <w:szCs w:val="20"/>
        </w:rPr>
      </w:pPr>
      <w:bookmarkStart w:id="126" w:name="_Ref386618345"/>
      <w:bookmarkStart w:id="127" w:name="_Toc401925056"/>
      <w:r w:rsidRPr="006A49A8">
        <w:t>Figure</w:t>
      </w:r>
      <w:bookmarkEnd w:id="126"/>
      <w:bookmarkEnd w:id="127"/>
      <w:r w:rsidR="005E2056">
        <w:t>7</w:t>
      </w:r>
      <w:r>
        <w:t xml:space="preserve">: </w:t>
      </w:r>
      <w:r w:rsidRPr="005A06AD">
        <w:t>Study</w:t>
      </w:r>
      <w:r w:rsidRPr="00F0386D">
        <w:t xml:space="preserve"> B1801031</w:t>
      </w:r>
      <w:r>
        <w:t xml:space="preserve"> Fitted Logistic Regression of ASAS 40 on baseline SPARRC SIJ</w:t>
      </w:r>
    </w:p>
    <w:p w:rsidR="00E13B1F" w:rsidRPr="006A49A8" w:rsidRDefault="00E13B1F" w:rsidP="005A06AD">
      <w:r w:rsidRPr="006A49A8">
        <w:rPr>
          <w:noProof/>
          <w:lang w:eastAsia="en-AU"/>
        </w:rPr>
        <w:drawing>
          <wp:inline distT="0" distB="0" distL="0" distR="0" wp14:anchorId="4797FE85" wp14:editId="2D0BFF79">
            <wp:extent cx="4791075" cy="2280683"/>
            <wp:effectExtent l="0" t="0" r="0" b="0"/>
            <wp:docPr id="28" name="Picture 9" descr="Figure 7: Study B1801031 Fitted Logistic Regression of ASAS 40 on baseline SPARRC S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lum bright="-20000" contrast="40000"/>
                    </a:blip>
                    <a:srcRect l="2828" t="17380" b="8276"/>
                    <a:stretch/>
                  </pic:blipFill>
                  <pic:spPr bwMode="auto">
                    <a:xfrm>
                      <a:off x="0" y="0"/>
                      <a:ext cx="4796921" cy="2283466"/>
                    </a:xfrm>
                    <a:prstGeom prst="rect">
                      <a:avLst/>
                    </a:prstGeom>
                    <a:noFill/>
                    <a:ln>
                      <a:noFill/>
                    </a:ln>
                    <a:extLst>
                      <a:ext uri="{53640926-AAD7-44D8-BBD7-CCE9431645EC}">
                        <a14:shadowObscured xmlns:a14="http://schemas.microsoft.com/office/drawing/2010/main"/>
                      </a:ext>
                    </a:extLst>
                  </pic:spPr>
                </pic:pic>
              </a:graphicData>
            </a:graphic>
          </wp:inline>
        </w:drawing>
      </w:r>
    </w:p>
    <w:p w:rsidR="00A6051D" w:rsidRPr="006D0299" w:rsidRDefault="00A6051D" w:rsidP="006D0299">
      <w:r w:rsidRPr="006D0299">
        <w:t xml:space="preserve">There were also trends for a greater </w:t>
      </w:r>
      <w:proofErr w:type="spellStart"/>
      <w:r w:rsidRPr="006D0299">
        <w:t>etanercept</w:t>
      </w:r>
      <w:proofErr w:type="spellEnd"/>
      <w:r w:rsidRPr="006D0299">
        <w:t xml:space="preserve"> response in subjects with HLA-B27 positive status (39.4% </w:t>
      </w:r>
      <w:r w:rsidR="00455BC5">
        <w:t>versus</w:t>
      </w:r>
      <w:r w:rsidRPr="006D0299">
        <w:t xml:space="preserve"> 21.2%), in those aged &lt;40 years (36.8% </w:t>
      </w:r>
      <w:r w:rsidR="00455BC5">
        <w:t>versus</w:t>
      </w:r>
      <w:r w:rsidRPr="006D0299">
        <w:t xml:space="preserve"> 15.8%) and those with a </w:t>
      </w:r>
      <w:proofErr w:type="gramStart"/>
      <w:r w:rsidRPr="006D0299">
        <w:t>history</w:t>
      </w:r>
      <w:proofErr w:type="gramEnd"/>
      <w:r w:rsidRPr="006D0299">
        <w:t xml:space="preserve"> of uveitis (62.5% </w:t>
      </w:r>
      <w:r w:rsidR="00455BC5">
        <w:t>versus</w:t>
      </w:r>
      <w:r w:rsidRPr="006D0299">
        <w:t xml:space="preserve"> 30.6%). There was little difference if positive or negative for </w:t>
      </w:r>
      <w:proofErr w:type="spellStart"/>
      <w:r w:rsidRPr="006D0299">
        <w:t>sacroiliitis</w:t>
      </w:r>
      <w:proofErr w:type="spellEnd"/>
      <w:r w:rsidRPr="006D0299">
        <w:t xml:space="preserve"> on MRI as screening (33.3% </w:t>
      </w:r>
      <w:r w:rsidR="00455BC5">
        <w:t>versus</w:t>
      </w:r>
      <w:r w:rsidRPr="006D0299">
        <w:t xml:space="preserve"> 31.6%) although th</w:t>
      </w:r>
      <w:r w:rsidR="006D0299">
        <w:t>ere were few negative subjects.</w:t>
      </w:r>
    </w:p>
    <w:p w:rsidR="00A6051D" w:rsidRPr="00FA10E3" w:rsidRDefault="006D0299" w:rsidP="006D0299">
      <w:pPr>
        <w:pStyle w:val="Comment"/>
      </w:pPr>
      <w:r w:rsidRPr="00D9068D">
        <w:rPr>
          <w:b/>
        </w:rPr>
        <w:t xml:space="preserve">Evaluators </w:t>
      </w:r>
      <w:r w:rsidR="005A06AD">
        <w:rPr>
          <w:b/>
        </w:rPr>
        <w:t>c</w:t>
      </w:r>
      <w:r w:rsidR="00A6051D" w:rsidRPr="00D9068D">
        <w:rPr>
          <w:b/>
        </w:rPr>
        <w:t>omment:</w:t>
      </w:r>
      <w:r w:rsidR="00A6051D" w:rsidRPr="00D9068D">
        <w:rPr>
          <w:b/>
        </w:rPr>
        <w:tab/>
      </w:r>
      <w:r w:rsidR="00A6051D" w:rsidRPr="00FA10E3">
        <w:t>The small numbers in many of the subgroups make interpretation of differing results problematic. Nonetheless, there are definite trends for greater response in those with evidence of inflammation.</w:t>
      </w:r>
    </w:p>
    <w:p w:rsidR="00242A54" w:rsidRDefault="00A6051D" w:rsidP="00E13B1F">
      <w:pPr>
        <w:pStyle w:val="Heading6"/>
      </w:pPr>
      <w:r w:rsidRPr="007A3335">
        <w:t>Sensitivity analyses</w:t>
      </w:r>
    </w:p>
    <w:p w:rsidR="00A6051D" w:rsidRDefault="00A6051D" w:rsidP="00A6051D">
      <w:r w:rsidRPr="006D0299">
        <w:t xml:space="preserve">Analysis of the primary endpoint using the GEE model produced similar results as did analysis using </w:t>
      </w:r>
      <w:r w:rsidR="00E13B1F" w:rsidRPr="006D0299">
        <w:t xml:space="preserve">the </w:t>
      </w:r>
      <w:r w:rsidRPr="006D0299">
        <w:t xml:space="preserve">differing populations (per protocol, excluding the site 1004, with non-responder </w:t>
      </w:r>
      <w:r w:rsidRPr="00E13B1F">
        <w:t>imputation) (</w:t>
      </w:r>
      <w:r w:rsidR="006D0299" w:rsidRPr="00E13B1F">
        <w:t xml:space="preserve">Table </w:t>
      </w:r>
      <w:r w:rsidR="00E13B1F" w:rsidRPr="00E13B1F">
        <w:t>10</w:t>
      </w:r>
      <w:r w:rsidRPr="00E13B1F">
        <w:t>).</w:t>
      </w:r>
    </w:p>
    <w:p w:rsidR="00E13B1F" w:rsidRPr="006A49A8" w:rsidRDefault="00E13B1F" w:rsidP="00E13B1F">
      <w:pPr>
        <w:pStyle w:val="Tabletitle"/>
        <w:rPr>
          <w:sz w:val="20"/>
          <w:szCs w:val="20"/>
        </w:rPr>
      </w:pPr>
      <w:bookmarkStart w:id="128" w:name="_Ref386618348"/>
      <w:bookmarkStart w:id="129" w:name="_Toc401925057"/>
      <w:r w:rsidRPr="006A49A8">
        <w:lastRenderedPageBreak/>
        <w:t xml:space="preserve">Table </w:t>
      </w:r>
      <w:bookmarkEnd w:id="128"/>
      <w:bookmarkEnd w:id="129"/>
      <w:r>
        <w:t xml:space="preserve">10: </w:t>
      </w:r>
      <w:r w:rsidRPr="006D3C8A">
        <w:t>S</w:t>
      </w:r>
      <w:r w:rsidRPr="00F0386D">
        <w:t>tudy B1801031</w:t>
      </w:r>
      <w:r>
        <w:t>. Proportion of subjects achieving ASAS 40 Sensitivity analysis (Week 12)</w:t>
      </w:r>
    </w:p>
    <w:p w:rsidR="00E13B1F" w:rsidRPr="006A49A8" w:rsidRDefault="00E13B1F" w:rsidP="00E13B1F">
      <w:pPr>
        <w:rPr>
          <w:rFonts w:ascii="Calibri" w:hAnsi="Calibri"/>
          <w:b/>
          <w:sz w:val="20"/>
          <w:szCs w:val="20"/>
        </w:rPr>
      </w:pPr>
      <w:r w:rsidRPr="006A49A8">
        <w:rPr>
          <w:rFonts w:ascii="Calibri" w:hAnsi="Calibri"/>
          <w:b/>
          <w:noProof/>
          <w:sz w:val="20"/>
          <w:szCs w:val="20"/>
          <w:lang w:eastAsia="en-AU"/>
        </w:rPr>
        <w:drawing>
          <wp:inline distT="0" distB="0" distL="0" distR="0" wp14:anchorId="2F43E66D" wp14:editId="5AEBBCFC">
            <wp:extent cx="4785203" cy="6238875"/>
            <wp:effectExtent l="0" t="0" r="0" b="0"/>
            <wp:docPr id="29" name="Picture 10" descr="Table 10: Study B1801031. Proportion of subjects achieving ASAS 40 Sensitivity analysis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lum bright="-20000" contrast="40000"/>
                    </a:blip>
                    <a:srcRect l="1994" t="2904"/>
                    <a:stretch/>
                  </pic:blipFill>
                  <pic:spPr bwMode="auto">
                    <a:xfrm>
                      <a:off x="0" y="0"/>
                      <a:ext cx="4785203" cy="6238875"/>
                    </a:xfrm>
                    <a:prstGeom prst="rect">
                      <a:avLst/>
                    </a:prstGeom>
                    <a:noFill/>
                    <a:ln>
                      <a:noFill/>
                    </a:ln>
                    <a:extLst>
                      <a:ext uri="{53640926-AAD7-44D8-BBD7-CCE9431645EC}">
                        <a14:shadowObscured xmlns:a14="http://schemas.microsoft.com/office/drawing/2010/main"/>
                      </a:ext>
                    </a:extLst>
                  </pic:spPr>
                </pic:pic>
              </a:graphicData>
            </a:graphic>
          </wp:inline>
        </w:drawing>
      </w:r>
    </w:p>
    <w:p w:rsidR="006D0299" w:rsidRPr="007A3335" w:rsidRDefault="006D0299" w:rsidP="006D0299">
      <w:pPr>
        <w:pStyle w:val="Heading4"/>
      </w:pPr>
      <w:bookmarkStart w:id="130" w:name="_Ref271037188"/>
      <w:bookmarkStart w:id="131" w:name="_Ref271037210"/>
      <w:bookmarkStart w:id="132" w:name="_Toc272414655"/>
      <w:bookmarkStart w:id="133" w:name="_Toc290846277"/>
      <w:bookmarkStart w:id="134" w:name="_Toc401924964"/>
      <w:bookmarkStart w:id="135" w:name="_Toc241374311"/>
      <w:bookmarkStart w:id="136" w:name="_Ref243294291"/>
      <w:r w:rsidRPr="007A3335">
        <w:t>Other efficacy studies</w:t>
      </w:r>
      <w:bookmarkEnd w:id="130"/>
      <w:bookmarkEnd w:id="131"/>
      <w:bookmarkEnd w:id="132"/>
      <w:bookmarkEnd w:id="133"/>
      <w:bookmarkEnd w:id="134"/>
    </w:p>
    <w:bookmarkEnd w:id="135"/>
    <w:bookmarkEnd w:id="136"/>
    <w:p w:rsidR="006D0299" w:rsidRPr="007A3335" w:rsidRDefault="006D0299" w:rsidP="006D0299">
      <w:r w:rsidRPr="007A3335">
        <w:t>No other studies were submitted in the dossier.</w:t>
      </w:r>
    </w:p>
    <w:p w:rsidR="006D0299" w:rsidRPr="007A3335" w:rsidRDefault="006D0299" w:rsidP="006D0299">
      <w:pPr>
        <w:pStyle w:val="Heading4"/>
      </w:pPr>
      <w:bookmarkStart w:id="137" w:name="_Toc241374312"/>
      <w:bookmarkStart w:id="138" w:name="_Toc272414656"/>
      <w:bookmarkStart w:id="139" w:name="_Toc290846281"/>
      <w:bookmarkStart w:id="140" w:name="_Toc401924965"/>
      <w:r w:rsidRPr="007A3335">
        <w:t>Analyses performed across trials (pooled analyses and meta-analyses)</w:t>
      </w:r>
      <w:bookmarkEnd w:id="137"/>
      <w:bookmarkEnd w:id="138"/>
      <w:bookmarkEnd w:id="139"/>
      <w:bookmarkEnd w:id="140"/>
    </w:p>
    <w:p w:rsidR="006D0299" w:rsidRPr="006D0299" w:rsidRDefault="006D0299" w:rsidP="006D0299">
      <w:r w:rsidRPr="006D0299">
        <w:t>There were no pooled analyses.</w:t>
      </w:r>
    </w:p>
    <w:p w:rsidR="006D0299" w:rsidRPr="007A3335" w:rsidRDefault="006D0299" w:rsidP="006D0299">
      <w:pPr>
        <w:pStyle w:val="Heading4"/>
      </w:pPr>
      <w:bookmarkStart w:id="141" w:name="_Ref271126605"/>
      <w:bookmarkStart w:id="142" w:name="_Toc272414657"/>
      <w:bookmarkStart w:id="143" w:name="_Toc290846282"/>
      <w:bookmarkStart w:id="144" w:name="_Toc401924966"/>
      <w:r w:rsidRPr="007A3335">
        <w:t>Evaluator’s conclusions on clinical efficacy for nr-</w:t>
      </w:r>
      <w:proofErr w:type="spellStart"/>
      <w:r w:rsidRPr="007A3335">
        <w:t>AxSpA</w:t>
      </w:r>
      <w:bookmarkEnd w:id="141"/>
      <w:bookmarkEnd w:id="142"/>
      <w:bookmarkEnd w:id="143"/>
      <w:bookmarkEnd w:id="144"/>
      <w:proofErr w:type="spellEnd"/>
    </w:p>
    <w:p w:rsidR="006D0299" w:rsidRPr="006D0299" w:rsidRDefault="006D0299" w:rsidP="006D0299">
      <w:r w:rsidRPr="006D0299">
        <w:t xml:space="preserve">There was one pivotal efficacy study submitted in the dossier and no other supporting studies. Study B1801031 was a </w:t>
      </w:r>
      <w:r w:rsidR="00C93718">
        <w:t>Phase II</w:t>
      </w:r>
      <w:r w:rsidRPr="006D0299">
        <w:t xml:space="preserve">I, randomised, placebo-controlled, double-blind study of 12 weeks </w:t>
      </w:r>
      <w:proofErr w:type="spellStart"/>
      <w:r w:rsidRPr="006D0299">
        <w:t>etanercept</w:t>
      </w:r>
      <w:proofErr w:type="spellEnd"/>
      <w:r w:rsidRPr="006D0299">
        <w:t xml:space="preserve"> treatment in 215 adult patients with active axial </w:t>
      </w:r>
      <w:proofErr w:type="spellStart"/>
      <w:r w:rsidRPr="006D0299">
        <w:t>spondyloarthritis</w:t>
      </w:r>
      <w:proofErr w:type="spellEnd"/>
      <w:r w:rsidRPr="006D0299">
        <w:t xml:space="preserve"> despite optimal NSAID therapy but without meeting criteria for AS. At baseline, the mean BASDAI was 6.0 indicating high disease </w:t>
      </w:r>
      <w:proofErr w:type="gramStart"/>
      <w:r w:rsidRPr="006D0299">
        <w:t>activity</w:t>
      </w:r>
      <w:proofErr w:type="gramEnd"/>
      <w:r w:rsidRPr="006D0299">
        <w:t xml:space="preserve"> and 81% of subjects had </w:t>
      </w:r>
      <w:proofErr w:type="spellStart"/>
      <w:r w:rsidRPr="006D0299">
        <w:t>sacroiliitis</w:t>
      </w:r>
      <w:proofErr w:type="spellEnd"/>
      <w:r w:rsidRPr="006D0299">
        <w:t xml:space="preserve"> on MRI. The study had a </w:t>
      </w:r>
      <w:r w:rsidRPr="006D0299">
        <w:lastRenderedPageBreak/>
        <w:t xml:space="preserve">second open label period of 92 weeks for which data to </w:t>
      </w:r>
      <w:proofErr w:type="gramStart"/>
      <w:r w:rsidRPr="006D0299">
        <w:t>a total</w:t>
      </w:r>
      <w:proofErr w:type="gramEnd"/>
      <w:r w:rsidRPr="006D0299">
        <w:t xml:space="preserve"> treatment duration of 24 weeks were submitted.</w:t>
      </w:r>
    </w:p>
    <w:p w:rsidR="006D0299" w:rsidRPr="006D0299" w:rsidRDefault="006D0299" w:rsidP="006D0299">
      <w:proofErr w:type="spellStart"/>
      <w:r w:rsidRPr="006D0299">
        <w:t>Etanercept</w:t>
      </w:r>
      <w:proofErr w:type="spellEnd"/>
      <w:r w:rsidRPr="006D0299">
        <w:t xml:space="preserve"> 50 mg SC weekly was compared to placebo on a background of stable, optimal dose NSAID treatment. Subjects were required to have active symptoms and inadequate response to at least 2 NSAIDs. </w:t>
      </w:r>
      <w:r w:rsidR="00C93718">
        <w:t>X-rays</w:t>
      </w:r>
      <w:r w:rsidRPr="006D0299">
        <w:t xml:space="preserve"> at study entry were read centrally to confirm the patients did not have findings of AS and MRIs, also read centrally, confirmed the presence or absence of </w:t>
      </w:r>
      <w:proofErr w:type="spellStart"/>
      <w:r w:rsidRPr="006D0299">
        <w:t>sacroiliitis</w:t>
      </w:r>
      <w:proofErr w:type="spellEnd"/>
      <w:r w:rsidRPr="006D0299">
        <w:t>.</w:t>
      </w:r>
    </w:p>
    <w:p w:rsidR="006D0299" w:rsidRPr="006D0299" w:rsidRDefault="006D0299" w:rsidP="006D0299">
      <w:r w:rsidRPr="006D0299">
        <w:t xml:space="preserve">The study met its primary endpoint as the proportion of subjects with ASAS 40 response </w:t>
      </w:r>
      <w:r w:rsidR="00C34B88">
        <w:t>at Week 12</w:t>
      </w:r>
      <w:r w:rsidRPr="006D0299">
        <w:t xml:space="preserve"> was significantly greater with </w:t>
      </w:r>
      <w:proofErr w:type="spellStart"/>
      <w:r w:rsidRPr="006D0299">
        <w:t>etanercept</w:t>
      </w:r>
      <w:proofErr w:type="spellEnd"/>
      <w:r w:rsidRPr="006D0299">
        <w:t xml:space="preserve"> + NSAID compared to placebo +</w:t>
      </w:r>
      <w:r w:rsidR="002929D2">
        <w:t xml:space="preserve"> </w:t>
      </w:r>
      <w:r w:rsidRPr="006D0299">
        <w:t xml:space="preserve">NSAID (32% </w:t>
      </w:r>
      <w:r w:rsidR="00455BC5">
        <w:t>versus</w:t>
      </w:r>
      <w:r w:rsidRPr="006D0299">
        <w:t xml:space="preserve"> 16%). This treatment difference was less,</w:t>
      </w:r>
      <w:r w:rsidR="00E13B1F">
        <w:t xml:space="preserve"> </w:t>
      </w:r>
      <w:r w:rsidRPr="006D0299">
        <w:t>however, than the anticipated 25%. The positive responses were found on the individual components of the ASAS (subject assessment of disease activity, nocturnal back pain, total back pain, BASFI, morning stiffness</w:t>
      </w:r>
      <w:r w:rsidR="00E13B1F">
        <w:t xml:space="preserve"> and</w:t>
      </w:r>
      <w:r w:rsidRPr="006D0299">
        <w:t xml:space="preserve"> lateral side flexion). The result was supported by sensitivity analyses and positive results across secondary endpoints of ASAS 20, ASAS 5/6, ASAS partial remission, BASDAI total score and BASDAI 50.</w:t>
      </w:r>
    </w:p>
    <w:p w:rsidR="006D0299" w:rsidRPr="006D0299" w:rsidRDefault="006D0299" w:rsidP="006D0299">
      <w:r w:rsidRPr="006D0299">
        <w:t xml:space="preserve">There was no significant effect on BASDAI 20, </w:t>
      </w:r>
      <w:proofErr w:type="spellStart"/>
      <w:r w:rsidRPr="006D0299">
        <w:t>dactylitis</w:t>
      </w:r>
      <w:proofErr w:type="spellEnd"/>
      <w:r w:rsidRPr="006D0299">
        <w:t xml:space="preserve"> or mobility endpoints (BASMI) (except lateral flexion). The </w:t>
      </w:r>
      <w:r w:rsidR="00E13B1F">
        <w:t>s</w:t>
      </w:r>
      <w:r w:rsidRPr="006D0299">
        <w:t xml:space="preserve">ponsor claimed the lack of effect on mobility was related to the study population having little mobility restriction at baseline. </w:t>
      </w:r>
      <w:proofErr w:type="spellStart"/>
      <w:r w:rsidRPr="006D0299">
        <w:t>Etanercept</w:t>
      </w:r>
      <w:proofErr w:type="spellEnd"/>
      <w:r w:rsidRPr="006D0299">
        <w:t xml:space="preserve"> was seen to result in a posit</w:t>
      </w:r>
      <w:r w:rsidR="00E13B1F">
        <w:t>i</w:t>
      </w:r>
      <w:r w:rsidRPr="006D0299">
        <w:t>ve response on imaging of the SI joints and spine. The reading was central and blinded to treatment which is important due to variability in reading of radiological images. The response on health outcomes showed a positive effect on measures of physical function (SF-36 PCS) but little positive impact on quality of life (</w:t>
      </w:r>
      <w:proofErr w:type="spellStart"/>
      <w:r w:rsidRPr="006D0299">
        <w:t>ASQoL</w:t>
      </w:r>
      <w:proofErr w:type="spellEnd"/>
      <w:r w:rsidRPr="006D0299">
        <w:t>) or well-being (BAS-G).</w:t>
      </w:r>
    </w:p>
    <w:p w:rsidR="006D0299" w:rsidRPr="006D0299" w:rsidRDefault="006D0299" w:rsidP="006D0299">
      <w:r w:rsidRPr="006D0299">
        <w:t xml:space="preserve">There was persistence and maintenance of effect with treatment to </w:t>
      </w:r>
      <w:r w:rsidR="00E13B1F">
        <w:t>W</w:t>
      </w:r>
      <w:r w:rsidRPr="006D0299">
        <w:t>eek 24, however longer term efficacy data to two years from the open label study are not yet available. Withdrawal of treatment and possible rebound in disease were not assessed.</w:t>
      </w:r>
    </w:p>
    <w:p w:rsidR="006D0299" w:rsidRPr="006D0299" w:rsidRDefault="006D0299" w:rsidP="006D0299">
      <w:r w:rsidRPr="006D0299">
        <w:t>A major issue with the submitted data was that there was no adjustment for multiple comparisons undertaken on the numerous secondary endpoints. A question on this has been raised. While subgroup analyses were hampered by small sample size, the main finding, on post-hoc analyses, was that there was a notably greater treatment effect (in terms of ASAS 40) in those wit</w:t>
      </w:r>
      <w:r w:rsidR="00102B13">
        <w:t xml:space="preserve">h higher baseline </w:t>
      </w:r>
      <w:proofErr w:type="spellStart"/>
      <w:r w:rsidR="00102B13">
        <w:t>hsCRP</w:t>
      </w:r>
      <w:proofErr w:type="spellEnd"/>
      <w:r w:rsidR="00102B13">
        <w:t xml:space="preserve"> level (</w:t>
      </w:r>
      <w:r w:rsidR="00E13B1F">
        <w:t>≥</w:t>
      </w:r>
      <w:r w:rsidR="00102B13">
        <w:t xml:space="preserve"> </w:t>
      </w:r>
      <w:r w:rsidRPr="006D0299">
        <w:t xml:space="preserve">3mg/L) (48% </w:t>
      </w:r>
      <w:r w:rsidR="00455BC5">
        <w:t>versus</w:t>
      </w:r>
      <w:r w:rsidRPr="006D0299">
        <w:t xml:space="preserve"> 21%). There was also a greater response in those with a higher baseline SPARCC score (</w:t>
      </w:r>
      <w:r w:rsidR="00102B13">
        <w:t xml:space="preserve">≥ </w:t>
      </w:r>
      <w:r w:rsidRPr="006D0299">
        <w:t xml:space="preserve">2) (42% </w:t>
      </w:r>
      <w:r w:rsidR="00455BC5">
        <w:t>versus</w:t>
      </w:r>
      <w:r w:rsidRPr="006D0299">
        <w:t xml:space="preserve"> 18%). The </w:t>
      </w:r>
      <w:r w:rsidR="00E13B1F">
        <w:t>S</w:t>
      </w:r>
      <w:r w:rsidRPr="006D0299">
        <w:t>ponsor has been asked to discuss these findings further.</w:t>
      </w:r>
    </w:p>
    <w:p w:rsidR="006D0299" w:rsidRPr="006D0299" w:rsidRDefault="006D0299" w:rsidP="006D0299">
      <w:r w:rsidRPr="006D0299">
        <w:t>The efficacy data submitted indicated that the treatment is symptomatic and there is no evidence that there is any impact on disease progression. Due to the age cut-off of 50 years there are no efficacy data in the elderly population.</w:t>
      </w:r>
    </w:p>
    <w:p w:rsidR="006D0299" w:rsidRPr="006D0299" w:rsidRDefault="006D0299" w:rsidP="006D0299">
      <w:r w:rsidRPr="006D0299">
        <w:t>The study design was in accordance with EMA guidelines for AS. The study’s primary endpoint (ASAS response criteria) was in line with 2005 EMA draft guidelines on clinical investigation of medicinal products for the treatment of ankylosing spondylitis (EMA 2005). With the introduction of the 2009 guideline, the primary endpoint was also analysed according to its criteria which differed on the pain assessment domain (total or nocturnal pain scores rather than total and nocturnal pain). Results for analysis using both criteria were concordant.</w:t>
      </w:r>
    </w:p>
    <w:p w:rsidR="004B7713" w:rsidRPr="004B7713" w:rsidRDefault="006D0299" w:rsidP="004B7713">
      <w:r w:rsidRPr="006D0299">
        <w:t>Overall, the pattern of results in patients with nr-</w:t>
      </w:r>
      <w:proofErr w:type="spellStart"/>
      <w:r w:rsidRPr="006D0299">
        <w:t>AxSpA</w:t>
      </w:r>
      <w:proofErr w:type="spellEnd"/>
      <w:r w:rsidRPr="006D0299">
        <w:t xml:space="preserve"> are consistent with data from </w:t>
      </w:r>
      <w:proofErr w:type="spellStart"/>
      <w:r w:rsidRPr="006D0299">
        <w:t>etanercept</w:t>
      </w:r>
      <w:proofErr w:type="spellEnd"/>
      <w:r w:rsidRPr="006D0299">
        <w:t xml:space="preserve"> studies in AS patients although the degree of response is less and the positive response appears confined to those with evidence of inflammation on MRI or with elevated CRP.</w:t>
      </w:r>
    </w:p>
    <w:p w:rsidR="00C22678" w:rsidRPr="00102B13" w:rsidRDefault="00C22678" w:rsidP="00C22678">
      <w:pPr>
        <w:pStyle w:val="Heading2"/>
      </w:pPr>
      <w:bookmarkStart w:id="145" w:name="_Toc433315328"/>
      <w:r w:rsidRPr="00102B13">
        <w:t>Clinical safety</w:t>
      </w:r>
      <w:bookmarkEnd w:id="145"/>
    </w:p>
    <w:p w:rsidR="00102B13" w:rsidRPr="00102B13" w:rsidRDefault="00102B13" w:rsidP="00102B13">
      <w:pPr>
        <w:pStyle w:val="Heading3"/>
      </w:pPr>
      <w:bookmarkStart w:id="146" w:name="_Toc272414659"/>
      <w:bookmarkStart w:id="147" w:name="_Toc290846284"/>
      <w:bookmarkStart w:id="148" w:name="_Toc401924968"/>
      <w:bookmarkStart w:id="149" w:name="_Toc433315329"/>
      <w:r w:rsidRPr="00102B13">
        <w:t>Studies providing evaluable safety data</w:t>
      </w:r>
      <w:bookmarkEnd w:id="146"/>
      <w:bookmarkEnd w:id="147"/>
      <w:bookmarkEnd w:id="148"/>
      <w:bookmarkEnd w:id="149"/>
    </w:p>
    <w:p w:rsidR="00102B13" w:rsidRPr="00102B13" w:rsidRDefault="00102B13" w:rsidP="00102B13">
      <w:r w:rsidRPr="00102B13">
        <w:t>In the pivotal efficacy study, the following safety data were collected:</w:t>
      </w:r>
    </w:p>
    <w:p w:rsidR="00102B13" w:rsidRPr="00102B13" w:rsidRDefault="00102B13" w:rsidP="0065484A">
      <w:pPr>
        <w:pStyle w:val="ListBullet"/>
      </w:pPr>
      <w:r w:rsidRPr="00102B13">
        <w:lastRenderedPageBreak/>
        <w:t xml:space="preserve">General adverse events (AEs) and SAEs, AEs of particular interest, including investigator identified </w:t>
      </w:r>
      <w:r w:rsidRPr="0065484A">
        <w:t>infection</w:t>
      </w:r>
      <w:r w:rsidRPr="00102B13">
        <w:t xml:space="preserve"> (a treated infection and/or serious infection), malignancy, lymphoma, opportunistic infections, tuberculosis, demyelinating disease, blood </w:t>
      </w:r>
      <w:proofErr w:type="spellStart"/>
      <w:r w:rsidRPr="00102B13">
        <w:t>dyscrasias</w:t>
      </w:r>
      <w:proofErr w:type="spellEnd"/>
      <w:r w:rsidRPr="00102B13">
        <w:t xml:space="preserve"> related to bone marrow suppression, autoimmune disorders, </w:t>
      </w:r>
      <w:r w:rsidR="00D23320" w:rsidRPr="00102B13">
        <w:t xml:space="preserve">Inflammatory bowel disease </w:t>
      </w:r>
      <w:r w:rsidR="00D23320">
        <w:t>(</w:t>
      </w:r>
      <w:r w:rsidRPr="00102B13">
        <w:t>IBD</w:t>
      </w:r>
      <w:r w:rsidR="00D23320">
        <w:t>)</w:t>
      </w:r>
      <w:r w:rsidRPr="00102B13">
        <w:t xml:space="preserve"> and liver function abnormalities;</w:t>
      </w:r>
    </w:p>
    <w:p w:rsidR="00102B13" w:rsidRPr="00102B13" w:rsidRDefault="00102B13" w:rsidP="00102B13">
      <w:pPr>
        <w:pStyle w:val="ListBullet"/>
      </w:pPr>
      <w:r w:rsidRPr="00102B13">
        <w:t>Laboratory tests, including blood chemistry, fasting glucose and lipids, haematology, urinalysis</w:t>
      </w:r>
      <w:r>
        <w:t>;</w:t>
      </w:r>
    </w:p>
    <w:p w:rsidR="00102B13" w:rsidRPr="00102B13" w:rsidRDefault="00102B13" w:rsidP="00102B13">
      <w:pPr>
        <w:pStyle w:val="ListBullet"/>
      </w:pPr>
      <w:r w:rsidRPr="00102B13">
        <w:t>Physical examination and vital signs;</w:t>
      </w:r>
    </w:p>
    <w:p w:rsidR="00102B13" w:rsidRPr="00102B13" w:rsidRDefault="00102B13" w:rsidP="00102B13">
      <w:pPr>
        <w:pStyle w:val="ListBullet"/>
      </w:pPr>
      <w:r w:rsidRPr="00102B13">
        <w:t>IBD, psoriasis and uveitis evaluations.</w:t>
      </w:r>
    </w:p>
    <w:p w:rsidR="00102B13" w:rsidRPr="00102B13" w:rsidRDefault="00102B13" w:rsidP="00D23320">
      <w:pPr>
        <w:pStyle w:val="Heading3"/>
      </w:pPr>
      <w:bookmarkStart w:id="150" w:name="_Toc241374318"/>
      <w:bookmarkStart w:id="151" w:name="_Ref271196630"/>
      <w:bookmarkStart w:id="152" w:name="_Toc272414662"/>
      <w:bookmarkStart w:id="153" w:name="_Toc290846300"/>
      <w:bookmarkStart w:id="154" w:name="_Toc401924969"/>
      <w:bookmarkStart w:id="155" w:name="_Toc433315330"/>
      <w:r w:rsidRPr="00102B13">
        <w:t>Patient exposure</w:t>
      </w:r>
      <w:bookmarkEnd w:id="150"/>
      <w:bookmarkEnd w:id="151"/>
      <w:bookmarkEnd w:id="152"/>
      <w:bookmarkEnd w:id="153"/>
      <w:bookmarkEnd w:id="154"/>
      <w:bookmarkEnd w:id="155"/>
    </w:p>
    <w:p w:rsidR="00102B13" w:rsidRDefault="00102B13" w:rsidP="00102B13">
      <w:r w:rsidRPr="00102B13">
        <w:t xml:space="preserve">In </w:t>
      </w:r>
      <w:r w:rsidR="006A7E9B">
        <w:t>Study B180</w:t>
      </w:r>
      <w:r w:rsidRPr="00102B13">
        <w:t xml:space="preserve">1031, there were 225 randomised subjects and 224 received study drug, 111 </w:t>
      </w:r>
      <w:proofErr w:type="spellStart"/>
      <w:r w:rsidRPr="00102B13">
        <w:t>etanercept</w:t>
      </w:r>
      <w:proofErr w:type="spellEnd"/>
      <w:r w:rsidRPr="00102B13">
        <w:t xml:space="preserve"> and 113 placebo. The median exposure was 85 days in both groups with a total exposure of 24.1 and 25.3 subject-years in the </w:t>
      </w:r>
      <w:proofErr w:type="spellStart"/>
      <w:r w:rsidRPr="00102B13">
        <w:t>etanercept</w:t>
      </w:r>
      <w:proofErr w:type="spellEnd"/>
      <w:r w:rsidRPr="00102B13">
        <w:t xml:space="preserve"> and placebo groups, respectively in the double-blind period. In the open label period of </w:t>
      </w:r>
      <w:r w:rsidR="00D23320">
        <w:t>W</w:t>
      </w:r>
      <w:r w:rsidRPr="00102B13">
        <w:t>eeks 12 to 24, the median exposure was 78.0 days in both the ETN/ETN group (n</w:t>
      </w:r>
      <w:r>
        <w:t xml:space="preserve"> </w:t>
      </w:r>
      <w:r w:rsidRPr="00102B13">
        <w:t>=</w:t>
      </w:r>
      <w:r>
        <w:t xml:space="preserve"> </w:t>
      </w:r>
      <w:r w:rsidRPr="00102B13">
        <w:t>102) and the placebo/ETN group (n</w:t>
      </w:r>
      <w:r>
        <w:t xml:space="preserve"> </w:t>
      </w:r>
      <w:r w:rsidRPr="00102B13">
        <w:t>=</w:t>
      </w:r>
      <w:r>
        <w:t xml:space="preserve"> </w:t>
      </w:r>
      <w:r w:rsidRPr="00102B13">
        <w:t xml:space="preserve">106). The total exposure to </w:t>
      </w:r>
      <w:proofErr w:type="spellStart"/>
      <w:r w:rsidRPr="00102B13">
        <w:t>etanercept</w:t>
      </w:r>
      <w:proofErr w:type="spellEnd"/>
      <w:r w:rsidRPr="00102B13">
        <w:t xml:space="preserve"> from baseline to </w:t>
      </w:r>
      <w:r w:rsidR="00D23320">
        <w:t>W</w:t>
      </w:r>
      <w:r w:rsidRPr="00102B13">
        <w:t>eek 24 was 47.4 subject years in the ETN/ETN group and 24.1 subject</w:t>
      </w:r>
      <w:r w:rsidR="00AB3C20">
        <w:t>-</w:t>
      </w:r>
      <w:r>
        <w:t>years in the placebo/ETN group.</w:t>
      </w:r>
    </w:p>
    <w:p w:rsidR="00102B13" w:rsidRPr="007A3335" w:rsidRDefault="00102B13" w:rsidP="00D23320">
      <w:pPr>
        <w:pStyle w:val="Heading3"/>
      </w:pPr>
      <w:bookmarkStart w:id="156" w:name="_Toc241374319"/>
      <w:bookmarkStart w:id="157" w:name="_Ref271044764"/>
      <w:bookmarkStart w:id="158" w:name="_Toc272414663"/>
      <w:bookmarkStart w:id="159" w:name="_Toc290846301"/>
      <w:bookmarkStart w:id="160" w:name="_Toc401924970"/>
      <w:bookmarkStart w:id="161" w:name="_Toc433315331"/>
      <w:r w:rsidRPr="007A3335">
        <w:t>Adverse events</w:t>
      </w:r>
      <w:bookmarkEnd w:id="156"/>
      <w:bookmarkEnd w:id="157"/>
      <w:bookmarkEnd w:id="158"/>
      <w:bookmarkEnd w:id="159"/>
      <w:bookmarkEnd w:id="160"/>
      <w:bookmarkEnd w:id="161"/>
    </w:p>
    <w:p w:rsidR="00102B13" w:rsidRPr="007A3335" w:rsidRDefault="00102B13" w:rsidP="00D23320">
      <w:pPr>
        <w:pStyle w:val="Heading4"/>
      </w:pPr>
      <w:bookmarkStart w:id="162" w:name="_Ref272317284"/>
      <w:bookmarkStart w:id="163" w:name="_Ref272333565"/>
      <w:bookmarkStart w:id="164" w:name="_Toc272414664"/>
      <w:bookmarkStart w:id="165" w:name="_Toc290846302"/>
      <w:bookmarkStart w:id="166" w:name="_Toc401924971"/>
      <w:r w:rsidRPr="007A3335">
        <w:t xml:space="preserve">All adverse events (irrespective of </w:t>
      </w:r>
      <w:r w:rsidRPr="00D23320">
        <w:t>relationship</w:t>
      </w:r>
      <w:r w:rsidRPr="007A3335">
        <w:t xml:space="preserve"> to study treatment)</w:t>
      </w:r>
      <w:bookmarkEnd w:id="162"/>
      <w:bookmarkEnd w:id="163"/>
      <w:bookmarkEnd w:id="164"/>
      <w:bookmarkEnd w:id="165"/>
      <w:bookmarkEnd w:id="166"/>
    </w:p>
    <w:p w:rsidR="00102B13" w:rsidRPr="007A3335" w:rsidRDefault="00102B13" w:rsidP="00D23320">
      <w:pPr>
        <w:pStyle w:val="Heading5"/>
      </w:pPr>
      <w:bookmarkStart w:id="167" w:name="_Toc401924972"/>
      <w:r w:rsidRPr="007A3335">
        <w:t>Pivotal study</w:t>
      </w:r>
      <w:bookmarkEnd w:id="167"/>
    </w:p>
    <w:p w:rsidR="00102B13" w:rsidRDefault="00102B13" w:rsidP="00102B13">
      <w:r w:rsidRPr="00102B13">
        <w:t xml:space="preserve">In the double-blind period, the rate of TEAEs was 56.8% and 45.1% in the </w:t>
      </w:r>
      <w:proofErr w:type="spellStart"/>
      <w:r w:rsidRPr="00102B13">
        <w:t>etanercept</w:t>
      </w:r>
      <w:proofErr w:type="spellEnd"/>
      <w:r w:rsidRPr="00102B13">
        <w:t xml:space="preserve"> and placebo groups, respectively. General disorders and administration site conditions (mainly injection site reactions) were notably higher with </w:t>
      </w:r>
      <w:proofErr w:type="spellStart"/>
      <w:r w:rsidRPr="00102B13">
        <w:t>etanercept</w:t>
      </w:r>
      <w:proofErr w:type="spellEnd"/>
      <w:r w:rsidRPr="00102B13">
        <w:t xml:space="preserve"> (18.0% </w:t>
      </w:r>
      <w:r w:rsidR="00455BC5">
        <w:t>versus</w:t>
      </w:r>
      <w:r w:rsidRPr="00102B13">
        <w:t xml:space="preserve"> 3.5%) as were </w:t>
      </w:r>
      <w:r w:rsidR="00D23320">
        <w:t>M</w:t>
      </w:r>
      <w:r w:rsidRPr="00102B13">
        <w:t xml:space="preserve">usculoskeletal and connective tissue disorders (10.8% </w:t>
      </w:r>
      <w:r w:rsidR="00455BC5">
        <w:t>versus</w:t>
      </w:r>
      <w:r w:rsidR="00D23320">
        <w:t xml:space="preserve"> 5.3%) and S</w:t>
      </w:r>
      <w:r w:rsidRPr="00102B13">
        <w:t xml:space="preserve">kin disorders (12.6% </w:t>
      </w:r>
      <w:r w:rsidR="00455BC5" w:rsidRPr="00943C80">
        <w:t>versus</w:t>
      </w:r>
      <w:r w:rsidRPr="00943C80">
        <w:t xml:space="preserve"> 4.4%) </w:t>
      </w:r>
      <w:proofErr w:type="gramStart"/>
      <w:r w:rsidRPr="00943C80">
        <w:t xml:space="preserve">(Table </w:t>
      </w:r>
      <w:r w:rsidR="00943C80" w:rsidRPr="00943C80">
        <w:t>11</w:t>
      </w:r>
      <w:r w:rsidR="00D23320" w:rsidRPr="00943C80">
        <w:t>).</w:t>
      </w:r>
      <w:proofErr w:type="gramEnd"/>
      <w:r w:rsidR="00D23320" w:rsidRPr="00943C80">
        <w:t xml:space="preserve"> The rate of I</w:t>
      </w:r>
      <w:r w:rsidRPr="00943C80">
        <w:t xml:space="preserve">nfections/infestations was similar between groups (23.4% </w:t>
      </w:r>
      <w:r w:rsidR="00455BC5" w:rsidRPr="00943C80">
        <w:t>versus</w:t>
      </w:r>
      <w:r w:rsidRPr="00943C80">
        <w:t xml:space="preserve"> 22.1%). There was a significantly higher rate of injection site erythema and injection site reactions with </w:t>
      </w:r>
      <w:proofErr w:type="spellStart"/>
      <w:r w:rsidRPr="00943C80">
        <w:t>etanercept</w:t>
      </w:r>
      <w:proofErr w:type="spellEnd"/>
      <w:r w:rsidRPr="00943C80">
        <w:t xml:space="preserve"> (Table </w:t>
      </w:r>
      <w:r w:rsidR="00943C80" w:rsidRPr="00943C80">
        <w:t>12</w:t>
      </w:r>
      <w:r w:rsidRPr="00943C80">
        <w:t>).</w:t>
      </w:r>
    </w:p>
    <w:p w:rsidR="00D23320" w:rsidRDefault="00D23320" w:rsidP="00D23320">
      <w:pPr>
        <w:pStyle w:val="Tabletitle"/>
      </w:pPr>
      <w:bookmarkStart w:id="168" w:name="_Toc401925058"/>
      <w:bookmarkStart w:id="169" w:name="_Ref386618350"/>
      <w:r>
        <w:lastRenderedPageBreak/>
        <w:t xml:space="preserve">Table </w:t>
      </w:r>
      <w:bookmarkEnd w:id="168"/>
      <w:bookmarkEnd w:id="169"/>
      <w:r>
        <w:t xml:space="preserve">11: </w:t>
      </w:r>
      <w:r>
        <w:rPr>
          <w:sz w:val="20"/>
          <w:szCs w:val="20"/>
        </w:rPr>
        <w:t>Study B1801031</w:t>
      </w:r>
      <w:r>
        <w:t xml:space="preserve"> Incidence of treatment emergent adverse events reported in </w:t>
      </w:r>
      <w:r>
        <w:rPr>
          <w:rFonts w:cs="Calibri"/>
        </w:rPr>
        <w:t>≥</w:t>
      </w:r>
      <w:r>
        <w:t>1% of subjects in either treatment group during the double-blind period</w:t>
      </w:r>
    </w:p>
    <w:p w:rsidR="00D23320" w:rsidRDefault="00D23320" w:rsidP="0065484A">
      <w:pPr>
        <w:rPr>
          <w:rFonts w:ascii="Calibri" w:hAnsi="Calibri"/>
          <w:b/>
          <w:sz w:val="20"/>
          <w:szCs w:val="20"/>
        </w:rPr>
      </w:pPr>
      <w:r>
        <w:rPr>
          <w:noProof/>
          <w:lang w:eastAsia="en-AU"/>
        </w:rPr>
        <w:drawing>
          <wp:inline distT="0" distB="0" distL="0" distR="0" wp14:anchorId="2C57D027" wp14:editId="3FD923F6">
            <wp:extent cx="4324350" cy="5657147"/>
            <wp:effectExtent l="0" t="0" r="0" b="0"/>
            <wp:docPr id="10" name="Picture 10" descr="Table 11: Study B1801031 Incidence of treatment emergent adverse events reported in ≥1% of subjects in either treatment group during the double-blind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Lst>
                    </a:blip>
                    <a:srcRect t="1139"/>
                    <a:stretch/>
                  </pic:blipFill>
                  <pic:spPr bwMode="auto">
                    <a:xfrm>
                      <a:off x="0" y="0"/>
                      <a:ext cx="4328532" cy="5662618"/>
                    </a:xfrm>
                    <a:prstGeom prst="rect">
                      <a:avLst/>
                    </a:prstGeom>
                    <a:ln>
                      <a:noFill/>
                    </a:ln>
                    <a:extLst>
                      <a:ext uri="{53640926-AAD7-44D8-BBD7-CCE9431645EC}">
                        <a14:shadowObscured xmlns:a14="http://schemas.microsoft.com/office/drawing/2010/main"/>
                      </a:ext>
                    </a:extLst>
                  </pic:spPr>
                </pic:pic>
              </a:graphicData>
            </a:graphic>
          </wp:inline>
        </w:drawing>
      </w:r>
    </w:p>
    <w:p w:rsidR="00D23320" w:rsidRDefault="00D23320" w:rsidP="00D23320">
      <w:pPr>
        <w:pStyle w:val="Tabletitle"/>
        <w:rPr>
          <w:sz w:val="20"/>
          <w:szCs w:val="20"/>
        </w:rPr>
      </w:pPr>
      <w:bookmarkStart w:id="170" w:name="_Toc401925059"/>
      <w:bookmarkStart w:id="171" w:name="_Ref386618353"/>
      <w:r>
        <w:t xml:space="preserve">Table </w:t>
      </w:r>
      <w:bookmarkEnd w:id="170"/>
      <w:bookmarkEnd w:id="171"/>
      <w:r>
        <w:t xml:space="preserve">12: </w:t>
      </w:r>
      <w:r>
        <w:rPr>
          <w:sz w:val="20"/>
          <w:szCs w:val="20"/>
        </w:rPr>
        <w:t>Study B1801031</w:t>
      </w:r>
      <w:r>
        <w:t xml:space="preserve"> Incidence of Adverse Events reported in </w:t>
      </w:r>
      <w:r>
        <w:rPr>
          <w:rFonts w:cs="Calibri"/>
        </w:rPr>
        <w:t>≥</w:t>
      </w:r>
      <w:r>
        <w:t>5% of subjects in either treatment group during the double-blind period</w:t>
      </w:r>
    </w:p>
    <w:p w:rsidR="00D23320" w:rsidRDefault="00D23320" w:rsidP="0065484A">
      <w:r>
        <w:rPr>
          <w:noProof/>
          <w:lang w:eastAsia="en-AU"/>
        </w:rPr>
        <w:drawing>
          <wp:inline distT="0" distB="0" distL="0" distR="0" wp14:anchorId="26197455" wp14:editId="3990A55D">
            <wp:extent cx="4981575" cy="1773805"/>
            <wp:effectExtent l="0" t="0" r="0" b="0"/>
            <wp:docPr id="9" name="Picture 9" descr="Table 12: Study B1801031 Incidence of Adverse Events reported in ≥5% of subjects in either treatment group during the double-blind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lum bright="-20000" contrast="40000"/>
                      <a:extLst>
                        <a:ext uri="{28A0092B-C50C-407E-A947-70E740481C1C}">
                          <a14:useLocalDpi xmlns:a14="http://schemas.microsoft.com/office/drawing/2010/main" val="0"/>
                        </a:ext>
                      </a:extLst>
                    </a:blip>
                    <a:srcRect t="15901" b="8480"/>
                    <a:stretch/>
                  </pic:blipFill>
                  <pic:spPr bwMode="auto">
                    <a:xfrm>
                      <a:off x="0" y="0"/>
                      <a:ext cx="4981575" cy="1773805"/>
                    </a:xfrm>
                    <a:prstGeom prst="rect">
                      <a:avLst/>
                    </a:prstGeom>
                    <a:noFill/>
                    <a:ln>
                      <a:noFill/>
                    </a:ln>
                    <a:extLst>
                      <a:ext uri="{53640926-AAD7-44D8-BBD7-CCE9431645EC}">
                        <a14:shadowObscured xmlns:a14="http://schemas.microsoft.com/office/drawing/2010/main"/>
                      </a:ext>
                    </a:extLst>
                  </pic:spPr>
                </pic:pic>
              </a:graphicData>
            </a:graphic>
          </wp:inline>
        </w:drawing>
      </w:r>
    </w:p>
    <w:p w:rsidR="00102B13" w:rsidRDefault="00102B13" w:rsidP="00102B13">
      <w:r w:rsidRPr="00102B13">
        <w:t>In the open label period (</w:t>
      </w:r>
      <w:r w:rsidR="00D23320">
        <w:t>W</w:t>
      </w:r>
      <w:r w:rsidRPr="00102B13">
        <w:t xml:space="preserve">eek 12 to 24) the rates of TEAEs were 34.3% and 50.0% in the ETN/ENT and placebo/ETN groups, </w:t>
      </w:r>
      <w:r w:rsidRPr="00943C80">
        <w:t>respectively (</w:t>
      </w:r>
      <w:r w:rsidR="00943C80" w:rsidRPr="00943C80">
        <w:t>Table 13</w:t>
      </w:r>
      <w:r w:rsidRPr="00943C80">
        <w:t>).</w:t>
      </w:r>
    </w:p>
    <w:p w:rsidR="00D23320" w:rsidRPr="00F0386D" w:rsidRDefault="00D23320" w:rsidP="00F0386D">
      <w:pPr>
        <w:pStyle w:val="Tabletitle"/>
      </w:pPr>
      <w:bookmarkStart w:id="172" w:name="_Ref386618355"/>
      <w:bookmarkStart w:id="173" w:name="_Toc401925060"/>
      <w:r w:rsidRPr="00F0386D">
        <w:lastRenderedPageBreak/>
        <w:t xml:space="preserve">Table </w:t>
      </w:r>
      <w:bookmarkEnd w:id="172"/>
      <w:bookmarkEnd w:id="173"/>
      <w:r w:rsidRPr="00F0386D">
        <w:t>13: Study B1801031 Incidence of Treatment Emergent Adverse Events reported in ≥1% of subjects in either treatment group during the open-label period</w:t>
      </w:r>
    </w:p>
    <w:p w:rsidR="00D23320" w:rsidRPr="00D23320" w:rsidRDefault="00D23320" w:rsidP="0065484A">
      <w:r>
        <w:rPr>
          <w:noProof/>
          <w:lang w:eastAsia="en-AU"/>
        </w:rPr>
        <w:drawing>
          <wp:inline distT="0" distB="0" distL="0" distR="0" wp14:anchorId="6C8D02C0" wp14:editId="78AF7502">
            <wp:extent cx="4333875" cy="6030503"/>
            <wp:effectExtent l="0" t="0" r="0" b="0"/>
            <wp:docPr id="11" name="Picture 11" descr="Table 13: Study B1801031 Incidence of Treatment Emergent Adverse Events reported in ≥1% of subjects in either treatment group during the open-label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Lst>
                    </a:blip>
                    <a:srcRect l="1597" t="1423" b="995"/>
                    <a:stretch/>
                  </pic:blipFill>
                  <pic:spPr bwMode="auto">
                    <a:xfrm>
                      <a:off x="0" y="0"/>
                      <a:ext cx="4336397" cy="6034012"/>
                    </a:xfrm>
                    <a:prstGeom prst="rect">
                      <a:avLst/>
                    </a:prstGeom>
                    <a:ln>
                      <a:noFill/>
                    </a:ln>
                    <a:extLst>
                      <a:ext uri="{53640926-AAD7-44D8-BBD7-CCE9431645EC}">
                        <a14:shadowObscured xmlns:a14="http://schemas.microsoft.com/office/drawing/2010/main"/>
                      </a:ext>
                    </a:extLst>
                  </pic:spPr>
                </pic:pic>
              </a:graphicData>
            </a:graphic>
          </wp:inline>
        </w:drawing>
      </w:r>
    </w:p>
    <w:p w:rsidR="00102B13" w:rsidRPr="007A3335" w:rsidRDefault="00102B13" w:rsidP="00102B13">
      <w:pPr>
        <w:pStyle w:val="Heading5"/>
      </w:pPr>
      <w:bookmarkStart w:id="174" w:name="_Toc401924973"/>
      <w:r w:rsidRPr="007A3335">
        <w:t>AEs of special interest</w:t>
      </w:r>
      <w:bookmarkEnd w:id="174"/>
    </w:p>
    <w:p w:rsidR="00102B13" w:rsidRPr="00102B13" w:rsidRDefault="00102B13" w:rsidP="00102B13">
      <w:r w:rsidRPr="00102B13">
        <w:t xml:space="preserve">There were no reported cases of malignancy, lymphoma, opportunistic infections, tuberculosis, </w:t>
      </w:r>
      <w:proofErr w:type="gramStart"/>
      <w:r w:rsidRPr="00102B13">
        <w:t>demyelinating</w:t>
      </w:r>
      <w:proofErr w:type="gramEnd"/>
      <w:r w:rsidRPr="00102B13">
        <w:t xml:space="preserve"> disease, blood </w:t>
      </w:r>
      <w:proofErr w:type="spellStart"/>
      <w:r w:rsidRPr="00102B13">
        <w:t>dyscrasias</w:t>
      </w:r>
      <w:proofErr w:type="spellEnd"/>
      <w:r w:rsidRPr="00102B13">
        <w:t xml:space="preserve"> related to bone marrow suppression or IBD up to week 24 of the study.</w:t>
      </w:r>
    </w:p>
    <w:p w:rsidR="00102B13" w:rsidRPr="00102B13" w:rsidRDefault="00102B13" w:rsidP="00102B13">
      <w:r w:rsidRPr="00102B13">
        <w:t>The rate of investigator-identified treatment emergent infections was 9.9% and 8.8% in the respective groups during the double-blind period. The most common wer</w:t>
      </w:r>
      <w:r w:rsidR="00F422D9">
        <w:t xml:space="preserve">e </w:t>
      </w:r>
      <w:proofErr w:type="spellStart"/>
      <w:r w:rsidR="00F422D9">
        <w:t>nasopharyngitis</w:t>
      </w:r>
      <w:proofErr w:type="spellEnd"/>
      <w:r w:rsidR="00F422D9">
        <w:t xml:space="preserve"> and sinusitis</w:t>
      </w:r>
      <w:r w:rsidRPr="00102B13">
        <w:t xml:space="preserve">. One case (placebo group) was serious (anal abscess). In the open label period the rate of these infections was 12.0% with the most frequent being </w:t>
      </w:r>
      <w:r w:rsidRPr="00F422D9">
        <w:t>bronchitis and UTI (1.4% each).</w:t>
      </w:r>
    </w:p>
    <w:p w:rsidR="00102B13" w:rsidRPr="00102B13" w:rsidRDefault="00102B13" w:rsidP="00102B13">
      <w:r w:rsidRPr="00102B13">
        <w:t xml:space="preserve">After week 24 data </w:t>
      </w:r>
      <w:proofErr w:type="spellStart"/>
      <w:r w:rsidRPr="00102B13">
        <w:t>cutoff</w:t>
      </w:r>
      <w:proofErr w:type="spellEnd"/>
      <w:r w:rsidRPr="00102B13">
        <w:t xml:space="preserve">, </w:t>
      </w:r>
      <w:r w:rsidR="006A7E9B">
        <w:t xml:space="preserve">the sponsor </w:t>
      </w:r>
      <w:r w:rsidRPr="00102B13">
        <w:t xml:space="preserve">reported one opportunistic infection (herpes zoster) and one demyelinating disorder (multiple sclerosis). The case of zoster was in a 50 year old female subject on </w:t>
      </w:r>
      <w:proofErr w:type="spellStart"/>
      <w:r w:rsidRPr="00102B13">
        <w:t>etanercept</w:t>
      </w:r>
      <w:proofErr w:type="spellEnd"/>
      <w:r w:rsidRPr="00102B13">
        <w:t xml:space="preserve">. The zoster was diagnosed nearly 6 months post </w:t>
      </w:r>
      <w:proofErr w:type="spellStart"/>
      <w:r w:rsidRPr="00102B13">
        <w:t>etanercept</w:t>
      </w:r>
      <w:proofErr w:type="spellEnd"/>
      <w:r w:rsidRPr="00102B13">
        <w:t xml:space="preserve"> commencement. Treatment was ceased temporarily and the zoster resolved with </w:t>
      </w:r>
      <w:proofErr w:type="spellStart"/>
      <w:r w:rsidRPr="00102B13">
        <w:t>valaciclovir</w:t>
      </w:r>
      <w:proofErr w:type="spellEnd"/>
      <w:r w:rsidRPr="00102B13">
        <w:t xml:space="preserve"> </w:t>
      </w:r>
      <w:r w:rsidRPr="00102B13">
        <w:lastRenderedPageBreak/>
        <w:t xml:space="preserve">therapy. The case of MS was in a 41 year old female in the placebo/ETN group who was diagnosed with MS on day 357. </w:t>
      </w:r>
      <w:proofErr w:type="spellStart"/>
      <w:r w:rsidRPr="00102B13">
        <w:t>Etanercept</w:t>
      </w:r>
      <w:proofErr w:type="spellEnd"/>
      <w:r w:rsidRPr="00102B13">
        <w:t xml:space="preserve"> was discontinued.</w:t>
      </w:r>
    </w:p>
    <w:p w:rsidR="00102B13" w:rsidRPr="00102B13" w:rsidRDefault="00102B13" w:rsidP="00102B13">
      <w:r w:rsidRPr="00102B13">
        <w:t>In the double-blind period there was one case of uveitis (SAE) in a placebo-treated subject. In the open label period there were two subjects (one ETN/ETN and one placebo/ETN group) with acute anterior uveitis. In neither case was study drug ceased.</w:t>
      </w:r>
    </w:p>
    <w:p w:rsidR="00102B13" w:rsidRPr="00102B13" w:rsidRDefault="00102B13" w:rsidP="00102B13">
      <w:pPr>
        <w:pStyle w:val="Heading4"/>
      </w:pPr>
      <w:bookmarkStart w:id="175" w:name="_Ref272333567"/>
      <w:bookmarkStart w:id="176" w:name="_Toc272414665"/>
      <w:bookmarkStart w:id="177" w:name="_Toc290846303"/>
      <w:bookmarkStart w:id="178" w:name="_Toc401924974"/>
      <w:r w:rsidRPr="00102B13">
        <w:t>Treatment-related adverse events (adverse drug reactions)</w:t>
      </w:r>
      <w:bookmarkEnd w:id="175"/>
      <w:bookmarkEnd w:id="176"/>
      <w:bookmarkEnd w:id="177"/>
      <w:bookmarkEnd w:id="178"/>
    </w:p>
    <w:p w:rsidR="00102B13" w:rsidRPr="00102B13" w:rsidRDefault="00102B13" w:rsidP="00102B13">
      <w:r w:rsidRPr="00102B13">
        <w:t>A breakdown of TEAE by whether they were treatment rel</w:t>
      </w:r>
      <w:r>
        <w:t xml:space="preserve">ated or </w:t>
      </w:r>
      <w:r w:rsidR="00675068">
        <w:t xml:space="preserve">were </w:t>
      </w:r>
      <w:r>
        <w:t xml:space="preserve">not </w:t>
      </w:r>
      <w:r w:rsidR="00F422D9">
        <w:t xml:space="preserve">treatment related </w:t>
      </w:r>
      <w:r>
        <w:t>was not undertaken.</w:t>
      </w:r>
    </w:p>
    <w:p w:rsidR="00102B13" w:rsidRPr="00102B13" w:rsidRDefault="00102B13" w:rsidP="00102B13">
      <w:pPr>
        <w:pStyle w:val="Heading4"/>
      </w:pPr>
      <w:bookmarkStart w:id="179" w:name="_Toc241374320"/>
      <w:bookmarkStart w:id="180" w:name="_Ref272333507"/>
      <w:bookmarkStart w:id="181" w:name="_Toc272414666"/>
      <w:bookmarkStart w:id="182" w:name="_Toc290846304"/>
      <w:bookmarkStart w:id="183" w:name="_Toc401924975"/>
      <w:r w:rsidRPr="00102B13">
        <w:t>Deaths and other serious adverse events</w:t>
      </w:r>
      <w:bookmarkEnd w:id="179"/>
      <w:bookmarkEnd w:id="180"/>
      <w:bookmarkEnd w:id="181"/>
      <w:bookmarkEnd w:id="182"/>
      <w:bookmarkEnd w:id="183"/>
    </w:p>
    <w:p w:rsidR="00102B13" w:rsidRPr="00102B13" w:rsidRDefault="00102B13" w:rsidP="00102B13">
      <w:r w:rsidRPr="00102B13">
        <w:t xml:space="preserve">There were no deaths through to </w:t>
      </w:r>
      <w:r w:rsidR="00F422D9">
        <w:t>W</w:t>
      </w:r>
      <w:r w:rsidRPr="00102B13">
        <w:t>eek 24 of the study.</w:t>
      </w:r>
    </w:p>
    <w:p w:rsidR="00102B13" w:rsidRPr="00102B13" w:rsidRDefault="00102B13" w:rsidP="00102B13">
      <w:r w:rsidRPr="00102B13">
        <w:t xml:space="preserve">There were 4 subjects (2 [1.8%] in each group) with SAEs during the double-blind period. In the </w:t>
      </w:r>
      <w:proofErr w:type="spellStart"/>
      <w:r w:rsidRPr="00102B13">
        <w:t>etanercept</w:t>
      </w:r>
      <w:proofErr w:type="spellEnd"/>
      <w:r w:rsidRPr="00102B13">
        <w:t xml:space="preserve"> group, the SAEs were </w:t>
      </w:r>
      <w:proofErr w:type="spellStart"/>
      <w:r w:rsidRPr="00102B13">
        <w:t>spondyloarthopathy</w:t>
      </w:r>
      <w:proofErr w:type="spellEnd"/>
      <w:r w:rsidRPr="00102B13">
        <w:t xml:space="preserve"> and </w:t>
      </w:r>
      <w:proofErr w:type="spellStart"/>
      <w:r w:rsidRPr="00102B13">
        <w:t>cholelithiasis</w:t>
      </w:r>
      <w:proofErr w:type="spellEnd"/>
      <w:r w:rsidRPr="00102B13">
        <w:t>. In the placebo group, the SAEs were uveitis, anal abscess (in the same subject) and laceration wound. There was one subject with 3 SAEs during the open label period (motor vehicle accident with resultant contusion, cervical sprain and shoulder sprain).</w:t>
      </w:r>
    </w:p>
    <w:p w:rsidR="00102B13" w:rsidRPr="00102B13" w:rsidRDefault="00102B13" w:rsidP="00102B13">
      <w:pPr>
        <w:pStyle w:val="Heading4"/>
      </w:pPr>
      <w:bookmarkStart w:id="184" w:name="_Toc241374325"/>
      <w:bookmarkStart w:id="185" w:name="_Ref272333477"/>
      <w:bookmarkStart w:id="186" w:name="_Toc272414667"/>
      <w:bookmarkStart w:id="187" w:name="_Toc290846305"/>
      <w:bookmarkStart w:id="188" w:name="_Toc401924976"/>
      <w:r w:rsidRPr="00102B13">
        <w:t>Discontinuation due to adverse events</w:t>
      </w:r>
      <w:bookmarkEnd w:id="184"/>
      <w:bookmarkEnd w:id="185"/>
      <w:bookmarkEnd w:id="186"/>
      <w:bookmarkEnd w:id="187"/>
      <w:bookmarkEnd w:id="188"/>
    </w:p>
    <w:p w:rsidR="00102B13" w:rsidRPr="00102B13" w:rsidRDefault="00102B13" w:rsidP="00102B13">
      <w:r w:rsidRPr="00102B13">
        <w:t xml:space="preserve">In the double-blind period there were 3 discontinuations due to AEs in subjects treated with </w:t>
      </w:r>
      <w:proofErr w:type="spellStart"/>
      <w:r w:rsidRPr="00102B13">
        <w:t>etanercept</w:t>
      </w:r>
      <w:proofErr w:type="spellEnd"/>
      <w:r w:rsidRPr="00102B13">
        <w:t xml:space="preserve">: hepatitis; worsening </w:t>
      </w:r>
      <w:proofErr w:type="spellStart"/>
      <w:r w:rsidRPr="00102B13">
        <w:t>spondyloarthropathy</w:t>
      </w:r>
      <w:proofErr w:type="spellEnd"/>
      <w:r w:rsidRPr="00102B13">
        <w:t xml:space="preserve"> and asthenia. There was also one AE-related discontinuation in the placebo group due to an anal abscess. There was one AE-related discontinuation in the open label period which was due to acute bronchitis.</w:t>
      </w:r>
    </w:p>
    <w:p w:rsidR="00102B13" w:rsidRPr="007A3335" w:rsidRDefault="00102B13" w:rsidP="00102B13">
      <w:pPr>
        <w:pStyle w:val="Heading3"/>
      </w:pPr>
      <w:bookmarkStart w:id="189" w:name="_Toc241374321"/>
      <w:bookmarkStart w:id="190" w:name="_Ref271044780"/>
      <w:bookmarkStart w:id="191" w:name="_Ref271196640"/>
      <w:bookmarkStart w:id="192" w:name="_Ref272333085"/>
      <w:bookmarkStart w:id="193" w:name="_Toc272414668"/>
      <w:bookmarkStart w:id="194" w:name="_Toc290846306"/>
      <w:bookmarkStart w:id="195" w:name="_Toc401924977"/>
      <w:bookmarkStart w:id="196" w:name="_Toc433315332"/>
      <w:r w:rsidRPr="007A3335">
        <w:t>Laboratory tests</w:t>
      </w:r>
      <w:bookmarkEnd w:id="189"/>
      <w:bookmarkEnd w:id="190"/>
      <w:bookmarkEnd w:id="191"/>
      <w:bookmarkEnd w:id="192"/>
      <w:bookmarkEnd w:id="193"/>
      <w:bookmarkEnd w:id="194"/>
      <w:bookmarkEnd w:id="195"/>
      <w:bookmarkEnd w:id="196"/>
    </w:p>
    <w:p w:rsidR="00102B13" w:rsidRPr="007A3335" w:rsidRDefault="00102B13" w:rsidP="00102B13">
      <w:pPr>
        <w:pStyle w:val="Heading4"/>
      </w:pPr>
      <w:bookmarkStart w:id="197" w:name="_Toc272414669"/>
      <w:bookmarkStart w:id="198" w:name="_Toc290846307"/>
      <w:bookmarkStart w:id="199" w:name="_Toc401924978"/>
      <w:r w:rsidRPr="007A3335">
        <w:t>Liver function</w:t>
      </w:r>
      <w:bookmarkEnd w:id="197"/>
      <w:bookmarkEnd w:id="198"/>
      <w:bookmarkEnd w:id="199"/>
    </w:p>
    <w:p w:rsidR="00102B13" w:rsidRPr="005E2056" w:rsidRDefault="00102B13" w:rsidP="00102B13">
      <w:r w:rsidRPr="00102B13">
        <w:t xml:space="preserve">In the double-blind period, there were 5 subjects with </w:t>
      </w:r>
      <w:r w:rsidR="00C93718">
        <w:t>Grade 3</w:t>
      </w:r>
      <w:r w:rsidRPr="00102B13">
        <w:t xml:space="preserve"> or 4 laboratory test results, 3 in the </w:t>
      </w:r>
      <w:proofErr w:type="spellStart"/>
      <w:r w:rsidRPr="00102B13">
        <w:t>etanercept</w:t>
      </w:r>
      <w:proofErr w:type="spellEnd"/>
      <w:r w:rsidRPr="00102B13">
        <w:t xml:space="preserve"> and 2 in the placebo group (2.7% </w:t>
      </w:r>
      <w:r w:rsidR="00455BC5">
        <w:t>versus</w:t>
      </w:r>
      <w:r w:rsidRPr="00102B13">
        <w:t xml:space="preserve"> 1.8%). All were related to</w:t>
      </w:r>
      <w:r w:rsidR="00A7465F" w:rsidRPr="00102B13">
        <w:t xml:space="preserve"> </w:t>
      </w:r>
      <w:proofErr w:type="gramStart"/>
      <w:r w:rsidR="00A7465F">
        <w:t>raised</w:t>
      </w:r>
      <w:proofErr w:type="gramEnd"/>
      <w:r w:rsidR="00A7465F">
        <w:t xml:space="preserve"> levels of </w:t>
      </w:r>
      <w:r w:rsidRPr="00102B13">
        <w:t>LFTs. Two subjects in the placebo group had elevated bilirubin related to Gilbert</w:t>
      </w:r>
      <w:r w:rsidR="00675068">
        <w:t>’</w:t>
      </w:r>
      <w:r w:rsidRPr="00102B13">
        <w:t xml:space="preserve">s syndrome and hepatic </w:t>
      </w:r>
      <w:proofErr w:type="spellStart"/>
      <w:r w:rsidRPr="00102B13">
        <w:t>steatosis</w:t>
      </w:r>
      <w:proofErr w:type="spellEnd"/>
      <w:r w:rsidRPr="00102B13">
        <w:t xml:space="preserve">. One case in the </w:t>
      </w:r>
      <w:proofErr w:type="spellStart"/>
      <w:r w:rsidRPr="00102B13">
        <w:t>etanercept</w:t>
      </w:r>
      <w:proofErr w:type="spellEnd"/>
      <w:r w:rsidRPr="00102B13">
        <w:t xml:space="preserve"> group with </w:t>
      </w:r>
      <w:r w:rsidR="00C93718">
        <w:t>Grade 3</w:t>
      </w:r>
      <w:r w:rsidRPr="00102B13">
        <w:t xml:space="preserve"> elevated ALT and AST also had </w:t>
      </w:r>
      <w:r w:rsidRPr="005E2056">
        <w:t xml:space="preserve">an AE of hepatitis. The rate of subjects with ALT &gt;2xULN was 6.3% </w:t>
      </w:r>
      <w:r w:rsidR="00455BC5" w:rsidRPr="005E2056">
        <w:t>versus</w:t>
      </w:r>
      <w:r w:rsidRPr="005E2056">
        <w:t xml:space="preserve"> 2.7% and AST &gt; 2xULN was 2.7% </w:t>
      </w:r>
      <w:r w:rsidR="00455BC5" w:rsidRPr="005E2056">
        <w:t>versus</w:t>
      </w:r>
      <w:r w:rsidRPr="005E2056">
        <w:t xml:space="preserve"> 1.8% in the </w:t>
      </w:r>
      <w:proofErr w:type="spellStart"/>
      <w:r w:rsidRPr="005E2056">
        <w:t>etanercept</w:t>
      </w:r>
      <w:proofErr w:type="spellEnd"/>
      <w:r w:rsidRPr="005E2056">
        <w:t xml:space="preserve"> and placebo groups, respectively.</w:t>
      </w:r>
    </w:p>
    <w:p w:rsidR="00102B13" w:rsidRPr="00102B13" w:rsidRDefault="00102B13" w:rsidP="00102B13">
      <w:r w:rsidRPr="005E2056">
        <w:t xml:space="preserve">In the open label period, there were 9 subjects (4.3%) with </w:t>
      </w:r>
      <w:r w:rsidR="00C93718" w:rsidRPr="005E2056">
        <w:t>Grade 3</w:t>
      </w:r>
      <w:r w:rsidRPr="005E2056">
        <w:t xml:space="preserve"> or 4 laboratory results. There were four cases of increased bilirubin (two continued from the double-blind period) and one case of </w:t>
      </w:r>
      <w:r w:rsidR="00C93718" w:rsidRPr="005E2056">
        <w:t>Grade 3</w:t>
      </w:r>
      <w:r w:rsidRPr="005E2056">
        <w:t xml:space="preserve"> increased ALT. The rate of AST &gt;2x ULN and ALT &gt;2xULN</w:t>
      </w:r>
      <w:r w:rsidR="00F422D9" w:rsidRPr="005E2056">
        <w:t xml:space="preserve"> was 2.8% and</w:t>
      </w:r>
      <w:r w:rsidR="00F422D9">
        <w:t xml:space="preserve"> 0.5% respectively</w:t>
      </w:r>
      <w:r w:rsidRPr="00102B13">
        <w:t>.</w:t>
      </w:r>
    </w:p>
    <w:p w:rsidR="00102B13" w:rsidRPr="00102B13" w:rsidRDefault="00102B13" w:rsidP="00102B13">
      <w:r w:rsidRPr="00102B13">
        <w:t>There were five subjects with AEs of elevated liver enzymes. In the double-blind period there were three cases: one in the placebo group (ALT &lt;</w:t>
      </w:r>
      <w:r>
        <w:t xml:space="preserve"> </w:t>
      </w:r>
      <w:r w:rsidRPr="00102B13">
        <w:t xml:space="preserve">3x ULN and no treatment change) and 2 in the </w:t>
      </w:r>
      <w:proofErr w:type="spellStart"/>
      <w:r w:rsidRPr="00102B13">
        <w:t>etanercept</w:t>
      </w:r>
      <w:proofErr w:type="spellEnd"/>
      <w:r w:rsidRPr="00102B13">
        <w:t xml:space="preserve"> group. The first case in the </w:t>
      </w:r>
      <w:proofErr w:type="spellStart"/>
      <w:r w:rsidRPr="00102B13">
        <w:t>etanercept</w:t>
      </w:r>
      <w:proofErr w:type="spellEnd"/>
      <w:r w:rsidRPr="00102B13">
        <w:t xml:space="preserve"> group had AST &gt;</w:t>
      </w:r>
      <w:r>
        <w:t xml:space="preserve"> </w:t>
      </w:r>
      <w:r w:rsidRPr="00102B13">
        <w:t>3x ULN and ALT &gt;</w:t>
      </w:r>
      <w:r>
        <w:t xml:space="preserve"> </w:t>
      </w:r>
      <w:r w:rsidRPr="00102B13">
        <w:t>10x ULN but no increase in bilirubin. This was reported as hepatitis and the subject was discontinued. In the second case (ALT and ALT &lt;</w:t>
      </w:r>
      <w:r>
        <w:t xml:space="preserve"> </w:t>
      </w:r>
      <w:proofErr w:type="gramStart"/>
      <w:r w:rsidRPr="00102B13">
        <w:t>5xULN )</w:t>
      </w:r>
      <w:proofErr w:type="gramEnd"/>
      <w:r w:rsidRPr="00102B13">
        <w:t xml:space="preserve"> treatment was temporarily discontinued and was ceased later due to a protocol deviation. There was one case in the open label period (ALT &lt;</w:t>
      </w:r>
      <w:r>
        <w:t xml:space="preserve"> </w:t>
      </w:r>
      <w:r w:rsidRPr="00102B13">
        <w:t>5x ULN) which resolved after temporary treatment discontinuation and the subject remained on study. In the second case in the open label period, the elevated ALT was transient and mild (&lt;</w:t>
      </w:r>
      <w:r>
        <w:t xml:space="preserve"> </w:t>
      </w:r>
      <w:r w:rsidRPr="00102B13">
        <w:t>3xULN) with no resultant change to treatment.</w:t>
      </w:r>
    </w:p>
    <w:p w:rsidR="00102B13" w:rsidRPr="00102B13" w:rsidRDefault="00102B13" w:rsidP="00102B13">
      <w:r w:rsidRPr="00102B13">
        <w:t xml:space="preserve">There were no cases of abnormal LFTs which met </w:t>
      </w:r>
      <w:proofErr w:type="spellStart"/>
      <w:r w:rsidRPr="00102B13">
        <w:t>Hy’s</w:t>
      </w:r>
      <w:proofErr w:type="spellEnd"/>
      <w:r w:rsidRPr="00102B13">
        <w:t xml:space="preserve"> Law criteria.</w:t>
      </w:r>
    </w:p>
    <w:p w:rsidR="00102B13" w:rsidRPr="00102B13" w:rsidRDefault="00102B13" w:rsidP="00102B13">
      <w:pPr>
        <w:pStyle w:val="Heading4"/>
      </w:pPr>
      <w:bookmarkStart w:id="200" w:name="_Toc272414670"/>
      <w:bookmarkStart w:id="201" w:name="_Toc290846308"/>
      <w:bookmarkStart w:id="202" w:name="_Toc401924979"/>
      <w:r w:rsidRPr="00102B13">
        <w:t>Kidney function</w:t>
      </w:r>
      <w:bookmarkEnd w:id="200"/>
      <w:bookmarkEnd w:id="201"/>
      <w:bookmarkEnd w:id="202"/>
    </w:p>
    <w:p w:rsidR="00102B13" w:rsidRPr="00102B13" w:rsidRDefault="00102B13" w:rsidP="00102B13">
      <w:r w:rsidRPr="00102B13">
        <w:t>No details reported.</w:t>
      </w:r>
    </w:p>
    <w:p w:rsidR="00102B13" w:rsidRPr="00102B13" w:rsidRDefault="00102B13" w:rsidP="00102B13">
      <w:pPr>
        <w:pStyle w:val="Heading4"/>
      </w:pPr>
      <w:bookmarkStart w:id="203" w:name="_Toc272414671"/>
      <w:bookmarkStart w:id="204" w:name="_Toc290846309"/>
      <w:bookmarkStart w:id="205" w:name="_Toc401924980"/>
      <w:r w:rsidRPr="00102B13">
        <w:lastRenderedPageBreak/>
        <w:t>Other clinical chemistry</w:t>
      </w:r>
      <w:bookmarkEnd w:id="203"/>
      <w:bookmarkEnd w:id="204"/>
      <w:bookmarkEnd w:id="205"/>
    </w:p>
    <w:p w:rsidR="00102B13" w:rsidRPr="00102B13" w:rsidRDefault="00102B13" w:rsidP="00102B13">
      <w:r w:rsidRPr="00102B13">
        <w:t xml:space="preserve">There were two cases (1%) of </w:t>
      </w:r>
      <w:r w:rsidR="00C93718">
        <w:t>Grade 4</w:t>
      </w:r>
      <w:r w:rsidRPr="00102B13">
        <w:t xml:space="preserve"> potassium increase in the open label period were reported to be transient and not clinically significant.</w:t>
      </w:r>
    </w:p>
    <w:p w:rsidR="00102B13" w:rsidRPr="00102B13" w:rsidRDefault="00102B13" w:rsidP="00102B13">
      <w:pPr>
        <w:pStyle w:val="Heading4"/>
      </w:pPr>
      <w:bookmarkStart w:id="206" w:name="_Toc272414672"/>
      <w:bookmarkStart w:id="207" w:name="_Toc290846310"/>
      <w:bookmarkStart w:id="208" w:name="_Toc401924981"/>
      <w:r w:rsidRPr="00102B13">
        <w:t>Haematology</w:t>
      </w:r>
      <w:bookmarkEnd w:id="206"/>
      <w:bookmarkEnd w:id="207"/>
      <w:bookmarkEnd w:id="208"/>
    </w:p>
    <w:p w:rsidR="00102B13" w:rsidRPr="007A3335" w:rsidRDefault="00102B13" w:rsidP="00102B13">
      <w:pPr>
        <w:autoSpaceDE w:val="0"/>
        <w:autoSpaceDN w:val="0"/>
        <w:adjustRightInd w:val="0"/>
      </w:pPr>
      <w:r w:rsidRPr="00102B13">
        <w:t xml:space="preserve">There were two cases (1%) of </w:t>
      </w:r>
      <w:r w:rsidR="00C93718">
        <w:t>Grade 3</w:t>
      </w:r>
      <w:r w:rsidRPr="00102B13">
        <w:t xml:space="preserve"> decreased neutrophils in the open label period which</w:t>
      </w:r>
      <w:r w:rsidRPr="007A3335">
        <w:t xml:space="preserve"> </w:t>
      </w:r>
      <w:r w:rsidRPr="00102B13">
        <w:t>were transient and reported to return to normal at the next visit.</w:t>
      </w:r>
    </w:p>
    <w:p w:rsidR="00102B13" w:rsidRPr="00102B13" w:rsidRDefault="00102B13" w:rsidP="00102B13">
      <w:pPr>
        <w:pStyle w:val="Heading4"/>
      </w:pPr>
      <w:bookmarkStart w:id="209" w:name="_Toc272414675"/>
      <w:bookmarkStart w:id="210" w:name="_Toc290846313"/>
      <w:bookmarkStart w:id="211" w:name="_Toc401924982"/>
      <w:r w:rsidRPr="00102B13">
        <w:t>Electrocardiograph</w:t>
      </w:r>
      <w:bookmarkEnd w:id="209"/>
      <w:bookmarkEnd w:id="210"/>
      <w:bookmarkEnd w:id="211"/>
    </w:p>
    <w:p w:rsidR="00102B13" w:rsidRPr="00102B13" w:rsidRDefault="00102B13" w:rsidP="00102B13">
      <w:r w:rsidRPr="00102B13">
        <w:t>Not done.</w:t>
      </w:r>
    </w:p>
    <w:p w:rsidR="00102B13" w:rsidRPr="00102B13" w:rsidRDefault="00102B13" w:rsidP="00102B13">
      <w:pPr>
        <w:pStyle w:val="Heading4"/>
      </w:pPr>
      <w:bookmarkStart w:id="212" w:name="_Toc272414676"/>
      <w:bookmarkStart w:id="213" w:name="_Toc290846314"/>
      <w:bookmarkStart w:id="214" w:name="_Toc401924983"/>
      <w:r w:rsidRPr="00102B13">
        <w:t>Vital signs</w:t>
      </w:r>
      <w:bookmarkEnd w:id="212"/>
      <w:bookmarkEnd w:id="213"/>
      <w:bookmarkEnd w:id="214"/>
    </w:p>
    <w:p w:rsidR="00102B13" w:rsidRPr="00102B13" w:rsidRDefault="00102B13" w:rsidP="00102B13">
      <w:r w:rsidRPr="00102B13">
        <w:t>There were no reported clinically significant differences between groups in SBP, DBP or pulse rate.</w:t>
      </w:r>
    </w:p>
    <w:p w:rsidR="00102B13" w:rsidRPr="00102B13" w:rsidRDefault="00102B13" w:rsidP="00102B13">
      <w:pPr>
        <w:pStyle w:val="Heading3"/>
      </w:pPr>
      <w:bookmarkStart w:id="215" w:name="_Toc241374326"/>
      <w:bookmarkStart w:id="216" w:name="_Ref272333048"/>
      <w:bookmarkStart w:id="217" w:name="_Toc272414679"/>
      <w:bookmarkStart w:id="218" w:name="_Toc290846317"/>
      <w:bookmarkStart w:id="219" w:name="_Toc401924984"/>
      <w:bookmarkStart w:id="220" w:name="_Toc433315333"/>
      <w:r w:rsidRPr="00102B13">
        <w:t>Post-marketing experience</w:t>
      </w:r>
      <w:bookmarkEnd w:id="215"/>
      <w:bookmarkEnd w:id="216"/>
      <w:bookmarkEnd w:id="217"/>
      <w:bookmarkEnd w:id="218"/>
      <w:bookmarkEnd w:id="219"/>
      <w:bookmarkEnd w:id="220"/>
    </w:p>
    <w:p w:rsidR="00102B13" w:rsidRPr="00102B13" w:rsidRDefault="00102B13" w:rsidP="00102B13">
      <w:proofErr w:type="spellStart"/>
      <w:r w:rsidRPr="00102B13">
        <w:t>Etanercept</w:t>
      </w:r>
      <w:proofErr w:type="spellEnd"/>
      <w:r w:rsidRPr="00102B13">
        <w:t xml:space="preserve"> has been on the market since 1998 and patient exposure to February 2013 was estimated at 3.6 million patient-years. Most treatment is for rheumatoid arthritis. The most frequent serious events reported are pneumonia, sepsis, myocardial infarction and worsening of the condition for which the </w:t>
      </w:r>
      <w:proofErr w:type="spellStart"/>
      <w:r w:rsidRPr="00102B13">
        <w:t>etanercept</w:t>
      </w:r>
      <w:proofErr w:type="spellEnd"/>
      <w:r w:rsidRPr="00102B13">
        <w:t xml:space="preserve"> was used. The most frequent causes of death are infections, neoplasms and cardiac disorders. The </w:t>
      </w:r>
      <w:r w:rsidR="00F422D9">
        <w:t>s</w:t>
      </w:r>
      <w:r w:rsidRPr="00102B13">
        <w:t xml:space="preserve">ponsor conducted a review of the safety database for cases with axial </w:t>
      </w:r>
      <w:proofErr w:type="spellStart"/>
      <w:r w:rsidRPr="00102B13">
        <w:t>spondyloarthritis</w:t>
      </w:r>
      <w:proofErr w:type="spellEnd"/>
      <w:r w:rsidRPr="00102B13">
        <w:t xml:space="preserve"> as the indication for </w:t>
      </w:r>
      <w:proofErr w:type="spellStart"/>
      <w:r w:rsidRPr="00102B13">
        <w:t>etanercept</w:t>
      </w:r>
      <w:proofErr w:type="spellEnd"/>
      <w:r w:rsidRPr="00102B13">
        <w:t xml:space="preserve">. There were 125 cases of spondylitis with 4 cases of </w:t>
      </w:r>
      <w:proofErr w:type="spellStart"/>
      <w:r w:rsidRPr="00102B13">
        <w:t>AxSpA</w:t>
      </w:r>
      <w:proofErr w:type="spellEnd"/>
      <w:r w:rsidRPr="00102B13">
        <w:t xml:space="preserve"> (the other 121 were reported to be non-specific </w:t>
      </w:r>
      <w:proofErr w:type="spellStart"/>
      <w:r w:rsidRPr="00102B13">
        <w:t>SpA</w:t>
      </w:r>
      <w:proofErr w:type="spellEnd"/>
      <w:r w:rsidRPr="00102B13">
        <w:t xml:space="preserve">, peripheral </w:t>
      </w:r>
      <w:proofErr w:type="spellStart"/>
      <w:r w:rsidRPr="00102B13">
        <w:t>AxSpA</w:t>
      </w:r>
      <w:proofErr w:type="spellEnd"/>
      <w:r w:rsidRPr="00102B13">
        <w:t xml:space="preserve"> or AS). The events reported were lack of effect, uveitis, herpes zoster, increased ALT, increased ALT, hepatic </w:t>
      </w:r>
      <w:proofErr w:type="spellStart"/>
      <w:r w:rsidRPr="00102B13">
        <w:t>steatosis</w:t>
      </w:r>
      <w:proofErr w:type="spellEnd"/>
      <w:r w:rsidRPr="00102B13">
        <w:t xml:space="preserve"> and </w:t>
      </w:r>
      <w:proofErr w:type="spellStart"/>
      <w:r w:rsidRPr="00102B13">
        <w:t>Sjorgren’s</w:t>
      </w:r>
      <w:proofErr w:type="spellEnd"/>
      <w:r w:rsidRPr="00102B13">
        <w:t xml:space="preserve"> syndrome.</w:t>
      </w:r>
    </w:p>
    <w:p w:rsidR="00102B13" w:rsidRPr="00102B13" w:rsidRDefault="00102B13" w:rsidP="00102B13">
      <w:pPr>
        <w:pStyle w:val="Heading3"/>
      </w:pPr>
      <w:bookmarkStart w:id="221" w:name="_Ref272333005"/>
      <w:bookmarkStart w:id="222" w:name="_Toc272414680"/>
      <w:bookmarkStart w:id="223" w:name="_Toc290846318"/>
      <w:bookmarkStart w:id="224" w:name="_Toc401924985"/>
      <w:bookmarkStart w:id="225" w:name="_Toc433315334"/>
      <w:r w:rsidRPr="00102B13">
        <w:t>Safety issues with the potential for major regulatory imp</w:t>
      </w:r>
      <w:bookmarkEnd w:id="221"/>
      <w:bookmarkEnd w:id="222"/>
      <w:r w:rsidRPr="00102B13">
        <w:t>act</w:t>
      </w:r>
      <w:bookmarkEnd w:id="223"/>
      <w:bookmarkEnd w:id="224"/>
      <w:bookmarkEnd w:id="225"/>
    </w:p>
    <w:p w:rsidR="00B553DF" w:rsidRPr="00B553DF" w:rsidRDefault="00B553DF" w:rsidP="00B553DF">
      <w:pPr>
        <w:pStyle w:val="Heading4"/>
      </w:pPr>
      <w:bookmarkStart w:id="226" w:name="_Toc272414681"/>
      <w:bookmarkStart w:id="227" w:name="_Toc290846319"/>
      <w:bookmarkStart w:id="228" w:name="_Toc401924986"/>
      <w:r w:rsidRPr="00B553DF">
        <w:t>Liver toxicity</w:t>
      </w:r>
      <w:bookmarkEnd w:id="226"/>
      <w:bookmarkEnd w:id="227"/>
      <w:bookmarkEnd w:id="228"/>
    </w:p>
    <w:p w:rsidR="00B553DF" w:rsidRPr="00B553DF" w:rsidRDefault="00B553DF" w:rsidP="00B553DF">
      <w:r w:rsidRPr="00441F83">
        <w:t xml:space="preserve">See Section </w:t>
      </w:r>
      <w:r w:rsidR="00441F83" w:rsidRPr="00441F83">
        <w:t xml:space="preserve">8.4.1 Liver function </w:t>
      </w:r>
      <w:r w:rsidRPr="00441F83">
        <w:t>above.</w:t>
      </w:r>
    </w:p>
    <w:p w:rsidR="00B553DF" w:rsidRPr="00B553DF" w:rsidRDefault="00B553DF" w:rsidP="00B553DF">
      <w:pPr>
        <w:pStyle w:val="Heading4"/>
      </w:pPr>
      <w:bookmarkStart w:id="229" w:name="_Toc241374323"/>
      <w:bookmarkStart w:id="230" w:name="_Toc272414685"/>
      <w:bookmarkStart w:id="231" w:name="_Toc290846323"/>
      <w:bookmarkStart w:id="232" w:name="_Toc401924987"/>
      <w:r w:rsidRPr="00B553DF">
        <w:t>Unwanted immunological events</w:t>
      </w:r>
      <w:bookmarkEnd w:id="229"/>
      <w:bookmarkEnd w:id="230"/>
      <w:bookmarkEnd w:id="231"/>
      <w:bookmarkEnd w:id="232"/>
    </w:p>
    <w:p w:rsidR="00B553DF" w:rsidRPr="00B553DF" w:rsidRDefault="00B553DF" w:rsidP="00B553DF">
      <w:r w:rsidRPr="00B553DF">
        <w:t>Anti-</w:t>
      </w:r>
      <w:proofErr w:type="spellStart"/>
      <w:r w:rsidRPr="00B553DF">
        <w:t>etanercept</w:t>
      </w:r>
      <w:proofErr w:type="spellEnd"/>
      <w:r w:rsidRPr="00B553DF">
        <w:t xml:space="preserve"> antibody concentrations were not assessed in </w:t>
      </w:r>
      <w:r w:rsidR="006A7E9B">
        <w:t>Study B180</w:t>
      </w:r>
      <w:r w:rsidRPr="00B553DF">
        <w:t>1031.</w:t>
      </w:r>
    </w:p>
    <w:p w:rsidR="00B553DF" w:rsidRPr="00B553DF" w:rsidRDefault="0065484A" w:rsidP="00B553DF">
      <w:pPr>
        <w:pStyle w:val="Comment"/>
        <w:rPr>
          <w:lang w:eastAsia="en-AU"/>
        </w:rPr>
      </w:pPr>
      <w:r>
        <w:rPr>
          <w:b/>
          <w:lang w:eastAsia="en-AU"/>
        </w:rPr>
        <w:t>Evaluators c</w:t>
      </w:r>
      <w:r w:rsidR="00B553DF" w:rsidRPr="00F422D9">
        <w:rPr>
          <w:b/>
          <w:lang w:eastAsia="en-AU"/>
        </w:rPr>
        <w:t>omment:</w:t>
      </w:r>
      <w:r w:rsidR="00B553DF" w:rsidRPr="00B553DF">
        <w:rPr>
          <w:lang w:eastAsia="en-AU"/>
        </w:rPr>
        <w:t xml:space="preserve"> </w:t>
      </w:r>
      <w:r w:rsidR="00B553DF" w:rsidRPr="00B553DF">
        <w:rPr>
          <w:lang w:eastAsia="en-AU"/>
        </w:rPr>
        <w:tab/>
        <w:t>It would be expected that the immunological risks in the nr-</w:t>
      </w:r>
      <w:proofErr w:type="spellStart"/>
      <w:r w:rsidR="00B553DF" w:rsidRPr="00B553DF">
        <w:rPr>
          <w:lang w:eastAsia="en-AU"/>
        </w:rPr>
        <w:t>AxSpA</w:t>
      </w:r>
      <w:proofErr w:type="spellEnd"/>
      <w:r w:rsidR="00B553DF" w:rsidRPr="00B553DF">
        <w:rPr>
          <w:lang w:eastAsia="en-AU"/>
        </w:rPr>
        <w:t xml:space="preserve"> population would be the same as in other populations already studied.</w:t>
      </w:r>
    </w:p>
    <w:p w:rsidR="00B553DF" w:rsidRPr="007A3335" w:rsidRDefault="00B553DF" w:rsidP="00B553DF">
      <w:pPr>
        <w:pStyle w:val="Heading3"/>
      </w:pPr>
      <w:bookmarkStart w:id="233" w:name="_Toc272414686"/>
      <w:bookmarkStart w:id="234" w:name="_Ref273005527"/>
      <w:bookmarkStart w:id="235" w:name="_Toc290846324"/>
      <w:bookmarkStart w:id="236" w:name="_Toc401924988"/>
      <w:bookmarkStart w:id="237" w:name="_Toc433315335"/>
      <w:r w:rsidRPr="007A3335">
        <w:t>Other safety issues</w:t>
      </w:r>
      <w:bookmarkEnd w:id="233"/>
      <w:bookmarkEnd w:id="234"/>
      <w:bookmarkEnd w:id="235"/>
      <w:bookmarkEnd w:id="236"/>
      <w:bookmarkEnd w:id="237"/>
    </w:p>
    <w:p w:rsidR="00B553DF" w:rsidRPr="007A3335" w:rsidRDefault="00B553DF" w:rsidP="00B553DF">
      <w:pPr>
        <w:pStyle w:val="Heading4"/>
      </w:pPr>
      <w:bookmarkStart w:id="238" w:name="_Toc241374322"/>
      <w:bookmarkStart w:id="239" w:name="_Ref272331212"/>
      <w:bookmarkStart w:id="240" w:name="_Toc272414687"/>
      <w:bookmarkStart w:id="241" w:name="_Toc290846325"/>
      <w:bookmarkStart w:id="242" w:name="_Toc401924989"/>
      <w:r w:rsidRPr="007A3335">
        <w:t>Safety in special populations</w:t>
      </w:r>
      <w:bookmarkEnd w:id="238"/>
      <w:bookmarkEnd w:id="239"/>
      <w:bookmarkEnd w:id="240"/>
      <w:bookmarkEnd w:id="241"/>
      <w:bookmarkEnd w:id="242"/>
    </w:p>
    <w:p w:rsidR="00B553DF" w:rsidRPr="00B553DF" w:rsidRDefault="00B553DF" w:rsidP="00B553DF">
      <w:r w:rsidRPr="00B553DF">
        <w:t xml:space="preserve">No pregnancies were reported in </w:t>
      </w:r>
      <w:r w:rsidR="006A7E9B">
        <w:t>Study B180</w:t>
      </w:r>
      <w:r w:rsidRPr="00B553DF">
        <w:t>1031.</w:t>
      </w:r>
    </w:p>
    <w:p w:rsidR="00B553DF" w:rsidRPr="007A3335" w:rsidRDefault="00B553DF" w:rsidP="00B553DF">
      <w:pPr>
        <w:pStyle w:val="Heading4"/>
      </w:pPr>
      <w:bookmarkStart w:id="243" w:name="_Toc241374324"/>
      <w:bookmarkStart w:id="244" w:name="_Ref272331214"/>
      <w:bookmarkStart w:id="245" w:name="_Toc272414688"/>
      <w:bookmarkStart w:id="246" w:name="_Toc290846326"/>
      <w:bookmarkStart w:id="247" w:name="_Toc401924990"/>
      <w:r w:rsidRPr="007A3335">
        <w:t>Safety related to drug-drug interactions and other interactions</w:t>
      </w:r>
      <w:bookmarkEnd w:id="243"/>
      <w:bookmarkEnd w:id="244"/>
      <w:bookmarkEnd w:id="245"/>
      <w:bookmarkEnd w:id="246"/>
      <w:bookmarkEnd w:id="247"/>
    </w:p>
    <w:p w:rsidR="00B553DF" w:rsidRPr="00B553DF" w:rsidRDefault="00B553DF" w:rsidP="00B553DF">
      <w:r w:rsidRPr="00B553DF">
        <w:t>Not assessed.</w:t>
      </w:r>
    </w:p>
    <w:p w:rsidR="00B553DF" w:rsidRPr="007A3335" w:rsidRDefault="00B553DF" w:rsidP="00B553DF">
      <w:pPr>
        <w:pStyle w:val="Heading4"/>
      </w:pPr>
      <w:bookmarkStart w:id="248" w:name="_Toc401924991"/>
      <w:r w:rsidRPr="007A3335">
        <w:t>Withdrawal</w:t>
      </w:r>
      <w:bookmarkEnd w:id="248"/>
    </w:p>
    <w:p w:rsidR="00B553DF" w:rsidRPr="00B553DF" w:rsidRDefault="00B553DF" w:rsidP="00B553DF">
      <w:r w:rsidRPr="00B553DF">
        <w:t>Withdrawal and disease rebound were not assessed.</w:t>
      </w:r>
    </w:p>
    <w:p w:rsidR="00B553DF" w:rsidRPr="007A3335" w:rsidRDefault="00B553DF" w:rsidP="00B553DF">
      <w:pPr>
        <w:pStyle w:val="Heading3"/>
      </w:pPr>
      <w:bookmarkStart w:id="249" w:name="_Toc241374328"/>
      <w:bookmarkStart w:id="250" w:name="_Toc272414691"/>
      <w:bookmarkStart w:id="251" w:name="_Toc290846329"/>
      <w:bookmarkStart w:id="252" w:name="_Toc401924992"/>
      <w:bookmarkStart w:id="253" w:name="_Toc433315336"/>
      <w:r w:rsidRPr="007A3335">
        <w:t>Evaluator’s overall conclusions on clinical safety</w:t>
      </w:r>
      <w:bookmarkEnd w:id="249"/>
      <w:bookmarkEnd w:id="250"/>
      <w:bookmarkEnd w:id="251"/>
      <w:bookmarkEnd w:id="252"/>
      <w:bookmarkEnd w:id="253"/>
    </w:p>
    <w:p w:rsidR="00B553DF" w:rsidRPr="00B553DF" w:rsidRDefault="00B553DF" w:rsidP="00B553DF">
      <w:r w:rsidRPr="00B553DF">
        <w:t>The safety database for the nr-</w:t>
      </w:r>
      <w:proofErr w:type="spellStart"/>
      <w:r w:rsidRPr="00B553DF">
        <w:t>AxSpA</w:t>
      </w:r>
      <w:proofErr w:type="spellEnd"/>
      <w:r w:rsidRPr="00B553DF">
        <w:t xml:space="preserve"> population was derived from the one </w:t>
      </w:r>
      <w:r w:rsidR="00C93718">
        <w:t>Phase II</w:t>
      </w:r>
      <w:r w:rsidRPr="00B553DF">
        <w:t xml:space="preserve">I clinical trial in which there were 111 patients exposed to double-blind </w:t>
      </w:r>
      <w:proofErr w:type="spellStart"/>
      <w:r w:rsidRPr="00B553DF">
        <w:t>etanercept</w:t>
      </w:r>
      <w:proofErr w:type="spellEnd"/>
      <w:r w:rsidRPr="00B553DF">
        <w:t xml:space="preserve">. The median duration of </w:t>
      </w:r>
      <w:r w:rsidRPr="00B553DF">
        <w:lastRenderedPageBreak/>
        <w:t xml:space="preserve">exposure in the double-blind phase was 85 days with a total of 24.1 subject-years. The median exposure duration in the open label phase was 78 days. The total exposure to </w:t>
      </w:r>
      <w:proofErr w:type="spellStart"/>
      <w:r w:rsidRPr="00B553DF">
        <w:t>etanercept</w:t>
      </w:r>
      <w:proofErr w:type="spellEnd"/>
      <w:r w:rsidRPr="00B553DF">
        <w:t xml:space="preserve"> from baseline to </w:t>
      </w:r>
      <w:r w:rsidR="00F422D9">
        <w:t>W</w:t>
      </w:r>
      <w:r w:rsidRPr="00B553DF">
        <w:t>eek 24 was 47.4 subject years in the ETN/ETN group and 24.1 subject</w:t>
      </w:r>
      <w:r w:rsidR="00F422D9">
        <w:t>-</w:t>
      </w:r>
      <w:r>
        <w:t>years in the placebo/ETN group.</w:t>
      </w:r>
    </w:p>
    <w:p w:rsidR="00B553DF" w:rsidRPr="00B553DF" w:rsidRDefault="00B553DF" w:rsidP="00B553DF">
      <w:r w:rsidRPr="00B553DF">
        <w:t xml:space="preserve">There were no deaths in the study to </w:t>
      </w:r>
      <w:r w:rsidR="00F422D9">
        <w:t>W</w:t>
      </w:r>
      <w:r w:rsidRPr="00B553DF">
        <w:t xml:space="preserve">eek 24. SAEs were infrequent (2 [1.8%] in each group during double-blind treatment). In the </w:t>
      </w:r>
      <w:proofErr w:type="spellStart"/>
      <w:r w:rsidRPr="00B553DF">
        <w:t>etanercept</w:t>
      </w:r>
      <w:proofErr w:type="spellEnd"/>
      <w:r w:rsidRPr="00B553DF">
        <w:t xml:space="preserve"> group, the SAEs were </w:t>
      </w:r>
      <w:proofErr w:type="spellStart"/>
      <w:r w:rsidRPr="00B553DF">
        <w:t>spondyloarthopathy</w:t>
      </w:r>
      <w:proofErr w:type="spellEnd"/>
      <w:r w:rsidRPr="00B553DF">
        <w:t xml:space="preserve"> and </w:t>
      </w:r>
      <w:proofErr w:type="spellStart"/>
      <w:r w:rsidRPr="00B553DF">
        <w:t>cholelithiasis</w:t>
      </w:r>
      <w:proofErr w:type="spellEnd"/>
      <w:r w:rsidRPr="00B553DF">
        <w:t xml:space="preserve">. There were three discontinuations due to AEs in subjects treated with </w:t>
      </w:r>
      <w:proofErr w:type="spellStart"/>
      <w:r w:rsidRPr="00B553DF">
        <w:t>etanercept</w:t>
      </w:r>
      <w:proofErr w:type="spellEnd"/>
      <w:r w:rsidRPr="00B553DF">
        <w:t xml:space="preserve"> (hepatitis, worsening </w:t>
      </w:r>
      <w:proofErr w:type="spellStart"/>
      <w:r w:rsidRPr="00B553DF">
        <w:t>spondyloarthropathy</w:t>
      </w:r>
      <w:proofErr w:type="spellEnd"/>
      <w:r w:rsidRPr="00B553DF">
        <w:t xml:space="preserve"> and asthenia) during double-blind treatment with a higher rate than placebo (2.7% </w:t>
      </w:r>
      <w:r w:rsidR="00455BC5">
        <w:t>versus</w:t>
      </w:r>
      <w:r w:rsidRPr="00B553DF">
        <w:t xml:space="preserve"> 0.9%). There was one AE-related discontinuation (acute bronchitis) during open label treatment.</w:t>
      </w:r>
    </w:p>
    <w:p w:rsidR="00B553DF" w:rsidRPr="00B553DF" w:rsidRDefault="00B553DF" w:rsidP="00B553DF">
      <w:r w:rsidRPr="00B553DF">
        <w:t xml:space="preserve">During double-blind treatment, TEAEs were more frequent with </w:t>
      </w:r>
      <w:proofErr w:type="spellStart"/>
      <w:r w:rsidRPr="00B553DF">
        <w:t>etanercept</w:t>
      </w:r>
      <w:proofErr w:type="spellEnd"/>
      <w:r w:rsidRPr="00B553DF">
        <w:t xml:space="preserve"> than placebo (56.8% and 45.1%). The notable increased risk was injection site reactions. The overall rate of infections was similar between groups (23% </w:t>
      </w:r>
      <w:r w:rsidR="00455BC5">
        <w:t>versus</w:t>
      </w:r>
      <w:r w:rsidRPr="00B553DF">
        <w:t xml:space="preserve"> 22%) while treated or serious infections were slightly higher in the </w:t>
      </w:r>
      <w:proofErr w:type="spellStart"/>
      <w:r w:rsidRPr="00B553DF">
        <w:t>e</w:t>
      </w:r>
      <w:r>
        <w:t>tanercept</w:t>
      </w:r>
      <w:proofErr w:type="spellEnd"/>
      <w:r>
        <w:t xml:space="preserve"> group (9.9% </w:t>
      </w:r>
      <w:r w:rsidR="00455BC5">
        <w:t>versus</w:t>
      </w:r>
      <w:r>
        <w:t xml:space="preserve"> 8.8%).</w:t>
      </w:r>
    </w:p>
    <w:p w:rsidR="00B553DF" w:rsidRPr="00B553DF" w:rsidRDefault="00B553DF" w:rsidP="00B553DF">
      <w:r w:rsidRPr="00B553DF">
        <w:t xml:space="preserve">Up to </w:t>
      </w:r>
      <w:r w:rsidR="00F422D9">
        <w:t>W</w:t>
      </w:r>
      <w:r w:rsidRPr="00B553DF">
        <w:t xml:space="preserve">eek 24 of the study, there were no reported cases of malignancy, lymphoma, opportunistic infections, tuberculosis, </w:t>
      </w:r>
      <w:proofErr w:type="gramStart"/>
      <w:r w:rsidRPr="00B553DF">
        <w:t>demyelinating</w:t>
      </w:r>
      <w:proofErr w:type="gramEnd"/>
      <w:r w:rsidRPr="00B553DF">
        <w:t xml:space="preserve"> disease, blood </w:t>
      </w:r>
      <w:proofErr w:type="spellStart"/>
      <w:r w:rsidRPr="00B553DF">
        <w:t>dyscrasias</w:t>
      </w:r>
      <w:proofErr w:type="spellEnd"/>
      <w:r w:rsidRPr="00B553DF">
        <w:t xml:space="preserve"> related to bone marrow suppression or IBD. After </w:t>
      </w:r>
      <w:r w:rsidR="00F422D9">
        <w:t>W</w:t>
      </w:r>
      <w:r w:rsidRPr="00B553DF">
        <w:t xml:space="preserve">eek 24 data cut-off, </w:t>
      </w:r>
      <w:r w:rsidR="006A7E9B">
        <w:t xml:space="preserve">the sponsor </w:t>
      </w:r>
      <w:r w:rsidRPr="00B553DF">
        <w:t>reported one opportunistic infection (herpes zoster) and one demyelinating disorder (multiple sclerosis). In the open label period there were two subjects with acute anterior uveitis and in neither case was study drug ceased.</w:t>
      </w:r>
    </w:p>
    <w:p w:rsidR="00B553DF" w:rsidRPr="00B553DF" w:rsidRDefault="00B553DF" w:rsidP="00B553DF">
      <w:r w:rsidRPr="00B553DF">
        <w:t xml:space="preserve">Grade 3 or 4 laboratory test results were higher with </w:t>
      </w:r>
      <w:proofErr w:type="spellStart"/>
      <w:r w:rsidRPr="00B553DF">
        <w:t>etanercept</w:t>
      </w:r>
      <w:proofErr w:type="spellEnd"/>
      <w:r w:rsidRPr="00B553DF">
        <w:t xml:space="preserve"> (2.7% </w:t>
      </w:r>
      <w:r w:rsidR="00455BC5">
        <w:t>versus</w:t>
      </w:r>
      <w:r w:rsidRPr="00B553DF">
        <w:t xml:space="preserve"> 1.8%) and in particular a higher rate of raised ALT and AST. There was one </w:t>
      </w:r>
      <w:proofErr w:type="spellStart"/>
      <w:r w:rsidRPr="00B553DF">
        <w:t>etanercept</w:t>
      </w:r>
      <w:proofErr w:type="spellEnd"/>
      <w:r w:rsidRPr="00B553DF">
        <w:t xml:space="preserve">-treated subject with hepatitis (which led to discontinuation) but no cases meeting the </w:t>
      </w:r>
      <w:proofErr w:type="spellStart"/>
      <w:r w:rsidRPr="00B553DF">
        <w:t>Hy’s</w:t>
      </w:r>
      <w:proofErr w:type="spellEnd"/>
      <w:r w:rsidRPr="00B553DF">
        <w:t xml:space="preserve"> Law criteria. Transient </w:t>
      </w:r>
      <w:proofErr w:type="spellStart"/>
      <w:r w:rsidRPr="00B553DF">
        <w:t>neutropaenia</w:t>
      </w:r>
      <w:proofErr w:type="spellEnd"/>
      <w:r w:rsidRPr="00B553DF">
        <w:t xml:space="preserve"> (</w:t>
      </w:r>
      <w:r w:rsidR="00C93718">
        <w:t>Grade 3</w:t>
      </w:r>
      <w:r w:rsidRPr="00B553DF">
        <w:t>) was also reported in 2 (1%) patients during open label treatment. There was some lack of detail on laboratory assessments and qu</w:t>
      </w:r>
      <w:r>
        <w:t>estion on this has been raised.</w:t>
      </w:r>
    </w:p>
    <w:p w:rsidR="00B553DF" w:rsidRPr="00B553DF" w:rsidRDefault="00B553DF" w:rsidP="00B553DF">
      <w:r w:rsidRPr="00B553DF">
        <w:t xml:space="preserve">There were no reported pregnancies. </w:t>
      </w:r>
      <w:proofErr w:type="gramStart"/>
      <w:r w:rsidRPr="00B553DF">
        <w:t>Anti-</w:t>
      </w:r>
      <w:proofErr w:type="spellStart"/>
      <w:r w:rsidRPr="00B553DF">
        <w:t>etanercept</w:t>
      </w:r>
      <w:proofErr w:type="spellEnd"/>
      <w:r w:rsidRPr="00B553DF">
        <w:t xml:space="preserve"> antibodies were not assessed nor was</w:t>
      </w:r>
      <w:proofErr w:type="gramEnd"/>
      <w:r w:rsidRPr="00B553DF">
        <w:t xml:space="preserve"> safety in relation to treatment withdrawal.</w:t>
      </w:r>
    </w:p>
    <w:p w:rsidR="00102B13" w:rsidRPr="00102B13" w:rsidRDefault="00B553DF" w:rsidP="00102B13">
      <w:r w:rsidRPr="00B553DF">
        <w:t xml:space="preserve">Overall the safety risks appeared in line with current knowledge for </w:t>
      </w:r>
      <w:proofErr w:type="spellStart"/>
      <w:r w:rsidRPr="00B553DF">
        <w:t>etanercept</w:t>
      </w:r>
      <w:proofErr w:type="spellEnd"/>
      <w:r w:rsidRPr="00B553DF">
        <w:t>. However the database was small and the maximum treatment duration was only 24 weeks which is shorter than the recommended minimum of 12 months.</w:t>
      </w:r>
    </w:p>
    <w:p w:rsidR="00C22678" w:rsidRPr="00B553DF" w:rsidRDefault="00C22678" w:rsidP="00C22678">
      <w:pPr>
        <w:pStyle w:val="Heading2"/>
      </w:pPr>
      <w:bookmarkStart w:id="254" w:name="_Toc433315337"/>
      <w:r w:rsidRPr="00B553DF">
        <w:t>First round benefit-risk assessment</w:t>
      </w:r>
      <w:bookmarkEnd w:id="254"/>
    </w:p>
    <w:p w:rsidR="000D2ABE" w:rsidRPr="000D2ABE" w:rsidRDefault="000D2ABE" w:rsidP="000D2ABE">
      <w:pPr>
        <w:pStyle w:val="Heading3"/>
      </w:pPr>
      <w:bookmarkStart w:id="255" w:name="_Toc236802592"/>
      <w:bookmarkStart w:id="256" w:name="_Toc241374331"/>
      <w:bookmarkStart w:id="257" w:name="_Ref272160836"/>
      <w:bookmarkStart w:id="258" w:name="_Toc272414693"/>
      <w:bookmarkStart w:id="259" w:name="_Toc290846331"/>
      <w:bookmarkStart w:id="260" w:name="_Ref401302845"/>
      <w:bookmarkStart w:id="261" w:name="_Toc401924994"/>
      <w:bookmarkStart w:id="262" w:name="_Toc433315338"/>
      <w:r w:rsidRPr="000D2ABE">
        <w:t>First round assessment of benefits</w:t>
      </w:r>
      <w:bookmarkEnd w:id="255"/>
      <w:bookmarkEnd w:id="256"/>
      <w:bookmarkEnd w:id="257"/>
      <w:bookmarkEnd w:id="258"/>
      <w:bookmarkEnd w:id="259"/>
      <w:bookmarkEnd w:id="260"/>
      <w:bookmarkEnd w:id="261"/>
      <w:bookmarkEnd w:id="262"/>
    </w:p>
    <w:p w:rsidR="000D2ABE" w:rsidRPr="000D2ABE" w:rsidRDefault="000D2ABE" w:rsidP="000D2ABE">
      <w:r w:rsidRPr="000D2ABE">
        <w:t xml:space="preserve">The benefits of </w:t>
      </w:r>
      <w:proofErr w:type="spellStart"/>
      <w:r w:rsidRPr="000D2ABE">
        <w:t>etanercept</w:t>
      </w:r>
      <w:proofErr w:type="spellEnd"/>
      <w:r w:rsidRPr="000D2ABE">
        <w:t xml:space="preserve"> in the proposed usage are:</w:t>
      </w:r>
    </w:p>
    <w:p w:rsidR="000D2ABE" w:rsidRPr="000D2ABE" w:rsidRDefault="000D2ABE" w:rsidP="0065484A">
      <w:pPr>
        <w:pStyle w:val="ListBullet"/>
      </w:pPr>
      <w:r w:rsidRPr="000D2ABE">
        <w:t xml:space="preserve">Efficacy compared to placebo on ASAS 40 of 32% </w:t>
      </w:r>
      <w:r w:rsidR="00455BC5">
        <w:t>versus</w:t>
      </w:r>
      <w:r w:rsidRPr="000D2ABE">
        <w:t xml:space="preserve"> 16% after 12 weeks treatment. The efficacy appeared largely confined to those with elevated </w:t>
      </w:r>
      <w:proofErr w:type="spellStart"/>
      <w:r w:rsidRPr="000D2ABE">
        <w:t>hsCRP</w:t>
      </w:r>
      <w:proofErr w:type="spellEnd"/>
      <w:r w:rsidRPr="000D2ABE">
        <w:t xml:space="preserve"> and possibly also those with evidence of inflammation on MRI.</w:t>
      </w:r>
    </w:p>
    <w:p w:rsidR="000D2ABE" w:rsidRPr="000D2ABE" w:rsidRDefault="000D2ABE" w:rsidP="000D2ABE">
      <w:pPr>
        <w:pStyle w:val="ListBullet"/>
      </w:pPr>
      <w:r w:rsidRPr="000D2ABE">
        <w:t>Efficacy is supported by positive results across secondary endpoints of disease activity and function. There was, however, little effect on mobility or quality of life.</w:t>
      </w:r>
    </w:p>
    <w:p w:rsidR="000D2ABE" w:rsidRPr="000D2ABE" w:rsidRDefault="000D2ABE" w:rsidP="000D2ABE">
      <w:pPr>
        <w:pStyle w:val="ListBullet"/>
      </w:pPr>
      <w:r w:rsidRPr="000D2ABE">
        <w:t xml:space="preserve">Efficacy was maintained to </w:t>
      </w:r>
      <w:r w:rsidR="00F422D9">
        <w:t>W</w:t>
      </w:r>
      <w:r w:rsidRPr="000D2ABE">
        <w:t>eek 24.</w:t>
      </w:r>
    </w:p>
    <w:p w:rsidR="000D2ABE" w:rsidRPr="000D2ABE" w:rsidRDefault="000D2ABE" w:rsidP="000D2ABE">
      <w:pPr>
        <w:pStyle w:val="ListBullet"/>
      </w:pPr>
      <w:r w:rsidRPr="000D2ABE">
        <w:t>No new safety signals.</w:t>
      </w:r>
    </w:p>
    <w:p w:rsidR="000D2ABE" w:rsidRPr="000D2ABE" w:rsidRDefault="000D2ABE" w:rsidP="000D2ABE">
      <w:pPr>
        <w:pStyle w:val="ListBullet"/>
      </w:pPr>
      <w:r w:rsidRPr="000D2ABE">
        <w:t>Safety data which is supported by a large existing safety database.</w:t>
      </w:r>
    </w:p>
    <w:p w:rsidR="000D2ABE" w:rsidRPr="000D2ABE" w:rsidRDefault="000D2ABE" w:rsidP="000D2ABE">
      <w:pPr>
        <w:pStyle w:val="Heading3"/>
      </w:pPr>
      <w:bookmarkStart w:id="263" w:name="_Toc236802596"/>
      <w:bookmarkStart w:id="264" w:name="_Toc241374334"/>
      <w:bookmarkStart w:id="265" w:name="_Ref272160964"/>
      <w:bookmarkStart w:id="266" w:name="_Toc272414694"/>
      <w:bookmarkStart w:id="267" w:name="_Toc290846332"/>
      <w:bookmarkStart w:id="268" w:name="_Ref401302852"/>
      <w:bookmarkStart w:id="269" w:name="_Toc401924995"/>
      <w:bookmarkStart w:id="270" w:name="_Toc433315339"/>
      <w:r w:rsidRPr="000D2ABE">
        <w:lastRenderedPageBreak/>
        <w:t>First round assessment of risks</w:t>
      </w:r>
      <w:bookmarkEnd w:id="263"/>
      <w:bookmarkEnd w:id="264"/>
      <w:bookmarkEnd w:id="265"/>
      <w:bookmarkEnd w:id="266"/>
      <w:bookmarkEnd w:id="267"/>
      <w:bookmarkEnd w:id="268"/>
      <w:bookmarkEnd w:id="269"/>
      <w:bookmarkEnd w:id="270"/>
    </w:p>
    <w:p w:rsidR="000D2ABE" w:rsidRPr="000D2ABE" w:rsidRDefault="000D2ABE" w:rsidP="000D2ABE">
      <w:r w:rsidRPr="000D2ABE">
        <w:t xml:space="preserve">The risks of </w:t>
      </w:r>
      <w:proofErr w:type="spellStart"/>
      <w:r w:rsidRPr="000D2ABE">
        <w:t>etanercept</w:t>
      </w:r>
      <w:proofErr w:type="spellEnd"/>
      <w:r w:rsidRPr="000D2ABE">
        <w:t xml:space="preserve"> in the proposed usage are:</w:t>
      </w:r>
    </w:p>
    <w:p w:rsidR="000D2ABE" w:rsidRPr="000D2ABE" w:rsidRDefault="000D2ABE" w:rsidP="000D2ABE">
      <w:pPr>
        <w:pStyle w:val="ListBullet"/>
      </w:pPr>
      <w:r w:rsidRPr="000D2ABE">
        <w:t>Injection site reactions.</w:t>
      </w:r>
    </w:p>
    <w:p w:rsidR="000D2ABE" w:rsidRPr="000D2ABE" w:rsidRDefault="000D2ABE" w:rsidP="000D2ABE">
      <w:pPr>
        <w:pStyle w:val="ListBullet"/>
      </w:pPr>
      <w:r w:rsidRPr="000D2ABE">
        <w:t>Infections and sepsis.</w:t>
      </w:r>
    </w:p>
    <w:p w:rsidR="000D2ABE" w:rsidRPr="000D2ABE" w:rsidRDefault="000D2ABE" w:rsidP="000D2ABE">
      <w:pPr>
        <w:pStyle w:val="ListBullet"/>
      </w:pPr>
      <w:r w:rsidRPr="000D2ABE">
        <w:t>Elevated liver enzymes and hepatitis.</w:t>
      </w:r>
    </w:p>
    <w:p w:rsidR="000D2ABE" w:rsidRPr="000D2ABE" w:rsidRDefault="000D2ABE" w:rsidP="000D2ABE">
      <w:pPr>
        <w:pStyle w:val="ListBullet"/>
      </w:pPr>
      <w:r w:rsidRPr="000D2ABE">
        <w:t>CNS disorders including demyelinating disorders.</w:t>
      </w:r>
    </w:p>
    <w:p w:rsidR="000D2ABE" w:rsidRPr="000D2ABE" w:rsidRDefault="000D2ABE" w:rsidP="000D2ABE">
      <w:pPr>
        <w:pStyle w:val="ListBullet"/>
      </w:pPr>
      <w:r w:rsidRPr="000D2ABE">
        <w:t xml:space="preserve">Other serious risks as outlined in the product information such as: opportunistic infections and tuberculosis; haematological reactions including </w:t>
      </w:r>
      <w:proofErr w:type="spellStart"/>
      <w:r w:rsidRPr="000D2ABE">
        <w:t>pancytopaenia</w:t>
      </w:r>
      <w:proofErr w:type="spellEnd"/>
      <w:r w:rsidRPr="000D2ABE">
        <w:t xml:space="preserve">; reactivation of hepatitis B, worsening of hepatitis C, allergic reactions, worsening of congestive heart failure; malignancy and lymphoproliferative disorders, autoimmune antibody formation; new onset psoriasis; interstitial lung disease; risk in patients with alcoholic hepatitis; hypoglycaemia in diabetic patients; risks during pregnancy and lactation; and drug interactions with </w:t>
      </w:r>
      <w:proofErr w:type="spellStart"/>
      <w:r w:rsidRPr="000D2ABE">
        <w:t>anakinra</w:t>
      </w:r>
      <w:proofErr w:type="spellEnd"/>
      <w:r w:rsidRPr="000D2ABE">
        <w:t xml:space="preserve"> and </w:t>
      </w:r>
      <w:proofErr w:type="spellStart"/>
      <w:r w:rsidRPr="000D2ABE">
        <w:t>abatacept</w:t>
      </w:r>
      <w:proofErr w:type="spellEnd"/>
      <w:r w:rsidRPr="000D2ABE">
        <w:t>.</w:t>
      </w:r>
    </w:p>
    <w:p w:rsidR="000D2ABE" w:rsidRPr="000D2ABE" w:rsidRDefault="000D2ABE" w:rsidP="000D2ABE">
      <w:pPr>
        <w:pStyle w:val="ListBullet"/>
      </w:pPr>
      <w:r w:rsidRPr="000D2ABE">
        <w:t>A small safety database in the nr-</w:t>
      </w:r>
      <w:proofErr w:type="spellStart"/>
      <w:r w:rsidRPr="000D2ABE">
        <w:t>AxSpA</w:t>
      </w:r>
      <w:proofErr w:type="spellEnd"/>
      <w:r w:rsidRPr="000D2ABE">
        <w:t xml:space="preserve"> population.</w:t>
      </w:r>
    </w:p>
    <w:p w:rsidR="000D2ABE" w:rsidRPr="000D2ABE" w:rsidRDefault="000D2ABE" w:rsidP="000D2ABE">
      <w:pPr>
        <w:pStyle w:val="ListBullet"/>
      </w:pPr>
      <w:r w:rsidRPr="000D2ABE">
        <w:t>Lack of efficacy and safety data beyond 24 weeks.</w:t>
      </w:r>
    </w:p>
    <w:p w:rsidR="000D2ABE" w:rsidRPr="000D2ABE" w:rsidRDefault="000D2ABE" w:rsidP="000D2ABE">
      <w:pPr>
        <w:pStyle w:val="ListBullet"/>
      </w:pPr>
      <w:r w:rsidRPr="000D2ABE">
        <w:t>No data on effects on disease progression.</w:t>
      </w:r>
    </w:p>
    <w:p w:rsidR="000D2ABE" w:rsidRPr="000D2ABE" w:rsidRDefault="000D2ABE" w:rsidP="000D2ABE">
      <w:pPr>
        <w:pStyle w:val="ListBullet"/>
      </w:pPr>
      <w:r w:rsidRPr="000D2ABE">
        <w:t xml:space="preserve">No efficacy data in patients aged </w:t>
      </w:r>
      <w:r>
        <w:t xml:space="preserve">≥ </w:t>
      </w:r>
      <w:r w:rsidRPr="000D2ABE">
        <w:t>50 years (exclusion criteria in the pivotal study).</w:t>
      </w:r>
    </w:p>
    <w:p w:rsidR="000D2ABE" w:rsidRPr="000D2ABE" w:rsidRDefault="000D2ABE" w:rsidP="000D2ABE">
      <w:pPr>
        <w:pStyle w:val="Heading3"/>
      </w:pPr>
      <w:bookmarkStart w:id="271" w:name="_Toc236802597"/>
      <w:bookmarkStart w:id="272" w:name="_Toc241374335"/>
      <w:bookmarkStart w:id="273" w:name="_Toc272414695"/>
      <w:bookmarkStart w:id="274" w:name="_Toc290846333"/>
      <w:bookmarkStart w:id="275" w:name="_Toc401924996"/>
      <w:bookmarkStart w:id="276" w:name="_Toc433315340"/>
      <w:r w:rsidRPr="000D2ABE">
        <w:t>First round assessment of benefit-risk balance</w:t>
      </w:r>
      <w:bookmarkEnd w:id="271"/>
      <w:bookmarkEnd w:id="272"/>
      <w:bookmarkEnd w:id="273"/>
      <w:bookmarkEnd w:id="274"/>
      <w:bookmarkEnd w:id="275"/>
      <w:bookmarkEnd w:id="276"/>
    </w:p>
    <w:p w:rsidR="000D2ABE" w:rsidRPr="000D2ABE" w:rsidRDefault="000D2ABE" w:rsidP="000D2ABE">
      <w:proofErr w:type="spellStart"/>
      <w:r w:rsidRPr="000D2ABE">
        <w:t>Spondyloarthritis</w:t>
      </w:r>
      <w:proofErr w:type="spellEnd"/>
      <w:r w:rsidRPr="000D2ABE">
        <w:t xml:space="preserve"> (</w:t>
      </w:r>
      <w:proofErr w:type="spellStart"/>
      <w:r w:rsidRPr="000D2ABE">
        <w:t>SpA</w:t>
      </w:r>
      <w:proofErr w:type="spellEnd"/>
      <w:r w:rsidRPr="000D2ABE">
        <w:t xml:space="preserve">), formerly termed </w:t>
      </w:r>
      <w:proofErr w:type="spellStart"/>
      <w:r w:rsidRPr="000D2ABE">
        <w:t>spondyloarthropathy</w:t>
      </w:r>
      <w:proofErr w:type="spellEnd"/>
      <w:r w:rsidRPr="000D2ABE">
        <w:t xml:space="preserve">, refers to a group of diseases that share certain clinical features, including axial inflammation (spinal and/or sacroiliac), </w:t>
      </w:r>
      <w:proofErr w:type="spellStart"/>
      <w:r w:rsidRPr="000D2ABE">
        <w:t>enthesitis</w:t>
      </w:r>
      <w:proofErr w:type="spellEnd"/>
      <w:r w:rsidRPr="000D2ABE">
        <w:t xml:space="preserve"> (inflammation of ligament/tendon attachment to bone), </w:t>
      </w:r>
      <w:proofErr w:type="spellStart"/>
      <w:r w:rsidRPr="000D2ABE">
        <w:t>dactylitis</w:t>
      </w:r>
      <w:proofErr w:type="spellEnd"/>
      <w:r w:rsidRPr="000D2ABE">
        <w:t xml:space="preserve">, </w:t>
      </w:r>
      <w:proofErr w:type="spellStart"/>
      <w:r w:rsidRPr="000D2ABE">
        <w:t>oligoarthritis</w:t>
      </w:r>
      <w:proofErr w:type="spellEnd"/>
      <w:r w:rsidRPr="000D2ABE">
        <w:t xml:space="preserve">, inflammatory eye disease, inflammatory bowel disease, an association with prior or ongoing infection, </w:t>
      </w:r>
      <w:proofErr w:type="spellStart"/>
      <w:r w:rsidRPr="000D2ABE">
        <w:t>mucocutaneous</w:t>
      </w:r>
      <w:proofErr w:type="spellEnd"/>
      <w:r w:rsidRPr="000D2ABE">
        <w:t xml:space="preserve"> lesions typically affecting the genital regions, and, importantly, the human leukocyte antigen HLA-B27.</w:t>
      </w:r>
    </w:p>
    <w:p w:rsidR="000D2ABE" w:rsidRPr="000D2ABE" w:rsidRDefault="000D2ABE" w:rsidP="000D2ABE">
      <w:r w:rsidRPr="000D2ABE">
        <w:t xml:space="preserve">Subsets of </w:t>
      </w:r>
      <w:proofErr w:type="spellStart"/>
      <w:r w:rsidRPr="000D2ABE">
        <w:t>SpA</w:t>
      </w:r>
      <w:proofErr w:type="spellEnd"/>
      <w:r w:rsidRPr="000D2ABE">
        <w:t xml:space="preserve"> include ankylosing spondylitis; undifferentiated </w:t>
      </w:r>
      <w:proofErr w:type="spellStart"/>
      <w:r w:rsidRPr="000D2ABE">
        <w:t>spondyloarthritis</w:t>
      </w:r>
      <w:proofErr w:type="spellEnd"/>
      <w:r w:rsidRPr="000D2ABE">
        <w:t xml:space="preserve"> (</w:t>
      </w:r>
      <w:proofErr w:type="spellStart"/>
      <w:r w:rsidRPr="000D2ABE">
        <w:t>USpA</w:t>
      </w:r>
      <w:proofErr w:type="spellEnd"/>
      <w:r w:rsidRPr="000D2ABE">
        <w:t xml:space="preserve">), which includes non-radiographic axial </w:t>
      </w:r>
      <w:proofErr w:type="spellStart"/>
      <w:r w:rsidRPr="000D2ABE">
        <w:t>SpA</w:t>
      </w:r>
      <w:proofErr w:type="spellEnd"/>
      <w:r w:rsidRPr="000D2ABE">
        <w:t xml:space="preserve"> (nr-</w:t>
      </w:r>
      <w:proofErr w:type="spellStart"/>
      <w:r w:rsidRPr="000D2ABE">
        <w:t>axSpA</w:t>
      </w:r>
      <w:proofErr w:type="spellEnd"/>
      <w:r w:rsidRPr="000D2ABE">
        <w:t xml:space="preserve">); reactive arthritis (formerly called Reiter syndrome); psoriatic arthritis; inflammatory bowel related disease; and </w:t>
      </w:r>
      <w:proofErr w:type="spellStart"/>
      <w:r w:rsidRPr="000D2ABE">
        <w:t>SpA</w:t>
      </w:r>
      <w:proofErr w:type="spellEnd"/>
      <w:r w:rsidRPr="000D2ABE">
        <w:t xml:space="preserve"> in children.</w:t>
      </w:r>
    </w:p>
    <w:p w:rsidR="000D2ABE" w:rsidRPr="000D2ABE" w:rsidRDefault="000D2ABE" w:rsidP="000D2ABE">
      <w:r w:rsidRPr="000D2ABE">
        <w:t xml:space="preserve">An alternate scheme classifies </w:t>
      </w:r>
      <w:proofErr w:type="spellStart"/>
      <w:r w:rsidRPr="000D2ABE">
        <w:t>SpA</w:t>
      </w:r>
      <w:proofErr w:type="spellEnd"/>
      <w:r w:rsidRPr="000D2ABE">
        <w:t xml:space="preserve"> according to whether the joint involvement is predominantly axial or peripheral: axial </w:t>
      </w:r>
      <w:proofErr w:type="spellStart"/>
      <w:r w:rsidRPr="000D2ABE">
        <w:t>SpA</w:t>
      </w:r>
      <w:proofErr w:type="spellEnd"/>
      <w:r w:rsidRPr="000D2ABE">
        <w:t xml:space="preserve"> which is </w:t>
      </w:r>
      <w:proofErr w:type="spellStart"/>
      <w:r w:rsidRPr="000D2ABE">
        <w:t>SpA</w:t>
      </w:r>
      <w:proofErr w:type="spellEnd"/>
      <w:r w:rsidRPr="000D2ABE">
        <w:t xml:space="preserve"> with predominantly axial involvement; and peripheral </w:t>
      </w:r>
      <w:proofErr w:type="spellStart"/>
      <w:r w:rsidRPr="000D2ABE">
        <w:t>SpA</w:t>
      </w:r>
      <w:proofErr w:type="spellEnd"/>
      <w:r w:rsidRPr="000D2ABE">
        <w:t xml:space="preserve"> where the </w:t>
      </w:r>
      <w:proofErr w:type="spellStart"/>
      <w:r w:rsidRPr="000D2ABE">
        <w:t>SpA</w:t>
      </w:r>
      <w:proofErr w:type="spellEnd"/>
      <w:r w:rsidRPr="000D2ABE">
        <w:t xml:space="preserve"> has predominantly peripheral involvement. Axial </w:t>
      </w:r>
      <w:proofErr w:type="spellStart"/>
      <w:r w:rsidRPr="000D2ABE">
        <w:t>SpA</w:t>
      </w:r>
      <w:proofErr w:type="spellEnd"/>
      <w:r w:rsidRPr="000D2ABE">
        <w:t xml:space="preserve"> patients who do not show defined radiographic changes of </w:t>
      </w:r>
      <w:proofErr w:type="spellStart"/>
      <w:r w:rsidRPr="000D2ABE">
        <w:t>sacroiliitis</w:t>
      </w:r>
      <w:proofErr w:type="spellEnd"/>
      <w:r w:rsidRPr="000D2ABE">
        <w:t xml:space="preserve"> are classified as having non-radiographic axial </w:t>
      </w:r>
      <w:proofErr w:type="spellStart"/>
      <w:r w:rsidRPr="000D2ABE">
        <w:t>SpA</w:t>
      </w:r>
      <w:proofErr w:type="spellEnd"/>
      <w:r w:rsidRPr="000D2ABE">
        <w:t xml:space="preserve"> (nr-</w:t>
      </w:r>
      <w:proofErr w:type="spellStart"/>
      <w:r w:rsidRPr="000D2ABE">
        <w:t>axSpA</w:t>
      </w:r>
      <w:proofErr w:type="spellEnd"/>
      <w:r w:rsidRPr="000D2ABE">
        <w:t>). Patients with nr-</w:t>
      </w:r>
      <w:proofErr w:type="spellStart"/>
      <w:r w:rsidRPr="000D2ABE">
        <w:t>axSpA</w:t>
      </w:r>
      <w:proofErr w:type="spellEnd"/>
      <w:r w:rsidRPr="000D2ABE">
        <w:t xml:space="preserve"> were formerly classified among patients who have undifferentiated </w:t>
      </w:r>
      <w:proofErr w:type="spellStart"/>
      <w:r w:rsidRPr="000D2ABE">
        <w:t>SpA</w:t>
      </w:r>
      <w:proofErr w:type="spellEnd"/>
      <w:r w:rsidRPr="000D2ABE">
        <w:t xml:space="preserve"> (</w:t>
      </w:r>
      <w:proofErr w:type="spellStart"/>
      <w:r w:rsidRPr="000D2ABE">
        <w:t>USpA</w:t>
      </w:r>
      <w:proofErr w:type="spellEnd"/>
      <w:r w:rsidRPr="000D2ABE">
        <w:t>).</w:t>
      </w:r>
    </w:p>
    <w:p w:rsidR="000D2ABE" w:rsidRPr="000D2ABE" w:rsidRDefault="000D2ABE" w:rsidP="000D2ABE">
      <w:r w:rsidRPr="000D2ABE">
        <w:t xml:space="preserve">The clinical manifestations of </w:t>
      </w:r>
      <w:proofErr w:type="spellStart"/>
      <w:r w:rsidRPr="000D2ABE">
        <w:t>SpA</w:t>
      </w:r>
      <w:proofErr w:type="spellEnd"/>
      <w:r w:rsidRPr="000D2ABE">
        <w:t xml:space="preserve"> include: musculoskeletal findings; eye involvement; skin, genital and mucosal lesions; and bowel mucosal inflammation. A family history of </w:t>
      </w:r>
      <w:proofErr w:type="spellStart"/>
      <w:r w:rsidRPr="000D2ABE">
        <w:t>SpA</w:t>
      </w:r>
      <w:proofErr w:type="spellEnd"/>
      <w:r w:rsidRPr="000D2ABE">
        <w:t xml:space="preserve"> and related conditions may also be present. A good response to NSAIDs is common and is supportive of the diagnosis.</w:t>
      </w:r>
    </w:p>
    <w:p w:rsidR="000D2ABE" w:rsidRPr="000D2ABE" w:rsidRDefault="000D2ABE" w:rsidP="000D2ABE">
      <w:r w:rsidRPr="000D2ABE">
        <w:t xml:space="preserve">Acute phase reactants may be increased. Plain radiographs are used to assess </w:t>
      </w:r>
      <w:proofErr w:type="spellStart"/>
      <w:r w:rsidRPr="000D2ABE">
        <w:t>sacroiliitis</w:t>
      </w:r>
      <w:proofErr w:type="spellEnd"/>
      <w:r w:rsidRPr="000D2ABE">
        <w:t xml:space="preserve"> but patients with axial involvement may have normal radiographs in early disease. Plain radiographs of the sacroiliac joints are normal in patients with </w:t>
      </w:r>
      <w:proofErr w:type="spellStart"/>
      <w:r w:rsidRPr="000D2ABE">
        <w:t>UspA</w:t>
      </w:r>
      <w:proofErr w:type="spellEnd"/>
      <w:r w:rsidRPr="000D2ABE">
        <w:t xml:space="preserve"> and nr-</w:t>
      </w:r>
      <w:proofErr w:type="spellStart"/>
      <w:r w:rsidRPr="000D2ABE">
        <w:t>axSpA</w:t>
      </w:r>
      <w:proofErr w:type="spellEnd"/>
      <w:r w:rsidRPr="000D2ABE">
        <w:t xml:space="preserve">, in contrast to ankylosing spondylitis (AS) patients, whose sacroiliac joints would invariably show sclerosis, joint space widening, or erosion. Magnetic resonance imaging of the sacroiliac joint is indicated in patients with clinically-suspected axial </w:t>
      </w:r>
      <w:proofErr w:type="spellStart"/>
      <w:r w:rsidRPr="000D2ABE">
        <w:t>SpA</w:t>
      </w:r>
      <w:proofErr w:type="spellEnd"/>
      <w:r w:rsidRPr="000D2ABE">
        <w:t xml:space="preserve"> who have negative or indeterminate plain radiographic findings at the sacroiliac joints.</w:t>
      </w:r>
    </w:p>
    <w:p w:rsidR="000D2ABE" w:rsidRPr="000D2ABE" w:rsidRDefault="000D2ABE" w:rsidP="000D2ABE">
      <w:r w:rsidRPr="000D2ABE">
        <w:lastRenderedPageBreak/>
        <w:t xml:space="preserve">The Assessment of </w:t>
      </w:r>
      <w:proofErr w:type="spellStart"/>
      <w:r w:rsidRPr="000D2ABE">
        <w:t>Spondyloarthritis</w:t>
      </w:r>
      <w:proofErr w:type="spellEnd"/>
      <w:r w:rsidRPr="000D2ABE">
        <w:t xml:space="preserve"> International Society (ASAS) criteria for the classification of </w:t>
      </w:r>
      <w:proofErr w:type="spellStart"/>
      <w:r w:rsidRPr="000D2ABE">
        <w:t>AxSpA</w:t>
      </w:r>
      <w:proofErr w:type="spellEnd"/>
      <w:r w:rsidRPr="000D2ABE">
        <w:t xml:space="preserve"> require patients to have back pain for at least three months and age of onset less than 45 years with </w:t>
      </w:r>
      <w:proofErr w:type="spellStart"/>
      <w:r w:rsidRPr="000D2ABE">
        <w:t>sacroiliitis</w:t>
      </w:r>
      <w:proofErr w:type="spellEnd"/>
      <w:r w:rsidRPr="000D2ABE">
        <w:t xml:space="preserve"> on imaging (MRI or X-ray) along with at least one </w:t>
      </w:r>
      <w:proofErr w:type="spellStart"/>
      <w:r w:rsidRPr="000D2ABE">
        <w:t>SpA</w:t>
      </w:r>
      <w:proofErr w:type="spellEnd"/>
      <w:r w:rsidRPr="000D2ABE">
        <w:t xml:space="preserve"> feature or be HLA-B27 positive and have at least two other </w:t>
      </w:r>
      <w:proofErr w:type="spellStart"/>
      <w:r w:rsidRPr="000D2ABE">
        <w:t>SpA</w:t>
      </w:r>
      <w:proofErr w:type="spellEnd"/>
      <w:r w:rsidRPr="000D2ABE">
        <w:t xml:space="preserve"> features. </w:t>
      </w:r>
      <w:proofErr w:type="spellStart"/>
      <w:r w:rsidRPr="000D2ABE">
        <w:t>SpA</w:t>
      </w:r>
      <w:proofErr w:type="spellEnd"/>
      <w:r w:rsidRPr="000D2ABE">
        <w:t xml:space="preserve"> features include inflammatory back pain, arthritis, </w:t>
      </w:r>
      <w:proofErr w:type="spellStart"/>
      <w:r w:rsidRPr="000D2ABE">
        <w:t>enthesitis</w:t>
      </w:r>
      <w:proofErr w:type="spellEnd"/>
      <w:r w:rsidRPr="000D2ABE">
        <w:t xml:space="preserve">, uveitis, </w:t>
      </w:r>
      <w:proofErr w:type="spellStart"/>
      <w:r w:rsidRPr="000D2ABE">
        <w:t>dactylitis</w:t>
      </w:r>
      <w:proofErr w:type="spellEnd"/>
      <w:r w:rsidRPr="000D2ABE">
        <w:t xml:space="preserve">, psoriasis, Crohn’s disease or ulcerative colitis, good response to NSAIDs, family history of </w:t>
      </w:r>
      <w:proofErr w:type="spellStart"/>
      <w:r w:rsidRPr="000D2ABE">
        <w:t>SpA</w:t>
      </w:r>
      <w:proofErr w:type="spellEnd"/>
      <w:r w:rsidRPr="000D2ABE">
        <w:t>, and elevated C-reactive protein (CRP</w:t>
      </w:r>
      <w:r w:rsidRPr="00441F83">
        <w:t xml:space="preserve">) (Figure </w:t>
      </w:r>
      <w:r w:rsidR="00441F83" w:rsidRPr="00441F83">
        <w:t>2</w:t>
      </w:r>
      <w:r w:rsidRPr="00441F83">
        <w:t>). The sensitivity and specificity of these criteria were 83% and 84%, respectively in study of</w:t>
      </w:r>
      <w:r w:rsidRPr="000D2ABE">
        <w:t xml:space="preserve"> 649 patients (</w:t>
      </w:r>
      <w:proofErr w:type="spellStart"/>
      <w:r w:rsidRPr="000D2ABE">
        <w:t>Rudwaleit</w:t>
      </w:r>
      <w:proofErr w:type="spellEnd"/>
      <w:r w:rsidRPr="000D2ABE">
        <w:t xml:space="preserve"> M 2009). With these criteria ‘</w:t>
      </w:r>
      <w:proofErr w:type="spellStart"/>
      <w:r w:rsidRPr="000D2ABE">
        <w:t>sacroiliitis</w:t>
      </w:r>
      <w:proofErr w:type="spellEnd"/>
      <w:r w:rsidRPr="000D2ABE">
        <w:t xml:space="preserve"> on imaging’ is defined as active (acute) inflammation on magnetic resonance imaging that is highly suggestive of </w:t>
      </w:r>
      <w:proofErr w:type="spellStart"/>
      <w:r w:rsidRPr="000D2ABE">
        <w:t>sacroiliitis</w:t>
      </w:r>
      <w:proofErr w:type="spellEnd"/>
      <w:r w:rsidRPr="000D2ABE">
        <w:t xml:space="preserve"> associated with </w:t>
      </w:r>
      <w:proofErr w:type="spellStart"/>
      <w:r w:rsidRPr="000D2ABE">
        <w:t>SpA</w:t>
      </w:r>
      <w:proofErr w:type="spellEnd"/>
      <w:r w:rsidRPr="000D2ABE">
        <w:t xml:space="preserve"> or as definite radiographic </w:t>
      </w:r>
      <w:proofErr w:type="spellStart"/>
      <w:r w:rsidRPr="000D2ABE">
        <w:t>sacroiliitis</w:t>
      </w:r>
      <w:proofErr w:type="spellEnd"/>
      <w:r w:rsidRPr="000D2ABE">
        <w:t xml:space="preserve"> according to the modified New York Criteria. While it can be deduced that non-radiographic </w:t>
      </w:r>
      <w:proofErr w:type="spellStart"/>
      <w:r w:rsidRPr="000D2ABE">
        <w:t>axSpA</w:t>
      </w:r>
      <w:proofErr w:type="spellEnd"/>
      <w:r w:rsidRPr="000D2ABE">
        <w:t xml:space="preserve"> is a diagnosis of exclusion (</w:t>
      </w:r>
      <w:proofErr w:type="spellStart"/>
      <w:r w:rsidRPr="000D2ABE">
        <w:t>axSpA</w:t>
      </w:r>
      <w:proofErr w:type="spellEnd"/>
      <w:r w:rsidRPr="000D2ABE">
        <w:t xml:space="preserve"> patients who do not have ankylosing spondylitis on X-ray according to the modified NY criteria) it is not clear to the evaluator if this is a widely and consistently utilised classification and the ASAS Handbook (</w:t>
      </w:r>
      <w:proofErr w:type="spellStart"/>
      <w:r w:rsidRPr="000D2ABE">
        <w:t>Sieper</w:t>
      </w:r>
      <w:proofErr w:type="spellEnd"/>
      <w:r w:rsidRPr="000D2ABE">
        <w:t xml:space="preserve"> J et al 2009) does not clearly set out a specific definition for the non-radiographic subgroup of axial </w:t>
      </w:r>
      <w:proofErr w:type="spellStart"/>
      <w:r w:rsidRPr="000D2ABE">
        <w:t>spondyloarthritis</w:t>
      </w:r>
      <w:proofErr w:type="spellEnd"/>
      <w:r w:rsidRPr="000D2ABE">
        <w:t>.</w:t>
      </w:r>
    </w:p>
    <w:p w:rsidR="000D2ABE" w:rsidRPr="000D2ABE" w:rsidRDefault="000D2ABE" w:rsidP="000D2ABE">
      <w:r w:rsidRPr="000D2ABE">
        <w:t>The management of nr-</w:t>
      </w:r>
      <w:proofErr w:type="spellStart"/>
      <w:r w:rsidRPr="000D2ABE">
        <w:t>axSpA</w:t>
      </w:r>
      <w:proofErr w:type="spellEnd"/>
      <w:r w:rsidRPr="000D2ABE">
        <w:t xml:space="preserve"> is similar to the management of patients with ankylosing spondylitis. Initial therapy is with NSAIDs. Secondary options include local glucocorticoid injections and DMARDs, although the latter have not been shown to be effective for patients with only pure axial disease. For those with inadequate response to NSAIDs and continuing pain and evidence of inflammation (</w:t>
      </w:r>
      <w:r w:rsidR="00F422D9">
        <w:t>for example,</w:t>
      </w:r>
      <w:r w:rsidRPr="000D2ABE">
        <w:t xml:space="preserve"> elevated CRP or inflammation on MRI) TNF inhibitors have been suggested. </w:t>
      </w:r>
      <w:proofErr w:type="spellStart"/>
      <w:r w:rsidRPr="000D2ABE">
        <w:t>Adalimumab</w:t>
      </w:r>
      <w:proofErr w:type="spellEnd"/>
      <w:r w:rsidRPr="000D2ABE">
        <w:t xml:space="preserve"> has been approved in the EU for severe axial </w:t>
      </w:r>
      <w:proofErr w:type="spellStart"/>
      <w:r w:rsidRPr="000D2ABE">
        <w:t>SpA</w:t>
      </w:r>
      <w:proofErr w:type="spellEnd"/>
      <w:r w:rsidRPr="000D2ABE">
        <w:t xml:space="preserve"> in patient without radiographic evidence of AS but with objective signs of inflammation by elevated CRP and/or MRI and who have inadequate response to or are intolerant of NSAIDs. The evaluator has noted that the application in Australia for this usage of </w:t>
      </w:r>
      <w:proofErr w:type="spellStart"/>
      <w:r w:rsidRPr="000D2ABE">
        <w:t>adalimumab</w:t>
      </w:r>
      <w:proofErr w:type="spellEnd"/>
      <w:r w:rsidRPr="000D2ABE">
        <w:t xml:space="preserve"> was withdrawn in 2013.</w:t>
      </w:r>
    </w:p>
    <w:p w:rsidR="000D2ABE" w:rsidRPr="000D2ABE" w:rsidRDefault="000D2ABE" w:rsidP="000D2ABE">
      <w:r w:rsidRPr="000D2ABE">
        <w:t xml:space="preserve">The design of the submitted study was in accordance with European guidelines and the endpoints are validated and have been accepted by the European regulators (ASAS 40 response being the primary endpoint for the submission for </w:t>
      </w:r>
      <w:proofErr w:type="spellStart"/>
      <w:r w:rsidRPr="000D2ABE">
        <w:t>adalimumab</w:t>
      </w:r>
      <w:proofErr w:type="spellEnd"/>
      <w:r w:rsidRPr="000D2ABE">
        <w:t>). The use of centralised, blinded radiologists was important for ensuring reliable radiological assessments. It is noted that there has been discussion on whether the selected population of nr-</w:t>
      </w:r>
      <w:proofErr w:type="spellStart"/>
      <w:r w:rsidRPr="000D2ABE">
        <w:t>AxSpA</w:t>
      </w:r>
      <w:proofErr w:type="spellEnd"/>
      <w:r w:rsidRPr="000D2ABE">
        <w:t xml:space="preserve"> is a separately identified disease with established diagnostic criteria. In the submitted clinical trial there were 10/225 (4.4%) of subjects who were randomised yet did not meet the ASAS criteria. Thus, even with specific training, specialist physicians may not accurately apply the ASAS criteria. While it appears that this classification system is being accepted by rheumatologists</w:t>
      </w:r>
      <w:r w:rsidR="002979BE">
        <w:t>,</w:t>
      </w:r>
      <w:r w:rsidRPr="000D2ABE">
        <w:t xml:space="preserve"> a question has been raised for </w:t>
      </w:r>
      <w:r w:rsidR="006A7E9B">
        <w:t xml:space="preserve">the sponsor </w:t>
      </w:r>
      <w:r w:rsidRPr="000D2ABE">
        <w:t>to address this issue and the diagnosis of nr-</w:t>
      </w:r>
      <w:proofErr w:type="spellStart"/>
      <w:r w:rsidRPr="000D2ABE">
        <w:t>AxSpA</w:t>
      </w:r>
      <w:proofErr w:type="spellEnd"/>
      <w:r w:rsidRPr="000D2ABE">
        <w:t xml:space="preserve"> within the Australian clinical practice context.</w:t>
      </w:r>
    </w:p>
    <w:p w:rsidR="000D2ABE" w:rsidRPr="000D2ABE" w:rsidRDefault="000D2ABE" w:rsidP="000D2ABE">
      <w:r w:rsidRPr="000D2ABE">
        <w:t xml:space="preserve">The efficacy of </w:t>
      </w:r>
      <w:proofErr w:type="spellStart"/>
      <w:r w:rsidRPr="000D2ABE">
        <w:t>etanercept</w:t>
      </w:r>
      <w:proofErr w:type="spellEnd"/>
      <w:r w:rsidRPr="000D2ABE">
        <w:t xml:space="preserve"> was demonstrated in one clinical trial with statistically significant results to 12 weeks, maintenance of effect to 24 weeks and support from secondary endpoints. There were however several issues with the efficacy of </w:t>
      </w:r>
      <w:proofErr w:type="spellStart"/>
      <w:r w:rsidRPr="000D2ABE">
        <w:t>etanercept</w:t>
      </w:r>
      <w:proofErr w:type="spellEnd"/>
      <w:r w:rsidRPr="000D2ABE">
        <w:t xml:space="preserve"> in the proposed population. For a chronic condition, the data to 24 weeks are felt to be insufficient for establishing long term efficacy. Secondly, the evaluator believes the degree of response in the total population (16% placebo-corrected difference on the ASAS 40) may be of limited clinical benefit particularly given the treatment risks. Post-hoc analyses pointed towards increase benefit in those with higher CRP (placebo-corrected difference for those with </w:t>
      </w:r>
      <w:proofErr w:type="spellStart"/>
      <w:r w:rsidRPr="000D2ABE">
        <w:t>hsCRP</w:t>
      </w:r>
      <w:proofErr w:type="spellEnd"/>
      <w:r w:rsidRPr="000D2ABE">
        <w:t xml:space="preserve"> </w:t>
      </w:r>
      <w:r w:rsidR="00F422D9">
        <w:t>≥</w:t>
      </w:r>
      <w:r>
        <w:t xml:space="preserve"> </w:t>
      </w:r>
      <w:r w:rsidRPr="000D2ABE">
        <w:t xml:space="preserve">3 mg/L was 27%) and more SI joint inflammation on MRI (SPARCC score of at least 2). It would therefore appear that the use in such subgroups would have an improved benefit-risk balance and a question on this has been raised. Thirdly, efficacy was only assessed in adults </w:t>
      </w:r>
      <w:proofErr w:type="gramStart"/>
      <w:r w:rsidRPr="000D2ABE">
        <w:t>under</w:t>
      </w:r>
      <w:proofErr w:type="gramEnd"/>
      <w:r w:rsidRPr="000D2ABE">
        <w:t xml:space="preserve"> 50 years of age and therefore an indication for all adults is not appropriate. Lastly, the efficacy data presented are only for signs and symptoms of disease and there were no data presented on the effect of </w:t>
      </w:r>
      <w:proofErr w:type="spellStart"/>
      <w:r w:rsidRPr="000D2ABE">
        <w:t>etanercept</w:t>
      </w:r>
      <w:proofErr w:type="spellEnd"/>
      <w:r w:rsidRPr="000D2ABE">
        <w:t xml:space="preserve"> on disease progression or structural damage.</w:t>
      </w:r>
    </w:p>
    <w:p w:rsidR="000D2ABE" w:rsidRPr="000D2ABE" w:rsidRDefault="000D2ABE" w:rsidP="000D2ABE">
      <w:r w:rsidRPr="000D2ABE">
        <w:lastRenderedPageBreak/>
        <w:t xml:space="preserve">The safety data presented were consistent with other approved populations and there were no new safety signals. The safety database was, however, of limited size with </w:t>
      </w:r>
      <w:proofErr w:type="gramStart"/>
      <w:r w:rsidRPr="000D2ABE">
        <w:t>a maxim</w:t>
      </w:r>
      <w:r w:rsidR="00643F33">
        <w:t>um</w:t>
      </w:r>
      <w:proofErr w:type="gramEnd"/>
      <w:r w:rsidRPr="000D2ABE">
        <w:t xml:space="preserve"> exposure duration of 24 weeks. Therefore data to at least 1 year should be presented. For undertaking the benefit-risk assessment the evaluator believes that the risks of </w:t>
      </w:r>
      <w:proofErr w:type="spellStart"/>
      <w:r w:rsidRPr="000D2ABE">
        <w:t>etanercept</w:t>
      </w:r>
      <w:proofErr w:type="spellEnd"/>
      <w:r w:rsidRPr="000D2ABE">
        <w:t xml:space="preserve"> in the nr-</w:t>
      </w:r>
      <w:proofErr w:type="spellStart"/>
      <w:r w:rsidRPr="000D2ABE">
        <w:t>AxSpA</w:t>
      </w:r>
      <w:proofErr w:type="spellEnd"/>
      <w:r w:rsidRPr="000D2ABE">
        <w:t xml:space="preserve"> population would be of a similar significant nature to that already established in other adult populations such as those with AS</w:t>
      </w:r>
      <w:r>
        <w:t>.</w:t>
      </w:r>
    </w:p>
    <w:p w:rsidR="000D2ABE" w:rsidRPr="000D2ABE" w:rsidRDefault="000D2ABE" w:rsidP="000D2ABE">
      <w:r w:rsidRPr="000D2ABE">
        <w:t xml:space="preserve">Given the issues discussed above, the evaluator believes the benefits in the proposed broad indication are insufficient to outweigh the significant treatment risks that are already established for </w:t>
      </w:r>
      <w:proofErr w:type="spellStart"/>
      <w:r w:rsidRPr="000D2ABE">
        <w:t>etanercept</w:t>
      </w:r>
      <w:proofErr w:type="spellEnd"/>
      <w:r w:rsidRPr="000D2ABE">
        <w:t>. It is recommended that, due to the lack of data on disease progression, the indication should be limited to treatment of signs and symptoms which would be in line with the wording used for AS. Patients included in the study had active disease with a BASDAI ≥4 and a mean of 6.0 and therefore treatment should be limited to patients with this high level of disease severity. The clinical benefit of treatment in the broad population was marginal therefore tailoring treatment to higher responding subgroups would appear logical.</w:t>
      </w:r>
    </w:p>
    <w:p w:rsidR="000D2ABE" w:rsidRPr="000D2ABE" w:rsidRDefault="000D2ABE" w:rsidP="000D2ABE">
      <w:r w:rsidRPr="000D2ABE">
        <w:t xml:space="preserve">In summary, the evaluator believes that the efficacy in the broad proposed population, whilst statistically significant, is of marginal clinical benefit and would be outweighed by the significant and serious risks of the treatment. Overall, the benefit-risk balance of </w:t>
      </w:r>
      <w:r w:rsidR="006A7E9B">
        <w:t>Enbrel</w:t>
      </w:r>
      <w:r w:rsidRPr="000D2ABE">
        <w:t>, given the proposed usage,</w:t>
      </w:r>
      <w:r>
        <w:t xml:space="preserve"> is unfavourable.</w:t>
      </w:r>
    </w:p>
    <w:p w:rsidR="00C22678" w:rsidRDefault="00C22678" w:rsidP="00C22678">
      <w:pPr>
        <w:pStyle w:val="Heading2"/>
      </w:pPr>
      <w:bookmarkStart w:id="277" w:name="_Toc433315341"/>
      <w:r w:rsidRPr="000D2ABE">
        <w:t>First round recommendation regarding authorisation</w:t>
      </w:r>
      <w:bookmarkEnd w:id="277"/>
    </w:p>
    <w:p w:rsidR="000D2ABE" w:rsidRPr="000D2ABE" w:rsidRDefault="000D2ABE" w:rsidP="000D2ABE">
      <w:r w:rsidRPr="000D2ABE">
        <w:t xml:space="preserve">The evaluator does not recommend that </w:t>
      </w:r>
      <w:proofErr w:type="spellStart"/>
      <w:r w:rsidRPr="000D2ABE">
        <w:t>etanercept</w:t>
      </w:r>
      <w:proofErr w:type="spellEnd"/>
      <w:r w:rsidRPr="000D2ABE">
        <w:t xml:space="preserve"> be authorised for the indication of:</w:t>
      </w:r>
    </w:p>
    <w:p w:rsidR="000D2ABE" w:rsidRPr="00643F33" w:rsidRDefault="000D2ABE" w:rsidP="00643F33">
      <w:pPr>
        <w:ind w:left="720"/>
        <w:rPr>
          <w:i/>
        </w:rPr>
      </w:pPr>
      <w:r w:rsidRPr="00643F33">
        <w:rPr>
          <w:i/>
        </w:rPr>
        <w:t xml:space="preserve">Axial </w:t>
      </w:r>
      <w:proofErr w:type="spellStart"/>
      <w:r w:rsidRPr="00643F33">
        <w:rPr>
          <w:i/>
        </w:rPr>
        <w:t>spondyloarthritis</w:t>
      </w:r>
      <w:proofErr w:type="spellEnd"/>
    </w:p>
    <w:p w:rsidR="000D2ABE" w:rsidRPr="00643F33" w:rsidRDefault="000D2ABE" w:rsidP="00643F33">
      <w:pPr>
        <w:ind w:left="720"/>
        <w:rPr>
          <w:i/>
        </w:rPr>
      </w:pPr>
      <w:proofErr w:type="gramStart"/>
      <w:r w:rsidRPr="00643F33">
        <w:rPr>
          <w:i/>
        </w:rPr>
        <w:t xml:space="preserve">Treatment of adults with active non-radiographic axial </w:t>
      </w:r>
      <w:proofErr w:type="spellStart"/>
      <w:r w:rsidRPr="00643F33">
        <w:rPr>
          <w:i/>
        </w:rPr>
        <w:t>spondyloarthritis</w:t>
      </w:r>
      <w:proofErr w:type="spellEnd"/>
      <w:r w:rsidRPr="00643F33">
        <w:rPr>
          <w:i/>
        </w:rPr>
        <w:t xml:space="preserve"> who have had an inadequate response to conventional therapy (see CLINICAL TRIALS).</w:t>
      </w:r>
      <w:proofErr w:type="gramEnd"/>
    </w:p>
    <w:p w:rsidR="000D2ABE" w:rsidRPr="000D2ABE" w:rsidRDefault="000D2ABE" w:rsidP="000D2ABE">
      <w:r w:rsidRPr="000D2ABE">
        <w:t>The reasons for this are:</w:t>
      </w:r>
    </w:p>
    <w:p w:rsidR="000D2ABE" w:rsidRPr="007A3335" w:rsidRDefault="000D2ABE" w:rsidP="000D2ABE">
      <w:pPr>
        <w:pStyle w:val="ListBullet"/>
      </w:pPr>
      <w:r w:rsidRPr="007A3335">
        <w:t>Efficacy was only seen on symptoms and signs of disease and not disease progression.</w:t>
      </w:r>
    </w:p>
    <w:p w:rsidR="000D2ABE" w:rsidRPr="007A3335" w:rsidRDefault="000D2ABE" w:rsidP="000D2ABE">
      <w:pPr>
        <w:pStyle w:val="ListBullet"/>
      </w:pPr>
      <w:r w:rsidRPr="007A3335">
        <w:t xml:space="preserve">The proposed indication covers all adults when data are only available for adults </w:t>
      </w:r>
      <w:proofErr w:type="gramStart"/>
      <w:r w:rsidRPr="007A3335">
        <w:t>under</w:t>
      </w:r>
      <w:proofErr w:type="gramEnd"/>
      <w:r w:rsidRPr="007A3335">
        <w:t xml:space="preserve"> 50 years of age.</w:t>
      </w:r>
    </w:p>
    <w:p w:rsidR="000D2ABE" w:rsidRPr="007A3335" w:rsidRDefault="000D2ABE" w:rsidP="000D2ABE">
      <w:pPr>
        <w:pStyle w:val="ListBullet"/>
      </w:pPr>
      <w:r w:rsidRPr="007A3335">
        <w:t>The indication is too broad for a positive benefit-risk balance to be achieved. Consideration should be given to limiting treatment to populations in which a higher treatment response was found.</w:t>
      </w:r>
    </w:p>
    <w:p w:rsidR="000D2ABE" w:rsidRPr="007A3335" w:rsidRDefault="000D2ABE" w:rsidP="000D2ABE">
      <w:pPr>
        <w:pStyle w:val="ListBullet"/>
      </w:pPr>
      <w:r w:rsidRPr="007A3335">
        <w:t>The lack of efficacy and safety data beyond 24 weeks of treatment duration.</w:t>
      </w:r>
    </w:p>
    <w:p w:rsidR="000D2ABE" w:rsidRPr="007A3335" w:rsidRDefault="000D2ABE" w:rsidP="000D2ABE">
      <w:pPr>
        <w:pStyle w:val="ListBullet"/>
      </w:pPr>
      <w:r w:rsidRPr="007A3335">
        <w:t>The need for further elucidation on how the proposed population would be identified in clinical practice so that inappropriate patients are not exposed to the risks of treatment.</w:t>
      </w:r>
    </w:p>
    <w:p w:rsidR="000D2ABE" w:rsidRPr="007A3335" w:rsidRDefault="000D2ABE" w:rsidP="000D2ABE">
      <w:pPr>
        <w:pStyle w:val="ListBullet"/>
      </w:pPr>
      <w:r w:rsidRPr="007A3335">
        <w:t>Revisions are required on the product information.</w:t>
      </w:r>
    </w:p>
    <w:p w:rsidR="00C22678" w:rsidRPr="000D2ABE" w:rsidRDefault="00C22678" w:rsidP="00C22678">
      <w:pPr>
        <w:pStyle w:val="Heading2"/>
      </w:pPr>
      <w:bookmarkStart w:id="278" w:name="_Toc433315342"/>
      <w:r w:rsidRPr="000D2ABE">
        <w:t>Clinical questions</w:t>
      </w:r>
      <w:bookmarkEnd w:id="278"/>
    </w:p>
    <w:p w:rsidR="00C22678" w:rsidRDefault="00C618F7" w:rsidP="00C618F7">
      <w:pPr>
        <w:pStyle w:val="Heading3"/>
      </w:pPr>
      <w:bookmarkStart w:id="279" w:name="_Toc433315343"/>
      <w:r>
        <w:t>Pharmacokinetics</w:t>
      </w:r>
      <w:bookmarkEnd w:id="279"/>
    </w:p>
    <w:p w:rsidR="00BC1DBB" w:rsidRPr="007A3335" w:rsidRDefault="00BC1DBB" w:rsidP="0065484A">
      <w:pPr>
        <w:pStyle w:val="Numberbullet0"/>
        <w:numPr>
          <w:ilvl w:val="0"/>
          <w:numId w:val="7"/>
        </w:numPr>
      </w:pPr>
      <w:r w:rsidRPr="007A3335">
        <w:t xml:space="preserve">Can </w:t>
      </w:r>
      <w:r w:rsidR="006A7E9B">
        <w:t xml:space="preserve">the sponsor </w:t>
      </w:r>
      <w:r w:rsidRPr="007A3335">
        <w:t xml:space="preserve">confirm that the formulation of </w:t>
      </w:r>
      <w:proofErr w:type="spellStart"/>
      <w:r w:rsidRPr="007A3335">
        <w:t>etanercept</w:t>
      </w:r>
      <w:proofErr w:type="spellEnd"/>
      <w:r w:rsidRPr="007A3335">
        <w:t xml:space="preserve"> registered in Australia is the same as that used in </w:t>
      </w:r>
      <w:r w:rsidR="006A7E9B">
        <w:t xml:space="preserve">Study </w:t>
      </w:r>
      <w:r w:rsidR="006A7E9B" w:rsidRPr="0065484A">
        <w:t>B180</w:t>
      </w:r>
      <w:r w:rsidRPr="0065484A">
        <w:t>1031</w:t>
      </w:r>
      <w:r w:rsidRPr="007A3335">
        <w:t>?</w:t>
      </w:r>
    </w:p>
    <w:p w:rsidR="00C618F7" w:rsidRDefault="00C618F7" w:rsidP="00C618F7">
      <w:pPr>
        <w:pStyle w:val="Heading3"/>
      </w:pPr>
      <w:bookmarkStart w:id="280" w:name="_Toc433315344"/>
      <w:r>
        <w:lastRenderedPageBreak/>
        <w:t>Pharmacodynamics</w:t>
      </w:r>
      <w:bookmarkEnd w:id="280"/>
    </w:p>
    <w:p w:rsidR="00C618F7" w:rsidRPr="00586F98" w:rsidRDefault="00BC1DBB" w:rsidP="00C618F7">
      <w:pPr>
        <w:rPr>
          <w:lang w:eastAsia="ja-JP"/>
        </w:rPr>
      </w:pPr>
      <w:r>
        <w:rPr>
          <w:lang w:eastAsia="ja-JP"/>
        </w:rPr>
        <w:t>None</w:t>
      </w:r>
    </w:p>
    <w:p w:rsidR="00C618F7" w:rsidRDefault="00C618F7" w:rsidP="00C618F7">
      <w:pPr>
        <w:pStyle w:val="Heading3"/>
      </w:pPr>
      <w:bookmarkStart w:id="281" w:name="_Toc433315345"/>
      <w:r>
        <w:t>Efficacy</w:t>
      </w:r>
      <w:bookmarkEnd w:id="281"/>
    </w:p>
    <w:p w:rsidR="00BC1DBB" w:rsidRPr="00BC1DBB" w:rsidRDefault="00BC1DBB" w:rsidP="00BC1DBB">
      <w:pPr>
        <w:pStyle w:val="Numberbullet0"/>
        <w:numPr>
          <w:ilvl w:val="0"/>
          <w:numId w:val="8"/>
        </w:numPr>
      </w:pPr>
      <w:r w:rsidRPr="00BC1DBB">
        <w:t xml:space="preserve">From the inclusion and exclusion criteria for </w:t>
      </w:r>
      <w:r w:rsidR="006A7E9B">
        <w:t>Study B180</w:t>
      </w:r>
      <w:r w:rsidRPr="00BC1DBB">
        <w:t xml:space="preserve">1031 it can be deduced that the criteria for </w:t>
      </w:r>
      <w:r w:rsidR="00C93718">
        <w:t>‘</w:t>
      </w:r>
      <w:r w:rsidRPr="00BC1DBB">
        <w:t>non-radiographic</w:t>
      </w:r>
      <w:r w:rsidR="00C93718">
        <w:t>’</w:t>
      </w:r>
      <w:r w:rsidRPr="00BC1DBB">
        <w:t xml:space="preserve"> </w:t>
      </w:r>
      <w:proofErr w:type="spellStart"/>
      <w:r w:rsidRPr="00BC1DBB">
        <w:t>sacroiliitis</w:t>
      </w:r>
      <w:proofErr w:type="spellEnd"/>
      <w:r w:rsidRPr="00BC1DBB">
        <w:t xml:space="preserve"> would be </w:t>
      </w:r>
      <w:proofErr w:type="spellStart"/>
      <w:r w:rsidRPr="00BC1DBB">
        <w:t>sacroiliitis</w:t>
      </w:r>
      <w:proofErr w:type="spellEnd"/>
      <w:r w:rsidRPr="00BC1DBB">
        <w:t xml:space="preserve"> on screening X-ray of either </w:t>
      </w:r>
      <w:r w:rsidR="00643F33">
        <w:t>G</w:t>
      </w:r>
      <w:r w:rsidRPr="00BC1DBB">
        <w:t xml:space="preserve">rades 0, 1 or 2 unilaterally or </w:t>
      </w:r>
      <w:r w:rsidR="00643F33">
        <w:t>G</w:t>
      </w:r>
      <w:r w:rsidRPr="00BC1DBB">
        <w:t>rades 0 or</w:t>
      </w:r>
      <w:r w:rsidR="00643F33">
        <w:t xml:space="preserve"> </w:t>
      </w:r>
      <w:r w:rsidRPr="00BC1DBB">
        <w:t xml:space="preserve">1 bilaterally. However if historical X-rays were used, the grading requirement was lower at 0-1 unilaterally or </w:t>
      </w:r>
      <w:r w:rsidR="00643F33">
        <w:t>G</w:t>
      </w:r>
      <w:r w:rsidRPr="00BC1DBB">
        <w:t>rade 0 bilaterally. Are these assumptions correct?</w:t>
      </w:r>
    </w:p>
    <w:p w:rsidR="00BC1DBB" w:rsidRPr="00BC1DBB" w:rsidRDefault="00BC1DBB" w:rsidP="00BC1DBB">
      <w:pPr>
        <w:pStyle w:val="Numberbullet0"/>
      </w:pPr>
      <w:r w:rsidRPr="00BC1DBB">
        <w:t xml:space="preserve">In B180131 there were 80-82% of subjects who met the inclusion criteria for ASAS based on imaging rather than clinical criteria. It was stated that this was due to the finding of </w:t>
      </w:r>
      <w:proofErr w:type="spellStart"/>
      <w:r w:rsidRPr="00BC1DBB">
        <w:t>sacroiliitis</w:t>
      </w:r>
      <w:proofErr w:type="spellEnd"/>
      <w:r w:rsidRPr="00BC1DBB">
        <w:t xml:space="preserve"> on MRI. Given that the X-ray findings were as follows for the 225 randomised subjects (Grade 2 unilateral</w:t>
      </w:r>
      <w:r>
        <w:t xml:space="preserve"> </w:t>
      </w:r>
      <w:r w:rsidRPr="00BC1DBB">
        <w:t>=</w:t>
      </w:r>
      <w:r>
        <w:t xml:space="preserve"> </w:t>
      </w:r>
      <w:r w:rsidRPr="00BC1DBB">
        <w:t>80; Grade 1 bilateral</w:t>
      </w:r>
      <w:r>
        <w:t xml:space="preserve"> </w:t>
      </w:r>
      <w:r w:rsidRPr="00BC1DBB">
        <w:t>=</w:t>
      </w:r>
      <w:r>
        <w:t xml:space="preserve"> </w:t>
      </w:r>
      <w:r w:rsidRPr="00BC1DBB">
        <w:t>53; Grade 0 bilateral</w:t>
      </w:r>
      <w:r>
        <w:t xml:space="preserve"> </w:t>
      </w:r>
      <w:r w:rsidRPr="00BC1DBB">
        <w:t>=</w:t>
      </w:r>
      <w:r>
        <w:t xml:space="preserve"> </w:t>
      </w:r>
      <w:r w:rsidRPr="00BC1DBB">
        <w:t>47; Grade 1 unilateral</w:t>
      </w:r>
      <w:r>
        <w:t xml:space="preserve"> </w:t>
      </w:r>
      <w:r w:rsidRPr="00BC1DBB">
        <w:t>=</w:t>
      </w:r>
      <w:r>
        <w:t xml:space="preserve"> </w:t>
      </w:r>
      <w:r w:rsidRPr="00BC1DBB">
        <w:t xml:space="preserve">45), could </w:t>
      </w:r>
      <w:r w:rsidR="006A7E9B">
        <w:t xml:space="preserve">the sponsor </w:t>
      </w:r>
      <w:r w:rsidRPr="00BC1DBB">
        <w:t xml:space="preserve">confirm the criteria used in the trial for </w:t>
      </w:r>
      <w:r w:rsidR="00C93718">
        <w:t>‘</w:t>
      </w:r>
      <w:r w:rsidRPr="00BC1DBB">
        <w:t>non-radiographic</w:t>
      </w:r>
      <w:r w:rsidR="00C93718">
        <w:t>’</w:t>
      </w:r>
      <w:r w:rsidRPr="00BC1DBB">
        <w:t xml:space="preserve"> axial </w:t>
      </w:r>
      <w:proofErr w:type="spellStart"/>
      <w:r w:rsidRPr="00BC1DBB">
        <w:t>SpA</w:t>
      </w:r>
      <w:proofErr w:type="spellEnd"/>
      <w:r w:rsidRPr="00BC1DBB">
        <w:t xml:space="preserve">? Does </w:t>
      </w:r>
      <w:r w:rsidR="006A7E9B">
        <w:t xml:space="preserve">the sponsor </w:t>
      </w:r>
      <w:r w:rsidRPr="00BC1DBB">
        <w:t xml:space="preserve">agree that non-radiographic </w:t>
      </w:r>
      <w:proofErr w:type="spellStart"/>
      <w:r w:rsidRPr="00BC1DBB">
        <w:t>axSpA</w:t>
      </w:r>
      <w:proofErr w:type="spellEnd"/>
      <w:r w:rsidRPr="00BC1DBB">
        <w:t xml:space="preserve"> in the trial could be defined as patients fulfilling the ASAS criteria for </w:t>
      </w:r>
      <w:proofErr w:type="spellStart"/>
      <w:r w:rsidRPr="00BC1DBB">
        <w:t>axSpA</w:t>
      </w:r>
      <w:proofErr w:type="spellEnd"/>
      <w:r w:rsidRPr="00BC1DBB">
        <w:t xml:space="preserve"> but without X-</w:t>
      </w:r>
      <w:r>
        <w:t>ray changes consistent with AS?</w:t>
      </w:r>
    </w:p>
    <w:p w:rsidR="00BC1DBB" w:rsidRPr="00BC1DBB" w:rsidRDefault="00BC1DBB" w:rsidP="00BC1DBB">
      <w:pPr>
        <w:pStyle w:val="Numberbullet0"/>
      </w:pPr>
      <w:r w:rsidRPr="00BC1DBB">
        <w:t xml:space="preserve">Discuss how non-radiographic axial </w:t>
      </w:r>
      <w:proofErr w:type="spellStart"/>
      <w:r w:rsidRPr="00BC1DBB">
        <w:t>spondyloarthritis</w:t>
      </w:r>
      <w:proofErr w:type="spellEnd"/>
      <w:r w:rsidRPr="00BC1DBB">
        <w:t xml:space="preserve"> is diagnosed in Australia. Are the ASAS criteria used routinely? Is there an accepted and utilised definition for the subgroup with </w:t>
      </w:r>
      <w:r w:rsidR="00C93718">
        <w:t>‘</w:t>
      </w:r>
      <w:r w:rsidRPr="00BC1DBB">
        <w:t>non-radiographic</w:t>
      </w:r>
      <w:r w:rsidR="00C93718">
        <w:t>’</w:t>
      </w:r>
      <w:r w:rsidRPr="00BC1DBB">
        <w:t xml:space="preserve"> </w:t>
      </w:r>
      <w:proofErr w:type="spellStart"/>
      <w:r w:rsidRPr="00BC1DBB">
        <w:t>axSpA</w:t>
      </w:r>
      <w:proofErr w:type="spellEnd"/>
      <w:r w:rsidRPr="00BC1DBB">
        <w:t>? What would be the likelihood of disease misclassification and would there be a risk of treating patients who do not meet the ASAS criteria?</w:t>
      </w:r>
    </w:p>
    <w:p w:rsidR="00BC1DBB" w:rsidRPr="00BC1DBB" w:rsidRDefault="00BC1DBB" w:rsidP="00BC1DBB">
      <w:pPr>
        <w:pStyle w:val="Numberbullet0"/>
      </w:pPr>
      <w:r w:rsidRPr="00BC1DBB">
        <w:t>There were numerous secondary endpoints discussed in the study report. Why was there no adjustment for multiplicity on analysis of these endpoints? Discuss the implications for not having done this on the reported findings.</w:t>
      </w:r>
    </w:p>
    <w:p w:rsidR="00BC1DBB" w:rsidRPr="00BC1DBB" w:rsidRDefault="00BC1DBB" w:rsidP="00BC1DBB">
      <w:pPr>
        <w:pStyle w:val="Numberbullet0"/>
      </w:pPr>
      <w:r w:rsidRPr="00BC1DBB">
        <w:t xml:space="preserve">In B180131 in the open label period, the response in the placebo group who switched to </w:t>
      </w:r>
      <w:proofErr w:type="spellStart"/>
      <w:r w:rsidRPr="00BC1DBB">
        <w:t>etanercept</w:t>
      </w:r>
      <w:proofErr w:type="spellEnd"/>
      <w:r w:rsidRPr="00BC1DBB">
        <w:t xml:space="preserve"> (placebo/ETN) is higher than in the ETN/ETN group (52% </w:t>
      </w:r>
      <w:r w:rsidR="00455BC5">
        <w:t>versus</w:t>
      </w:r>
      <w:r w:rsidRPr="00BC1DBB">
        <w:t xml:space="preserve"> 44%). In addition, a rapid response occurred during the first 4 weeks of </w:t>
      </w:r>
      <w:proofErr w:type="spellStart"/>
      <w:r w:rsidRPr="00BC1DBB">
        <w:t>etanercept</w:t>
      </w:r>
      <w:proofErr w:type="spellEnd"/>
      <w:r w:rsidRPr="00BC1DBB">
        <w:t xml:space="preserve"> treatment that was more than seen in the </w:t>
      </w:r>
      <w:proofErr w:type="spellStart"/>
      <w:r w:rsidRPr="00BC1DBB">
        <w:t>etanercept</w:t>
      </w:r>
      <w:proofErr w:type="spellEnd"/>
      <w:r w:rsidRPr="00BC1DBB">
        <w:t xml:space="preserve"> group during the first 4 weeks of double-blind treatment. Could </w:t>
      </w:r>
      <w:r w:rsidR="006A7E9B">
        <w:t xml:space="preserve">the sponsor </w:t>
      </w:r>
      <w:r w:rsidRPr="00BC1DBB">
        <w:t>comment on whether these findings are due to chance or if there may be other explanations?</w:t>
      </w:r>
    </w:p>
    <w:p w:rsidR="00BC1DBB" w:rsidRPr="00BC1DBB" w:rsidRDefault="00BC1DBB" w:rsidP="00BC1DBB">
      <w:pPr>
        <w:pStyle w:val="Numberbullet0"/>
      </w:pPr>
      <w:r w:rsidRPr="00BC1DBB">
        <w:t xml:space="preserve">In the evaluator’s opinion, the efficacy of </w:t>
      </w:r>
      <w:proofErr w:type="spellStart"/>
      <w:r w:rsidRPr="00BC1DBB">
        <w:t>etanercept</w:t>
      </w:r>
      <w:proofErr w:type="spellEnd"/>
      <w:r w:rsidRPr="00BC1DBB">
        <w:t xml:space="preserve"> appears limited to patients with elevated </w:t>
      </w:r>
      <w:proofErr w:type="spellStart"/>
      <w:r w:rsidRPr="00BC1DBB">
        <w:t>hsCRP</w:t>
      </w:r>
      <w:proofErr w:type="spellEnd"/>
      <w:r w:rsidRPr="00BC1DBB">
        <w:t xml:space="preserve"> level and possibly also those with greater degree of inflammatory change on MRI of the SI joints. Discuss efficacy in these groups in further detail and whether </w:t>
      </w:r>
      <w:r w:rsidR="006A7E9B">
        <w:t xml:space="preserve">the sponsor </w:t>
      </w:r>
      <w:r w:rsidRPr="00BC1DBB">
        <w:t>believes it would be preferable to target the indication to subgroups with a higher treatment response rate.</w:t>
      </w:r>
    </w:p>
    <w:p w:rsidR="00BC1DBB" w:rsidRPr="00BC1DBB" w:rsidRDefault="00BC1DBB" w:rsidP="00BC1DBB">
      <w:pPr>
        <w:pStyle w:val="Numberbullet0"/>
      </w:pPr>
      <w:r w:rsidRPr="00BC1DBB">
        <w:t xml:space="preserve">For sites in Russia and the Czech Republic only certain questionnaires were translated (BASDAI, BASFI, Subject Assessment of Disease, total pain and nocturnal back pain assessments) resulting in lower numbers in some analyses on health outcomes. Could </w:t>
      </w:r>
      <w:r w:rsidR="006A7E9B">
        <w:t xml:space="preserve">the sponsor </w:t>
      </w:r>
      <w:r w:rsidRPr="00BC1DBB">
        <w:t xml:space="preserve">clarify this issue? How many patients did this involve? Can </w:t>
      </w:r>
      <w:r w:rsidR="006A7E9B">
        <w:t xml:space="preserve">the sponsor </w:t>
      </w:r>
      <w:r w:rsidRPr="00BC1DBB">
        <w:t>provide assurances that there were no other outcomes which many have been affected by such issues to do with translation or language differences?</w:t>
      </w:r>
    </w:p>
    <w:p w:rsidR="00C618F7" w:rsidRDefault="00C618F7" w:rsidP="00C618F7">
      <w:pPr>
        <w:pStyle w:val="Heading3"/>
      </w:pPr>
      <w:bookmarkStart w:id="282" w:name="_Toc433315346"/>
      <w:r>
        <w:t>Safety</w:t>
      </w:r>
      <w:bookmarkEnd w:id="282"/>
    </w:p>
    <w:p w:rsidR="00BC1DBB" w:rsidRPr="00BC1DBB" w:rsidRDefault="00BC1DBB" w:rsidP="00BC1DBB">
      <w:pPr>
        <w:pStyle w:val="Numberbullet0"/>
        <w:numPr>
          <w:ilvl w:val="0"/>
          <w:numId w:val="9"/>
        </w:numPr>
      </w:pPr>
      <w:r w:rsidRPr="00BC1DBB">
        <w:t>Grade 3 and 4 laboratory test results and liver function tests were reported in the CSR for B1801031. Other laboratory parameters were not reported. Discuss whether there are any other findings of note on clinical chemistry, renal function and haematology in both the double-blind and open label periods of this study.</w:t>
      </w:r>
    </w:p>
    <w:p w:rsidR="00C618F7" w:rsidRPr="00BC1DBB" w:rsidRDefault="00C618F7" w:rsidP="00C618F7">
      <w:pPr>
        <w:pStyle w:val="Heading2"/>
      </w:pPr>
      <w:bookmarkStart w:id="283" w:name="_Toc433315347"/>
      <w:r w:rsidRPr="00BC1DBB">
        <w:lastRenderedPageBreak/>
        <w:t>Second round evaluation of clinical data submitted in response to questions</w:t>
      </w:r>
      <w:bookmarkEnd w:id="283"/>
    </w:p>
    <w:p w:rsidR="00125531" w:rsidRPr="00125531" w:rsidRDefault="00125531" w:rsidP="00125531">
      <w:r w:rsidRPr="00125531">
        <w:t xml:space="preserve">The </w:t>
      </w:r>
      <w:r w:rsidR="00643F33">
        <w:t>s</w:t>
      </w:r>
      <w:r w:rsidRPr="00125531">
        <w:t xml:space="preserve">ponsor submitted responses to the </w:t>
      </w:r>
      <w:r w:rsidR="00643F33" w:rsidRPr="00643F33">
        <w:rPr>
          <w:i/>
        </w:rPr>
        <w:t>Clinical questions</w:t>
      </w:r>
      <w:r w:rsidRPr="00125531">
        <w:t xml:space="preserve"> and these responses, together with the evaluator’s comments, are discussed below.</w:t>
      </w:r>
    </w:p>
    <w:p w:rsidR="00125531" w:rsidRPr="00125531" w:rsidRDefault="00125531" w:rsidP="00125531">
      <w:pPr>
        <w:pStyle w:val="Heading3"/>
      </w:pPr>
      <w:bookmarkStart w:id="284" w:name="_Toc401067673"/>
      <w:bookmarkStart w:id="285" w:name="_Toc401925011"/>
      <w:bookmarkStart w:id="286" w:name="_Toc433315348"/>
      <w:r w:rsidRPr="00125531">
        <w:t>Pharmacokinetics</w:t>
      </w:r>
      <w:bookmarkEnd w:id="284"/>
      <w:bookmarkEnd w:id="285"/>
      <w:bookmarkEnd w:id="286"/>
    </w:p>
    <w:p w:rsidR="00543B3A" w:rsidRPr="00543B3A" w:rsidRDefault="00125531" w:rsidP="00543B3A">
      <w:pPr>
        <w:pStyle w:val="Heading4"/>
      </w:pPr>
      <w:proofErr w:type="gramStart"/>
      <w:r w:rsidRPr="00543B3A">
        <w:t>Q</w:t>
      </w:r>
      <w:r w:rsidR="00D06D6E">
        <w:t xml:space="preserve">uestion </w:t>
      </w:r>
      <w:r w:rsidRPr="00543B3A">
        <w:t>1.</w:t>
      </w:r>
      <w:proofErr w:type="gramEnd"/>
    </w:p>
    <w:p w:rsidR="00125531" w:rsidRPr="00643F33" w:rsidRDefault="00125531" w:rsidP="001255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i/>
          <w:kern w:val="16"/>
          <w:lang w:eastAsia="en-AU"/>
        </w:rPr>
      </w:pPr>
      <w:r w:rsidRPr="00643F33">
        <w:rPr>
          <w:rFonts w:eastAsia="Times New Roman"/>
          <w:i/>
          <w:kern w:val="16"/>
          <w:lang w:eastAsia="en-AU"/>
        </w:rPr>
        <w:t xml:space="preserve">Can </w:t>
      </w:r>
      <w:r w:rsidR="006A7E9B" w:rsidRPr="00643F33">
        <w:rPr>
          <w:rFonts w:eastAsia="Times New Roman"/>
          <w:i/>
          <w:kern w:val="16"/>
          <w:lang w:eastAsia="en-AU"/>
        </w:rPr>
        <w:t xml:space="preserve">the sponsor </w:t>
      </w:r>
      <w:r w:rsidRPr="00643F33">
        <w:rPr>
          <w:rFonts w:eastAsia="Times New Roman"/>
          <w:i/>
          <w:kern w:val="16"/>
          <w:lang w:eastAsia="en-AU"/>
        </w:rPr>
        <w:t xml:space="preserve">confirm that the formulation of </w:t>
      </w:r>
      <w:proofErr w:type="spellStart"/>
      <w:r w:rsidRPr="00643F33">
        <w:rPr>
          <w:rFonts w:eastAsia="Times New Roman"/>
          <w:i/>
          <w:kern w:val="16"/>
          <w:lang w:eastAsia="en-AU"/>
        </w:rPr>
        <w:t>etanercept</w:t>
      </w:r>
      <w:proofErr w:type="spellEnd"/>
      <w:r w:rsidRPr="00643F33">
        <w:rPr>
          <w:rFonts w:eastAsia="Times New Roman"/>
          <w:i/>
          <w:kern w:val="16"/>
          <w:lang w:eastAsia="en-AU"/>
        </w:rPr>
        <w:t xml:space="preserve"> registered in Australia is the same as that used in </w:t>
      </w:r>
      <w:r w:rsidR="006A7E9B" w:rsidRPr="00643F33">
        <w:rPr>
          <w:rFonts w:eastAsia="Times New Roman"/>
          <w:i/>
          <w:kern w:val="16"/>
          <w:lang w:eastAsia="en-AU"/>
        </w:rPr>
        <w:t>Study B180</w:t>
      </w:r>
      <w:r w:rsidRPr="00643F33">
        <w:rPr>
          <w:rFonts w:eastAsia="Times New Roman"/>
          <w:i/>
          <w:kern w:val="16"/>
          <w:lang w:eastAsia="en-AU"/>
        </w:rPr>
        <w:t>1031?</w:t>
      </w:r>
    </w:p>
    <w:p w:rsidR="00125531" w:rsidRPr="00543B3A" w:rsidRDefault="00125531" w:rsidP="00543B3A">
      <w:pPr>
        <w:pStyle w:val="Heading5"/>
      </w:pPr>
      <w:r w:rsidRPr="00543B3A">
        <w:t>Sponsor’s response:</w:t>
      </w:r>
    </w:p>
    <w:p w:rsidR="00125531" w:rsidRPr="00125531" w:rsidRDefault="00125531" w:rsidP="00125531">
      <w:r w:rsidRPr="00125531">
        <w:t xml:space="preserve">The formulation of </w:t>
      </w:r>
      <w:proofErr w:type="spellStart"/>
      <w:r w:rsidRPr="00125531">
        <w:t>etanercept</w:t>
      </w:r>
      <w:proofErr w:type="spellEnd"/>
      <w:r w:rsidRPr="00125531">
        <w:t xml:space="preserve"> (50 mg/mL pre-filled syringe) used in </w:t>
      </w:r>
      <w:r w:rsidR="006A7E9B">
        <w:t>Study B180</w:t>
      </w:r>
      <w:r w:rsidRPr="00125531">
        <w:t>1031 is identical to the 50 mg/mL pre-filled syringe that is currently registered in Australia.</w:t>
      </w:r>
    </w:p>
    <w:p w:rsidR="00125531" w:rsidRPr="00543B3A" w:rsidRDefault="00125531" w:rsidP="00543B3A">
      <w:pPr>
        <w:pStyle w:val="Heading5"/>
      </w:pPr>
      <w:r w:rsidRPr="00543B3A">
        <w:t>Evaluator’s comments:</w:t>
      </w:r>
    </w:p>
    <w:p w:rsidR="00125531" w:rsidRPr="00125531" w:rsidRDefault="00125531" w:rsidP="00125531">
      <w:r w:rsidRPr="00125531">
        <w:t>This is acceptable.</w:t>
      </w:r>
    </w:p>
    <w:p w:rsidR="00125531" w:rsidRPr="00125531" w:rsidRDefault="00125531" w:rsidP="00125531">
      <w:pPr>
        <w:pStyle w:val="Heading3"/>
      </w:pPr>
      <w:bookmarkStart w:id="287" w:name="_Toc401067674"/>
      <w:bookmarkStart w:id="288" w:name="_Toc401925012"/>
      <w:bookmarkStart w:id="289" w:name="_Toc433315349"/>
      <w:r w:rsidRPr="00125531">
        <w:t>Efficacy</w:t>
      </w:r>
      <w:bookmarkEnd w:id="287"/>
      <w:bookmarkEnd w:id="288"/>
      <w:bookmarkEnd w:id="289"/>
    </w:p>
    <w:p w:rsidR="00125531" w:rsidRPr="00125531" w:rsidRDefault="00125531" w:rsidP="00125531">
      <w:pPr>
        <w:pStyle w:val="Heading4"/>
      </w:pPr>
      <w:proofErr w:type="gramStart"/>
      <w:r w:rsidRPr="00125531">
        <w:t>Q</w:t>
      </w:r>
      <w:r w:rsidR="00D06D6E">
        <w:t xml:space="preserve">uestion </w:t>
      </w:r>
      <w:r w:rsidRPr="00125531">
        <w:t>1.</w:t>
      </w:r>
      <w:proofErr w:type="gramEnd"/>
    </w:p>
    <w:p w:rsidR="00125531" w:rsidRPr="00643F33" w:rsidRDefault="00125531" w:rsidP="00125531">
      <w:pPr>
        <w:rPr>
          <w:i/>
        </w:rPr>
      </w:pPr>
      <w:r w:rsidRPr="00643F33">
        <w:rPr>
          <w:i/>
        </w:rPr>
        <w:t xml:space="preserve">From the inclusion and exclusion criteria for </w:t>
      </w:r>
      <w:r w:rsidR="006A7E9B" w:rsidRPr="00643F33">
        <w:rPr>
          <w:i/>
        </w:rPr>
        <w:t>Study B180</w:t>
      </w:r>
      <w:r w:rsidRPr="00643F33">
        <w:rPr>
          <w:i/>
        </w:rPr>
        <w:t xml:space="preserve">1031 it can be deduced that the criteria for </w:t>
      </w:r>
      <w:r w:rsidR="00C93718" w:rsidRPr="00643F33">
        <w:rPr>
          <w:i/>
        </w:rPr>
        <w:t>‘</w:t>
      </w:r>
      <w:r w:rsidRPr="00643F33">
        <w:rPr>
          <w:i/>
        </w:rPr>
        <w:t>non-radiographic</w:t>
      </w:r>
      <w:r w:rsidR="00C93718" w:rsidRPr="00643F33">
        <w:rPr>
          <w:i/>
        </w:rPr>
        <w:t>’</w:t>
      </w:r>
      <w:r w:rsidRPr="00643F33">
        <w:rPr>
          <w:i/>
        </w:rPr>
        <w:t xml:space="preserve"> </w:t>
      </w:r>
      <w:proofErr w:type="spellStart"/>
      <w:r w:rsidRPr="00643F33">
        <w:rPr>
          <w:i/>
        </w:rPr>
        <w:t>sacroiliitis</w:t>
      </w:r>
      <w:proofErr w:type="spellEnd"/>
      <w:r w:rsidRPr="00643F33">
        <w:rPr>
          <w:i/>
        </w:rPr>
        <w:t xml:space="preserve"> would be </w:t>
      </w:r>
      <w:proofErr w:type="spellStart"/>
      <w:r w:rsidRPr="00643F33">
        <w:rPr>
          <w:i/>
        </w:rPr>
        <w:t>sacroiliitis</w:t>
      </w:r>
      <w:proofErr w:type="spellEnd"/>
      <w:r w:rsidRPr="00643F33">
        <w:rPr>
          <w:i/>
        </w:rPr>
        <w:t xml:space="preserve"> on screening X-ray of either grades 0, 1 or 2 unilaterally or grades 0 or1 bilaterally. However if historical X-rays were used, the grading requirement was lower at 0-1 unilaterally or grade 0 bilaterally. Are these assumptions correct?</w:t>
      </w:r>
    </w:p>
    <w:p w:rsidR="00125531" w:rsidRPr="00125531" w:rsidRDefault="00125531" w:rsidP="00125531">
      <w:pPr>
        <w:pStyle w:val="Heading5"/>
      </w:pPr>
      <w:r w:rsidRPr="00125531">
        <w:rPr>
          <w:rFonts w:eastAsia="MS Mincho"/>
        </w:rPr>
        <w:t>Sponsor’s response</w:t>
      </w:r>
      <w:r w:rsidRPr="00125531">
        <w:t>:</w:t>
      </w:r>
    </w:p>
    <w:p w:rsidR="00125531" w:rsidRPr="00125531" w:rsidRDefault="00125531" w:rsidP="00125531">
      <w:r w:rsidRPr="00125531">
        <w:t xml:space="preserve"> Yes, these assumptions are correct. Historical X-rays were allowed up to a year prior to screening in some countries. By allowing only minimal </w:t>
      </w:r>
      <w:proofErr w:type="spellStart"/>
      <w:r w:rsidRPr="00125531">
        <w:t>sacroiliitis</w:t>
      </w:r>
      <w:proofErr w:type="spellEnd"/>
      <w:r w:rsidRPr="00125531">
        <w:t>, well below the threshold for ankylosing spondylitis (AS), we believe we minimized the possibility that subjects who were enrolled up to a year after their historical X-ray had progressed to AS. At the end of recruitment, it was determined that 18 of 225 subjects had historical X-rays ranging from 1 to 96 days prior to screening. Progression to AS in those who had historical X-rays is considered unlikely.</w:t>
      </w:r>
    </w:p>
    <w:p w:rsidR="00125531" w:rsidRPr="00125531" w:rsidRDefault="00125531" w:rsidP="00125531">
      <w:pPr>
        <w:pStyle w:val="Heading5"/>
        <w:rPr>
          <w:rFonts w:eastAsia="MS Mincho"/>
        </w:rPr>
      </w:pPr>
      <w:r w:rsidRPr="00125531">
        <w:rPr>
          <w:rFonts w:eastAsia="MS Mincho"/>
        </w:rPr>
        <w:t>Evaluator’s comments:</w:t>
      </w:r>
    </w:p>
    <w:p w:rsidR="00125531" w:rsidRPr="00125531" w:rsidRDefault="00125531" w:rsidP="00125531">
      <w:r w:rsidRPr="00125531">
        <w:t xml:space="preserve">From this it is assumed that 18/225 patients were included on the basis of historical X-rays and that these historical X-rays were taken no more than 96 days before trial entry at screening. The remainder of subjects (207) would therefore have had X-rays taken during the screening period. As these data could not be located in the clinical study report, </w:t>
      </w:r>
      <w:r w:rsidR="006A7E9B">
        <w:t xml:space="preserve">the sponsor </w:t>
      </w:r>
      <w:r w:rsidRPr="00125531">
        <w:t>needs to clarify if this is correct.</w:t>
      </w:r>
    </w:p>
    <w:p w:rsidR="00125531" w:rsidRPr="00125531" w:rsidRDefault="00125531" w:rsidP="00125531">
      <w:pPr>
        <w:pStyle w:val="Heading4"/>
      </w:pPr>
      <w:proofErr w:type="gramStart"/>
      <w:r w:rsidRPr="00125531">
        <w:t>Q</w:t>
      </w:r>
      <w:r w:rsidR="00D06D6E">
        <w:t xml:space="preserve">uestion </w:t>
      </w:r>
      <w:r w:rsidRPr="00125531">
        <w:t>2.</w:t>
      </w:r>
      <w:proofErr w:type="gramEnd"/>
    </w:p>
    <w:p w:rsidR="00125531" w:rsidRPr="00643F33" w:rsidRDefault="00125531" w:rsidP="00125531">
      <w:pPr>
        <w:rPr>
          <w:i/>
        </w:rPr>
      </w:pPr>
      <w:r w:rsidRPr="00643F33">
        <w:rPr>
          <w:i/>
        </w:rPr>
        <w:t xml:space="preserve">In B180131 there were 80-82% of subjects who met the inclusion criteria for ASAS based on imaging rather than clinical criteria. It was stated that this was due to the finding of </w:t>
      </w:r>
      <w:proofErr w:type="spellStart"/>
      <w:r w:rsidRPr="00643F33">
        <w:rPr>
          <w:i/>
        </w:rPr>
        <w:t>sacroiliitis</w:t>
      </w:r>
      <w:proofErr w:type="spellEnd"/>
      <w:r w:rsidRPr="00643F33">
        <w:rPr>
          <w:i/>
        </w:rPr>
        <w:t xml:space="preserve"> on MRI. Given that the X-ray findings were as follows for the 225 randomised subjects (Grade 2 unilateral = 80; Grade 1 bilateral = 53; Grade 0 bilateral=47; Grade 1 unilateral = 45), could </w:t>
      </w:r>
      <w:r w:rsidR="006A7E9B" w:rsidRPr="00643F33">
        <w:rPr>
          <w:i/>
        </w:rPr>
        <w:t xml:space="preserve">the sponsor </w:t>
      </w:r>
      <w:r w:rsidRPr="00643F33">
        <w:rPr>
          <w:i/>
        </w:rPr>
        <w:t xml:space="preserve">confirm the criteria used in the trial for </w:t>
      </w:r>
      <w:r w:rsidR="00C93718" w:rsidRPr="00643F33">
        <w:rPr>
          <w:i/>
        </w:rPr>
        <w:t>‘</w:t>
      </w:r>
      <w:r w:rsidRPr="00643F33">
        <w:rPr>
          <w:i/>
        </w:rPr>
        <w:t>non-radiographic</w:t>
      </w:r>
      <w:r w:rsidR="00C93718" w:rsidRPr="00643F33">
        <w:rPr>
          <w:i/>
        </w:rPr>
        <w:t>’</w:t>
      </w:r>
      <w:r w:rsidRPr="00643F33">
        <w:rPr>
          <w:i/>
        </w:rPr>
        <w:t xml:space="preserve"> axial </w:t>
      </w:r>
      <w:proofErr w:type="spellStart"/>
      <w:r w:rsidRPr="00643F33">
        <w:rPr>
          <w:i/>
        </w:rPr>
        <w:t>SpA</w:t>
      </w:r>
      <w:proofErr w:type="spellEnd"/>
      <w:r w:rsidRPr="00643F33">
        <w:rPr>
          <w:i/>
        </w:rPr>
        <w:t xml:space="preserve">? Does </w:t>
      </w:r>
      <w:r w:rsidR="006A7E9B" w:rsidRPr="00643F33">
        <w:rPr>
          <w:i/>
        </w:rPr>
        <w:t xml:space="preserve">the sponsor </w:t>
      </w:r>
      <w:r w:rsidRPr="00643F33">
        <w:rPr>
          <w:i/>
        </w:rPr>
        <w:t xml:space="preserve">agree that non-radiographic </w:t>
      </w:r>
      <w:proofErr w:type="spellStart"/>
      <w:r w:rsidRPr="00643F33">
        <w:rPr>
          <w:i/>
        </w:rPr>
        <w:t>axSpA</w:t>
      </w:r>
      <w:proofErr w:type="spellEnd"/>
      <w:r w:rsidRPr="00643F33">
        <w:rPr>
          <w:i/>
        </w:rPr>
        <w:t xml:space="preserve"> in the trial could be defined as patients fulfilling the ASAS criteria for </w:t>
      </w:r>
      <w:proofErr w:type="spellStart"/>
      <w:r w:rsidRPr="00643F33">
        <w:rPr>
          <w:i/>
        </w:rPr>
        <w:t>axSpA</w:t>
      </w:r>
      <w:proofErr w:type="spellEnd"/>
      <w:r w:rsidRPr="00643F33">
        <w:rPr>
          <w:i/>
        </w:rPr>
        <w:t xml:space="preserve"> but without X-</w:t>
      </w:r>
      <w:r w:rsidR="0065484A">
        <w:rPr>
          <w:i/>
        </w:rPr>
        <w:t>ray changes consistent with AS?</w:t>
      </w:r>
    </w:p>
    <w:p w:rsidR="00125531" w:rsidRPr="00125531" w:rsidRDefault="00125531" w:rsidP="00643F33">
      <w:pPr>
        <w:pStyle w:val="Heading5"/>
      </w:pPr>
      <w:r w:rsidRPr="00125531">
        <w:lastRenderedPageBreak/>
        <w:t>Sponsor’s response:</w:t>
      </w:r>
    </w:p>
    <w:p w:rsidR="00125531" w:rsidRPr="00125531" w:rsidRDefault="00125531" w:rsidP="00125531">
      <w:r w:rsidRPr="00125531">
        <w:t xml:space="preserve">Patients meeting ASAS criteria for </w:t>
      </w:r>
      <w:proofErr w:type="spellStart"/>
      <w:r w:rsidRPr="00125531">
        <w:t>axSpA</w:t>
      </w:r>
      <w:proofErr w:type="spellEnd"/>
      <w:r w:rsidRPr="00125531">
        <w:t xml:space="preserve">, but not fulfilling the 1984 modified radiographic New York (NY) criteria for ankylosing spondylitis (AS), were eligible for the study. The </w:t>
      </w:r>
      <w:r w:rsidR="00643F33">
        <w:t>s</w:t>
      </w:r>
      <w:r w:rsidRPr="00125531">
        <w:t xml:space="preserve">ponsor agrees that non-radiographic </w:t>
      </w:r>
      <w:proofErr w:type="spellStart"/>
      <w:r w:rsidRPr="00125531">
        <w:t>axSpA</w:t>
      </w:r>
      <w:proofErr w:type="spellEnd"/>
      <w:r w:rsidRPr="00125531">
        <w:t xml:space="preserve"> in the trial could be defined as patients fulfilling the ASAS criteria for </w:t>
      </w:r>
      <w:proofErr w:type="spellStart"/>
      <w:r w:rsidRPr="00125531">
        <w:t>axSpA</w:t>
      </w:r>
      <w:proofErr w:type="spellEnd"/>
      <w:r w:rsidRPr="00125531">
        <w:t xml:space="preserve"> but without X-ray changes consistent with AS.</w:t>
      </w:r>
    </w:p>
    <w:p w:rsidR="00125531" w:rsidRPr="00125531" w:rsidRDefault="00125531" w:rsidP="00643F33">
      <w:pPr>
        <w:pStyle w:val="Heading5"/>
      </w:pPr>
      <w:r w:rsidRPr="00125531">
        <w:t>Evaluator’s comments:</w:t>
      </w:r>
    </w:p>
    <w:p w:rsidR="00125531" w:rsidRPr="00125531" w:rsidRDefault="00125531" w:rsidP="00125531">
      <w:r w:rsidRPr="00125531">
        <w:t>This issue has now been clarified and is covered in the description of patient population for the pivotal trial (Cli</w:t>
      </w:r>
      <w:r>
        <w:t>nical Trial section of the PI).</w:t>
      </w:r>
    </w:p>
    <w:p w:rsidR="00491C85" w:rsidRPr="00491C85" w:rsidRDefault="00125531" w:rsidP="00491C85">
      <w:pPr>
        <w:pStyle w:val="Heading4"/>
      </w:pPr>
      <w:proofErr w:type="gramStart"/>
      <w:r w:rsidRPr="00491C85">
        <w:t>Q</w:t>
      </w:r>
      <w:r w:rsidR="00D06D6E">
        <w:t xml:space="preserve">uestion </w:t>
      </w:r>
      <w:r w:rsidRPr="00491C85">
        <w:t>3.</w:t>
      </w:r>
      <w:proofErr w:type="gramEnd"/>
    </w:p>
    <w:p w:rsidR="00125531" w:rsidRPr="00643F33" w:rsidRDefault="00125531" w:rsidP="00491C85">
      <w:pPr>
        <w:rPr>
          <w:i/>
        </w:rPr>
      </w:pPr>
      <w:r w:rsidRPr="00643F33">
        <w:rPr>
          <w:i/>
        </w:rPr>
        <w:t xml:space="preserve">Discuss how non-radiographic axial </w:t>
      </w:r>
      <w:proofErr w:type="spellStart"/>
      <w:r w:rsidRPr="00643F33">
        <w:rPr>
          <w:i/>
        </w:rPr>
        <w:t>spondyloarthritis</w:t>
      </w:r>
      <w:proofErr w:type="spellEnd"/>
      <w:r w:rsidRPr="00643F33">
        <w:rPr>
          <w:i/>
        </w:rPr>
        <w:t xml:space="preserve"> is diagnosed in Australia. Are the ASAS criteria used routinely? Is there an accepted and utilised definition for the subgroup with </w:t>
      </w:r>
      <w:r w:rsidR="00C93718" w:rsidRPr="00643F33">
        <w:rPr>
          <w:i/>
        </w:rPr>
        <w:t>‘</w:t>
      </w:r>
      <w:r w:rsidRPr="00643F33">
        <w:rPr>
          <w:i/>
        </w:rPr>
        <w:t>non-radiographic</w:t>
      </w:r>
      <w:r w:rsidR="00C93718" w:rsidRPr="00643F33">
        <w:rPr>
          <w:i/>
        </w:rPr>
        <w:t>’</w:t>
      </w:r>
      <w:r w:rsidRPr="00643F33">
        <w:rPr>
          <w:i/>
        </w:rPr>
        <w:t xml:space="preserve"> </w:t>
      </w:r>
      <w:proofErr w:type="spellStart"/>
      <w:r w:rsidRPr="00643F33">
        <w:rPr>
          <w:i/>
        </w:rPr>
        <w:t>axSpA</w:t>
      </w:r>
      <w:proofErr w:type="spellEnd"/>
      <w:r w:rsidRPr="00643F33">
        <w:rPr>
          <w:i/>
        </w:rPr>
        <w:t>? What would be the likelihood of disease misclassification and would there be a risk of treating patients who do not meet the ASAS criteria?</w:t>
      </w:r>
    </w:p>
    <w:p w:rsidR="00125531" w:rsidRPr="00125531" w:rsidRDefault="00125531" w:rsidP="00491C85">
      <w:pPr>
        <w:pStyle w:val="Heading5"/>
      </w:pPr>
      <w:r w:rsidRPr="00125531">
        <w:t>Sponsor’s response:</w:t>
      </w:r>
    </w:p>
    <w:p w:rsidR="00125531" w:rsidRPr="00125531" w:rsidRDefault="00125531" w:rsidP="00125531">
      <w:r w:rsidRPr="00125531">
        <w:t xml:space="preserve">The sponsor consulted with a group of advisors consisting of seven established local rheumatologists and a radiologist, including most authors of the recently published </w:t>
      </w:r>
      <w:r w:rsidR="00C93718">
        <w:t>‘</w:t>
      </w:r>
      <w:r w:rsidRPr="00125531">
        <w:t xml:space="preserve">Consensus statement on the investigation and management of non-radiographic axial </w:t>
      </w:r>
      <w:proofErr w:type="spellStart"/>
      <w:r w:rsidRPr="00125531">
        <w:t>spondyloarthritis</w:t>
      </w:r>
      <w:proofErr w:type="spellEnd"/>
      <w:r w:rsidRPr="00125531">
        <w:t xml:space="preserve"> </w:t>
      </w:r>
      <w:r w:rsidRPr="00643F33">
        <w:t>(nr-</w:t>
      </w:r>
      <w:proofErr w:type="spellStart"/>
      <w:r w:rsidRPr="00643F33">
        <w:t>axSpA</w:t>
      </w:r>
      <w:proofErr w:type="spellEnd"/>
      <w:r w:rsidRPr="00643F33">
        <w:t>)</w:t>
      </w:r>
      <w:r w:rsidR="007D516D">
        <w:rPr>
          <w:rStyle w:val="FootnoteReference"/>
        </w:rPr>
        <w:footnoteReference w:id="22"/>
      </w:r>
      <w:r w:rsidR="00C93718" w:rsidRPr="00643F33">
        <w:t>’</w:t>
      </w:r>
      <w:r w:rsidRPr="00643F33">
        <w:t xml:space="preserve"> to gain</w:t>
      </w:r>
      <w:r w:rsidRPr="00125531">
        <w:t xml:space="preserve"> greater insight into the diagnosis and management of patients with nr-</w:t>
      </w:r>
      <w:proofErr w:type="spellStart"/>
      <w:r w:rsidRPr="00125531">
        <w:t>axSpA</w:t>
      </w:r>
      <w:proofErr w:type="spellEnd"/>
      <w:r w:rsidRPr="00125531">
        <w:t xml:space="preserve"> in the Australian setting.</w:t>
      </w:r>
    </w:p>
    <w:p w:rsidR="00125531" w:rsidRPr="00125531" w:rsidRDefault="00125531" w:rsidP="00125531">
      <w:r w:rsidRPr="00125531">
        <w:t>In Australia, patients with chronic inflammatory back pain are typically referred to rheumatologists by general practitioners, sports physicians, physiotherapists and chiropractors. Rheumatologists routinely diagnose nr-</w:t>
      </w:r>
      <w:proofErr w:type="spellStart"/>
      <w:r w:rsidRPr="00125531">
        <w:t>axSpA</w:t>
      </w:r>
      <w:proofErr w:type="spellEnd"/>
      <w:r w:rsidRPr="00125531">
        <w:t xml:space="preserve"> based on components of the ASAS criteria. The expert Advisory Board concluded that the ASAS criteria are currently the best available criteria for diagnosing nr-</w:t>
      </w:r>
      <w:proofErr w:type="spellStart"/>
      <w:r w:rsidRPr="00125531">
        <w:t>axSpA</w:t>
      </w:r>
      <w:proofErr w:type="spellEnd"/>
      <w:r w:rsidRPr="00125531">
        <w:t xml:space="preserve"> and that these criteria are appropriate for defining nr-</w:t>
      </w:r>
      <w:proofErr w:type="spellStart"/>
      <w:r w:rsidRPr="00125531">
        <w:t>axSpA</w:t>
      </w:r>
      <w:proofErr w:type="spellEnd"/>
      <w:r w:rsidRPr="00125531">
        <w:t xml:space="preserve"> in the Australian setting.</w:t>
      </w:r>
    </w:p>
    <w:p w:rsidR="00125531" w:rsidRPr="00125531" w:rsidRDefault="00125531" w:rsidP="00125531">
      <w:r w:rsidRPr="00125531">
        <w:t>In the absence of appropriate clinical expertise and objective measures of disease, misclassification of nr-</w:t>
      </w:r>
      <w:proofErr w:type="spellStart"/>
      <w:r w:rsidRPr="00125531">
        <w:t>axSpA</w:t>
      </w:r>
      <w:proofErr w:type="spellEnd"/>
      <w:r w:rsidRPr="00125531">
        <w:t xml:space="preserve"> is possible. In the Australian context however, only rheumatologists make the diagnosis of nr-</w:t>
      </w:r>
      <w:proofErr w:type="spellStart"/>
      <w:r w:rsidRPr="00125531">
        <w:t>axSpA</w:t>
      </w:r>
      <w:proofErr w:type="spellEnd"/>
      <w:r w:rsidRPr="00125531">
        <w:t xml:space="preserve"> and could initiate reimbursed treatment with </w:t>
      </w:r>
      <w:r w:rsidR="006A7E9B">
        <w:t>Enbrel</w:t>
      </w:r>
      <w:r w:rsidRPr="00125531">
        <w:t xml:space="preserve"> for this indication. Additionally, rheumatologists rely on objective markers such as elevated CRP and/or MRI changes, to support a diagnosis of nr-</w:t>
      </w:r>
      <w:proofErr w:type="spellStart"/>
      <w:r w:rsidRPr="00125531">
        <w:t>axSpA</w:t>
      </w:r>
      <w:proofErr w:type="spellEnd"/>
      <w:r w:rsidRPr="00125531">
        <w:t xml:space="preserve"> based on the ASAS criteria. The risk of disease misclassification or treating patients who do not meet the ASAS criteria would therefore be low in the Australian setting.</w:t>
      </w:r>
    </w:p>
    <w:p w:rsidR="00125531" w:rsidRPr="00125531" w:rsidRDefault="00125531" w:rsidP="00491C85">
      <w:pPr>
        <w:pStyle w:val="Heading5"/>
      </w:pPr>
      <w:r w:rsidRPr="00125531">
        <w:t>Evaluator’s comments:</w:t>
      </w:r>
    </w:p>
    <w:p w:rsidR="00125531" w:rsidRPr="00125531" w:rsidRDefault="00125531" w:rsidP="00125531">
      <w:r w:rsidRPr="00125531">
        <w:t xml:space="preserve">Given the complexity in diagnosing the specific population for which </w:t>
      </w:r>
      <w:proofErr w:type="spellStart"/>
      <w:r w:rsidRPr="00125531">
        <w:t>etanercept</w:t>
      </w:r>
      <w:proofErr w:type="spellEnd"/>
      <w:r w:rsidRPr="00125531">
        <w:t xml:space="preserve"> is indicated it would be prudent for its use be limited to rheumatologists with appropriate knowledge of the diagnostic criteria.</w:t>
      </w:r>
    </w:p>
    <w:p w:rsidR="00491C85" w:rsidRPr="00491C85" w:rsidRDefault="00125531" w:rsidP="00491C85">
      <w:pPr>
        <w:pStyle w:val="Heading4"/>
      </w:pPr>
      <w:proofErr w:type="gramStart"/>
      <w:r w:rsidRPr="00491C85">
        <w:t>Q</w:t>
      </w:r>
      <w:r w:rsidR="00D06D6E">
        <w:t xml:space="preserve">uestion </w:t>
      </w:r>
      <w:r w:rsidRPr="00491C85">
        <w:t>4.</w:t>
      </w:r>
      <w:proofErr w:type="gramEnd"/>
    </w:p>
    <w:p w:rsidR="00125531" w:rsidRPr="00643F33" w:rsidRDefault="00125531" w:rsidP="00491C85">
      <w:pPr>
        <w:rPr>
          <w:i/>
        </w:rPr>
      </w:pPr>
      <w:r w:rsidRPr="00643F33">
        <w:rPr>
          <w:i/>
        </w:rPr>
        <w:t>There were numerous secondary endpoints discussed in the study report. Why was there no adjustment for multiplicity on analysis of these endpoints? Discuss the implications for not having done this on the reported findings.</w:t>
      </w:r>
    </w:p>
    <w:p w:rsidR="00491C85" w:rsidRPr="00491C85" w:rsidRDefault="00125531" w:rsidP="00491C85">
      <w:pPr>
        <w:pStyle w:val="Heading5"/>
      </w:pPr>
      <w:r w:rsidRPr="00491C85">
        <w:rPr>
          <w:rFonts w:eastAsia="MS Mincho"/>
        </w:rPr>
        <w:t>Sponsor’s response</w:t>
      </w:r>
      <w:r w:rsidRPr="00491C85">
        <w:t>:</w:t>
      </w:r>
    </w:p>
    <w:p w:rsidR="00125531" w:rsidRPr="00491C85" w:rsidRDefault="00125531" w:rsidP="00491C85">
      <w:r w:rsidRPr="00491C85">
        <w:t xml:space="preserve">The study was designed following ICH guideline E9 that recommends controlling for type I error by assigning a primary analysis variable that directly relates to the primary objective of the trial. </w:t>
      </w:r>
      <w:r w:rsidRPr="00491C85">
        <w:lastRenderedPageBreak/>
        <w:t>This was done by assigning the ASAS</w:t>
      </w:r>
      <w:r w:rsidR="00643F33">
        <w:t xml:space="preserve"> </w:t>
      </w:r>
      <w:r w:rsidRPr="00491C85">
        <w:t xml:space="preserve">40 </w:t>
      </w:r>
      <w:r w:rsidR="00643F33">
        <w:t>W</w:t>
      </w:r>
      <w:r w:rsidRPr="00491C85">
        <w:t xml:space="preserve">eek 12 comparison between </w:t>
      </w:r>
      <w:proofErr w:type="spellStart"/>
      <w:r w:rsidRPr="00491C85">
        <w:t>etanercept</w:t>
      </w:r>
      <w:proofErr w:type="spellEnd"/>
      <w:r w:rsidRPr="00491C85">
        <w:t xml:space="preserve"> and placebo as the single primary comparison. All other endpoints and time points in the trial are considered secondary. While it is true that there is a risk of introduction of type I errors by presenting unadjusted p-values for the secondary endpoints, it is not typically done to make multiple comparison adjustments for secondary endpoints. While results with p-values &lt;</w:t>
      </w:r>
      <w:r w:rsidR="00491C85">
        <w:t xml:space="preserve"> </w:t>
      </w:r>
      <w:r w:rsidRPr="00491C85">
        <w:t xml:space="preserve">0.05 are described as statistically significant for all endpoints for which testing was done, these results should be evaluated as part of the overall strength evidence of the treatment effect and interpreted with caution. In </w:t>
      </w:r>
      <w:r w:rsidR="006A7E9B">
        <w:t>Study B180</w:t>
      </w:r>
      <w:r w:rsidRPr="00491C85">
        <w:t xml:space="preserve">1031 there was a consistent separation between the </w:t>
      </w:r>
      <w:proofErr w:type="spellStart"/>
      <w:r w:rsidRPr="00491C85">
        <w:t>etanercept</w:t>
      </w:r>
      <w:proofErr w:type="spellEnd"/>
      <w:r w:rsidRPr="00491C85">
        <w:t xml:space="preserve"> and placebo arms for clinical endpoints in terms of mean differences and response proportions. The </w:t>
      </w:r>
      <w:r w:rsidR="00643F33">
        <w:t>s</w:t>
      </w:r>
      <w:r w:rsidRPr="00491C85">
        <w:t xml:space="preserve">ponsor believes that, in addition to the many low p-values, the consistent separation between </w:t>
      </w:r>
      <w:proofErr w:type="spellStart"/>
      <w:r w:rsidRPr="00491C85">
        <w:t>etanercept</w:t>
      </w:r>
      <w:proofErr w:type="spellEnd"/>
      <w:r w:rsidRPr="00491C85">
        <w:t xml:space="preserve"> and placebo responses strongly support the result shown for the primary endpoint.</w:t>
      </w:r>
    </w:p>
    <w:p w:rsidR="00491C85" w:rsidRPr="00491C85" w:rsidRDefault="00125531" w:rsidP="00491C85">
      <w:pPr>
        <w:pStyle w:val="Heading5"/>
        <w:rPr>
          <w:rFonts w:eastAsia="MS Mincho"/>
        </w:rPr>
      </w:pPr>
      <w:r w:rsidRPr="00491C85">
        <w:rPr>
          <w:rFonts w:eastAsia="MS Mincho"/>
        </w:rPr>
        <w:t>Evaluator’s comments:</w:t>
      </w:r>
    </w:p>
    <w:p w:rsidR="00125531" w:rsidRPr="00491C85" w:rsidRDefault="00125531" w:rsidP="00491C85">
      <w:r w:rsidRPr="00491C85">
        <w:t xml:space="preserve">The evaluator accepts the reasoning for not adjusting for multiplicity as, firstly, the data from the secondary endpoints demonstrated supportive efficacy evidence through separation between </w:t>
      </w:r>
      <w:proofErr w:type="spellStart"/>
      <w:r w:rsidRPr="00491C85">
        <w:t>etanercept</w:t>
      </w:r>
      <w:proofErr w:type="spellEnd"/>
      <w:r w:rsidRPr="00491C85">
        <w:t xml:space="preserve"> and placebo together with low p values and secondly, the data are used in a descriptive rather than confirmatory fashion in the PI.</w:t>
      </w:r>
    </w:p>
    <w:p w:rsidR="00491C85" w:rsidRPr="00491C85" w:rsidRDefault="00125531" w:rsidP="00491C85">
      <w:pPr>
        <w:pStyle w:val="Heading4"/>
      </w:pPr>
      <w:proofErr w:type="gramStart"/>
      <w:r w:rsidRPr="00491C85">
        <w:t>Q</w:t>
      </w:r>
      <w:r w:rsidR="00D06D6E">
        <w:t xml:space="preserve">uestion </w:t>
      </w:r>
      <w:r w:rsidRPr="00491C85">
        <w:t>5.</w:t>
      </w:r>
      <w:proofErr w:type="gramEnd"/>
    </w:p>
    <w:p w:rsidR="00125531" w:rsidRPr="00643F33" w:rsidRDefault="00491C85" w:rsidP="00491C85">
      <w:pPr>
        <w:rPr>
          <w:i/>
        </w:rPr>
      </w:pPr>
      <w:r w:rsidRPr="00643F33">
        <w:rPr>
          <w:i/>
        </w:rPr>
        <w:t>I</w:t>
      </w:r>
      <w:r w:rsidR="00125531" w:rsidRPr="00643F33">
        <w:rPr>
          <w:i/>
        </w:rPr>
        <w:t xml:space="preserve">n B180131 in the open label period, the response in the placebo group who switched to </w:t>
      </w:r>
      <w:proofErr w:type="spellStart"/>
      <w:r w:rsidR="00125531" w:rsidRPr="00643F33">
        <w:rPr>
          <w:i/>
        </w:rPr>
        <w:t>etanercept</w:t>
      </w:r>
      <w:proofErr w:type="spellEnd"/>
      <w:r w:rsidR="00125531" w:rsidRPr="00643F33">
        <w:rPr>
          <w:i/>
        </w:rPr>
        <w:t xml:space="preserve"> (placebo/ETN) is higher than in the ETN/ETN group (52% </w:t>
      </w:r>
      <w:r w:rsidR="00455BC5" w:rsidRPr="00643F33">
        <w:rPr>
          <w:i/>
        </w:rPr>
        <w:t>versus</w:t>
      </w:r>
      <w:r w:rsidR="00125531" w:rsidRPr="00643F33">
        <w:rPr>
          <w:i/>
        </w:rPr>
        <w:t xml:space="preserve"> 44%). In addition, a rapid response occurred during the first 4 weeks of </w:t>
      </w:r>
      <w:proofErr w:type="spellStart"/>
      <w:r w:rsidR="00125531" w:rsidRPr="00643F33">
        <w:rPr>
          <w:i/>
        </w:rPr>
        <w:t>etanercept</w:t>
      </w:r>
      <w:proofErr w:type="spellEnd"/>
      <w:r w:rsidR="00125531" w:rsidRPr="00643F33">
        <w:rPr>
          <w:i/>
        </w:rPr>
        <w:t xml:space="preserve"> treatment that was more than seen in the </w:t>
      </w:r>
      <w:proofErr w:type="spellStart"/>
      <w:r w:rsidR="00125531" w:rsidRPr="00643F33">
        <w:rPr>
          <w:i/>
        </w:rPr>
        <w:t>etanercept</w:t>
      </w:r>
      <w:proofErr w:type="spellEnd"/>
      <w:r w:rsidR="00125531" w:rsidRPr="00643F33">
        <w:rPr>
          <w:i/>
        </w:rPr>
        <w:t xml:space="preserve"> group during the first 4 weeks of double-blind treatment. Could </w:t>
      </w:r>
      <w:r w:rsidR="006A7E9B" w:rsidRPr="00643F33">
        <w:rPr>
          <w:i/>
        </w:rPr>
        <w:t xml:space="preserve">the sponsor </w:t>
      </w:r>
      <w:r w:rsidR="00125531" w:rsidRPr="00643F33">
        <w:rPr>
          <w:i/>
        </w:rPr>
        <w:t>comment on whether these findings are due to chance or if there may be other explanations?</w:t>
      </w:r>
    </w:p>
    <w:p w:rsidR="00491C85" w:rsidRPr="00491C85" w:rsidRDefault="00125531" w:rsidP="00491C85">
      <w:pPr>
        <w:pStyle w:val="Heading5"/>
      </w:pPr>
      <w:r w:rsidRPr="00491C85">
        <w:rPr>
          <w:rFonts w:eastAsia="MS Mincho"/>
        </w:rPr>
        <w:t>Sponsor’s response</w:t>
      </w:r>
      <w:r w:rsidRPr="00491C85">
        <w:t>:</w:t>
      </w:r>
    </w:p>
    <w:p w:rsidR="00125531" w:rsidRPr="00491C85" w:rsidRDefault="00125531" w:rsidP="00491C85">
      <w:r w:rsidRPr="00491C85">
        <w:t xml:space="preserve">For the open-label period, </w:t>
      </w:r>
      <w:r w:rsidR="006A7E9B">
        <w:t xml:space="preserve">the sponsor </w:t>
      </w:r>
      <w:r w:rsidRPr="00491C85">
        <w:t>did not perform statistical analyses to answer the question as to whether or not the placebo/ETN response was significantly different from the ETN/ETN response. Similarly, no statistical comparison was performed between the first 4 weeks of the double-blind period versus the first 4 weeks of the open-label period. The generally more robust rates of response in the open-label period may be due to the expectation by patients and physicians that a response would occur since they both knew the patients were receiving active drug.</w:t>
      </w:r>
    </w:p>
    <w:p w:rsidR="00491C85" w:rsidRPr="00491C85" w:rsidRDefault="00125531" w:rsidP="00491C85">
      <w:pPr>
        <w:pStyle w:val="Heading5"/>
      </w:pPr>
      <w:r w:rsidRPr="00491C85">
        <w:rPr>
          <w:rFonts w:eastAsia="MS Mincho"/>
        </w:rPr>
        <w:t>Evaluator’s comments</w:t>
      </w:r>
      <w:r w:rsidRPr="00491C85">
        <w:t>:</w:t>
      </w:r>
    </w:p>
    <w:p w:rsidR="00125531" w:rsidRPr="00491C85" w:rsidRDefault="00125531" w:rsidP="00491C85">
      <w:r w:rsidRPr="00491C85">
        <w:t>The evaluator accepts that the improved response in the open label period could be explained by the lack of treatment blinding and the impact of this on patient and physician expectations.</w:t>
      </w:r>
    </w:p>
    <w:p w:rsidR="00B45437" w:rsidRPr="00B45437" w:rsidRDefault="00125531" w:rsidP="00B45437">
      <w:pPr>
        <w:pStyle w:val="Heading4"/>
      </w:pPr>
      <w:proofErr w:type="gramStart"/>
      <w:r w:rsidRPr="00B45437">
        <w:t>Q</w:t>
      </w:r>
      <w:r w:rsidR="00D06D6E">
        <w:t xml:space="preserve">uestion </w:t>
      </w:r>
      <w:r w:rsidRPr="00B45437">
        <w:t>6.</w:t>
      </w:r>
      <w:proofErr w:type="gramEnd"/>
    </w:p>
    <w:p w:rsidR="00125531" w:rsidRPr="00643F33" w:rsidRDefault="00125531" w:rsidP="00B45437">
      <w:pPr>
        <w:rPr>
          <w:i/>
        </w:rPr>
      </w:pPr>
      <w:r w:rsidRPr="00643F33">
        <w:rPr>
          <w:i/>
        </w:rPr>
        <w:t xml:space="preserve">In the evaluator’s opinion, the efficacy of </w:t>
      </w:r>
      <w:proofErr w:type="spellStart"/>
      <w:r w:rsidRPr="00643F33">
        <w:rPr>
          <w:i/>
        </w:rPr>
        <w:t>etanercept</w:t>
      </w:r>
      <w:proofErr w:type="spellEnd"/>
      <w:r w:rsidRPr="00643F33">
        <w:rPr>
          <w:i/>
        </w:rPr>
        <w:t xml:space="preserve"> appears limited to patients with elevated </w:t>
      </w:r>
      <w:proofErr w:type="spellStart"/>
      <w:r w:rsidRPr="00643F33">
        <w:rPr>
          <w:i/>
        </w:rPr>
        <w:t>hsCRP</w:t>
      </w:r>
      <w:proofErr w:type="spellEnd"/>
      <w:r w:rsidRPr="00643F33">
        <w:rPr>
          <w:i/>
        </w:rPr>
        <w:t xml:space="preserve"> level and possibly also those with greater degree of inflammatory change on MRI of the SI joints. Discuss efficacy in these groups in further detail and whether </w:t>
      </w:r>
      <w:r w:rsidR="006A7E9B" w:rsidRPr="00643F33">
        <w:rPr>
          <w:i/>
        </w:rPr>
        <w:t xml:space="preserve">the sponsor </w:t>
      </w:r>
      <w:r w:rsidRPr="00643F33">
        <w:rPr>
          <w:i/>
        </w:rPr>
        <w:t>believes it would be preferable to target the indication to subgroups with a higher treatment response rate.</w:t>
      </w:r>
    </w:p>
    <w:p w:rsidR="00B45437" w:rsidRPr="00B45437" w:rsidRDefault="00125531" w:rsidP="00B45437">
      <w:pPr>
        <w:pStyle w:val="Heading5"/>
      </w:pPr>
      <w:r w:rsidRPr="00B45437">
        <w:rPr>
          <w:rFonts w:eastAsia="MS Mincho"/>
        </w:rPr>
        <w:t>Sponsor’s response</w:t>
      </w:r>
      <w:r w:rsidRPr="00B45437">
        <w:t>:</w:t>
      </w:r>
    </w:p>
    <w:p w:rsidR="00125531" w:rsidRPr="00B45437" w:rsidRDefault="00125531" w:rsidP="00B45437">
      <w:r w:rsidRPr="00B45437">
        <w:t xml:space="preserve">The study supporting this indication (B1801031) was not designed to show differences in efficacy between patients who had different baseline levels of inflammation as measured by SIJ MRI or serum </w:t>
      </w:r>
      <w:proofErr w:type="spellStart"/>
      <w:r w:rsidRPr="00B45437">
        <w:t>hsCRP</w:t>
      </w:r>
      <w:proofErr w:type="spellEnd"/>
      <w:r w:rsidRPr="00B45437">
        <w:t>. Sub</w:t>
      </w:r>
      <w:r w:rsidR="00643F33">
        <w:t xml:space="preserve"> </w:t>
      </w:r>
      <w:r w:rsidRPr="00B45437">
        <w:t xml:space="preserve">analyses showed that there was no significant interaction between </w:t>
      </w:r>
      <w:proofErr w:type="spellStart"/>
      <w:r w:rsidRPr="00B45437">
        <w:t>hsCRP</w:t>
      </w:r>
      <w:proofErr w:type="spellEnd"/>
      <w:r w:rsidRPr="00B45437">
        <w:t xml:space="preserve"> level (normal versus elevated) and treatment eff</w:t>
      </w:r>
      <w:r w:rsidR="00643F33">
        <w:t xml:space="preserve">ect. When </w:t>
      </w:r>
      <w:proofErr w:type="spellStart"/>
      <w:r w:rsidR="00643F33">
        <w:t>hsCRP</w:t>
      </w:r>
      <w:proofErr w:type="spellEnd"/>
      <w:r w:rsidR="00643F33">
        <w:t xml:space="preserve"> level was analys</w:t>
      </w:r>
      <w:r w:rsidRPr="00B45437">
        <w:t xml:space="preserve">ed as a continuous variable there was a statistically significant relationship between baseline </w:t>
      </w:r>
      <w:proofErr w:type="spellStart"/>
      <w:r w:rsidRPr="00B45437">
        <w:t>hsCRP</w:t>
      </w:r>
      <w:proofErr w:type="spellEnd"/>
      <w:r w:rsidRPr="00B45437">
        <w:t xml:space="preserve"> levels and treatment effect. For SIJ MRI, there was some suggestion that higher levels of inflammation were associated with a greater treatment effect but this relationship did not reach </w:t>
      </w:r>
      <w:r w:rsidRPr="00B45437">
        <w:lastRenderedPageBreak/>
        <w:t xml:space="preserve">statistical significance. Overall there is a suggestion that either elevated baseline </w:t>
      </w:r>
      <w:proofErr w:type="spellStart"/>
      <w:r w:rsidRPr="00B45437">
        <w:t>hsCRP</w:t>
      </w:r>
      <w:proofErr w:type="spellEnd"/>
      <w:r w:rsidRPr="00B45437">
        <w:t xml:space="preserve"> or evidence of SIJ MRI inflammation is associated with a greater treatment effect. </w:t>
      </w:r>
    </w:p>
    <w:p w:rsidR="00B45437" w:rsidRPr="00B45437" w:rsidRDefault="00125531" w:rsidP="00B45437">
      <w:pPr>
        <w:pStyle w:val="Heading5"/>
      </w:pPr>
      <w:r w:rsidRPr="00B45437">
        <w:rPr>
          <w:rFonts w:eastAsia="MS Mincho"/>
        </w:rPr>
        <w:t>Evaluator’s comments</w:t>
      </w:r>
      <w:r w:rsidRPr="00B45437">
        <w:t>:</w:t>
      </w:r>
    </w:p>
    <w:p w:rsidR="00125531" w:rsidRPr="00B45437" w:rsidRDefault="00125531" w:rsidP="00B45437">
      <w:r w:rsidRPr="00B45437">
        <w:t xml:space="preserve">The </w:t>
      </w:r>
      <w:r w:rsidR="00643F33">
        <w:t>s</w:t>
      </w:r>
      <w:r w:rsidRPr="00B45437">
        <w:t>ponsor has altered the indication to limit treatment to patients with ‘elevated CRP and/or MRI change’. It is appropriate to target treatment to those with higher treatment response rates given the risks associated with the product. The evaluator recommends some rewording of this revised indication to fully capture the fact that patients need objective evidence of inflammatory change.</w:t>
      </w:r>
    </w:p>
    <w:p w:rsidR="00543B3A" w:rsidRPr="00543B3A" w:rsidRDefault="00125531" w:rsidP="00543B3A">
      <w:pPr>
        <w:pStyle w:val="Heading4"/>
      </w:pPr>
      <w:proofErr w:type="gramStart"/>
      <w:r w:rsidRPr="00543B3A">
        <w:t>Q</w:t>
      </w:r>
      <w:r w:rsidR="00D06D6E">
        <w:t xml:space="preserve">uestion </w:t>
      </w:r>
      <w:r w:rsidRPr="00543B3A">
        <w:t>7.</w:t>
      </w:r>
      <w:proofErr w:type="gramEnd"/>
    </w:p>
    <w:p w:rsidR="00125531" w:rsidRPr="00403D1D" w:rsidRDefault="00125531" w:rsidP="00543B3A">
      <w:pPr>
        <w:rPr>
          <w:i/>
        </w:rPr>
      </w:pPr>
      <w:r w:rsidRPr="00403D1D">
        <w:rPr>
          <w:i/>
        </w:rPr>
        <w:t xml:space="preserve">For sites in Russia and the Czech Republic only certain questionnaires were translated (BASDAI, BASFI, Subject Assessment of Disease, total pain and nocturnal back pain assessments) resulting in lower numbers in some analyses on health outcomes. Could </w:t>
      </w:r>
      <w:r w:rsidR="006A7E9B" w:rsidRPr="00403D1D">
        <w:rPr>
          <w:i/>
        </w:rPr>
        <w:t xml:space="preserve">the sponsor </w:t>
      </w:r>
      <w:r w:rsidRPr="00403D1D">
        <w:rPr>
          <w:i/>
        </w:rPr>
        <w:t xml:space="preserve">clarify this issue? How many patients did this involve? Can </w:t>
      </w:r>
      <w:r w:rsidR="006A7E9B" w:rsidRPr="00403D1D">
        <w:rPr>
          <w:i/>
        </w:rPr>
        <w:t xml:space="preserve">the sponsor </w:t>
      </w:r>
      <w:r w:rsidRPr="00403D1D">
        <w:rPr>
          <w:i/>
        </w:rPr>
        <w:t>provide assurances that there were no other outcomes which many have been affected by such issues to do with translation or language differences?</w:t>
      </w:r>
    </w:p>
    <w:p w:rsidR="00543B3A" w:rsidRPr="00543B3A" w:rsidRDefault="00125531" w:rsidP="00543B3A">
      <w:pPr>
        <w:pStyle w:val="Heading5"/>
      </w:pPr>
      <w:r w:rsidRPr="00543B3A">
        <w:rPr>
          <w:rFonts w:eastAsia="MS Mincho"/>
        </w:rPr>
        <w:t>Sponsor’s response</w:t>
      </w:r>
      <w:r w:rsidRPr="00543B3A">
        <w:t>:</w:t>
      </w:r>
    </w:p>
    <w:p w:rsidR="00125531" w:rsidRPr="00543B3A" w:rsidRDefault="00125531" w:rsidP="00543B3A">
      <w:r w:rsidRPr="00543B3A">
        <w:t>Study sites in Russia and Czech Republic were initiated late in the enrolment phase. Due to the length of time involved to translate patient-reported outcomes, the decision was made to only translate key questionnaires. Therefore, only the components of the ASAS 40 (primary endpoint) were translated for these 2 countries. There were a total of 29 subjects in these 2 countries (6 in Russia and 23 in Czech Republic) who were randomized into the study. There were no other study/patient documents affected by this decision.</w:t>
      </w:r>
    </w:p>
    <w:p w:rsidR="00543B3A" w:rsidRPr="00543B3A" w:rsidRDefault="00125531" w:rsidP="00543B3A">
      <w:pPr>
        <w:pStyle w:val="Heading5"/>
      </w:pPr>
      <w:r w:rsidRPr="00543B3A">
        <w:rPr>
          <w:rFonts w:eastAsia="MS Mincho"/>
        </w:rPr>
        <w:t>Evaluator’s comments</w:t>
      </w:r>
      <w:r w:rsidRPr="00543B3A">
        <w:t>:</w:t>
      </w:r>
    </w:p>
    <w:p w:rsidR="00125531" w:rsidRPr="00543B3A" w:rsidRDefault="00125531" w:rsidP="00543B3A">
      <w:r w:rsidRPr="00543B3A">
        <w:t>The evaluator accepts the explanation and</w:t>
      </w:r>
      <w:r w:rsidR="00403D1D">
        <w:t>,</w:t>
      </w:r>
      <w:r w:rsidRPr="00543B3A">
        <w:t xml:space="preserve"> as only small numbers were involved and the impact was on secondary outcomes, agrees that the issue would not have a major impact on the results presented.</w:t>
      </w:r>
    </w:p>
    <w:p w:rsidR="00125531" w:rsidRPr="00543B3A" w:rsidRDefault="00125531" w:rsidP="00543B3A">
      <w:pPr>
        <w:pStyle w:val="Heading3"/>
      </w:pPr>
      <w:bookmarkStart w:id="290" w:name="_Toc401067675"/>
      <w:bookmarkStart w:id="291" w:name="_Toc401925013"/>
      <w:bookmarkStart w:id="292" w:name="_Toc433315350"/>
      <w:r w:rsidRPr="00543B3A">
        <w:t>Safety</w:t>
      </w:r>
      <w:bookmarkEnd w:id="290"/>
      <w:bookmarkEnd w:id="291"/>
      <w:bookmarkEnd w:id="292"/>
    </w:p>
    <w:p w:rsidR="00543B3A" w:rsidRPr="00543B3A" w:rsidRDefault="00125531" w:rsidP="00543B3A">
      <w:pPr>
        <w:pStyle w:val="Heading4"/>
      </w:pPr>
      <w:bookmarkStart w:id="293" w:name="_Toc401067676"/>
      <w:proofErr w:type="gramStart"/>
      <w:r w:rsidRPr="00543B3A">
        <w:t>Q</w:t>
      </w:r>
      <w:r w:rsidR="00D06D6E">
        <w:t xml:space="preserve">uestion </w:t>
      </w:r>
      <w:r w:rsidRPr="00543B3A">
        <w:t>1.</w:t>
      </w:r>
      <w:proofErr w:type="gramEnd"/>
    </w:p>
    <w:p w:rsidR="00125531" w:rsidRPr="00403D1D" w:rsidRDefault="00125531" w:rsidP="00543B3A">
      <w:pPr>
        <w:rPr>
          <w:i/>
        </w:rPr>
      </w:pPr>
      <w:r w:rsidRPr="00403D1D">
        <w:rPr>
          <w:i/>
        </w:rPr>
        <w:t>Grade 3 and 4 laboratory test results and liver function tests were reported in the CSR for B1801031. Other laboratory parameters were not reported. Discuss whether there are any other findings of note on clinical chemistry, renal function and haematology in both the double-blind and open label periods of this study.</w:t>
      </w:r>
      <w:bookmarkEnd w:id="293"/>
    </w:p>
    <w:p w:rsidR="00543B3A" w:rsidRPr="00543B3A" w:rsidRDefault="00125531" w:rsidP="00543B3A">
      <w:pPr>
        <w:pStyle w:val="Heading5"/>
        <w:rPr>
          <w:rFonts w:eastAsia="MS Mincho"/>
        </w:rPr>
      </w:pPr>
      <w:r w:rsidRPr="00543B3A">
        <w:rPr>
          <w:rFonts w:eastAsia="MS Mincho"/>
        </w:rPr>
        <w:t>Sponsor’s response:</w:t>
      </w:r>
    </w:p>
    <w:p w:rsidR="00125531" w:rsidRPr="00403D1D" w:rsidRDefault="00125531" w:rsidP="00543B3A">
      <w:pPr>
        <w:rPr>
          <w:i/>
        </w:rPr>
      </w:pPr>
      <w:r w:rsidRPr="00543B3A">
        <w:t xml:space="preserve">Please refer to </w:t>
      </w:r>
      <w:r w:rsidRPr="00403D1D">
        <w:rPr>
          <w:i/>
        </w:rPr>
        <w:t xml:space="preserve">Laboratory Values </w:t>
      </w:r>
      <w:proofErr w:type="gramStart"/>
      <w:r w:rsidRPr="00403D1D">
        <w:rPr>
          <w:i/>
        </w:rPr>
        <w:t>Over</w:t>
      </w:r>
      <w:proofErr w:type="gramEnd"/>
      <w:r w:rsidRPr="00403D1D">
        <w:rPr>
          <w:i/>
        </w:rPr>
        <w:t xml:space="preserve"> Time, </w:t>
      </w:r>
      <w:r w:rsidRPr="00AB3C20">
        <w:t>of the Week 24</w:t>
      </w:r>
      <w:r w:rsidRPr="00543B3A">
        <w:t xml:space="preserve"> for </w:t>
      </w:r>
      <w:r w:rsidR="006A7E9B">
        <w:t>Study B180</w:t>
      </w:r>
      <w:r w:rsidRPr="00543B3A">
        <w:t xml:space="preserve">1031 for the results of analyses of other laboratory parameters. The conclusions presented in this section are the following: </w:t>
      </w:r>
      <w:r w:rsidRPr="00403D1D">
        <w:rPr>
          <w:i/>
        </w:rPr>
        <w:t>In general, in the double-blind and open-label periods, there were isolated and transient mean changes observed in some laboratory parameters; however, there were no persistent or clinical</w:t>
      </w:r>
      <w:r w:rsidR="00543B3A" w:rsidRPr="00403D1D">
        <w:rPr>
          <w:i/>
        </w:rPr>
        <w:t>ly meaningful changes observed.</w:t>
      </w:r>
    </w:p>
    <w:p w:rsidR="00125531" w:rsidRPr="00543B3A" w:rsidRDefault="00125531" w:rsidP="00543B3A">
      <w:r w:rsidRPr="00543B3A">
        <w:t xml:space="preserve">The incidences of laboratory test abnormalities during the double-blind and open-label periods are summarized in </w:t>
      </w:r>
      <w:r w:rsidR="00AB3C20">
        <w:t xml:space="preserve">the study report for the double-blind period and the </w:t>
      </w:r>
      <w:r w:rsidRPr="00543B3A">
        <w:t>open-label period.</w:t>
      </w:r>
    </w:p>
    <w:p w:rsidR="00543B3A" w:rsidRPr="00543B3A" w:rsidRDefault="00125531" w:rsidP="00543B3A">
      <w:pPr>
        <w:pStyle w:val="Heading5"/>
        <w:rPr>
          <w:rFonts w:eastAsia="MS Mincho"/>
        </w:rPr>
      </w:pPr>
      <w:r w:rsidRPr="00543B3A">
        <w:rPr>
          <w:rFonts w:eastAsia="MS Mincho"/>
        </w:rPr>
        <w:t>Evaluator’s comments:</w:t>
      </w:r>
    </w:p>
    <w:p w:rsidR="00125531" w:rsidRPr="00543B3A" w:rsidRDefault="00125531" w:rsidP="00543B3A">
      <w:r w:rsidRPr="00543B3A">
        <w:t>These data have been reviewed and there are no changes evident which alter the safety profile already outlined.</w:t>
      </w:r>
    </w:p>
    <w:p w:rsidR="00125531" w:rsidRPr="00201B74" w:rsidRDefault="00125531" w:rsidP="00403D1D">
      <w:pPr>
        <w:pStyle w:val="Heading3"/>
      </w:pPr>
      <w:bookmarkStart w:id="294" w:name="_Toc433315351"/>
      <w:r w:rsidRPr="00201B74">
        <w:lastRenderedPageBreak/>
        <w:t>Indication</w:t>
      </w:r>
      <w:bookmarkEnd w:id="294"/>
    </w:p>
    <w:p w:rsidR="00125531" w:rsidRPr="009C699F" w:rsidRDefault="00125531" w:rsidP="009C699F">
      <w:r w:rsidRPr="009C699F">
        <w:t xml:space="preserve">Current wording: </w:t>
      </w:r>
    </w:p>
    <w:p w:rsidR="00125531" w:rsidRPr="00403D1D" w:rsidRDefault="00125531" w:rsidP="009C699F">
      <w:pPr>
        <w:rPr>
          <w:i/>
        </w:rPr>
      </w:pPr>
      <w:r w:rsidRPr="00403D1D">
        <w:rPr>
          <w:i/>
        </w:rPr>
        <w:t xml:space="preserve">Axial </w:t>
      </w:r>
      <w:proofErr w:type="spellStart"/>
      <w:r w:rsidRPr="00403D1D">
        <w:rPr>
          <w:i/>
        </w:rPr>
        <w:t>spondyloarthritis</w:t>
      </w:r>
      <w:proofErr w:type="spellEnd"/>
      <w:r w:rsidRPr="00403D1D">
        <w:rPr>
          <w:i/>
        </w:rPr>
        <w:t xml:space="preserve"> </w:t>
      </w:r>
    </w:p>
    <w:p w:rsidR="00125531" w:rsidRPr="00403D1D" w:rsidRDefault="00125531" w:rsidP="009C699F">
      <w:pPr>
        <w:rPr>
          <w:i/>
        </w:rPr>
      </w:pPr>
      <w:r w:rsidRPr="00403D1D">
        <w:rPr>
          <w:i/>
        </w:rPr>
        <w:t xml:space="preserve">Treatment of adults with active non-radiographic axial </w:t>
      </w:r>
      <w:proofErr w:type="spellStart"/>
      <w:r w:rsidRPr="00403D1D">
        <w:rPr>
          <w:i/>
        </w:rPr>
        <w:t>spondyloarthritis</w:t>
      </w:r>
      <w:proofErr w:type="spellEnd"/>
      <w:r w:rsidRPr="00403D1D">
        <w:rPr>
          <w:i/>
        </w:rPr>
        <w:t xml:space="preserve"> who have had an inadequate response to conventional therapy</w:t>
      </w:r>
    </w:p>
    <w:p w:rsidR="00125531" w:rsidRPr="00125531" w:rsidRDefault="009C699F" w:rsidP="004358AA">
      <w:pPr>
        <w:pStyle w:val="Heading4"/>
      </w:pPr>
      <w:r>
        <w:t>Comment:</w:t>
      </w:r>
    </w:p>
    <w:p w:rsidR="00125531" w:rsidRPr="009C699F" w:rsidRDefault="00125531" w:rsidP="004358AA">
      <w:pPr>
        <w:pStyle w:val="ListBullet"/>
        <w:numPr>
          <w:ilvl w:val="0"/>
          <w:numId w:val="0"/>
        </w:numPr>
      </w:pPr>
      <w:r w:rsidRPr="009C699F">
        <w:t>As data have only shown an effect on signs and symptoms of nr-</w:t>
      </w:r>
      <w:proofErr w:type="spellStart"/>
      <w:r w:rsidRPr="009C699F">
        <w:t>AxSpA</w:t>
      </w:r>
      <w:proofErr w:type="spellEnd"/>
      <w:r w:rsidRPr="009C699F">
        <w:t xml:space="preserve"> and there are no data on the effect of </w:t>
      </w:r>
      <w:proofErr w:type="spellStart"/>
      <w:r w:rsidRPr="009C699F">
        <w:t>etanercept</w:t>
      </w:r>
      <w:proofErr w:type="spellEnd"/>
      <w:r w:rsidRPr="009C699F">
        <w:t xml:space="preserve"> on disease progression in this condition, the indication should be limited this fact. Suggested wording is:</w:t>
      </w:r>
    </w:p>
    <w:p w:rsidR="00125531" w:rsidRPr="004358AA" w:rsidRDefault="00125531" w:rsidP="004358AA">
      <w:pPr>
        <w:pStyle w:val="ListBullet2"/>
        <w:numPr>
          <w:ilvl w:val="0"/>
          <w:numId w:val="0"/>
        </w:numPr>
        <w:ind w:left="720" w:hanging="360"/>
        <w:rPr>
          <w:i/>
        </w:rPr>
      </w:pPr>
      <w:r w:rsidRPr="004358AA">
        <w:rPr>
          <w:i/>
        </w:rPr>
        <w:t>Treatment of the signs and symptoms of active</w:t>
      </w:r>
    </w:p>
    <w:p w:rsidR="00125531" w:rsidRPr="009C699F" w:rsidRDefault="00125531" w:rsidP="004358AA">
      <w:pPr>
        <w:pStyle w:val="ListBullet"/>
        <w:numPr>
          <w:ilvl w:val="0"/>
          <w:numId w:val="0"/>
        </w:numPr>
      </w:pPr>
      <w:r w:rsidRPr="009C699F">
        <w:t>Efficacy data are only available for adults under 50 years of age and so do not support an indication which covers all adults.</w:t>
      </w:r>
    </w:p>
    <w:p w:rsidR="00125531" w:rsidRPr="009C699F" w:rsidRDefault="00125531" w:rsidP="004358AA">
      <w:pPr>
        <w:pStyle w:val="ListBullet"/>
        <w:numPr>
          <w:ilvl w:val="0"/>
          <w:numId w:val="0"/>
        </w:numPr>
      </w:pPr>
      <w:r w:rsidRPr="009C699F">
        <w:t>In order to ensure a positive benefit-risk balance treatment should only be given to patients with severe active disease.</w:t>
      </w:r>
    </w:p>
    <w:p w:rsidR="00125531" w:rsidRPr="009C699F" w:rsidRDefault="00125531" w:rsidP="004358AA">
      <w:pPr>
        <w:pStyle w:val="ListBullet"/>
        <w:numPr>
          <w:ilvl w:val="0"/>
          <w:numId w:val="0"/>
        </w:numPr>
      </w:pPr>
      <w:r w:rsidRPr="009C699F">
        <w:t>Consideration should be given to including inadequate response to NSAIDs specifically rather than the term conventional therapy.</w:t>
      </w:r>
    </w:p>
    <w:p w:rsidR="00125531" w:rsidRPr="009C699F" w:rsidRDefault="00125531" w:rsidP="004358AA">
      <w:pPr>
        <w:pStyle w:val="ListBullet"/>
        <w:numPr>
          <w:ilvl w:val="0"/>
          <w:numId w:val="0"/>
        </w:numPr>
      </w:pPr>
      <w:r w:rsidRPr="009C699F">
        <w:t>Patients with objective signs of inflammation such as elevated CRP, or SI joint MRI SPARCC score of ≥</w:t>
      </w:r>
      <w:r w:rsidR="009C699F">
        <w:t xml:space="preserve"> </w:t>
      </w:r>
      <w:r w:rsidRPr="009C699F">
        <w:t xml:space="preserve">2, were the ones who had the more notable positive treatment response. Consideration needs to be given to assessing treatment benefit in a more targeted population (see </w:t>
      </w:r>
      <w:r w:rsidRPr="00943C80">
        <w:rPr>
          <w:i/>
        </w:rPr>
        <w:t xml:space="preserve">Clinical questions </w:t>
      </w:r>
      <w:r w:rsidR="00943C80" w:rsidRPr="00943C80">
        <w:rPr>
          <w:i/>
        </w:rPr>
        <w:t>Efficacy</w:t>
      </w:r>
      <w:r w:rsidRPr="009C699F">
        <w:t>)</w:t>
      </w:r>
      <w:r w:rsidR="00943C80">
        <w:t>.</w:t>
      </w:r>
    </w:p>
    <w:p w:rsidR="009C699F" w:rsidRPr="009C699F" w:rsidRDefault="00125531" w:rsidP="009C699F">
      <w:pPr>
        <w:pStyle w:val="Heading5"/>
      </w:pPr>
      <w:r w:rsidRPr="009C699F">
        <w:rPr>
          <w:rFonts w:eastAsia="MS Mincho"/>
        </w:rPr>
        <w:t>Sponsor’s response</w:t>
      </w:r>
      <w:r w:rsidRPr="009C699F">
        <w:t>:</w:t>
      </w:r>
    </w:p>
    <w:p w:rsidR="00125531" w:rsidRPr="009C699F" w:rsidRDefault="00125531" w:rsidP="009C699F">
      <w:r w:rsidRPr="009C699F">
        <w:t xml:space="preserve">After consideration of the </w:t>
      </w:r>
      <w:r w:rsidR="004358AA" w:rsidRPr="009C699F">
        <w:t xml:space="preserve">clinical evaluator’s </w:t>
      </w:r>
      <w:r w:rsidRPr="009C699F">
        <w:t xml:space="preserve">comments above, </w:t>
      </w:r>
      <w:r w:rsidR="006A7E9B">
        <w:t xml:space="preserve">the sponsor </w:t>
      </w:r>
      <w:r w:rsidRPr="009C699F">
        <w:t>has revised the indication as follows:</w:t>
      </w:r>
    </w:p>
    <w:p w:rsidR="00125531" w:rsidRPr="004358AA" w:rsidRDefault="00125531" w:rsidP="004358AA">
      <w:pPr>
        <w:ind w:left="720"/>
        <w:rPr>
          <w:i/>
        </w:rPr>
      </w:pPr>
      <w:r w:rsidRPr="004358AA">
        <w:rPr>
          <w:i/>
        </w:rPr>
        <w:t xml:space="preserve">Treatment of adults with active non-radiographic axial </w:t>
      </w:r>
      <w:proofErr w:type="spellStart"/>
      <w:r w:rsidRPr="004358AA">
        <w:rPr>
          <w:i/>
        </w:rPr>
        <w:t>spondyloarthritis</w:t>
      </w:r>
      <w:proofErr w:type="spellEnd"/>
      <w:r w:rsidRPr="004358AA">
        <w:rPr>
          <w:i/>
        </w:rPr>
        <w:t xml:space="preserve"> as indicated by elevated C-reactive protein (CRP) and/or MRI change, who have had an inadequate response to NSAIDs.</w:t>
      </w:r>
    </w:p>
    <w:p w:rsidR="00125531" w:rsidRPr="009C699F" w:rsidRDefault="00125531" w:rsidP="009C699F">
      <w:r w:rsidRPr="009C699F">
        <w:t xml:space="preserve">Pfizer acknowledges the recommendation regarding assessing treatment benefit in a more targeted population and has revised the indication </w:t>
      </w:r>
      <w:r w:rsidR="004358AA">
        <w:t>accordingly</w:t>
      </w:r>
      <w:r w:rsidRPr="009C699F">
        <w:t>.</w:t>
      </w:r>
    </w:p>
    <w:p w:rsidR="00125531" w:rsidRPr="009C699F" w:rsidRDefault="00125531" w:rsidP="009C699F">
      <w:r w:rsidRPr="009C699F">
        <w:t>Pfizer agrees with the above recommendation to replace ‘conventional therapy’ with ‘NSAIDs’ in the indication and has revised the PI accordingly.</w:t>
      </w:r>
    </w:p>
    <w:p w:rsidR="00125531" w:rsidRPr="009C699F" w:rsidRDefault="00125531" w:rsidP="009C699F">
      <w:r w:rsidRPr="009C699F">
        <w:t xml:space="preserve">Whilst </w:t>
      </w:r>
      <w:proofErr w:type="spellStart"/>
      <w:r w:rsidR="004358AA">
        <w:t>e</w:t>
      </w:r>
      <w:r w:rsidRPr="009C699F">
        <w:t>tanercept</w:t>
      </w:r>
      <w:proofErr w:type="spellEnd"/>
      <w:r w:rsidRPr="009C699F">
        <w:t xml:space="preserve"> treatment was associated with rapid and significant improvements in the signs and symptoms associated with nr-</w:t>
      </w:r>
      <w:proofErr w:type="spellStart"/>
      <w:r w:rsidRPr="009C699F">
        <w:t>AxSpA</w:t>
      </w:r>
      <w:proofErr w:type="spellEnd"/>
      <w:r w:rsidRPr="009C699F">
        <w:t xml:space="preserve">, treatment outcomes also included significant improvement in physical function and systemic and skeletal inflammation as indicated by the significant decreases in the BASFI, </w:t>
      </w:r>
      <w:proofErr w:type="spellStart"/>
      <w:r w:rsidRPr="009C699F">
        <w:t>hsCRP</w:t>
      </w:r>
      <w:proofErr w:type="spellEnd"/>
      <w:r w:rsidRPr="009C699F">
        <w:t xml:space="preserve">, and MRI scores compared to placebo. Furthermore, this MRI evidence of a decrease in inflammation at the disease sites was analysed using published quantitative and statistical methods. Together, these findings clearly demonstrate that </w:t>
      </w:r>
      <w:r w:rsidR="006A7E9B">
        <w:t>Enbrel</w:t>
      </w:r>
      <w:r w:rsidRPr="009C699F">
        <w:t xml:space="preserve"> modifies the underlying inflammatory process in addition to improving the signs and symptoms of nr-</w:t>
      </w:r>
      <w:proofErr w:type="spellStart"/>
      <w:r w:rsidRPr="009C699F">
        <w:t>AxSpA</w:t>
      </w:r>
      <w:proofErr w:type="spellEnd"/>
      <w:r w:rsidRPr="009C699F">
        <w:t>. Therefore, singular inclusion of ‘signs and symptoms’ in the indication does not entirely reflect the evidence in the Clinical Trials section of the PI and Pfizer does not agree with adding ‘signs and symptoms’ to the indication.</w:t>
      </w:r>
    </w:p>
    <w:p w:rsidR="00125531" w:rsidRPr="009C699F" w:rsidRDefault="00125531" w:rsidP="009C699F">
      <w:r w:rsidRPr="009C699F">
        <w:t>Pfizer does not agree with limiting treatment to adults &lt;</w:t>
      </w:r>
      <w:r w:rsidR="009C699F">
        <w:t xml:space="preserve"> </w:t>
      </w:r>
      <w:r w:rsidRPr="009C699F">
        <w:t xml:space="preserve">50 years of age in the indication. The </w:t>
      </w:r>
      <w:r w:rsidR="004358AA">
        <w:t>s</w:t>
      </w:r>
      <w:r w:rsidRPr="009C699F">
        <w:t xml:space="preserve">ponsor would like to clarify that the age cut off of 50 years was meant as a cut off for entry into the trial, and not as a cut off for treatment with drug. The upper age limit of 50 years for entry into the trial was set because the ASAS age criterion for diagnosis of axial </w:t>
      </w:r>
      <w:proofErr w:type="spellStart"/>
      <w:r w:rsidRPr="009C699F">
        <w:t>spondyloarthritis</w:t>
      </w:r>
      <w:proofErr w:type="spellEnd"/>
      <w:r w:rsidRPr="009C699F">
        <w:t xml:space="preserve"> is 45 </w:t>
      </w:r>
      <w:r w:rsidRPr="009C699F">
        <w:lastRenderedPageBreak/>
        <w:t>years maximum for onset of symptoms.</w:t>
      </w:r>
      <w:r w:rsidR="007D516D">
        <w:rPr>
          <w:rStyle w:val="FootnoteReference"/>
        </w:rPr>
        <w:footnoteReference w:id="23"/>
      </w:r>
      <w:r w:rsidRPr="009C699F">
        <w:t xml:space="preserve"> The ASAS criteria, taken with the study eligibility criteria of disease duration &lt;</w:t>
      </w:r>
      <w:r w:rsidR="009C699F">
        <w:t xml:space="preserve"> </w:t>
      </w:r>
      <w:r w:rsidRPr="009C699F">
        <w:t>5 years, resulted in the age limit of 50 years for entry into the study. This is an important measure to ensure that the study captures a true nr-</w:t>
      </w:r>
      <w:proofErr w:type="spellStart"/>
      <w:r w:rsidRPr="009C699F">
        <w:t>axSpA</w:t>
      </w:r>
      <w:proofErr w:type="spellEnd"/>
      <w:r w:rsidRPr="009C699F">
        <w:t xml:space="preserve"> population as defined by the ASAS criteria. Pfizer believes that the underlying pathological process of the disease does not change after the age of 50 years. Based on the pharmacokinetics of </w:t>
      </w:r>
      <w:proofErr w:type="spellStart"/>
      <w:r w:rsidRPr="009C699F">
        <w:t>etanercept</w:t>
      </w:r>
      <w:proofErr w:type="spellEnd"/>
      <w:r w:rsidRPr="009C699F">
        <w:t xml:space="preserve"> and adult experience in other indications, no difference is expected in the use of </w:t>
      </w:r>
      <w:r w:rsidR="006A7E9B">
        <w:t>Enbrel</w:t>
      </w:r>
      <w:r w:rsidRPr="009C699F">
        <w:t xml:space="preserve"> to treat nr-</w:t>
      </w:r>
      <w:proofErr w:type="spellStart"/>
      <w:r w:rsidRPr="009C699F">
        <w:t>AxSpA</w:t>
      </w:r>
      <w:proofErr w:type="spellEnd"/>
      <w:r w:rsidRPr="009C699F">
        <w:t xml:space="preserve"> in patients</w:t>
      </w:r>
      <w:r w:rsidR="004358AA">
        <w:t xml:space="preserve"> that are</w:t>
      </w:r>
      <w:r w:rsidRPr="009C699F">
        <w:t xml:space="preserve"> ≥</w:t>
      </w:r>
      <w:r w:rsidR="009C699F">
        <w:t xml:space="preserve"> </w:t>
      </w:r>
      <w:r w:rsidRPr="009C699F">
        <w:t>50 years compared to patients &lt;</w:t>
      </w:r>
      <w:r w:rsidR="009C699F">
        <w:t xml:space="preserve"> </w:t>
      </w:r>
      <w:r w:rsidRPr="009C699F">
        <w:t xml:space="preserve">50 years of age. Population pharmacokinetic analyses have shown that there is no effect of diagnosis on the pharmacokinetics of </w:t>
      </w:r>
      <w:proofErr w:type="spellStart"/>
      <w:r w:rsidRPr="009C699F">
        <w:t>etanercept</w:t>
      </w:r>
      <w:proofErr w:type="spellEnd"/>
      <w:r w:rsidRPr="009C699F">
        <w:t xml:space="preserve"> in adults.</w:t>
      </w:r>
      <w:r w:rsidR="007D516D">
        <w:rPr>
          <w:rStyle w:val="FootnoteReference"/>
        </w:rPr>
        <w:footnoteReference w:id="24"/>
      </w:r>
      <w:r w:rsidRPr="009C699F">
        <w:t xml:space="preserve"> Furthermore, the observation that there is no effect of age on </w:t>
      </w:r>
      <w:proofErr w:type="spellStart"/>
      <w:r w:rsidRPr="009C699F">
        <w:t>etanercept</w:t>
      </w:r>
      <w:proofErr w:type="spellEnd"/>
      <w:r w:rsidRPr="009C699F">
        <w:t xml:space="preserve"> pharmacokinetics in adults with rheumatoid arthritis</w:t>
      </w:r>
      <w:r w:rsidR="007D516D">
        <w:rPr>
          <w:rStyle w:val="FootnoteReference"/>
        </w:rPr>
        <w:footnoteReference w:id="25"/>
      </w:r>
      <w:r w:rsidRPr="009C699F">
        <w:t xml:space="preserve"> can reasonably be extrapolated to patients with nr-</w:t>
      </w:r>
      <w:proofErr w:type="spellStart"/>
      <w:r w:rsidRPr="009C699F">
        <w:t>AxSpA</w:t>
      </w:r>
      <w:proofErr w:type="spellEnd"/>
      <w:r w:rsidRPr="009C699F">
        <w:t>.</w:t>
      </w:r>
    </w:p>
    <w:p w:rsidR="00125531" w:rsidRPr="009C699F" w:rsidRDefault="00125531" w:rsidP="009C699F">
      <w:r w:rsidRPr="009C699F">
        <w:t>Pfizer does not agree with the recommendation to revise the indication to ‘severe’ active disease, but accepts that including a description in the PI of the level of nr-</w:t>
      </w:r>
      <w:proofErr w:type="spellStart"/>
      <w:r w:rsidRPr="009C699F">
        <w:t>axSpA</w:t>
      </w:r>
      <w:proofErr w:type="spellEnd"/>
      <w:r w:rsidRPr="009C699F">
        <w:t xml:space="preserve"> disease is useful and appropriate. Pfizer proposes to accept the evaluator’s request to revise the Clinical Trials section of the PI to define ‘active’ disease as a baseline BASDAI score of ≥4, which is more clinically meaningful to physicians, rather than include ‘severe’ in the indication (please see the revised PI). The BASDAI score is the most accurate descriptor of the level of disease according to the study criteria, rather than ‘severe’, and addresses the evaluator’s rationale of ensuring positive benefit-risk balance for treatment. The BASDAI scale further clarifies </w:t>
      </w:r>
      <w:r w:rsidR="00C93718">
        <w:t>‘</w:t>
      </w:r>
      <w:r w:rsidRPr="007D516D">
        <w:rPr>
          <w:i/>
        </w:rPr>
        <w:t>Scores of 4 or greater suggest suboptimal control of disease, and patients with scores of 4 or greater are usually good candidates for either a change in their medical therapy or for enrolment in clinical trials</w:t>
      </w:r>
      <w:r w:rsidRPr="009C699F">
        <w:t>...</w:t>
      </w:r>
      <w:proofErr w:type="gramStart"/>
      <w:r w:rsidR="00C93718">
        <w:t>’</w:t>
      </w:r>
      <w:r w:rsidR="007D516D">
        <w:t>.</w:t>
      </w:r>
      <w:proofErr w:type="gramEnd"/>
      <w:r w:rsidR="007D516D">
        <w:rPr>
          <w:rStyle w:val="FootnoteReference"/>
        </w:rPr>
        <w:footnoteReference w:id="26"/>
      </w:r>
    </w:p>
    <w:p w:rsidR="00125531" w:rsidRPr="009C699F" w:rsidRDefault="00125531" w:rsidP="009C699F">
      <w:pPr>
        <w:pStyle w:val="Heading5"/>
      </w:pPr>
      <w:r w:rsidRPr="009C699F">
        <w:t>Evaluator’s comments:</w:t>
      </w:r>
    </w:p>
    <w:p w:rsidR="00125531" w:rsidRPr="009C699F" w:rsidRDefault="00125531" w:rsidP="009C699F">
      <w:r w:rsidRPr="009C699F">
        <w:t xml:space="preserve">Regarding inadequate response prior treatment, </w:t>
      </w:r>
      <w:r w:rsidR="006A7E9B">
        <w:t xml:space="preserve">the sponsor </w:t>
      </w:r>
      <w:r w:rsidRPr="009C699F">
        <w:t>has agreed to chang</w:t>
      </w:r>
      <w:r w:rsidR="004358AA">
        <w:t>e</w:t>
      </w:r>
      <w:r w:rsidRPr="009C699F">
        <w:t xml:space="preserve"> the words </w:t>
      </w:r>
      <w:r w:rsidR="00C93718">
        <w:t>‘</w:t>
      </w:r>
      <w:r w:rsidRPr="009C699F">
        <w:t>conventional therapy</w:t>
      </w:r>
      <w:r w:rsidR="00C93718">
        <w:t>’</w:t>
      </w:r>
      <w:r w:rsidRPr="009C699F">
        <w:t xml:space="preserve"> to </w:t>
      </w:r>
      <w:r w:rsidR="00C93718">
        <w:t>‘</w:t>
      </w:r>
      <w:r w:rsidRPr="009C699F">
        <w:t>NSAIDs</w:t>
      </w:r>
      <w:r w:rsidR="00C93718">
        <w:t>’</w:t>
      </w:r>
      <w:r w:rsidRPr="009C699F">
        <w:t>.</w:t>
      </w:r>
    </w:p>
    <w:p w:rsidR="00125531" w:rsidRPr="009C699F" w:rsidRDefault="00125531" w:rsidP="009C699F">
      <w:r w:rsidRPr="009C699F">
        <w:t xml:space="preserve">The </w:t>
      </w:r>
      <w:r w:rsidR="004358AA">
        <w:t>s</w:t>
      </w:r>
      <w:r w:rsidRPr="009C699F">
        <w:t xml:space="preserve">ponsor has agreed to limit the patient population to those with elevated CRP and/or MRI change. This is acceptable however the evaluator believes that the wording in the EU indication is more specific and appropriate as it states that the treatment needs to be in patients with </w:t>
      </w:r>
      <w:r w:rsidR="00C93718">
        <w:t>‘</w:t>
      </w:r>
      <w:r w:rsidRPr="004358AA">
        <w:rPr>
          <w:i/>
        </w:rPr>
        <w:t>objective signs of inflammation as indicated by elevated C-reactive protein (CRP) and/or magnetic resonance imaging (MRI) evidence</w:t>
      </w:r>
      <w:r w:rsidR="00C93718" w:rsidRPr="004358AA">
        <w:rPr>
          <w:i/>
        </w:rPr>
        <w:t>’</w:t>
      </w:r>
      <w:r w:rsidRPr="009C699F">
        <w:t>. This more specific wording relating to inflammatory changes should be included in the Australian indication.</w:t>
      </w:r>
    </w:p>
    <w:p w:rsidR="00125531" w:rsidRPr="009C699F" w:rsidRDefault="00125531" w:rsidP="009C699F">
      <w:r w:rsidRPr="009C699F">
        <w:t xml:space="preserve">The evaluator accepts the </w:t>
      </w:r>
      <w:r w:rsidR="004358AA">
        <w:t>s</w:t>
      </w:r>
      <w:r w:rsidRPr="009C699F">
        <w:t xml:space="preserve">ponsor’s argument not to include the words </w:t>
      </w:r>
      <w:r w:rsidR="00C93718">
        <w:t>‘</w:t>
      </w:r>
      <w:r w:rsidRPr="009C699F">
        <w:t>signs and symptoms</w:t>
      </w:r>
      <w:r w:rsidR="00C93718">
        <w:t>’</w:t>
      </w:r>
      <w:r w:rsidRPr="009C699F">
        <w:t xml:space="preserve"> in the indication.</w:t>
      </w:r>
    </w:p>
    <w:p w:rsidR="00125531" w:rsidRPr="009C699F" w:rsidRDefault="00125531" w:rsidP="009C699F">
      <w:r w:rsidRPr="009C699F">
        <w:t xml:space="preserve">The evaluator still believes that treatment should be limited to adults with severe disease as the risk profile of the product is too great for it to be indicated in a mild to moderate level of disease. It is noted in the EU the indication is </w:t>
      </w:r>
      <w:r w:rsidR="00C93718">
        <w:t>‘</w:t>
      </w:r>
      <w:r w:rsidRPr="009C699F">
        <w:t>treatment of adults with severe</w:t>
      </w:r>
      <w:r w:rsidR="00C93718">
        <w:t>’</w:t>
      </w:r>
      <w:r w:rsidRPr="009C699F">
        <w:t xml:space="preserve"> nr-</w:t>
      </w:r>
      <w:proofErr w:type="spellStart"/>
      <w:r w:rsidRPr="009C699F">
        <w:t>AxSpA</w:t>
      </w:r>
      <w:proofErr w:type="spellEnd"/>
      <w:r w:rsidRPr="009C699F">
        <w:t xml:space="preserve">. It is accepted that </w:t>
      </w:r>
      <w:r w:rsidR="00C93718">
        <w:t>‘</w:t>
      </w:r>
      <w:r w:rsidRPr="009C699F">
        <w:t>severe</w:t>
      </w:r>
      <w:r w:rsidR="00C93718">
        <w:t>’</w:t>
      </w:r>
      <w:r w:rsidRPr="009C699F">
        <w:t xml:space="preserve"> may not be as relevant to rheumatologists as BASDAI score. Therefore, it is recommended to include the BASDAI definition of </w:t>
      </w:r>
      <w:r w:rsidR="00C93718">
        <w:t>‘</w:t>
      </w:r>
      <w:r w:rsidRPr="009C699F">
        <w:t>active</w:t>
      </w:r>
      <w:r w:rsidR="00C93718">
        <w:t>’</w:t>
      </w:r>
      <w:r w:rsidRPr="009C699F">
        <w:t xml:space="preserve"> (</w:t>
      </w:r>
      <w:r w:rsidR="004358AA">
        <w:t>≥</w:t>
      </w:r>
      <w:r w:rsidR="009C699F">
        <w:t xml:space="preserve"> </w:t>
      </w:r>
      <w:r w:rsidRPr="009C699F">
        <w:t>4) with the indication.</w:t>
      </w:r>
    </w:p>
    <w:p w:rsidR="00125531" w:rsidRPr="009C699F" w:rsidRDefault="00125531" w:rsidP="009C699F">
      <w:r w:rsidRPr="009C699F">
        <w:t xml:space="preserve">The evaluator accepts the argument for leaving the indication for </w:t>
      </w:r>
      <w:r w:rsidR="00C93718">
        <w:t>‘</w:t>
      </w:r>
      <w:r w:rsidRPr="009C699F">
        <w:t>adults</w:t>
      </w:r>
      <w:r w:rsidR="00C93718">
        <w:t>’</w:t>
      </w:r>
      <w:r w:rsidRPr="009C699F">
        <w:t xml:space="preserve"> however a statement should be included in the PI (Precautions: Use in the Elderly) that there are no data on the use of </w:t>
      </w:r>
      <w:proofErr w:type="spellStart"/>
      <w:r w:rsidRPr="009C699F">
        <w:t>etanercept</w:t>
      </w:r>
      <w:proofErr w:type="spellEnd"/>
      <w:r w:rsidRPr="009C699F">
        <w:t xml:space="preserve"> in patients 50 years or older with nr-</w:t>
      </w:r>
      <w:proofErr w:type="spellStart"/>
      <w:r w:rsidRPr="009C699F">
        <w:t>AxSpA</w:t>
      </w:r>
      <w:proofErr w:type="spellEnd"/>
      <w:r w:rsidRPr="009C699F">
        <w:t xml:space="preserve"> (see Q4 below).</w:t>
      </w:r>
    </w:p>
    <w:p w:rsidR="00C618F7" w:rsidRPr="009C699F" w:rsidRDefault="00C618F7" w:rsidP="00C618F7">
      <w:pPr>
        <w:pStyle w:val="Heading2"/>
      </w:pPr>
      <w:bookmarkStart w:id="295" w:name="_Toc433315352"/>
      <w:r w:rsidRPr="009C699F">
        <w:lastRenderedPageBreak/>
        <w:t>Second round benefit-risk assessment</w:t>
      </w:r>
      <w:bookmarkEnd w:id="295"/>
    </w:p>
    <w:p w:rsidR="009C699F" w:rsidRPr="009C699F" w:rsidRDefault="009C699F" w:rsidP="009C699F">
      <w:pPr>
        <w:pStyle w:val="Heading3"/>
      </w:pPr>
      <w:bookmarkStart w:id="296" w:name="_Toc272414709"/>
      <w:bookmarkStart w:id="297" w:name="_Toc290846349"/>
      <w:bookmarkStart w:id="298" w:name="_Toc401925016"/>
      <w:bookmarkStart w:id="299" w:name="_Toc433315353"/>
      <w:r w:rsidRPr="009C699F">
        <w:t>Second round assessment of benefits</w:t>
      </w:r>
      <w:bookmarkEnd w:id="296"/>
      <w:bookmarkEnd w:id="297"/>
      <w:bookmarkEnd w:id="298"/>
      <w:bookmarkEnd w:id="299"/>
    </w:p>
    <w:p w:rsidR="009C699F" w:rsidRPr="009C699F" w:rsidRDefault="009C699F" w:rsidP="009C699F">
      <w:r w:rsidRPr="009C699F">
        <w:t xml:space="preserve">After consideration of the responses to clinical questions, the benefits of </w:t>
      </w:r>
      <w:proofErr w:type="spellStart"/>
      <w:r w:rsidRPr="009C699F">
        <w:t>etanercept</w:t>
      </w:r>
      <w:proofErr w:type="spellEnd"/>
      <w:r w:rsidRPr="009C699F">
        <w:t xml:space="preserve"> in the proposed usage are unchanged from those identified in </w:t>
      </w:r>
      <w:r w:rsidR="009E5AA9">
        <w:t>the First round evaluation</w:t>
      </w:r>
      <w:r w:rsidRPr="009C699F">
        <w:t>.</w:t>
      </w:r>
    </w:p>
    <w:p w:rsidR="009C699F" w:rsidRPr="009C699F" w:rsidRDefault="009C699F" w:rsidP="009C699F">
      <w:pPr>
        <w:pStyle w:val="Heading3"/>
      </w:pPr>
      <w:bookmarkStart w:id="300" w:name="_Toc272414710"/>
      <w:bookmarkStart w:id="301" w:name="_Toc290846350"/>
      <w:bookmarkStart w:id="302" w:name="_Toc401925017"/>
      <w:bookmarkStart w:id="303" w:name="_Toc433315354"/>
      <w:r w:rsidRPr="009C699F">
        <w:t>Second round assessment of risks</w:t>
      </w:r>
      <w:bookmarkEnd w:id="300"/>
      <w:bookmarkEnd w:id="301"/>
      <w:bookmarkEnd w:id="302"/>
      <w:bookmarkEnd w:id="303"/>
    </w:p>
    <w:p w:rsidR="009C699F" w:rsidRPr="009C699F" w:rsidRDefault="009C699F" w:rsidP="009C699F">
      <w:r w:rsidRPr="009C699F">
        <w:t xml:space="preserve">After consideration of the responses to clinical questions, the risks of </w:t>
      </w:r>
      <w:proofErr w:type="spellStart"/>
      <w:r w:rsidRPr="009C699F">
        <w:t>etanercept</w:t>
      </w:r>
      <w:proofErr w:type="spellEnd"/>
      <w:r w:rsidRPr="009C699F">
        <w:t xml:space="preserve"> in the proposed usage are unchanged from those identified in </w:t>
      </w:r>
      <w:r w:rsidR="009E5AA9">
        <w:t>the First round evaluation</w:t>
      </w:r>
      <w:r w:rsidRPr="009C699F">
        <w:t>.</w:t>
      </w:r>
    </w:p>
    <w:p w:rsidR="009C699F" w:rsidRPr="009C699F" w:rsidRDefault="009C699F" w:rsidP="009C699F">
      <w:pPr>
        <w:pStyle w:val="Heading3"/>
      </w:pPr>
      <w:bookmarkStart w:id="304" w:name="_Toc272414711"/>
      <w:bookmarkStart w:id="305" w:name="_Toc290846351"/>
      <w:bookmarkStart w:id="306" w:name="_Toc401925018"/>
      <w:bookmarkStart w:id="307" w:name="_Toc433315355"/>
      <w:r w:rsidRPr="009C699F">
        <w:t>Second round assessment of benefit-risk balance</w:t>
      </w:r>
      <w:bookmarkEnd w:id="304"/>
      <w:bookmarkEnd w:id="305"/>
      <w:bookmarkEnd w:id="306"/>
      <w:bookmarkEnd w:id="307"/>
    </w:p>
    <w:p w:rsidR="009C699F" w:rsidRPr="009C699F" w:rsidRDefault="009C699F" w:rsidP="009C699F">
      <w:r w:rsidRPr="009C699F">
        <w:t xml:space="preserve">After the first round evaluation there were a number of issues which led the evaluator to conclude the benefit-risk balance for </w:t>
      </w:r>
      <w:proofErr w:type="spellStart"/>
      <w:r w:rsidRPr="009C699F">
        <w:t>etanercept</w:t>
      </w:r>
      <w:proofErr w:type="spellEnd"/>
      <w:r w:rsidRPr="009C699F">
        <w:t xml:space="preserve"> was not favourable. The </w:t>
      </w:r>
      <w:r w:rsidR="009E5AA9">
        <w:t>s</w:t>
      </w:r>
      <w:r w:rsidRPr="009C699F">
        <w:t xml:space="preserve">ponsor’s response has addressed a number of the concerns which were discussed in </w:t>
      </w:r>
      <w:r w:rsidR="009E5AA9">
        <w:t>the First round benefit-risk balance</w:t>
      </w:r>
    </w:p>
    <w:p w:rsidR="009C699F" w:rsidRPr="009C699F" w:rsidRDefault="009C699F" w:rsidP="009C699F">
      <w:r w:rsidRPr="009C699F">
        <w:t>All subjects were required to have screening X-rays of the SI joints. Historical X-rays of the SI joints could be used instead but needed to be obtained within 4 months of the screening visit. All X-rays, including historical ones, were sent for central reading. In Germany only, historical X-rays could be obtained with 12 months of screening. If screening X-rays were not evaluable, they were repeated. All MRIs were conducted locally but read by a central reader.</w:t>
      </w:r>
    </w:p>
    <w:p w:rsidR="009C699F" w:rsidRPr="009C699F" w:rsidRDefault="009C699F" w:rsidP="009C699F">
      <w:r w:rsidRPr="009C699F">
        <w:t xml:space="preserve">As </w:t>
      </w:r>
      <w:r w:rsidR="006A7E9B">
        <w:t xml:space="preserve">the sponsor </w:t>
      </w:r>
      <w:r w:rsidRPr="009C699F">
        <w:t xml:space="preserve">explained in the response (Q1 Efficacy), there were 18 (8%) of the 225 subjects who were included on historical X-rays with a range of up to 96 days prior to screening. From this, it is assumed that 207 patients had their X-rays for inclusion taken during the screening period. As these data could not be located in the clinical study report, </w:t>
      </w:r>
      <w:r w:rsidR="006A7E9B">
        <w:t xml:space="preserve">the sponsor </w:t>
      </w:r>
      <w:r w:rsidRPr="009C699F">
        <w:t xml:space="preserve">has been asked to verify if these are correct assumptions. It is noted that the inclusion criteria were more stringent in terms of </w:t>
      </w:r>
      <w:proofErr w:type="spellStart"/>
      <w:r w:rsidRPr="009C699F">
        <w:t>sacroiliitis</w:t>
      </w:r>
      <w:proofErr w:type="spellEnd"/>
      <w:r w:rsidRPr="009C699F">
        <w:t xml:space="preserve"> changes for these historical X-rays to ensure progression to AS had not occurred in the intervening period.</w:t>
      </w:r>
    </w:p>
    <w:p w:rsidR="009C699F" w:rsidRPr="009C699F" w:rsidRDefault="009C699F" w:rsidP="009E5AA9">
      <w:r w:rsidRPr="009C699F">
        <w:t xml:space="preserve">The study included axial </w:t>
      </w:r>
      <w:proofErr w:type="spellStart"/>
      <w:r w:rsidRPr="009C699F">
        <w:t>SpA</w:t>
      </w:r>
      <w:proofErr w:type="spellEnd"/>
      <w:r w:rsidRPr="009C699F">
        <w:t xml:space="preserve"> patients (by the ASAS criteria) who were not severe enough to be diagnosed with AS on X-ray (as per the modified NY criteria for AS: </w:t>
      </w:r>
      <w:proofErr w:type="spellStart"/>
      <w:r w:rsidRPr="009C699F">
        <w:t>sacroiliitis</w:t>
      </w:r>
      <w:proofErr w:type="spellEnd"/>
      <w:r w:rsidRPr="009C699F">
        <w:t xml:space="preserve"> </w:t>
      </w:r>
      <w:r w:rsidR="00C93718">
        <w:t>Grade 3</w:t>
      </w:r>
      <w:r w:rsidR="009E5AA9">
        <w:t xml:space="preserve">-4 unilaterally or </w:t>
      </w:r>
      <w:r w:rsidR="009E5AA9" w:rsidRPr="00943C80">
        <w:t>G</w:t>
      </w:r>
      <w:r w:rsidRPr="00943C80">
        <w:t>rade ≥ 2 bilaterally</w:t>
      </w:r>
      <w:r w:rsidRPr="00943C80">
        <w:rPr>
          <w:vertAlign w:val="superscript"/>
        </w:rPr>
        <w:footnoteReference w:id="27"/>
      </w:r>
      <w:r w:rsidRPr="00943C80">
        <w:t>). Of the</w:t>
      </w:r>
      <w:r w:rsidRPr="009C699F">
        <w:t xml:space="preserve"> 369 SI joint X-rays read centrally, 71 were found to have AS by the modified NY criteria and excluded (Grade 2 bilateral</w:t>
      </w:r>
      <w:r>
        <w:t xml:space="preserve"> </w:t>
      </w:r>
      <w:r w:rsidRPr="009C699F">
        <w:t>=</w:t>
      </w:r>
      <w:r>
        <w:t xml:space="preserve"> </w:t>
      </w:r>
      <w:r w:rsidRPr="009C699F">
        <w:t>25; Grade 3 bilateral</w:t>
      </w:r>
      <w:r>
        <w:t xml:space="preserve"> </w:t>
      </w:r>
      <w:r w:rsidRPr="009C699F">
        <w:t>=</w:t>
      </w:r>
      <w:r>
        <w:t xml:space="preserve"> </w:t>
      </w:r>
      <w:r w:rsidRPr="009C699F">
        <w:t>12; Grade 4 bilateral</w:t>
      </w:r>
      <w:r>
        <w:t xml:space="preserve"> </w:t>
      </w:r>
      <w:r w:rsidRPr="009C699F">
        <w:t>=</w:t>
      </w:r>
      <w:r>
        <w:t xml:space="preserve"> </w:t>
      </w:r>
      <w:r w:rsidRPr="009C699F">
        <w:t>1; Grade 3 unilateral</w:t>
      </w:r>
      <w:r>
        <w:t xml:space="preserve"> </w:t>
      </w:r>
      <w:r w:rsidRPr="009C699F">
        <w:t>=</w:t>
      </w:r>
      <w:r>
        <w:t xml:space="preserve"> </w:t>
      </w:r>
      <w:r w:rsidRPr="009C699F">
        <w:t>29; Grade 4 unilateral</w:t>
      </w:r>
      <w:r>
        <w:t xml:space="preserve"> </w:t>
      </w:r>
      <w:r w:rsidRPr="009C699F">
        <w:t>=</w:t>
      </w:r>
      <w:r>
        <w:t xml:space="preserve"> </w:t>
      </w:r>
      <w:r w:rsidRPr="009C699F">
        <w:t xml:space="preserve">4). There were a further 73 subjects excluded from the trial for other reasons. This resulted in 225 subjects randomised (224 treated) with 111 and 113 in the </w:t>
      </w:r>
      <w:proofErr w:type="spellStart"/>
      <w:r w:rsidRPr="009C699F">
        <w:t>etanercept</w:t>
      </w:r>
      <w:proofErr w:type="spellEnd"/>
      <w:r w:rsidRPr="009C699F">
        <w:t xml:space="preserve"> and placebo groups respectively. There were a further 10 (4.4%) subjects excluded as they were found not to meet the ASAS criteria, leaving the </w:t>
      </w:r>
      <w:proofErr w:type="spellStart"/>
      <w:r w:rsidRPr="009C699F">
        <w:t>mITT</w:t>
      </w:r>
      <w:proofErr w:type="spellEnd"/>
      <w:r w:rsidRPr="009C699F">
        <w:t xml:space="preserve"> population with 106 and 109 </w:t>
      </w:r>
      <w:proofErr w:type="spellStart"/>
      <w:r w:rsidRPr="009C699F">
        <w:t>etanercept</w:t>
      </w:r>
      <w:proofErr w:type="spellEnd"/>
      <w:r w:rsidRPr="009C699F">
        <w:t xml:space="preserve"> and placebo treated subjects, respectively. The trial population was also noted to have more males than females (60:40) which is what would be expected in an early AS population.</w:t>
      </w:r>
    </w:p>
    <w:p w:rsidR="009C699F" w:rsidRPr="009C699F" w:rsidRDefault="009C699F" w:rsidP="009E5AA9">
      <w:r w:rsidRPr="009C699F">
        <w:t>The evaluator finds that classification of patients in this trial has been thorough and the X-rays were read centrally to ensure consistency. Given these facts, there is no evidence to suggest that the trial has inadvertently included patients with AS or that the results could have been driven by inclusion of the more severe AS population.</w:t>
      </w:r>
    </w:p>
    <w:p w:rsidR="009C699F" w:rsidRPr="009C699F" w:rsidRDefault="009C699F" w:rsidP="009C699F">
      <w:r w:rsidRPr="009C699F">
        <w:lastRenderedPageBreak/>
        <w:t xml:space="preserve">The terminology </w:t>
      </w:r>
      <w:r w:rsidR="00C93718">
        <w:t>‘</w:t>
      </w:r>
      <w:r w:rsidRPr="009C699F">
        <w:t>non-radiographic</w:t>
      </w:r>
      <w:r w:rsidR="00C93718">
        <w:t>’</w:t>
      </w:r>
      <w:r w:rsidRPr="009C699F">
        <w:t xml:space="preserve"> for the subgroup of axial </w:t>
      </w:r>
      <w:proofErr w:type="spellStart"/>
      <w:r w:rsidRPr="009C699F">
        <w:t>spondyloarthritis</w:t>
      </w:r>
      <w:proofErr w:type="spellEnd"/>
      <w:r w:rsidRPr="009C699F">
        <w:t xml:space="preserve"> is perhaps confusing as it implies there should be no changes on radiology whereas the trial population could have </w:t>
      </w:r>
      <w:proofErr w:type="spellStart"/>
      <w:r w:rsidRPr="009C699F">
        <w:t>sacroiliitis</w:t>
      </w:r>
      <w:proofErr w:type="spellEnd"/>
      <w:r w:rsidRPr="009C699F">
        <w:t xml:space="preserve"> on screening X-ray of either </w:t>
      </w:r>
      <w:r w:rsidR="009E5AA9">
        <w:t>G</w:t>
      </w:r>
      <w:r w:rsidRPr="009C699F">
        <w:t xml:space="preserve">rades 0, 1 or 2 unilaterally or </w:t>
      </w:r>
      <w:r w:rsidR="009E5AA9">
        <w:t>G</w:t>
      </w:r>
      <w:r w:rsidRPr="009C699F">
        <w:t>rades 0 or</w:t>
      </w:r>
      <w:r w:rsidR="009E5AA9">
        <w:t xml:space="preserve"> </w:t>
      </w:r>
      <w:r w:rsidRPr="009C699F">
        <w:t xml:space="preserve">1 bilaterally (or if historical X-rays were used, the grading requirement was lower at 0-1 unilaterally or </w:t>
      </w:r>
      <w:r w:rsidR="009E5AA9">
        <w:t>G</w:t>
      </w:r>
      <w:r w:rsidRPr="009C699F">
        <w:t xml:space="preserve">rade 0 bilaterally). This is presumably because only </w:t>
      </w:r>
      <w:r w:rsidR="00C93718">
        <w:t>Grade 2</w:t>
      </w:r>
      <w:r w:rsidRPr="009C699F">
        <w:t xml:space="preserve"> or higher bilaterally, or </w:t>
      </w:r>
      <w:r w:rsidR="00C93718">
        <w:t>Grade 3</w:t>
      </w:r>
      <w:r w:rsidRPr="009C699F">
        <w:t xml:space="preserve"> or higher unilaterally, is regarded as positive evidence of radiographic </w:t>
      </w:r>
      <w:proofErr w:type="spellStart"/>
      <w:r w:rsidRPr="009C699F">
        <w:t>sacroiliitis</w:t>
      </w:r>
      <w:proofErr w:type="spellEnd"/>
      <w:r w:rsidRPr="009C699F">
        <w:t xml:space="preserve">. In addition, the ASAS criteria allow for subjects to be classified by </w:t>
      </w:r>
      <w:r w:rsidR="00C93718">
        <w:t>‘</w:t>
      </w:r>
      <w:r w:rsidRPr="009C699F">
        <w:t>imaging criteria</w:t>
      </w:r>
      <w:r w:rsidR="00C93718">
        <w:t>’</w:t>
      </w:r>
      <w:r w:rsidRPr="009C699F">
        <w:t xml:space="preserve"> of at least one </w:t>
      </w:r>
      <w:proofErr w:type="spellStart"/>
      <w:r w:rsidRPr="009C699F">
        <w:t>SpA</w:t>
      </w:r>
      <w:proofErr w:type="spellEnd"/>
      <w:r w:rsidRPr="009C699F">
        <w:t xml:space="preserve"> feature and </w:t>
      </w:r>
      <w:proofErr w:type="spellStart"/>
      <w:r w:rsidRPr="009C699F">
        <w:t>sacroiliitis</w:t>
      </w:r>
      <w:proofErr w:type="spellEnd"/>
      <w:r w:rsidRPr="009C699F">
        <w:t xml:space="preserve"> on MRI. In the submitted study, 80% of subjects met th</w:t>
      </w:r>
      <w:r w:rsidR="009E5AA9">
        <w:t>e</w:t>
      </w:r>
      <w:r w:rsidRPr="009C699F">
        <w:t xml:space="preserve"> criteria of MRI changes of </w:t>
      </w:r>
      <w:proofErr w:type="spellStart"/>
      <w:r w:rsidRPr="009C699F">
        <w:t>sacroiliitis</w:t>
      </w:r>
      <w:proofErr w:type="spellEnd"/>
      <w:r w:rsidRPr="009C699F">
        <w:t xml:space="preserve">. Another way of thinking of the included trial population is patients fulfilling the ASAS criteria for axial </w:t>
      </w:r>
      <w:proofErr w:type="spellStart"/>
      <w:r w:rsidRPr="009C699F">
        <w:t>SpA</w:t>
      </w:r>
      <w:proofErr w:type="spellEnd"/>
      <w:r w:rsidRPr="009C699F">
        <w:t xml:space="preserve"> but without X-ray changes consistent with AS.</w:t>
      </w:r>
    </w:p>
    <w:p w:rsidR="009C699F" w:rsidRPr="009C699F" w:rsidRDefault="009C699F" w:rsidP="009C699F">
      <w:r w:rsidRPr="009C699F">
        <w:t xml:space="preserve">There are no data available on the effects of </w:t>
      </w:r>
      <w:proofErr w:type="spellStart"/>
      <w:r w:rsidRPr="009C699F">
        <w:t>etanercept</w:t>
      </w:r>
      <w:proofErr w:type="spellEnd"/>
      <w:r w:rsidRPr="009C699F">
        <w:t xml:space="preserve"> on disease progression or structural damage in nr-</w:t>
      </w:r>
      <w:proofErr w:type="spellStart"/>
      <w:r w:rsidRPr="009C699F">
        <w:t>AxSpA</w:t>
      </w:r>
      <w:proofErr w:type="spellEnd"/>
      <w:r w:rsidRPr="009C699F">
        <w:t xml:space="preserve">. The evaluator agrees that there is some evidence </w:t>
      </w:r>
      <w:r w:rsidR="002979BE">
        <w:t xml:space="preserve">of </w:t>
      </w:r>
      <w:r w:rsidRPr="009C699F">
        <w:t>anti-inflammatory effects</w:t>
      </w:r>
      <w:r w:rsidR="002979BE">
        <w:t>,</w:t>
      </w:r>
      <w:r w:rsidRPr="009C699F">
        <w:t xml:space="preserve"> so agrees that the indication may remain ‘treatment of nr-</w:t>
      </w:r>
      <w:proofErr w:type="spellStart"/>
      <w:r w:rsidRPr="009C699F">
        <w:t>axSpA</w:t>
      </w:r>
      <w:proofErr w:type="spellEnd"/>
      <w:r w:rsidRPr="009C699F">
        <w:t>’. Nevertheless, it is recommended that a statement be included in the Clinical Trial section of the PI which makes the lack of data on disease progression clear.</w:t>
      </w:r>
    </w:p>
    <w:p w:rsidR="009C699F" w:rsidRPr="009C699F" w:rsidRDefault="009C699F" w:rsidP="009C699F">
      <w:r w:rsidRPr="009C699F">
        <w:t xml:space="preserve">Clinical data are only available for adults </w:t>
      </w:r>
      <w:r w:rsidR="009E5AA9">
        <w:t xml:space="preserve">aged </w:t>
      </w:r>
      <w:r w:rsidRPr="009C699F">
        <w:t>≤</w:t>
      </w:r>
      <w:r>
        <w:t xml:space="preserve"> </w:t>
      </w:r>
      <w:r w:rsidRPr="009C699F">
        <w:t>50 years while the indication covers all adults. The evaluator accepts that data are available in the older age group for other indications and that a majorly different safety profile in the older nr-</w:t>
      </w:r>
      <w:proofErr w:type="spellStart"/>
      <w:r w:rsidRPr="009C699F">
        <w:t>axSpA</w:t>
      </w:r>
      <w:proofErr w:type="spellEnd"/>
      <w:r w:rsidRPr="009C699F">
        <w:t xml:space="preserve"> population would not be expected. As such, the evaluator agrees that the indication may remain for treatment of ‘adults’. Nevertheless, an appropriate precaution stating this lack of data should be added to the Precautions Use in the Elderly section of the PI.</w:t>
      </w:r>
      <w:r w:rsidR="009E5AA9">
        <w:t xml:space="preserve"> </w:t>
      </w:r>
      <w:r w:rsidRPr="009C699F">
        <w:t xml:space="preserve">The </w:t>
      </w:r>
      <w:r w:rsidR="009E5AA9">
        <w:t>s</w:t>
      </w:r>
      <w:r w:rsidRPr="009C699F">
        <w:t xml:space="preserve">ponsor has agreed to alter the indication to a subpopulation with elevated CRP or MRI change. The subgroup of patients in the study with elevated </w:t>
      </w:r>
      <w:proofErr w:type="spellStart"/>
      <w:r w:rsidRPr="009C699F">
        <w:t>hsCRP</w:t>
      </w:r>
      <w:proofErr w:type="spellEnd"/>
      <w:r w:rsidRPr="009C699F">
        <w:t xml:space="preserve"> or ASAS</w:t>
      </w:r>
      <w:r w:rsidRPr="009C699F">
        <w:rPr>
          <w:lang w:eastAsia="en-AU"/>
        </w:rPr>
        <w:t xml:space="preserve"> </w:t>
      </w:r>
      <w:r w:rsidRPr="009C699F">
        <w:t xml:space="preserve">MRI </w:t>
      </w:r>
      <w:proofErr w:type="spellStart"/>
      <w:r w:rsidRPr="009C699F">
        <w:t>sacroiliitis</w:t>
      </w:r>
      <w:proofErr w:type="spellEnd"/>
      <w:r w:rsidRPr="009C699F">
        <w:t xml:space="preserve"> included 94 and 95 patients in the </w:t>
      </w:r>
      <w:proofErr w:type="spellStart"/>
      <w:r w:rsidRPr="009C699F">
        <w:t>etanercept</w:t>
      </w:r>
      <w:proofErr w:type="spellEnd"/>
      <w:r w:rsidRPr="009C699F">
        <w:t xml:space="preserve"> and placebo groups, respectively, and excluded 26 (12%) of patients from the </w:t>
      </w:r>
      <w:proofErr w:type="spellStart"/>
      <w:r w:rsidRPr="009C699F">
        <w:t>mITT</w:t>
      </w:r>
      <w:proofErr w:type="spellEnd"/>
      <w:r w:rsidRPr="009C699F">
        <w:t xml:space="preserve"> population. The response on the primary efficacy endpoint of ASAS 40 in the </w:t>
      </w:r>
      <w:proofErr w:type="spellStart"/>
      <w:r w:rsidRPr="009C699F">
        <w:t>mITT</w:t>
      </w:r>
      <w:proofErr w:type="spellEnd"/>
      <w:r w:rsidRPr="009C699F">
        <w:t xml:space="preserve"> population was 32.4 </w:t>
      </w:r>
      <w:r w:rsidR="00455BC5">
        <w:t>versus</w:t>
      </w:r>
      <w:r w:rsidRPr="009C699F">
        <w:t xml:space="preserve"> 15.7%, </w:t>
      </w:r>
      <w:r w:rsidR="00E54EDF">
        <w:t>that is,</w:t>
      </w:r>
      <w:r w:rsidRPr="009C699F">
        <w:t xml:space="preserve"> a difference of 16.4%, which increased to 18.3% in the subg</w:t>
      </w:r>
      <w:r>
        <w:t xml:space="preserve">roup with high baseline </w:t>
      </w:r>
      <w:proofErr w:type="spellStart"/>
      <w:r>
        <w:t>hsCRP</w:t>
      </w:r>
      <w:proofErr w:type="spellEnd"/>
      <w:r>
        <w:t xml:space="preserve"> (≥ </w:t>
      </w:r>
      <w:r w:rsidRPr="009C699F">
        <w:t xml:space="preserve">3 mg/mL) or positive MRI. The highest response was those with elevated </w:t>
      </w:r>
      <w:proofErr w:type="spellStart"/>
      <w:r w:rsidRPr="009C699F">
        <w:t>hsCRP</w:t>
      </w:r>
      <w:proofErr w:type="spellEnd"/>
      <w:r w:rsidRPr="009C699F">
        <w:t xml:space="preserve"> (treatment difference of 29.7%) although this subgroup was notably smaller (n</w:t>
      </w:r>
      <w:r>
        <w:t xml:space="preserve"> </w:t>
      </w:r>
      <w:r w:rsidRPr="009C699F">
        <w:t>=</w:t>
      </w:r>
      <w:r>
        <w:t xml:space="preserve"> </w:t>
      </w:r>
      <w:r w:rsidRPr="009C699F">
        <w:t>92). The evaluator contends that this modest change in response rate difference is particularly important in improving the benefit-risk balance of the product as it makes it clear that the product is not to be used in a patient population without these objective inflammatory changes. The proposed indication does, however, need rewording to be more specific in delineating that the patient population need ‘objective signs of inflammation’. This change would be in line with the approved European indication.</w:t>
      </w:r>
    </w:p>
    <w:p w:rsidR="009C699F" w:rsidRPr="009C699F" w:rsidRDefault="009C699F" w:rsidP="009C699F">
      <w:r w:rsidRPr="009C699F">
        <w:t xml:space="preserve">One of the main issues with </w:t>
      </w:r>
      <w:proofErr w:type="spellStart"/>
      <w:r w:rsidRPr="009C699F">
        <w:t>etanercept</w:t>
      </w:r>
      <w:proofErr w:type="spellEnd"/>
      <w:r w:rsidRPr="009C699F">
        <w:t xml:space="preserve"> use in the nr-</w:t>
      </w:r>
      <w:proofErr w:type="spellStart"/>
      <w:r w:rsidRPr="009C699F">
        <w:t>AxSpA</w:t>
      </w:r>
      <w:proofErr w:type="spellEnd"/>
      <w:r w:rsidRPr="009C699F">
        <w:t xml:space="preserve"> population is the lack of efficacy and safety data beyond 24 weeks of treatment duration. At this stage, due to these data limitations and the fact that the treatment may carry considerable risks, it is recommended not to continue therapy beyond 12 weeks in patients who are not responding to treatment. A statement needs to be included in the product information under Dosage and Administration to cover this issue.  The wording in the EU label is:</w:t>
      </w:r>
    </w:p>
    <w:p w:rsidR="009C699F" w:rsidRPr="009C699F" w:rsidRDefault="009C699F" w:rsidP="009C69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284"/>
        <w:rPr>
          <w:rFonts w:eastAsia="Times New Roman"/>
          <w:i/>
          <w:kern w:val="16"/>
          <w:szCs w:val="24"/>
          <w:lang w:eastAsia="en-AU"/>
        </w:rPr>
      </w:pPr>
      <w:r w:rsidRPr="009C699F">
        <w:rPr>
          <w:rFonts w:eastAsia="Times New Roman"/>
          <w:i/>
          <w:kern w:val="16"/>
          <w:szCs w:val="24"/>
          <w:lang w:eastAsia="en-AU"/>
        </w:rPr>
        <w:t>Available data suggest that a clinical response is usually achieved within 12 weeks of treatment. Continued therapy should be carefully reconsidered in a patient not responding within this time period.</w:t>
      </w:r>
    </w:p>
    <w:p w:rsidR="009C699F" w:rsidRPr="009C699F" w:rsidRDefault="009C699F" w:rsidP="009E5AA9">
      <w:r w:rsidRPr="009C699F">
        <w:t>The evaluator recommends that a more definitive stand is taken and that the wording state that therapy should not be continued beyond 12 weeks in a patient not responding to treatment.</w:t>
      </w:r>
    </w:p>
    <w:p w:rsidR="009C699F" w:rsidRPr="009C699F" w:rsidRDefault="009C699F" w:rsidP="009E5AA9">
      <w:r w:rsidRPr="009C699F">
        <w:t xml:space="preserve">It is acknowledged that the pivotal </w:t>
      </w:r>
      <w:r w:rsidR="006A7E9B">
        <w:t>Study B180</w:t>
      </w:r>
      <w:r w:rsidRPr="009C699F">
        <w:t xml:space="preserve">1031 is still ongoing with its 92 week open label extension period. A final report </w:t>
      </w:r>
      <w:r w:rsidR="009E5AA9">
        <w:t xml:space="preserve">is </w:t>
      </w:r>
      <w:r w:rsidRPr="009C699F">
        <w:t xml:space="preserve">due in June 2015. These data will further define the long term (104 weeks) efficacy and safety of </w:t>
      </w:r>
      <w:proofErr w:type="spellStart"/>
      <w:r w:rsidRPr="009C699F">
        <w:t>etanercept</w:t>
      </w:r>
      <w:proofErr w:type="spellEnd"/>
      <w:r w:rsidRPr="009C699F">
        <w:t xml:space="preserve"> in the nr-</w:t>
      </w:r>
      <w:proofErr w:type="spellStart"/>
      <w:r w:rsidRPr="009C699F">
        <w:t>AxSpA</w:t>
      </w:r>
      <w:proofErr w:type="spellEnd"/>
      <w:r w:rsidRPr="009C699F">
        <w:t xml:space="preserve"> population. A further planned </w:t>
      </w:r>
      <w:r w:rsidR="006A7E9B">
        <w:t>Study B180</w:t>
      </w:r>
      <w:r w:rsidRPr="009C699F">
        <w:t xml:space="preserve">1381 is listed in the RMP. This study has a primary objective to measure the </w:t>
      </w:r>
      <w:r w:rsidRPr="009C699F">
        <w:lastRenderedPageBreak/>
        <w:t>proportion of subjects with nr-</w:t>
      </w:r>
      <w:proofErr w:type="spellStart"/>
      <w:r w:rsidRPr="009C699F">
        <w:t>AxSpA</w:t>
      </w:r>
      <w:proofErr w:type="spellEnd"/>
      <w:r w:rsidRPr="009C699F">
        <w:t xml:space="preserve"> who flare following withdrawal of </w:t>
      </w:r>
      <w:proofErr w:type="spellStart"/>
      <w:r w:rsidRPr="009C699F">
        <w:t>etanercept</w:t>
      </w:r>
      <w:proofErr w:type="spellEnd"/>
      <w:r w:rsidRPr="009C699F">
        <w:t xml:space="preserve"> once ASAS 40 has been achieved. Secondary objectives include measuring the mean time to flare after withdrawal of </w:t>
      </w:r>
      <w:proofErr w:type="spellStart"/>
      <w:r w:rsidRPr="009C699F">
        <w:t>etanercept</w:t>
      </w:r>
      <w:proofErr w:type="spellEnd"/>
      <w:r w:rsidRPr="009C699F">
        <w:t xml:space="preserve"> and assessing the efficacy of retreatment in subjects who experience a flare after withdrawal of </w:t>
      </w:r>
      <w:proofErr w:type="spellStart"/>
      <w:r w:rsidRPr="009C699F">
        <w:t>etanercept</w:t>
      </w:r>
      <w:proofErr w:type="spellEnd"/>
      <w:r w:rsidRPr="009C699F">
        <w:t xml:space="preserve">. These data will be important in assessing the relapse profile after treatment discontinuation and the safety and efficacy effects of retreatment. The </w:t>
      </w:r>
      <w:r w:rsidR="009E5AA9">
        <w:t>s</w:t>
      </w:r>
      <w:r w:rsidRPr="009C699F">
        <w:t>ponsor states the final report for this study will be available in 2019. Data from both these studies will need to be submitted for evaluation when available.</w:t>
      </w:r>
    </w:p>
    <w:p w:rsidR="009C699F" w:rsidRPr="009C699F" w:rsidRDefault="009C699F" w:rsidP="009C699F">
      <w:r w:rsidRPr="009C699F">
        <w:t>As previously discussed, the appropriate selection of patients with the correct diagnosis in line with the proposed indication may not be straightforward and should be done by specialist rheumatologists versed in the ASAS criteria. This should be taken into account in the risk management plan</w:t>
      </w:r>
      <w:r>
        <w:t>.</w:t>
      </w:r>
    </w:p>
    <w:p w:rsidR="009C699F" w:rsidRPr="009C699F" w:rsidRDefault="009C699F" w:rsidP="009C699F">
      <w:r w:rsidRPr="009C699F">
        <w:t xml:space="preserve">In summary, there were a number of issues after the first round </w:t>
      </w:r>
      <w:proofErr w:type="gramStart"/>
      <w:r w:rsidRPr="009C699F">
        <w:t>evaluation which have</w:t>
      </w:r>
      <w:proofErr w:type="gramEnd"/>
      <w:r w:rsidRPr="009C699F">
        <w:t xml:space="preserve"> been addressed in the second round evaluation. These include:</w:t>
      </w:r>
    </w:p>
    <w:p w:rsidR="009C699F" w:rsidRPr="009C699F" w:rsidRDefault="009C699F" w:rsidP="009C699F">
      <w:pPr>
        <w:pStyle w:val="ListBullet"/>
      </w:pPr>
      <w:r w:rsidRPr="009C699F">
        <w:t>The marginal clinical benefit has been increased to a small extent by limiting to patients with MRI changes and elevated CRP. This change makes it clear that the product must be targeted at patients with inflammatory changes and not used in a broader population. The indication has been altered to reflect this</w:t>
      </w:r>
      <w:r w:rsidR="002979BE">
        <w:t xml:space="preserve">. </w:t>
      </w:r>
      <w:r w:rsidRPr="009C699F">
        <w:t>The product information now makes it</w:t>
      </w:r>
      <w:r w:rsidR="009E5AA9">
        <w:t xml:space="preserve"> </w:t>
      </w:r>
      <w:r w:rsidRPr="009C699F">
        <w:t>clear that there is no evidence on disease progression.</w:t>
      </w:r>
    </w:p>
    <w:p w:rsidR="009C699F" w:rsidRPr="009C699F" w:rsidRDefault="009C699F" w:rsidP="009C699F">
      <w:pPr>
        <w:pStyle w:val="ListBullet"/>
      </w:pPr>
      <w:r w:rsidRPr="009C699F">
        <w:t>The safety of the product would be improved by advising that treatment needs to be ceased after 12 weeks if there has been no clinical response.</w:t>
      </w:r>
    </w:p>
    <w:p w:rsidR="009C699F" w:rsidRPr="009C699F" w:rsidRDefault="009C699F" w:rsidP="009C699F">
      <w:pPr>
        <w:pStyle w:val="ListBullet"/>
      </w:pPr>
      <w:r w:rsidRPr="009C699F">
        <w:t>The need for long term safety can be addressed by the submission of the data from the open label period of the pivotal trial (data to 104 weeks).</w:t>
      </w:r>
    </w:p>
    <w:p w:rsidR="009C699F" w:rsidRPr="009C699F" w:rsidRDefault="009C699F" w:rsidP="009C699F">
      <w:pPr>
        <w:pStyle w:val="ListBullet"/>
      </w:pPr>
      <w:r w:rsidRPr="009C699F">
        <w:t>A proposed study on treatment withdrawal and retreatment should address concerns from lack of data in this area.</w:t>
      </w:r>
    </w:p>
    <w:p w:rsidR="009C699F" w:rsidRPr="009C699F" w:rsidRDefault="009C699F" w:rsidP="009C699F">
      <w:pPr>
        <w:pStyle w:val="ListBullet"/>
      </w:pPr>
      <w:r w:rsidRPr="009C699F">
        <w:t xml:space="preserve">The lack of data in  adults over 50 years can be addressed by appropriate precautions and is filled to some extent by safety data from other indications </w:t>
      </w:r>
    </w:p>
    <w:p w:rsidR="009C699F" w:rsidRPr="009C699F" w:rsidRDefault="009C699F" w:rsidP="009C699F">
      <w:pPr>
        <w:pStyle w:val="ListBullet"/>
      </w:pPr>
      <w:r w:rsidRPr="009C699F">
        <w:t>Revisions to the product information have largely been addressed and remaining issue</w:t>
      </w:r>
      <w:r>
        <w:t>s are outlined</w:t>
      </w:r>
      <w:r w:rsidR="009E5AA9">
        <w:t xml:space="preserve"> [not in this </w:t>
      </w:r>
      <w:proofErr w:type="spellStart"/>
      <w:r w:rsidR="009E5AA9">
        <w:t>AusPAR</w:t>
      </w:r>
      <w:proofErr w:type="spellEnd"/>
      <w:r w:rsidR="009E5AA9">
        <w:t>]</w:t>
      </w:r>
      <w:r w:rsidRPr="009C699F">
        <w:t>.</w:t>
      </w:r>
    </w:p>
    <w:p w:rsidR="009C699F" w:rsidRPr="009C699F" w:rsidRDefault="009C699F" w:rsidP="009C699F">
      <w:pPr>
        <w:pStyle w:val="ListBullet"/>
      </w:pPr>
      <w:r w:rsidRPr="009C699F">
        <w:t>It is recommended, due to the complexity in identifying the indicated population in clinical practice, that treatment be initiated by trained rheumatologists and this be specified in the RMP.</w:t>
      </w:r>
    </w:p>
    <w:p w:rsidR="009C699F" w:rsidRPr="009C699F" w:rsidRDefault="009C699F" w:rsidP="009C699F">
      <w:r w:rsidRPr="009C699F">
        <w:t xml:space="preserve">It is accepted that the increase in clinical benefit is small with limiting the indicated population to those with the appropriate inflammatory changes. Nonetheless, when this is taken into account together with the other actions listed above which will address the safety concerns, the evaluator finds that the benefit-risk balance of </w:t>
      </w:r>
      <w:proofErr w:type="spellStart"/>
      <w:r w:rsidRPr="009C699F">
        <w:t>etanercept</w:t>
      </w:r>
      <w:proofErr w:type="spellEnd"/>
      <w:r w:rsidRPr="009C699F">
        <w:t xml:space="preserve"> becomes favourable. This finding is subject to alteration of the indication and other aspects of the product information in addition to the provision of long term data when available.</w:t>
      </w:r>
    </w:p>
    <w:p w:rsidR="00C618F7" w:rsidRPr="001545C8" w:rsidRDefault="00C618F7" w:rsidP="009E5AA9">
      <w:pPr>
        <w:pStyle w:val="Heading2"/>
      </w:pPr>
      <w:bookmarkStart w:id="308" w:name="_Toc433315356"/>
      <w:r w:rsidRPr="001545C8">
        <w:t>Second round recommendation regarding authorisation</w:t>
      </w:r>
      <w:bookmarkEnd w:id="308"/>
    </w:p>
    <w:p w:rsidR="001545C8" w:rsidRPr="001545C8" w:rsidRDefault="001545C8" w:rsidP="001545C8">
      <w:r w:rsidRPr="001545C8">
        <w:t xml:space="preserve">The evaluator recommends that </w:t>
      </w:r>
      <w:proofErr w:type="spellStart"/>
      <w:r w:rsidRPr="001545C8">
        <w:t>etanercept</w:t>
      </w:r>
      <w:proofErr w:type="spellEnd"/>
      <w:r w:rsidRPr="001545C8">
        <w:t xml:space="preserve"> be authorised subject to the following:</w:t>
      </w:r>
    </w:p>
    <w:p w:rsidR="001545C8" w:rsidRPr="002D3FBD" w:rsidRDefault="001545C8" w:rsidP="001545C8">
      <w:pPr>
        <w:pStyle w:val="ListBullet"/>
      </w:pPr>
      <w:r w:rsidRPr="002D3FBD">
        <w:t>Alteration of the indication</w:t>
      </w:r>
      <w:r>
        <w:t>. A proposed indication is</w:t>
      </w:r>
      <w:r w:rsidRPr="002D3FBD">
        <w:t>:</w:t>
      </w:r>
    </w:p>
    <w:p w:rsidR="001545C8" w:rsidRDefault="001545C8" w:rsidP="001545C8">
      <w:pPr>
        <w:tabs>
          <w:tab w:val="left" w:pos="426"/>
        </w:tabs>
        <w:ind w:left="426"/>
        <w:rPr>
          <w:i/>
        </w:rPr>
      </w:pPr>
      <w:r w:rsidRPr="002D3FBD">
        <w:rPr>
          <w:i/>
        </w:rPr>
        <w:t>Treatment of adults with active</w:t>
      </w:r>
      <w:r>
        <w:rPr>
          <w:i/>
        </w:rPr>
        <w:t>*</w:t>
      </w:r>
      <w:r w:rsidRPr="002D3FBD">
        <w:rPr>
          <w:i/>
        </w:rPr>
        <w:t xml:space="preserve"> non-radiographic axial </w:t>
      </w:r>
      <w:proofErr w:type="spellStart"/>
      <w:r w:rsidRPr="002D3FBD">
        <w:rPr>
          <w:i/>
        </w:rPr>
        <w:t>spondyloarthritis</w:t>
      </w:r>
      <w:proofErr w:type="spellEnd"/>
      <w:r w:rsidRPr="002D3FBD">
        <w:rPr>
          <w:i/>
        </w:rPr>
        <w:t xml:space="preserve"> with </w:t>
      </w:r>
      <w:r w:rsidRPr="002D3FBD">
        <w:rPr>
          <w:bCs/>
          <w:i/>
        </w:rPr>
        <w:t>objective signs of inflammation, as indicated by elevated C-reactive protein (CRP) and/or magnetic resonance imaging (MRI) evidence</w:t>
      </w:r>
      <w:r w:rsidRPr="002D3FBD">
        <w:rPr>
          <w:i/>
        </w:rPr>
        <w:t>, who have had an inadequate response to NSAIDs.</w:t>
      </w:r>
    </w:p>
    <w:p w:rsidR="001545C8" w:rsidRPr="002D3FBD" w:rsidRDefault="001545C8" w:rsidP="001545C8">
      <w:pPr>
        <w:tabs>
          <w:tab w:val="left" w:pos="426"/>
        </w:tabs>
        <w:ind w:left="426"/>
        <w:rPr>
          <w:i/>
        </w:rPr>
      </w:pPr>
      <w:r>
        <w:rPr>
          <w:i/>
        </w:rPr>
        <w:lastRenderedPageBreak/>
        <w:t xml:space="preserve">*Active disease is defined as a </w:t>
      </w:r>
      <w:r w:rsidRPr="00B85C56">
        <w:rPr>
          <w:i/>
        </w:rPr>
        <w:t xml:space="preserve">Bath Ankylosing Spondylitis Disease Activity Index </w:t>
      </w:r>
      <w:r w:rsidR="003D30A4">
        <w:rPr>
          <w:i/>
        </w:rPr>
        <w:t xml:space="preserve">(BASDAI) score of </w:t>
      </w:r>
      <w:r>
        <w:rPr>
          <w:i/>
        </w:rPr>
        <w:t>≥4.</w:t>
      </w:r>
    </w:p>
    <w:p w:rsidR="001545C8" w:rsidRPr="001545C8" w:rsidRDefault="001545C8" w:rsidP="001545C8">
      <w:pPr>
        <w:pStyle w:val="ListBullet"/>
      </w:pPr>
      <w:r w:rsidRPr="001545C8">
        <w:t>Acceptance of the changes to the product information.</w:t>
      </w:r>
    </w:p>
    <w:p w:rsidR="001545C8" w:rsidRPr="001545C8" w:rsidRDefault="001545C8" w:rsidP="001545C8">
      <w:pPr>
        <w:pStyle w:val="ListBullet"/>
      </w:pPr>
      <w:r w:rsidRPr="001545C8">
        <w:t>Ensuring the CMI matches the changes proposed in the PI, in particular the revised indication and the fact that it is not recommended to continue treatment beyond 12 weeks in those who have had no response</w:t>
      </w:r>
      <w:r w:rsidR="003D30A4">
        <w:t>.</w:t>
      </w:r>
    </w:p>
    <w:p w:rsidR="001545C8" w:rsidRPr="001545C8" w:rsidRDefault="001545C8" w:rsidP="001545C8">
      <w:pPr>
        <w:pStyle w:val="ListBullet"/>
      </w:pPr>
      <w:r w:rsidRPr="001545C8">
        <w:t xml:space="preserve">Submission of long term safety and efficacy data from </w:t>
      </w:r>
      <w:r w:rsidR="006A7E9B">
        <w:t>Study B180</w:t>
      </w:r>
      <w:r w:rsidRPr="001545C8">
        <w:t>1031 for evaluation.</w:t>
      </w:r>
    </w:p>
    <w:p w:rsidR="001545C8" w:rsidRPr="001545C8" w:rsidRDefault="001545C8" w:rsidP="001545C8">
      <w:pPr>
        <w:pStyle w:val="ListBullet"/>
      </w:pPr>
      <w:r w:rsidRPr="001545C8">
        <w:t xml:space="preserve">Conduct of </w:t>
      </w:r>
      <w:r w:rsidR="006A7E9B">
        <w:t>Study B180</w:t>
      </w:r>
      <w:r w:rsidRPr="001545C8">
        <w:t>1381 which will assess effects on efficacy and safety of treatment withdrawal and retreatment. Data will need to be submitted for evaluation as soon as available.</w:t>
      </w:r>
    </w:p>
    <w:p w:rsidR="001545C8" w:rsidRPr="001545C8" w:rsidRDefault="001545C8" w:rsidP="001545C8">
      <w:pPr>
        <w:pStyle w:val="ListBullet"/>
      </w:pPr>
      <w:r w:rsidRPr="001545C8">
        <w:t xml:space="preserve">Clarification of the following relating to inclusion of patients from historical X-rays. It is assumed from the data submitted that 18/225 patients were included on the basis of historical X-rays and that these historical X-rays were taken no more than 96 days before trial entry at screening. The remainder of subjects (n=207) would therefore have had X-rays taken during the screening period. As these data could not be located in the clinical study report, could </w:t>
      </w:r>
      <w:r w:rsidR="006A7E9B">
        <w:t xml:space="preserve">the sponsor </w:t>
      </w:r>
      <w:r w:rsidRPr="001545C8">
        <w:t>clarify if this is correct?</w:t>
      </w:r>
    </w:p>
    <w:p w:rsidR="001545C8" w:rsidRPr="001545C8" w:rsidRDefault="001545C8" w:rsidP="001545C8">
      <w:pPr>
        <w:pStyle w:val="ListBullet"/>
      </w:pPr>
      <w:r w:rsidRPr="001545C8">
        <w:t>In order to ensure that patients are correctly identified for treatment according to the specific indication, it is recommended that treatment should only be initiated by appropriately trained rheumatologists.</w:t>
      </w:r>
    </w:p>
    <w:p w:rsidR="00C618F7" w:rsidRDefault="00C618F7" w:rsidP="00C618F7">
      <w:pPr>
        <w:pStyle w:val="Heading2"/>
      </w:pPr>
      <w:bookmarkStart w:id="309" w:name="_Toc433315357"/>
      <w:r>
        <w:t>References</w:t>
      </w:r>
      <w:bookmarkEnd w:id="309"/>
    </w:p>
    <w:bookmarkEnd w:id="2"/>
    <w:bookmarkEnd w:id="1"/>
    <w:bookmarkEnd w:id="3"/>
    <w:p w:rsidR="001545C8" w:rsidRPr="007A3335" w:rsidRDefault="001545C8" w:rsidP="009E5AA9">
      <w:pPr>
        <w:ind w:left="284" w:hanging="284"/>
      </w:pPr>
      <w:proofErr w:type="gramStart"/>
      <w:r w:rsidRPr="007A3335">
        <w:t>EMA (2005).</w:t>
      </w:r>
      <w:proofErr w:type="gramEnd"/>
      <w:r w:rsidRPr="007A3335">
        <w:t xml:space="preserve"> European Medicines Agency (EMA) Committee </w:t>
      </w:r>
      <w:proofErr w:type="gramStart"/>
      <w:r w:rsidRPr="007A3335">
        <w:t>For Medicinal Products For</w:t>
      </w:r>
      <w:proofErr w:type="gramEnd"/>
      <w:r w:rsidRPr="007A3335">
        <w:t xml:space="preserve"> Human Use (CHMP).Draft guideline on clinical investigation of medicinal products for the treatment of ankylosing spondylitis. </w:t>
      </w:r>
      <w:proofErr w:type="gramStart"/>
      <w:r w:rsidRPr="007A3335">
        <w:t>CPMP/EWP/4891/03.</w:t>
      </w:r>
      <w:proofErr w:type="gramEnd"/>
    </w:p>
    <w:p w:rsidR="001545C8" w:rsidRPr="007A3335" w:rsidRDefault="001545C8" w:rsidP="009E5AA9">
      <w:pPr>
        <w:ind w:left="284" w:hanging="284"/>
      </w:pPr>
      <w:proofErr w:type="gramStart"/>
      <w:r w:rsidRPr="007A3335">
        <w:t>EMA (2009).</w:t>
      </w:r>
      <w:proofErr w:type="gramEnd"/>
      <w:r w:rsidRPr="007A3335">
        <w:t xml:space="preserve"> European Medicines Agency (EMA) Committee </w:t>
      </w:r>
      <w:proofErr w:type="gramStart"/>
      <w:r w:rsidRPr="007A3335">
        <w:t>For</w:t>
      </w:r>
      <w:proofErr w:type="gramEnd"/>
      <w:r w:rsidRPr="007A3335">
        <w:t xml:space="preserve"> Medicinal Products For Human Use (CHMP). </w:t>
      </w:r>
      <w:proofErr w:type="gramStart"/>
      <w:r w:rsidRPr="007A3335">
        <w:t>Guideline on clinical investigation of medicinal products for the treatment of ankylosing spondylitis.</w:t>
      </w:r>
      <w:proofErr w:type="gramEnd"/>
      <w:r w:rsidRPr="007A3335">
        <w:t xml:space="preserve"> </w:t>
      </w:r>
      <w:proofErr w:type="gramStart"/>
      <w:r w:rsidRPr="007A3335">
        <w:t>CPMP/EWP/4891/03.</w:t>
      </w:r>
      <w:proofErr w:type="gramEnd"/>
    </w:p>
    <w:p w:rsidR="001545C8" w:rsidRDefault="001545C8" w:rsidP="009E5AA9">
      <w:pPr>
        <w:ind w:left="284" w:hanging="284"/>
      </w:pPr>
      <w:proofErr w:type="spellStart"/>
      <w:r w:rsidRPr="007A3335">
        <w:t>Rudwaleit</w:t>
      </w:r>
      <w:proofErr w:type="spellEnd"/>
      <w:r w:rsidRPr="007A3335">
        <w:t xml:space="preserve"> M, van der </w:t>
      </w:r>
      <w:proofErr w:type="spellStart"/>
      <w:r w:rsidRPr="007A3335">
        <w:t>Heijde</w:t>
      </w:r>
      <w:proofErr w:type="spellEnd"/>
      <w:r w:rsidRPr="007A3335">
        <w:t xml:space="preserve"> D, </w:t>
      </w:r>
      <w:proofErr w:type="spellStart"/>
      <w:r w:rsidRPr="007A3335">
        <w:t>Landewé</w:t>
      </w:r>
      <w:proofErr w:type="spellEnd"/>
      <w:r w:rsidRPr="007A3335">
        <w:t xml:space="preserve"> R, et al</w:t>
      </w:r>
      <w:r>
        <w:t xml:space="preserve"> (2009)</w:t>
      </w:r>
      <w:r w:rsidRPr="007A3335">
        <w:t xml:space="preserve">. The development of Assessment of </w:t>
      </w:r>
      <w:proofErr w:type="spellStart"/>
      <w:r w:rsidRPr="007A3335">
        <w:t>SpondyloArthritis</w:t>
      </w:r>
      <w:proofErr w:type="spellEnd"/>
      <w:r w:rsidRPr="007A3335">
        <w:t xml:space="preserve"> international Society classification criteria for axial </w:t>
      </w:r>
      <w:proofErr w:type="spellStart"/>
      <w:r w:rsidRPr="007A3335">
        <w:t>spondyloarthritis</w:t>
      </w:r>
      <w:proofErr w:type="spellEnd"/>
      <w:r w:rsidRPr="007A3335">
        <w:t xml:space="preserve"> (part II): validation and final selection. </w:t>
      </w:r>
      <w:r w:rsidRPr="00DE3E8C">
        <w:rPr>
          <w:i/>
        </w:rPr>
        <w:t xml:space="preserve">Ann Rheum </w:t>
      </w:r>
      <w:proofErr w:type="gramStart"/>
      <w:r w:rsidRPr="00DE3E8C">
        <w:rPr>
          <w:i/>
        </w:rPr>
        <w:t>Dis</w:t>
      </w:r>
      <w:r>
        <w:rPr>
          <w:i/>
        </w:rPr>
        <w:t>.</w:t>
      </w:r>
      <w:r w:rsidRPr="007A3335">
        <w:t>68(</w:t>
      </w:r>
      <w:proofErr w:type="gramEnd"/>
      <w:r w:rsidRPr="007A3335">
        <w:t>6):777–83.</w:t>
      </w:r>
    </w:p>
    <w:p w:rsidR="001545C8" w:rsidRDefault="001545C8" w:rsidP="009E5AA9">
      <w:pPr>
        <w:ind w:left="284" w:hanging="284"/>
      </w:pPr>
      <w:proofErr w:type="spellStart"/>
      <w:r w:rsidRPr="00DE3E8C">
        <w:t>Sieper</w:t>
      </w:r>
      <w:proofErr w:type="spellEnd"/>
      <w:r w:rsidRPr="00DE3E8C">
        <w:t xml:space="preserve"> J, </w:t>
      </w:r>
      <w:proofErr w:type="spellStart"/>
      <w:r w:rsidRPr="00DE3E8C">
        <w:t>Rudwaleit</w:t>
      </w:r>
      <w:proofErr w:type="spellEnd"/>
      <w:r w:rsidRPr="00DE3E8C">
        <w:t xml:space="preserve"> M, </w:t>
      </w:r>
      <w:proofErr w:type="spellStart"/>
      <w:r w:rsidRPr="00DE3E8C">
        <w:t>Baraliakos</w:t>
      </w:r>
      <w:proofErr w:type="spellEnd"/>
      <w:r w:rsidRPr="00DE3E8C">
        <w:t xml:space="preserve"> X, et al</w:t>
      </w:r>
      <w:proofErr w:type="gramStart"/>
      <w:r w:rsidRPr="00DE3E8C">
        <w:t>.</w:t>
      </w:r>
      <w:r>
        <w:t>(</w:t>
      </w:r>
      <w:proofErr w:type="gramEnd"/>
      <w:r>
        <w:t>2009).</w:t>
      </w:r>
      <w:r w:rsidRPr="00DE3E8C">
        <w:t xml:space="preserve"> The Assessment of</w:t>
      </w:r>
      <w:r>
        <w:t xml:space="preserve"> </w:t>
      </w:r>
      <w:proofErr w:type="spellStart"/>
      <w:r w:rsidRPr="00DE3E8C">
        <w:t>SpondyloArthritis</w:t>
      </w:r>
      <w:proofErr w:type="spellEnd"/>
      <w:r w:rsidRPr="00DE3E8C">
        <w:t xml:space="preserve"> International Society (ASAS) handbook: a guide to</w:t>
      </w:r>
      <w:r>
        <w:t xml:space="preserve"> </w:t>
      </w:r>
      <w:r w:rsidRPr="00DE3E8C">
        <w:t xml:space="preserve">assess </w:t>
      </w:r>
      <w:proofErr w:type="spellStart"/>
      <w:r w:rsidRPr="00DE3E8C">
        <w:t>spondyloarthritis</w:t>
      </w:r>
      <w:proofErr w:type="spellEnd"/>
      <w:r w:rsidRPr="00DE3E8C">
        <w:t xml:space="preserve">. </w:t>
      </w:r>
      <w:r w:rsidRPr="00DE3E8C">
        <w:rPr>
          <w:i/>
        </w:rPr>
        <w:t xml:space="preserve">Ann Rheum </w:t>
      </w:r>
      <w:proofErr w:type="gramStart"/>
      <w:r w:rsidRPr="00DE3E8C">
        <w:rPr>
          <w:i/>
        </w:rPr>
        <w:t>Dis</w:t>
      </w:r>
      <w:r>
        <w:t>.</w:t>
      </w:r>
      <w:r w:rsidRPr="00DE3E8C">
        <w:t>68(</w:t>
      </w:r>
      <w:proofErr w:type="spellStart"/>
      <w:proofErr w:type="gramEnd"/>
      <w:r w:rsidRPr="00DE3E8C">
        <w:t>Suppl</w:t>
      </w:r>
      <w:proofErr w:type="spellEnd"/>
      <w:r w:rsidRPr="00DE3E8C">
        <w:t xml:space="preserve"> 2):ii1–44.</w:t>
      </w:r>
    </w:p>
    <w:p w:rsidR="001545C8" w:rsidRPr="00417D17" w:rsidRDefault="001545C8" w:rsidP="009E5AA9">
      <w:pPr>
        <w:autoSpaceDE w:val="0"/>
        <w:autoSpaceDN w:val="0"/>
        <w:adjustRightInd w:val="0"/>
        <w:ind w:left="284" w:hanging="284"/>
      </w:pPr>
      <w:r w:rsidRPr="00417D17">
        <w:rPr>
          <w:rFonts w:cs="TimesNewRoman"/>
          <w:lang w:eastAsia="zh-TW"/>
        </w:rPr>
        <w:t xml:space="preserve">Zhou SY, Shu C, </w:t>
      </w:r>
      <w:proofErr w:type="spellStart"/>
      <w:r w:rsidRPr="00417D17">
        <w:rPr>
          <w:rFonts w:cs="TimesNewRoman"/>
          <w:lang w:eastAsia="zh-TW"/>
        </w:rPr>
        <w:t>Korth</w:t>
      </w:r>
      <w:proofErr w:type="spellEnd"/>
      <w:r w:rsidRPr="00417D17">
        <w:rPr>
          <w:rFonts w:cs="TimesNewRoman"/>
          <w:lang w:eastAsia="zh-TW"/>
        </w:rPr>
        <w:t>-Bradley JM, et al</w:t>
      </w:r>
      <w:r>
        <w:rPr>
          <w:rFonts w:cs="TimesNewRoman"/>
          <w:lang w:eastAsia="zh-TW"/>
        </w:rPr>
        <w:t xml:space="preserve"> (2011)</w:t>
      </w:r>
      <w:r w:rsidRPr="00417D17">
        <w:rPr>
          <w:rFonts w:cs="TimesNewRoman"/>
          <w:lang w:eastAsia="zh-TW"/>
        </w:rPr>
        <w:t xml:space="preserve">. </w:t>
      </w:r>
      <w:proofErr w:type="gramStart"/>
      <w:r w:rsidRPr="00417D17">
        <w:rPr>
          <w:rFonts w:cs="TimesNewRoman"/>
          <w:lang w:eastAsia="zh-TW"/>
        </w:rPr>
        <w:t xml:space="preserve">Integrated population pharmacokinetics of </w:t>
      </w:r>
      <w:proofErr w:type="spellStart"/>
      <w:r w:rsidRPr="00417D17">
        <w:rPr>
          <w:rFonts w:cs="TimesNewRoman"/>
          <w:lang w:eastAsia="zh-TW"/>
        </w:rPr>
        <w:t>etanercept</w:t>
      </w:r>
      <w:proofErr w:type="spellEnd"/>
      <w:r w:rsidRPr="00417D17">
        <w:rPr>
          <w:rFonts w:cs="TimesNewRoman"/>
          <w:lang w:eastAsia="zh-TW"/>
        </w:rPr>
        <w:t xml:space="preserve"> in healthy subjects and in patients with rheumatoid arthritis and ankylosing spondylitis.</w:t>
      </w:r>
      <w:proofErr w:type="gramEnd"/>
      <w:r w:rsidRPr="00417D17">
        <w:rPr>
          <w:rFonts w:cs="TimesNewRoman"/>
          <w:lang w:eastAsia="zh-TW"/>
        </w:rPr>
        <w:t xml:space="preserve"> </w:t>
      </w:r>
      <w:r w:rsidRPr="00417D17">
        <w:rPr>
          <w:rFonts w:cs="TimesNewRoman"/>
          <w:i/>
          <w:lang w:eastAsia="zh-TW"/>
        </w:rPr>
        <w:t xml:space="preserve">J </w:t>
      </w:r>
      <w:proofErr w:type="spellStart"/>
      <w:r w:rsidRPr="00417D17">
        <w:rPr>
          <w:rFonts w:cs="TimesNewRoman"/>
          <w:i/>
          <w:lang w:eastAsia="zh-TW"/>
        </w:rPr>
        <w:t>Clin</w:t>
      </w:r>
      <w:proofErr w:type="spellEnd"/>
      <w:r w:rsidRPr="00417D17">
        <w:rPr>
          <w:rFonts w:cs="TimesNewRoman"/>
          <w:i/>
          <w:lang w:eastAsia="zh-TW"/>
        </w:rPr>
        <w:t xml:space="preserve"> </w:t>
      </w:r>
      <w:proofErr w:type="gramStart"/>
      <w:r w:rsidRPr="00417D17">
        <w:rPr>
          <w:rFonts w:cs="TimesNewRoman"/>
          <w:i/>
          <w:lang w:eastAsia="zh-TW"/>
        </w:rPr>
        <w:t>Pharmacol</w:t>
      </w:r>
      <w:r>
        <w:rPr>
          <w:rFonts w:cs="TimesNewRoman"/>
          <w:lang w:eastAsia="zh-TW"/>
        </w:rPr>
        <w:t>.</w:t>
      </w:r>
      <w:r w:rsidRPr="00417D17">
        <w:rPr>
          <w:rFonts w:cs="TimesNewRoman"/>
          <w:lang w:eastAsia="zh-TW"/>
        </w:rPr>
        <w:t>51(</w:t>
      </w:r>
      <w:proofErr w:type="gramEnd"/>
      <w:r w:rsidRPr="00417D17">
        <w:rPr>
          <w:rFonts w:cs="TimesNewRoman"/>
          <w:lang w:eastAsia="zh-TW"/>
        </w:rPr>
        <w:t>6):864-75.</w:t>
      </w:r>
    </w:p>
    <w:p w:rsidR="003D1E62" w:rsidRPr="001D043B" w:rsidRDefault="008E7846" w:rsidP="002666AC">
      <w:pPr>
        <w:sectPr w:rsidR="003D1E62" w:rsidRPr="001D043B" w:rsidSect="001545C8">
          <w:headerReference w:type="even" r:id="rId38"/>
          <w:headerReference w:type="default" r:id="rId39"/>
          <w:headerReference w:type="first" r:id="rId40"/>
          <w:footerReference w:type="first" r:id="rId41"/>
          <w:pgSz w:w="11906" w:h="16838" w:code="9"/>
          <w:pgMar w:top="1276"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344796">
        <w:trPr>
          <w:trHeight w:hRule="exact" w:val="564"/>
        </w:trPr>
        <w:tc>
          <w:tcPr>
            <w:tcW w:w="9175" w:type="dxa"/>
          </w:tcPr>
          <w:p w:rsidR="00B3567E" w:rsidRPr="00487162" w:rsidRDefault="00B3567E" w:rsidP="00344796">
            <w:pPr>
              <w:pStyle w:val="TGASignoff"/>
            </w:pPr>
            <w:r w:rsidRPr="00487162">
              <w:lastRenderedPageBreak/>
              <w:t>Therapeutic Goods Administration</w:t>
            </w:r>
          </w:p>
        </w:tc>
      </w:tr>
      <w:tr w:rsidR="00B3567E" w:rsidRPr="00487162" w:rsidTr="00344796">
        <w:trPr>
          <w:trHeight w:val="1221"/>
        </w:trPr>
        <w:tc>
          <w:tcPr>
            <w:tcW w:w="9175" w:type="dxa"/>
            <w:tcMar>
              <w:top w:w="28" w:type="dxa"/>
            </w:tcMar>
          </w:tcPr>
          <w:p w:rsidR="00B3567E" w:rsidRPr="00487162" w:rsidRDefault="00B3567E" w:rsidP="00344796">
            <w:pPr>
              <w:pStyle w:val="Address"/>
            </w:pPr>
            <w:r w:rsidRPr="00487162">
              <w:t>PO Box 100 Woden ACT 2606 Australia</w:t>
            </w:r>
          </w:p>
          <w:p w:rsidR="00B3567E" w:rsidRPr="00487162" w:rsidRDefault="00B3567E" w:rsidP="00344796">
            <w:pPr>
              <w:pStyle w:val="Address"/>
            </w:pPr>
            <w:r w:rsidRPr="00487162">
              <w:t xml:space="preserve">Email: </w:t>
            </w:r>
            <w:hyperlink r:id="rId42" w:history="1">
              <w:r w:rsidRPr="008D770F">
                <w:rPr>
                  <w:rStyle w:val="Hyperlink"/>
                </w:rPr>
                <w:t>info@tga.gov.au</w:t>
              </w:r>
            </w:hyperlink>
            <w:r w:rsidRPr="00487162">
              <w:t xml:space="preserve">  Phone: 1800 020 653  Fax: 02 6232 8605</w:t>
            </w:r>
          </w:p>
          <w:p w:rsidR="00B3567E" w:rsidRPr="008D770F" w:rsidRDefault="00FA2001" w:rsidP="00344796">
            <w:pPr>
              <w:pStyle w:val="Address"/>
              <w:spacing w:line="260" w:lineRule="atLeast"/>
              <w:rPr>
                <w:b/>
                <w:color w:val="0000FF"/>
                <w:u w:val="single"/>
              </w:rPr>
            </w:pPr>
            <w:hyperlink r:id="rId43"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44"/>
      <w:headerReference w:type="default" r:id="rId45"/>
      <w:footerReference w:type="default" r:id="rId46"/>
      <w:headerReference w:type="first" r:id="rId47"/>
      <w:footerReference w:type="first" r:id="rId48"/>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BE2" w:rsidRDefault="002F0BE2" w:rsidP="00C40A36">
      <w:pPr>
        <w:spacing w:after="0"/>
      </w:pPr>
      <w:r>
        <w:separator/>
      </w:r>
    </w:p>
  </w:endnote>
  <w:endnote w:type="continuationSeparator" w:id="0">
    <w:p w:rsidR="002F0BE2" w:rsidRDefault="002F0BE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roman"/>
    <w:notTrueType/>
    <w:pitch w:val="default"/>
    <w:sig w:usb0="00000003" w:usb1="08070000" w:usb2="00000010" w:usb3="00000000" w:csb0="00020001" w:csb1="00000000"/>
  </w:font>
  <w:font w:name="TimesNewRomanPSMT">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93"/>
    </w:tblGrid>
    <w:tr w:rsidR="00FA2001" w:rsidRPr="00487162" w:rsidTr="006A7E9B">
      <w:trPr>
        <w:trHeight w:val="269"/>
      </w:trPr>
      <w:tc>
        <w:tcPr>
          <w:tcW w:w="7938" w:type="dxa"/>
          <w:tcMar>
            <w:top w:w="142" w:type="dxa"/>
            <w:bottom w:w="0" w:type="dxa"/>
          </w:tcMar>
        </w:tcPr>
        <w:p w:rsidR="00FA2001" w:rsidRPr="00487162" w:rsidRDefault="00FA2001" w:rsidP="00743030">
          <w:pPr>
            <w:pStyle w:val="Footer"/>
          </w:pPr>
          <w:r>
            <w:t>Submission</w:t>
          </w:r>
          <w:r w:rsidRPr="00487162">
            <w:t xml:space="preserve"> PM-20</w:t>
          </w:r>
          <w:r>
            <w:t>13-04552-1-3 Extract from the Clinical Evaluation Report for Enbrel</w:t>
          </w:r>
        </w:p>
      </w:tc>
      <w:tc>
        <w:tcPr>
          <w:tcW w:w="993" w:type="dxa"/>
          <w:tcMar>
            <w:top w:w="142" w:type="dxa"/>
            <w:bottom w:w="0" w:type="dxa"/>
          </w:tcMar>
        </w:tcPr>
        <w:p w:rsidR="00FA2001" w:rsidRPr="00981D66" w:rsidRDefault="00FA2001"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3D30A4">
            <w:rPr>
              <w:noProof/>
            </w:rPr>
            <w:t>16</w:t>
          </w:r>
          <w:r w:rsidRPr="00981D66">
            <w:fldChar w:fldCharType="end"/>
          </w:r>
          <w:r w:rsidRPr="00981D66">
            <w:t xml:space="preserve"> of </w:t>
          </w:r>
          <w:fldSimple w:instr=" NUMPAGES  \* Arabic  \* MERGEFORMAT ">
            <w:r w:rsidR="003D30A4">
              <w:rPr>
                <w:noProof/>
              </w:rPr>
              <w:t>56</w:t>
            </w:r>
          </w:fldSimple>
        </w:p>
      </w:tc>
    </w:tr>
  </w:tbl>
  <w:p w:rsidR="00FA2001" w:rsidRDefault="00FA2001"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A2001" w:rsidRPr="00487162" w:rsidTr="00E45619">
      <w:trPr>
        <w:trHeight w:val="269"/>
      </w:trPr>
      <w:tc>
        <w:tcPr>
          <w:tcW w:w="4519" w:type="dxa"/>
          <w:tcBorders>
            <w:top w:val="single" w:sz="4" w:space="0" w:color="auto"/>
          </w:tcBorders>
          <w:tcMar>
            <w:top w:w="142" w:type="dxa"/>
            <w:bottom w:w="0" w:type="dxa"/>
          </w:tcMar>
        </w:tcPr>
        <w:p w:rsidR="00FA2001" w:rsidRPr="00487162" w:rsidRDefault="00FA2001" w:rsidP="00FE1DEE">
          <w:pPr>
            <w:pStyle w:val="Footer"/>
          </w:pPr>
          <w:r w:rsidRPr="00487162">
            <w:t>Document title, Part #, Section # - Section title</w:t>
          </w:r>
        </w:p>
        <w:p w:rsidR="00FA2001" w:rsidRPr="00487162" w:rsidRDefault="00FA2001" w:rsidP="00FE1DEE">
          <w:pPr>
            <w:pStyle w:val="Footer"/>
          </w:pPr>
          <w:r w:rsidRPr="00487162">
            <w:t>V1.0 October 2010</w:t>
          </w:r>
        </w:p>
      </w:tc>
      <w:tc>
        <w:tcPr>
          <w:tcW w:w="4342" w:type="dxa"/>
          <w:tcBorders>
            <w:top w:val="single" w:sz="4" w:space="0" w:color="auto"/>
          </w:tcBorders>
          <w:tcMar>
            <w:top w:w="142" w:type="dxa"/>
            <w:bottom w:w="0" w:type="dxa"/>
          </w:tcMar>
        </w:tcPr>
        <w:p w:rsidR="00FA2001" w:rsidRPr="00487162" w:rsidRDefault="00FA200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rsidR="00FA2001" w:rsidRDefault="00FA20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001" w:rsidRDefault="00FA2001"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A2001" w:rsidTr="0010601F">
      <w:trPr>
        <w:trHeight w:val="108"/>
      </w:trPr>
      <w:tc>
        <w:tcPr>
          <w:tcW w:w="8875" w:type="dxa"/>
          <w:gridSpan w:val="2"/>
          <w:tcBorders>
            <w:bottom w:val="single" w:sz="4" w:space="0" w:color="auto"/>
          </w:tcBorders>
          <w:tcMar>
            <w:right w:w="284" w:type="dxa"/>
          </w:tcMar>
        </w:tcPr>
        <w:p w:rsidR="00FA2001" w:rsidRDefault="00FA2001" w:rsidP="006E08B3">
          <w:pPr>
            <w:pStyle w:val="Heading3"/>
          </w:pPr>
          <w:r>
            <w:t>Copyright</w:t>
          </w:r>
        </w:p>
        <w:p w:rsidR="00FA2001" w:rsidRDefault="00FA2001" w:rsidP="006E08B3">
          <w:r>
            <w:rPr>
              <w:rFonts w:cs="Arial"/>
            </w:rPr>
            <w:t>©</w:t>
          </w:r>
          <w:r>
            <w:t xml:space="preserve"> Commonwealth of Australia [add year]</w:t>
          </w:r>
        </w:p>
        <w:p w:rsidR="00FA2001" w:rsidRDefault="00FA2001" w:rsidP="006E08B3"/>
        <w:p w:rsidR="00FA2001" w:rsidRDefault="00FA200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A2001" w:rsidRDefault="00FA2001" w:rsidP="006E08B3"/>
        <w:p w:rsidR="00FA2001" w:rsidRDefault="00FA2001" w:rsidP="006E08B3">
          <w:pPr>
            <w:pStyle w:val="Heading3"/>
          </w:pPr>
          <w:r>
            <w:t>Confidentiality</w:t>
          </w:r>
        </w:p>
        <w:p w:rsidR="00FA2001" w:rsidRDefault="00FA200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A2001" w:rsidRDefault="00FA2001" w:rsidP="006E08B3"/>
        <w:p w:rsidR="00FA2001" w:rsidRDefault="00FA2001" w:rsidP="006E08B3">
          <w:r>
            <w:t>For submission made by individuals, all personal details, other than your name, will be removed from your submission before it is published on the TGA’s Internet site.</w:t>
          </w:r>
        </w:p>
        <w:p w:rsidR="00FA2001" w:rsidRDefault="00FA2001" w:rsidP="006E08B3"/>
        <w:p w:rsidR="00FA2001" w:rsidRDefault="00FA200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A2001" w:rsidTr="0010601F">
      <w:trPr>
        <w:trHeight w:val="417"/>
      </w:trPr>
      <w:tc>
        <w:tcPr>
          <w:tcW w:w="4519" w:type="dxa"/>
          <w:tcBorders>
            <w:top w:val="single" w:sz="4" w:space="0" w:color="auto"/>
          </w:tcBorders>
          <w:tcMar>
            <w:top w:w="142" w:type="dxa"/>
            <w:bottom w:w="0" w:type="dxa"/>
          </w:tcMar>
        </w:tcPr>
        <w:p w:rsidR="00FA2001" w:rsidRDefault="00FA2001" w:rsidP="006E08B3">
          <w:r>
            <w:t>Document title, Part #, Section # - Section title</w:t>
          </w:r>
        </w:p>
        <w:p w:rsidR="00FA2001" w:rsidRDefault="00FA2001" w:rsidP="006E08B3">
          <w:r>
            <w:t>V1.0 October 2010</w:t>
          </w:r>
        </w:p>
      </w:tc>
      <w:tc>
        <w:tcPr>
          <w:tcW w:w="4356" w:type="dxa"/>
          <w:tcBorders>
            <w:top w:val="single" w:sz="4" w:space="0" w:color="auto"/>
          </w:tcBorders>
          <w:tcMar>
            <w:top w:w="142" w:type="dxa"/>
            <w:bottom w:w="0" w:type="dxa"/>
          </w:tcMar>
        </w:tcPr>
        <w:p w:rsidR="00FA2001" w:rsidRDefault="00FA200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rsidR="00FA2001" w:rsidRDefault="00FA20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BE2" w:rsidRDefault="002F0BE2" w:rsidP="00C40A36">
      <w:pPr>
        <w:spacing w:after="0"/>
      </w:pPr>
      <w:r>
        <w:separator/>
      </w:r>
    </w:p>
  </w:footnote>
  <w:footnote w:type="continuationSeparator" w:id="0">
    <w:p w:rsidR="002F0BE2" w:rsidRDefault="002F0BE2" w:rsidP="00C40A36">
      <w:pPr>
        <w:spacing w:after="0"/>
      </w:pPr>
      <w:r>
        <w:continuationSeparator/>
      </w:r>
    </w:p>
  </w:footnote>
  <w:footnote w:id="1">
    <w:p w:rsidR="00FA2001" w:rsidRDefault="00FA2001" w:rsidP="00504B7E">
      <w:pPr>
        <w:pStyle w:val="Footer"/>
      </w:pPr>
      <w:r>
        <w:rPr>
          <w:rStyle w:val="FootnoteReference"/>
        </w:rPr>
        <w:footnoteRef/>
      </w:r>
      <w:r>
        <w:t xml:space="preserve"> </w:t>
      </w:r>
      <w:proofErr w:type="gramStart"/>
      <w:r>
        <w:t>Extension of indication approved by the TGA on 12 February 2014.</w:t>
      </w:r>
      <w:proofErr w:type="gramEnd"/>
    </w:p>
  </w:footnote>
  <w:footnote w:id="2">
    <w:p w:rsidR="00FA2001" w:rsidRDefault="00FA2001" w:rsidP="00D534F1">
      <w:pPr>
        <w:pStyle w:val="FootnoteText"/>
      </w:pPr>
    </w:p>
  </w:footnote>
  <w:footnote w:id="3">
    <w:p w:rsidR="00FA2001" w:rsidRDefault="00FA2001" w:rsidP="00D534F1">
      <w:pPr>
        <w:spacing w:before="0" w:after="0"/>
      </w:pPr>
    </w:p>
    <w:p w:rsidR="00FA2001" w:rsidRDefault="00FA2001" w:rsidP="00D534F1">
      <w:pPr>
        <w:pStyle w:val="FootnoteText"/>
      </w:pPr>
    </w:p>
  </w:footnote>
  <w:footnote w:id="4">
    <w:p w:rsidR="00FA2001" w:rsidRDefault="00FA2001" w:rsidP="00D534F1">
      <w:pPr>
        <w:spacing w:before="0" w:after="0"/>
      </w:pPr>
    </w:p>
    <w:p w:rsidR="00FA2001" w:rsidRDefault="00FA2001" w:rsidP="00D534F1">
      <w:pPr>
        <w:pStyle w:val="FootnoteText"/>
      </w:pPr>
    </w:p>
  </w:footnote>
  <w:footnote w:id="5">
    <w:p w:rsidR="00FA2001" w:rsidRPr="00832B0E" w:rsidRDefault="00FA2001" w:rsidP="00832B0E">
      <w:pPr>
        <w:pStyle w:val="Footer"/>
      </w:pPr>
      <w:r w:rsidRPr="00832B0E">
        <w:rPr>
          <w:rStyle w:val="FootnoteReference"/>
        </w:rPr>
        <w:t>1</w:t>
      </w:r>
      <w:r w:rsidRPr="00832B0E">
        <w:t xml:space="preserve"> </w:t>
      </w:r>
      <w:proofErr w:type="gramStart"/>
      <w:r w:rsidRPr="00832B0E">
        <w:t>Extension of indication approved by the TGA on 12 February 2014.</w:t>
      </w:r>
      <w:proofErr w:type="gramEnd"/>
    </w:p>
  </w:footnote>
  <w:footnote w:id="6">
    <w:p w:rsidR="00FA2001" w:rsidRDefault="00FA2001" w:rsidP="00344796">
      <w:pPr>
        <w:pStyle w:val="FootnoteText"/>
      </w:pPr>
    </w:p>
  </w:footnote>
  <w:footnote w:id="7">
    <w:p w:rsidR="00FA2001" w:rsidRDefault="00FA2001" w:rsidP="00344796">
      <w:pPr>
        <w:pStyle w:val="FootnoteText"/>
      </w:pPr>
    </w:p>
  </w:footnote>
  <w:footnote w:id="8">
    <w:p w:rsidR="00FA2001" w:rsidRDefault="00FA2001" w:rsidP="00344796">
      <w:pPr>
        <w:pStyle w:val="FootnoteText"/>
      </w:pPr>
    </w:p>
  </w:footnote>
  <w:footnote w:id="9">
    <w:p w:rsidR="00FA2001" w:rsidRPr="00832B0E" w:rsidRDefault="00FA2001" w:rsidP="00832B0E">
      <w:pPr>
        <w:pStyle w:val="FootnoteText"/>
        <w:rPr>
          <w:rStyle w:val="FooterChar"/>
        </w:rPr>
      </w:pPr>
      <w:r w:rsidRPr="00390104">
        <w:rPr>
          <w:rStyle w:val="FootnoteReference"/>
          <w:sz w:val="18"/>
          <w:szCs w:val="18"/>
        </w:rPr>
        <w:footnoteRef/>
      </w:r>
      <w:r w:rsidRPr="00390104">
        <w:t xml:space="preserve"> </w:t>
      </w:r>
      <w:r w:rsidRPr="00832B0E">
        <w:rPr>
          <w:rStyle w:val="FooterChar"/>
        </w:rPr>
        <w:t xml:space="preserve">The ASAS classification criteria for axial </w:t>
      </w:r>
      <w:proofErr w:type="spellStart"/>
      <w:r w:rsidRPr="00832B0E">
        <w:rPr>
          <w:rStyle w:val="FooterChar"/>
        </w:rPr>
        <w:t>spondyloarthritis</w:t>
      </w:r>
      <w:proofErr w:type="spellEnd"/>
      <w:r w:rsidRPr="00832B0E">
        <w:rPr>
          <w:rStyle w:val="FooterChar"/>
        </w:rPr>
        <w:t xml:space="preserve"> requires patients to have ≥3 months of back pain and age of onset &lt;45 years. Additional requirements are EITHER </w:t>
      </w:r>
      <w:proofErr w:type="spellStart"/>
      <w:r w:rsidRPr="00832B0E">
        <w:rPr>
          <w:rStyle w:val="FooterChar"/>
        </w:rPr>
        <w:t>sacroiliitis</w:t>
      </w:r>
      <w:proofErr w:type="spellEnd"/>
      <w:r w:rsidRPr="00832B0E">
        <w:rPr>
          <w:rStyle w:val="FooterChar"/>
        </w:rPr>
        <w:t xml:space="preserve"> on imaging plus 1 or more </w:t>
      </w:r>
      <w:proofErr w:type="spellStart"/>
      <w:r w:rsidRPr="00832B0E">
        <w:rPr>
          <w:rStyle w:val="FooterChar"/>
        </w:rPr>
        <w:t>SpA</w:t>
      </w:r>
      <w:proofErr w:type="spellEnd"/>
      <w:r w:rsidRPr="00832B0E">
        <w:rPr>
          <w:rStyle w:val="FooterChar"/>
        </w:rPr>
        <w:t xml:space="preserve"> features OR HLA-B27 plus 2 or more </w:t>
      </w:r>
      <w:proofErr w:type="spellStart"/>
      <w:r w:rsidRPr="00832B0E">
        <w:rPr>
          <w:rStyle w:val="FooterChar"/>
        </w:rPr>
        <w:t>SpA</w:t>
      </w:r>
      <w:proofErr w:type="spellEnd"/>
      <w:r w:rsidRPr="00832B0E">
        <w:rPr>
          <w:rStyle w:val="FooterChar"/>
        </w:rPr>
        <w:t xml:space="preserve"> features. </w:t>
      </w:r>
      <w:proofErr w:type="spellStart"/>
      <w:r w:rsidRPr="00832B0E">
        <w:rPr>
          <w:rStyle w:val="FooterChar"/>
        </w:rPr>
        <w:t>SpA</w:t>
      </w:r>
      <w:proofErr w:type="spellEnd"/>
      <w:r w:rsidRPr="00832B0E">
        <w:rPr>
          <w:rStyle w:val="FooterChar"/>
        </w:rPr>
        <w:t xml:space="preserve"> features include: inflammatory back pain, arthritis, </w:t>
      </w:r>
      <w:proofErr w:type="spellStart"/>
      <w:r w:rsidRPr="00832B0E">
        <w:rPr>
          <w:rStyle w:val="FooterChar"/>
        </w:rPr>
        <w:t>enthesitis</w:t>
      </w:r>
      <w:proofErr w:type="spellEnd"/>
      <w:r w:rsidRPr="00832B0E">
        <w:rPr>
          <w:rStyle w:val="FooterChar"/>
        </w:rPr>
        <w:t xml:space="preserve"> (heel), uveitis, </w:t>
      </w:r>
      <w:proofErr w:type="spellStart"/>
      <w:r w:rsidRPr="00832B0E">
        <w:rPr>
          <w:rStyle w:val="FooterChar"/>
        </w:rPr>
        <w:t>dactylitis</w:t>
      </w:r>
      <w:proofErr w:type="spellEnd"/>
      <w:r w:rsidRPr="00832B0E">
        <w:rPr>
          <w:rStyle w:val="FooterChar"/>
        </w:rPr>
        <w:t xml:space="preserve">, psoriasis, Crohn’s or colitis, good response to NSAIDs, family history of </w:t>
      </w:r>
      <w:proofErr w:type="spellStart"/>
      <w:r w:rsidRPr="00832B0E">
        <w:rPr>
          <w:rStyle w:val="FooterChar"/>
        </w:rPr>
        <w:t>SpA</w:t>
      </w:r>
      <w:proofErr w:type="spellEnd"/>
      <w:r w:rsidRPr="00832B0E">
        <w:rPr>
          <w:rStyle w:val="FooterChar"/>
        </w:rPr>
        <w:t xml:space="preserve">, HLA-B27 and elevated CRP. </w:t>
      </w:r>
      <w:proofErr w:type="spellStart"/>
      <w:r w:rsidRPr="00832B0E">
        <w:rPr>
          <w:rStyle w:val="FooterChar"/>
        </w:rPr>
        <w:t>Sacroiliitis</w:t>
      </w:r>
      <w:proofErr w:type="spellEnd"/>
      <w:r w:rsidRPr="00832B0E">
        <w:rPr>
          <w:rStyle w:val="FooterChar"/>
        </w:rPr>
        <w:t xml:space="preserve"> on imaging required active inflammation on MRI highly suggestive of </w:t>
      </w:r>
      <w:proofErr w:type="spellStart"/>
      <w:r w:rsidRPr="00832B0E">
        <w:rPr>
          <w:rStyle w:val="FooterChar"/>
        </w:rPr>
        <w:t>sacroiliitis</w:t>
      </w:r>
      <w:proofErr w:type="spellEnd"/>
      <w:r w:rsidRPr="00832B0E">
        <w:rPr>
          <w:rStyle w:val="FooterChar"/>
        </w:rPr>
        <w:t xml:space="preserve"> associated with </w:t>
      </w:r>
      <w:proofErr w:type="spellStart"/>
      <w:r w:rsidRPr="00832B0E">
        <w:rPr>
          <w:rStyle w:val="FooterChar"/>
        </w:rPr>
        <w:t>SpA</w:t>
      </w:r>
      <w:proofErr w:type="spellEnd"/>
      <w:r w:rsidRPr="00832B0E">
        <w:rPr>
          <w:rStyle w:val="FooterChar"/>
        </w:rPr>
        <w:t xml:space="preserve"> or defined radiographic </w:t>
      </w:r>
      <w:proofErr w:type="spellStart"/>
      <w:r w:rsidRPr="00832B0E">
        <w:rPr>
          <w:rStyle w:val="FooterChar"/>
        </w:rPr>
        <w:t>sacroiliitis</w:t>
      </w:r>
      <w:proofErr w:type="spellEnd"/>
      <w:r w:rsidRPr="00832B0E">
        <w:rPr>
          <w:rStyle w:val="FooterChar"/>
        </w:rPr>
        <w:t xml:space="preserve"> according to the Modified New York criteria (Figure 2).</w:t>
      </w:r>
    </w:p>
  </w:footnote>
  <w:footnote w:id="10">
    <w:p w:rsidR="00FA2001" w:rsidRPr="00390104" w:rsidRDefault="00FA2001" w:rsidP="004B7713">
      <w:pPr>
        <w:pStyle w:val="Footer"/>
      </w:pPr>
      <w:r w:rsidRPr="00390104">
        <w:rPr>
          <w:rStyle w:val="FootnoteReference"/>
          <w:szCs w:val="18"/>
        </w:rPr>
        <w:footnoteRef/>
      </w:r>
      <w:r w:rsidRPr="00390104">
        <w:t xml:space="preserve"> </w:t>
      </w:r>
      <w:proofErr w:type="gramStart"/>
      <w:r w:rsidRPr="00390104">
        <w:t xml:space="preserve">Modified New York criteria grades for radiographic </w:t>
      </w:r>
      <w:proofErr w:type="spellStart"/>
      <w:r w:rsidRPr="00390104">
        <w:t>sacroiliitis</w:t>
      </w:r>
      <w:proofErr w:type="spellEnd"/>
      <w:r w:rsidRPr="00390104">
        <w:t>.</w:t>
      </w:r>
      <w:proofErr w:type="gramEnd"/>
      <w:r w:rsidRPr="00390104">
        <w:t xml:space="preserve"> </w:t>
      </w:r>
      <w:proofErr w:type="gramStart"/>
      <w:r w:rsidRPr="00390104">
        <w:t>Grade 0: normal.</w:t>
      </w:r>
      <w:proofErr w:type="gramEnd"/>
      <w:r w:rsidRPr="00390104">
        <w:t xml:space="preserve"> </w:t>
      </w:r>
      <w:proofErr w:type="gramStart"/>
      <w:r w:rsidRPr="00390104">
        <w:t>Grade 1: suspicious changes.</w:t>
      </w:r>
      <w:proofErr w:type="gramEnd"/>
      <w:r w:rsidRPr="00390104">
        <w:t xml:space="preserve"> </w:t>
      </w:r>
      <w:proofErr w:type="gramStart"/>
      <w:r w:rsidRPr="00390104">
        <w:t>Grade 2: minimal abnormality - small localised areas with erosion or sclerosis, without alteration in the joint width.</w:t>
      </w:r>
      <w:proofErr w:type="gramEnd"/>
      <w:r w:rsidRPr="00390104">
        <w:t xml:space="preserve"> Grade 3: unequivocal abnormality - moderate or advanced sacroiliitis with one or more of: erosions, evidence of sclerosis, widening, narrowing, or partial </w:t>
      </w:r>
      <w:proofErr w:type="spellStart"/>
      <w:r w:rsidRPr="00390104">
        <w:t>ankylosis</w:t>
      </w:r>
      <w:proofErr w:type="spellEnd"/>
      <w:r w:rsidRPr="00390104">
        <w:t xml:space="preserve">. </w:t>
      </w:r>
      <w:proofErr w:type="gramStart"/>
      <w:r w:rsidRPr="00390104">
        <w:t xml:space="preserve">Grade 4: severe abnormality - total </w:t>
      </w:r>
      <w:proofErr w:type="spellStart"/>
      <w:r w:rsidRPr="00390104">
        <w:t>ankylosis</w:t>
      </w:r>
      <w:proofErr w:type="spellEnd"/>
      <w:r w:rsidRPr="00390104">
        <w:t>.</w:t>
      </w:r>
      <w:proofErr w:type="gramEnd"/>
    </w:p>
  </w:footnote>
  <w:footnote w:id="11">
    <w:p w:rsidR="00FA2001" w:rsidRPr="00BE1E08" w:rsidRDefault="00FA2001" w:rsidP="001A0172">
      <w:pPr>
        <w:pStyle w:val="Footer"/>
        <w:rPr>
          <w:lang w:eastAsia="zh-TW"/>
        </w:rPr>
      </w:pPr>
      <w:r w:rsidRPr="00BE1E08">
        <w:rPr>
          <w:rStyle w:val="FootnoteReference"/>
          <w:szCs w:val="18"/>
        </w:rPr>
        <w:footnoteRef/>
      </w:r>
      <w:r w:rsidRPr="00BE1E08">
        <w:t xml:space="preserve"> </w:t>
      </w:r>
      <w:r w:rsidRPr="00BE1E08">
        <w:rPr>
          <w:lang w:eastAsia="zh-TW"/>
        </w:rPr>
        <w:t>ASAS 20 responders were defined as subjects who satisfied the following criteria:</w:t>
      </w:r>
    </w:p>
    <w:p w:rsidR="00FA2001" w:rsidRPr="00FD6E03" w:rsidRDefault="00FA2001" w:rsidP="00FD6E03">
      <w:pPr>
        <w:pStyle w:val="ListBullet"/>
        <w:spacing w:before="0" w:after="0"/>
        <w:rPr>
          <w:sz w:val="18"/>
          <w:szCs w:val="18"/>
          <w:lang w:eastAsia="zh-TW"/>
        </w:rPr>
      </w:pPr>
      <w:r w:rsidRPr="00FD6E03">
        <w:rPr>
          <w:sz w:val="18"/>
          <w:szCs w:val="18"/>
          <w:lang w:eastAsia="zh-TW"/>
        </w:rPr>
        <w:t>An improvement of at least 20% and absolute improvement of at least 1 unit on a 0 to 10 cm scale (converted from 0 to 100 mm) in at least 3 of the following 4 domains:</w:t>
      </w:r>
    </w:p>
    <w:p w:rsidR="00FA2001" w:rsidRPr="00FD6E03" w:rsidRDefault="00FA2001" w:rsidP="00FD6E03">
      <w:pPr>
        <w:pStyle w:val="ListBullet2"/>
        <w:spacing w:before="0" w:after="0"/>
        <w:rPr>
          <w:sz w:val="18"/>
          <w:szCs w:val="18"/>
        </w:rPr>
      </w:pPr>
      <w:r w:rsidRPr="00FD6E03">
        <w:rPr>
          <w:sz w:val="18"/>
          <w:szCs w:val="18"/>
        </w:rPr>
        <w:t>Subject Assessment of Disease Activity,</w:t>
      </w:r>
    </w:p>
    <w:p w:rsidR="00FA2001" w:rsidRPr="00FD6E03" w:rsidRDefault="00FA2001" w:rsidP="00FD6E03">
      <w:pPr>
        <w:pStyle w:val="ListBullet2"/>
        <w:spacing w:before="0" w:after="0"/>
        <w:rPr>
          <w:sz w:val="18"/>
          <w:szCs w:val="18"/>
        </w:rPr>
      </w:pPr>
      <w:r w:rsidRPr="00FD6E03">
        <w:rPr>
          <w:sz w:val="18"/>
          <w:szCs w:val="18"/>
        </w:rPr>
        <w:t>Mean of subject assessment of total back pain,</w:t>
      </w:r>
    </w:p>
    <w:p w:rsidR="00FA2001" w:rsidRPr="00FD6E03" w:rsidRDefault="00FA2001" w:rsidP="00FD6E03">
      <w:pPr>
        <w:pStyle w:val="ListBullet2"/>
        <w:spacing w:before="0" w:after="0"/>
        <w:rPr>
          <w:sz w:val="18"/>
          <w:szCs w:val="18"/>
        </w:rPr>
      </w:pPr>
      <w:r w:rsidRPr="00FD6E03">
        <w:rPr>
          <w:sz w:val="18"/>
          <w:szCs w:val="18"/>
        </w:rPr>
        <w:t>Function represented by the BASFI score,</w:t>
      </w:r>
    </w:p>
    <w:p w:rsidR="00FA2001" w:rsidRPr="00FD6E03" w:rsidRDefault="00FA2001" w:rsidP="00FD6E03">
      <w:pPr>
        <w:pStyle w:val="ListBullet2"/>
        <w:spacing w:before="0" w:after="0"/>
        <w:rPr>
          <w:sz w:val="18"/>
          <w:szCs w:val="18"/>
          <w:lang w:eastAsia="zh-TW"/>
        </w:rPr>
      </w:pPr>
      <w:r w:rsidRPr="00FD6E03">
        <w:rPr>
          <w:sz w:val="18"/>
          <w:szCs w:val="18"/>
        </w:rPr>
        <w:t xml:space="preserve">Inflammation represented by the mean of the 2 morning stiffness-related </w:t>
      </w:r>
      <w:r w:rsidRPr="00FD6E03">
        <w:rPr>
          <w:sz w:val="18"/>
          <w:szCs w:val="18"/>
          <w:lang w:eastAsia="zh-TW"/>
        </w:rPr>
        <w:t>BASDAI scores.</w:t>
      </w:r>
    </w:p>
    <w:p w:rsidR="00FA2001" w:rsidRPr="00FD6E03" w:rsidRDefault="00FA2001" w:rsidP="00FD6E03">
      <w:pPr>
        <w:pStyle w:val="ListBullet"/>
        <w:spacing w:before="0" w:after="0"/>
        <w:rPr>
          <w:sz w:val="18"/>
          <w:szCs w:val="18"/>
        </w:rPr>
      </w:pPr>
      <w:r w:rsidRPr="00FD6E03">
        <w:rPr>
          <w:sz w:val="18"/>
          <w:szCs w:val="18"/>
          <w:lang w:eastAsia="zh-TW"/>
        </w:rPr>
        <w:t>Absence of deterioration (of at least 20% and absolute change of at least 1 unit) in the potential remaining domain.</w:t>
      </w:r>
    </w:p>
  </w:footnote>
  <w:footnote w:id="12">
    <w:p w:rsidR="00FA2001" w:rsidRPr="00BE1E08" w:rsidRDefault="00FA2001" w:rsidP="001A0172">
      <w:pPr>
        <w:pStyle w:val="Footer"/>
      </w:pPr>
      <w:r w:rsidRPr="00BE1E08">
        <w:rPr>
          <w:rStyle w:val="FootnoteReference"/>
          <w:szCs w:val="18"/>
        </w:rPr>
        <w:footnoteRef/>
      </w:r>
      <w:r w:rsidRPr="00BE1E08">
        <w:t xml:space="preserve"> The ASAS 5/6 required a 20% improvement in 5 of 6 criteria - the 4 domains of the ASAS response, a measure of spinal mobility (lateral spinal flexion), and </w:t>
      </w:r>
      <w:proofErr w:type="spellStart"/>
      <w:r w:rsidRPr="00BE1E08">
        <w:t>hsCRP</w:t>
      </w:r>
      <w:proofErr w:type="spellEnd"/>
      <w:r w:rsidRPr="00BE1E08">
        <w:t>.</w:t>
      </w:r>
    </w:p>
  </w:footnote>
  <w:footnote w:id="13">
    <w:p w:rsidR="00FA2001" w:rsidRPr="00BE1E08" w:rsidRDefault="00FA2001" w:rsidP="006060A7">
      <w:pPr>
        <w:pStyle w:val="Footer"/>
      </w:pPr>
      <w:r w:rsidRPr="00BE1E08">
        <w:rPr>
          <w:rStyle w:val="FootnoteReference"/>
          <w:szCs w:val="18"/>
        </w:rPr>
        <w:footnoteRef/>
      </w:r>
      <w:r w:rsidRPr="00BE1E08">
        <w:t xml:space="preserve"> Assessment in Ankylosing Spondylitis (ASDAS) scores were calculated from the following:</w:t>
      </w:r>
    </w:p>
    <w:p w:rsidR="00FA2001" w:rsidRPr="006060A7" w:rsidRDefault="00FA2001" w:rsidP="006060A7">
      <w:pPr>
        <w:pStyle w:val="Numberbullet0"/>
        <w:spacing w:before="0" w:after="0"/>
        <w:rPr>
          <w:sz w:val="18"/>
          <w:szCs w:val="18"/>
        </w:rPr>
      </w:pPr>
      <w:r w:rsidRPr="006060A7">
        <w:rPr>
          <w:sz w:val="18"/>
          <w:szCs w:val="18"/>
        </w:rPr>
        <w:t>Total back pain (BASDAI question 2),</w:t>
      </w:r>
    </w:p>
    <w:p w:rsidR="00FA2001" w:rsidRPr="006060A7" w:rsidRDefault="00FA2001" w:rsidP="006060A7">
      <w:pPr>
        <w:pStyle w:val="Numberbullet0"/>
        <w:spacing w:before="0" w:after="0"/>
        <w:rPr>
          <w:sz w:val="18"/>
          <w:szCs w:val="18"/>
        </w:rPr>
      </w:pPr>
      <w:r w:rsidRPr="006060A7">
        <w:rPr>
          <w:sz w:val="18"/>
          <w:szCs w:val="18"/>
        </w:rPr>
        <w:t>Subject Assessment of Disease Activity,</w:t>
      </w:r>
    </w:p>
    <w:p w:rsidR="00FA2001" w:rsidRPr="006060A7" w:rsidRDefault="00FA2001" w:rsidP="006060A7">
      <w:pPr>
        <w:pStyle w:val="Numberbullet0"/>
        <w:spacing w:before="0" w:after="0"/>
        <w:rPr>
          <w:sz w:val="18"/>
          <w:szCs w:val="18"/>
        </w:rPr>
      </w:pPr>
      <w:r w:rsidRPr="006060A7">
        <w:rPr>
          <w:sz w:val="18"/>
          <w:szCs w:val="18"/>
        </w:rPr>
        <w:t>Peripheral pain/swelling (BASDAI question 3),</w:t>
      </w:r>
    </w:p>
    <w:p w:rsidR="00FA2001" w:rsidRPr="006060A7" w:rsidRDefault="00FA2001" w:rsidP="006060A7">
      <w:pPr>
        <w:pStyle w:val="Numberbullet0"/>
        <w:spacing w:before="0" w:after="0"/>
        <w:rPr>
          <w:sz w:val="18"/>
          <w:szCs w:val="18"/>
        </w:rPr>
      </w:pPr>
      <w:r w:rsidRPr="006060A7">
        <w:rPr>
          <w:sz w:val="18"/>
          <w:szCs w:val="18"/>
        </w:rPr>
        <w:t>Duration of morning stiffness (BASDAI question 6),</w:t>
      </w:r>
    </w:p>
    <w:p w:rsidR="00FA2001" w:rsidRPr="006060A7" w:rsidRDefault="00FA2001" w:rsidP="006060A7">
      <w:pPr>
        <w:pStyle w:val="Numberbullet0"/>
        <w:spacing w:before="0" w:after="0"/>
        <w:rPr>
          <w:sz w:val="18"/>
          <w:szCs w:val="18"/>
        </w:rPr>
      </w:pPr>
      <w:proofErr w:type="spellStart"/>
      <w:r w:rsidRPr="006060A7">
        <w:rPr>
          <w:sz w:val="18"/>
          <w:szCs w:val="18"/>
        </w:rPr>
        <w:t>hsCRP</w:t>
      </w:r>
      <w:proofErr w:type="spellEnd"/>
      <w:r w:rsidRPr="006060A7">
        <w:rPr>
          <w:sz w:val="18"/>
          <w:szCs w:val="18"/>
        </w:rPr>
        <w:t xml:space="preserve"> in mg/L (or ESR)</w:t>
      </w:r>
    </w:p>
  </w:footnote>
  <w:footnote w:id="14">
    <w:p w:rsidR="00FA2001" w:rsidRPr="00BE1E08" w:rsidRDefault="00FA2001" w:rsidP="001A0172">
      <w:pPr>
        <w:pStyle w:val="Footer"/>
      </w:pPr>
      <w:r w:rsidRPr="00BE1E08">
        <w:rPr>
          <w:rStyle w:val="FootnoteReference"/>
          <w:szCs w:val="18"/>
        </w:rPr>
        <w:footnoteRef/>
      </w:r>
      <w:r w:rsidRPr="00BE1E08">
        <w:t xml:space="preserve"> Partial remission was defined as a score of 2 or less (on a scale of 0-10 cm) for each of the 4 domains.</w:t>
      </w:r>
    </w:p>
  </w:footnote>
  <w:footnote w:id="15">
    <w:p w:rsidR="00FA2001" w:rsidRPr="00BE1E08" w:rsidRDefault="00FA2001" w:rsidP="001A0172">
      <w:pPr>
        <w:pStyle w:val="Footer"/>
      </w:pPr>
      <w:r w:rsidRPr="00BE1E08">
        <w:rPr>
          <w:rStyle w:val="FootnoteReference"/>
          <w:szCs w:val="18"/>
        </w:rPr>
        <w:footnoteRef/>
      </w:r>
      <w:r w:rsidRPr="00BE1E08">
        <w:t xml:space="preserve"> Subjects assessed their overall disease activity over the last 48 hours using a pain scale between 0 mm (none) and 100 mm (severe), which corresponded to the magnitude of their pain.</w:t>
      </w:r>
    </w:p>
  </w:footnote>
  <w:footnote w:id="16">
    <w:p w:rsidR="00FA2001" w:rsidRPr="001A0172" w:rsidRDefault="00FA2001" w:rsidP="001A0172">
      <w:pPr>
        <w:pStyle w:val="Footer"/>
        <w:keepNext/>
      </w:pPr>
      <w:r w:rsidRPr="001A0172">
        <w:rPr>
          <w:rStyle w:val="FootnoteReference"/>
          <w:vertAlign w:val="baseline"/>
        </w:rPr>
        <w:footnoteRef/>
      </w:r>
      <w:r w:rsidRPr="001A0172">
        <w:t xml:space="preserve"> The Investigator estimated the subject’s overall disease activity over the previous 48 hours (this was independent of the Subject Assessment of Disease Activity) using a scale between 0 mm (none) and 100 mm (severe).</w:t>
      </w:r>
    </w:p>
  </w:footnote>
  <w:footnote w:id="17">
    <w:p w:rsidR="00FA2001" w:rsidRPr="001A0172" w:rsidRDefault="00FA2001" w:rsidP="001A0172">
      <w:pPr>
        <w:pStyle w:val="Footer"/>
        <w:keepNext/>
      </w:pPr>
      <w:r w:rsidRPr="005E2056">
        <w:rPr>
          <w:rStyle w:val="FootnoteReference"/>
        </w:rPr>
        <w:footnoteRef/>
      </w:r>
      <w:r w:rsidRPr="001A0172">
        <w:t xml:space="preserve"> The BASFI was a set of 10 questions designed to determine the degree of functional limitation in those with AS. It used a VAS and assessed level of ability.</w:t>
      </w:r>
    </w:p>
  </w:footnote>
  <w:footnote w:id="18">
    <w:p w:rsidR="00FA2001" w:rsidRPr="001A0172" w:rsidRDefault="00FA2001" w:rsidP="001A0172">
      <w:pPr>
        <w:pStyle w:val="Footer"/>
        <w:keepNext/>
      </w:pPr>
      <w:r w:rsidRPr="005E2056">
        <w:rPr>
          <w:rStyle w:val="FootnoteReference"/>
        </w:rPr>
        <w:footnoteRef/>
      </w:r>
      <w:r w:rsidRPr="005E2056">
        <w:rPr>
          <w:vertAlign w:val="superscript"/>
        </w:rPr>
        <w:t xml:space="preserve"> </w:t>
      </w:r>
      <w:r w:rsidRPr="001A0172">
        <w:t>The BASDAI consisted of a 0 through 100 mm scale (zero being no problem and 100 being very severe) which was used to answer 6 questions pertaining to the 5 major symptoms of AS: fatigue; spinal pain; joint swelling and pain; morning stiffness duration; morning stiffness severity.</w:t>
      </w:r>
    </w:p>
  </w:footnote>
  <w:footnote w:id="19">
    <w:p w:rsidR="00FA2001" w:rsidRPr="001A0172" w:rsidRDefault="00FA2001" w:rsidP="001A0172">
      <w:pPr>
        <w:pStyle w:val="Footer"/>
        <w:keepNext/>
      </w:pPr>
      <w:r w:rsidRPr="005E2056">
        <w:rPr>
          <w:rStyle w:val="FootnoteReference"/>
        </w:rPr>
        <w:footnoteRef/>
      </w:r>
      <w:r w:rsidRPr="001A0172">
        <w:t xml:space="preserve"> The BAS-G was a 2 question assessment evaluating the effect of AS on the subject’s wellbeing over the last week and last 6 months.</w:t>
      </w:r>
    </w:p>
  </w:footnote>
  <w:footnote w:id="20">
    <w:p w:rsidR="00FA2001" w:rsidRPr="001A0172" w:rsidRDefault="00FA2001" w:rsidP="001A0172">
      <w:pPr>
        <w:pStyle w:val="Footer"/>
        <w:keepNext/>
      </w:pPr>
      <w:r w:rsidRPr="005E2056">
        <w:rPr>
          <w:rStyle w:val="FootnoteReference"/>
        </w:rPr>
        <w:footnoteRef/>
      </w:r>
      <w:r w:rsidRPr="005E2056">
        <w:rPr>
          <w:vertAlign w:val="superscript"/>
        </w:rPr>
        <w:t xml:space="preserve"> </w:t>
      </w:r>
      <w:r w:rsidRPr="001A0172">
        <w:t xml:space="preserve">The BASMI consists of 5 clinical measurements to reflect axial status: </w:t>
      </w:r>
      <w:proofErr w:type="spellStart"/>
      <w:r w:rsidRPr="001A0172">
        <w:t>intermalleoloar</w:t>
      </w:r>
      <w:proofErr w:type="spellEnd"/>
      <w:r w:rsidRPr="001A0172">
        <w:t xml:space="preserve"> distance, cervical rotation, modified </w:t>
      </w:r>
      <w:proofErr w:type="spellStart"/>
      <w:r w:rsidRPr="001A0172">
        <w:t>Schober’s</w:t>
      </w:r>
      <w:proofErr w:type="spellEnd"/>
      <w:r w:rsidRPr="001A0172">
        <w:t xml:space="preserve"> test, lateral flexion and tragus to wall distance.</w:t>
      </w:r>
    </w:p>
  </w:footnote>
  <w:footnote w:id="21">
    <w:p w:rsidR="00FA2001" w:rsidRPr="001A0172" w:rsidRDefault="00FA2001" w:rsidP="001A0172">
      <w:pPr>
        <w:pStyle w:val="Footer"/>
        <w:keepNext/>
      </w:pPr>
      <w:r w:rsidRPr="005E2056">
        <w:rPr>
          <w:rStyle w:val="FootnoteReference"/>
        </w:rPr>
        <w:footnoteRef/>
      </w:r>
      <w:r w:rsidRPr="001A0172">
        <w:t xml:space="preserve"> SPARCC is the Spondyloarthritis</w:t>
      </w:r>
      <w:r>
        <w:t xml:space="preserve"> Research Consortium of Canada.</w:t>
      </w:r>
    </w:p>
  </w:footnote>
  <w:footnote w:id="22">
    <w:p w:rsidR="00FA2001" w:rsidRPr="007D516D" w:rsidRDefault="00FA2001" w:rsidP="007D516D">
      <w:pPr>
        <w:autoSpaceDE w:val="0"/>
        <w:autoSpaceDN w:val="0"/>
        <w:adjustRightInd w:val="0"/>
        <w:spacing w:before="0" w:after="0" w:line="240" w:lineRule="auto"/>
        <w:rPr>
          <w:rFonts w:asciiTheme="minorHAnsi" w:hAnsiTheme="minorHAnsi"/>
          <w:sz w:val="18"/>
          <w:szCs w:val="18"/>
        </w:rPr>
      </w:pPr>
      <w:r w:rsidRPr="007D516D">
        <w:rPr>
          <w:rStyle w:val="FootnoteReference"/>
          <w:rFonts w:asciiTheme="minorHAnsi" w:hAnsiTheme="minorHAnsi"/>
          <w:sz w:val="18"/>
          <w:szCs w:val="18"/>
        </w:rPr>
        <w:footnoteRef/>
      </w:r>
      <w:r w:rsidRPr="007D516D">
        <w:rPr>
          <w:rFonts w:asciiTheme="minorHAnsi" w:hAnsiTheme="minorHAnsi"/>
          <w:sz w:val="18"/>
          <w:szCs w:val="18"/>
        </w:rPr>
        <w:t xml:space="preserve"> </w:t>
      </w:r>
      <w:r w:rsidRPr="007D516D">
        <w:rPr>
          <w:rFonts w:asciiTheme="minorHAnsi" w:eastAsia="TimesNewRoman" w:hAnsiTheme="minorHAnsi" w:cs="TimesNewRoman"/>
          <w:sz w:val="18"/>
          <w:szCs w:val="18"/>
        </w:rPr>
        <w:t xml:space="preserve">Robinson PC, Bird P, Lim I, et al. Consensus statement on the investigation and management of non-radiographic axial </w:t>
      </w:r>
      <w:proofErr w:type="spellStart"/>
      <w:r w:rsidRPr="007D516D">
        <w:rPr>
          <w:rFonts w:asciiTheme="minorHAnsi" w:eastAsia="TimesNewRoman" w:hAnsiTheme="minorHAnsi" w:cs="TimesNewRoman"/>
          <w:sz w:val="18"/>
          <w:szCs w:val="18"/>
        </w:rPr>
        <w:t>spondyloarthritis</w:t>
      </w:r>
      <w:proofErr w:type="spellEnd"/>
      <w:r w:rsidRPr="007D516D">
        <w:rPr>
          <w:rFonts w:asciiTheme="minorHAnsi" w:eastAsia="TimesNewRoman" w:hAnsiTheme="minorHAnsi" w:cs="TimesNewRoman"/>
          <w:sz w:val="18"/>
          <w:szCs w:val="18"/>
        </w:rPr>
        <w:t xml:space="preserve"> (nr-</w:t>
      </w:r>
      <w:proofErr w:type="spellStart"/>
      <w:r w:rsidRPr="007D516D">
        <w:rPr>
          <w:rFonts w:asciiTheme="minorHAnsi" w:eastAsia="TimesNewRoman" w:hAnsiTheme="minorHAnsi" w:cs="TimesNewRoman"/>
          <w:sz w:val="18"/>
          <w:szCs w:val="18"/>
        </w:rPr>
        <w:t>axSpA</w:t>
      </w:r>
      <w:proofErr w:type="spellEnd"/>
      <w:r w:rsidRPr="007D516D">
        <w:rPr>
          <w:rFonts w:asciiTheme="minorHAnsi" w:eastAsia="TimesNewRoman" w:hAnsiTheme="minorHAnsi" w:cs="TimesNewRoman"/>
          <w:sz w:val="18"/>
          <w:szCs w:val="18"/>
        </w:rPr>
        <w:t xml:space="preserve">). </w:t>
      </w:r>
      <w:proofErr w:type="spellStart"/>
      <w:r w:rsidRPr="007D516D">
        <w:rPr>
          <w:rFonts w:asciiTheme="minorHAnsi" w:eastAsia="TimesNewRoman" w:hAnsiTheme="minorHAnsi" w:cs="TimesNewRoman"/>
          <w:sz w:val="18"/>
          <w:szCs w:val="18"/>
        </w:rPr>
        <w:t>Int</w:t>
      </w:r>
      <w:proofErr w:type="spellEnd"/>
      <w:r w:rsidRPr="007D516D">
        <w:rPr>
          <w:rFonts w:asciiTheme="minorHAnsi" w:eastAsia="TimesNewRoman" w:hAnsiTheme="minorHAnsi" w:cs="TimesNewRoman"/>
          <w:sz w:val="18"/>
          <w:szCs w:val="18"/>
        </w:rPr>
        <w:t xml:space="preserve"> J Rheum Dis 2014</w:t>
      </w:r>
      <w:proofErr w:type="gramStart"/>
      <w:r w:rsidRPr="007D516D">
        <w:rPr>
          <w:rFonts w:asciiTheme="minorHAnsi" w:eastAsia="TimesNewRoman" w:hAnsiTheme="minorHAnsi" w:cs="TimesNewRoman"/>
          <w:sz w:val="18"/>
          <w:szCs w:val="18"/>
        </w:rPr>
        <w:t>;17</w:t>
      </w:r>
      <w:proofErr w:type="gramEnd"/>
      <w:r w:rsidRPr="007D516D">
        <w:rPr>
          <w:rFonts w:asciiTheme="minorHAnsi" w:eastAsia="TimesNewRoman" w:hAnsiTheme="minorHAnsi" w:cs="TimesNewRoman"/>
          <w:sz w:val="18"/>
          <w:szCs w:val="18"/>
        </w:rPr>
        <w:t>(5):548-56.</w:t>
      </w:r>
    </w:p>
  </w:footnote>
  <w:footnote w:id="23">
    <w:p w:rsidR="00FA2001" w:rsidRPr="0065484A" w:rsidRDefault="00FA2001" w:rsidP="0065484A">
      <w:pPr>
        <w:pStyle w:val="Footer"/>
        <w:rPr>
          <w:szCs w:val="18"/>
        </w:rPr>
      </w:pPr>
      <w:r w:rsidRPr="0065484A">
        <w:rPr>
          <w:rStyle w:val="FootnoteReference"/>
          <w:rFonts w:asciiTheme="minorHAnsi" w:hAnsiTheme="minorHAnsi"/>
          <w:szCs w:val="18"/>
        </w:rPr>
        <w:footnoteRef/>
      </w:r>
      <w:r w:rsidRPr="0065484A">
        <w:rPr>
          <w:szCs w:val="18"/>
        </w:rPr>
        <w:t xml:space="preserve"> </w:t>
      </w:r>
      <w:proofErr w:type="spellStart"/>
      <w:proofErr w:type="gramStart"/>
      <w:r w:rsidRPr="0065484A">
        <w:rPr>
          <w:szCs w:val="18"/>
        </w:rPr>
        <w:t>Rudwaleit</w:t>
      </w:r>
      <w:proofErr w:type="spellEnd"/>
      <w:r w:rsidRPr="0065484A">
        <w:rPr>
          <w:szCs w:val="18"/>
        </w:rPr>
        <w:t xml:space="preserve"> M, van der </w:t>
      </w:r>
      <w:proofErr w:type="spellStart"/>
      <w:r w:rsidRPr="0065484A">
        <w:rPr>
          <w:szCs w:val="18"/>
        </w:rPr>
        <w:t>Heijde</w:t>
      </w:r>
      <w:proofErr w:type="spellEnd"/>
      <w:r w:rsidRPr="0065484A">
        <w:rPr>
          <w:szCs w:val="18"/>
        </w:rPr>
        <w:t xml:space="preserve"> D, </w:t>
      </w:r>
      <w:proofErr w:type="spellStart"/>
      <w:r w:rsidRPr="0065484A">
        <w:rPr>
          <w:szCs w:val="18"/>
        </w:rPr>
        <w:t>Landewe</w:t>
      </w:r>
      <w:proofErr w:type="spellEnd"/>
      <w:r w:rsidRPr="0065484A">
        <w:rPr>
          <w:szCs w:val="18"/>
        </w:rPr>
        <w:t>´ R, et al.</w:t>
      </w:r>
      <w:proofErr w:type="gramEnd"/>
      <w:r w:rsidRPr="0065484A">
        <w:rPr>
          <w:szCs w:val="18"/>
        </w:rPr>
        <w:t xml:space="preserve"> The development of Assessment of </w:t>
      </w:r>
      <w:proofErr w:type="spellStart"/>
      <w:r w:rsidRPr="0065484A">
        <w:rPr>
          <w:szCs w:val="18"/>
        </w:rPr>
        <w:t>SpondyloArthritis</w:t>
      </w:r>
      <w:proofErr w:type="spellEnd"/>
      <w:r w:rsidRPr="0065484A">
        <w:rPr>
          <w:szCs w:val="18"/>
        </w:rPr>
        <w:t xml:space="preserve"> international Society classification criteria for axial </w:t>
      </w:r>
      <w:proofErr w:type="spellStart"/>
      <w:r w:rsidRPr="0065484A">
        <w:rPr>
          <w:szCs w:val="18"/>
        </w:rPr>
        <w:t>spondyloarthritis</w:t>
      </w:r>
      <w:proofErr w:type="spellEnd"/>
      <w:r w:rsidRPr="0065484A">
        <w:rPr>
          <w:szCs w:val="18"/>
        </w:rPr>
        <w:t xml:space="preserve"> (part II): validation and final selection. Ann Rheum Dis 2009</w:t>
      </w:r>
      <w:proofErr w:type="gramStart"/>
      <w:r w:rsidRPr="0065484A">
        <w:rPr>
          <w:szCs w:val="18"/>
        </w:rPr>
        <w:t>;68</w:t>
      </w:r>
      <w:proofErr w:type="gramEnd"/>
      <w:r w:rsidRPr="0065484A">
        <w:rPr>
          <w:szCs w:val="18"/>
        </w:rPr>
        <w:t>(6):777–83.</w:t>
      </w:r>
    </w:p>
  </w:footnote>
  <w:footnote w:id="24">
    <w:p w:rsidR="00FA2001" w:rsidRPr="0065484A" w:rsidRDefault="00FA2001" w:rsidP="0065484A">
      <w:pPr>
        <w:pStyle w:val="Footer"/>
        <w:rPr>
          <w:szCs w:val="18"/>
        </w:rPr>
      </w:pPr>
      <w:r w:rsidRPr="0065484A">
        <w:rPr>
          <w:rStyle w:val="FootnoteReference"/>
          <w:szCs w:val="18"/>
        </w:rPr>
        <w:footnoteRef/>
      </w:r>
      <w:r w:rsidRPr="0065484A">
        <w:rPr>
          <w:szCs w:val="18"/>
        </w:rPr>
        <w:t xml:space="preserve"> Zhou H, </w:t>
      </w:r>
      <w:proofErr w:type="spellStart"/>
      <w:r w:rsidRPr="0065484A">
        <w:rPr>
          <w:szCs w:val="18"/>
        </w:rPr>
        <w:t>Buckwalter</w:t>
      </w:r>
      <w:proofErr w:type="spellEnd"/>
      <w:r w:rsidRPr="0065484A">
        <w:rPr>
          <w:szCs w:val="18"/>
        </w:rPr>
        <w:t xml:space="preserve"> M, </w:t>
      </w:r>
      <w:proofErr w:type="spellStart"/>
      <w:proofErr w:type="gramStart"/>
      <w:r w:rsidRPr="0065484A">
        <w:rPr>
          <w:szCs w:val="18"/>
        </w:rPr>
        <w:t>Boni</w:t>
      </w:r>
      <w:proofErr w:type="spellEnd"/>
      <w:proofErr w:type="gramEnd"/>
      <w:r w:rsidRPr="0065484A">
        <w:rPr>
          <w:szCs w:val="18"/>
        </w:rPr>
        <w:t xml:space="preserve"> J, et al. Population-based pharmacokinetics of the soluble </w:t>
      </w:r>
      <w:proofErr w:type="spellStart"/>
      <w:r w:rsidRPr="0065484A">
        <w:rPr>
          <w:szCs w:val="18"/>
        </w:rPr>
        <w:t>TNFr</w:t>
      </w:r>
      <w:proofErr w:type="spellEnd"/>
      <w:r w:rsidRPr="0065484A">
        <w:rPr>
          <w:szCs w:val="18"/>
        </w:rPr>
        <w:t xml:space="preserve"> </w:t>
      </w:r>
      <w:proofErr w:type="spellStart"/>
      <w:r w:rsidRPr="0065484A">
        <w:rPr>
          <w:szCs w:val="18"/>
        </w:rPr>
        <w:t>etanercept</w:t>
      </w:r>
      <w:proofErr w:type="spellEnd"/>
      <w:r w:rsidRPr="0065484A">
        <w:rPr>
          <w:szCs w:val="18"/>
        </w:rPr>
        <w:t xml:space="preserve">: a clinical study in 43 patients with ankylosing spondylitis compared with post hoc data from patients rheumatoid arthritis. </w:t>
      </w:r>
      <w:proofErr w:type="spellStart"/>
      <w:r w:rsidRPr="0065484A">
        <w:rPr>
          <w:szCs w:val="18"/>
        </w:rPr>
        <w:t>Int</w:t>
      </w:r>
      <w:proofErr w:type="spellEnd"/>
      <w:r w:rsidRPr="0065484A">
        <w:rPr>
          <w:szCs w:val="18"/>
        </w:rPr>
        <w:t xml:space="preserve"> J </w:t>
      </w:r>
      <w:proofErr w:type="spellStart"/>
      <w:r w:rsidRPr="0065484A">
        <w:rPr>
          <w:szCs w:val="18"/>
        </w:rPr>
        <w:t>Clin</w:t>
      </w:r>
      <w:proofErr w:type="spellEnd"/>
      <w:r w:rsidRPr="0065484A">
        <w:rPr>
          <w:szCs w:val="18"/>
        </w:rPr>
        <w:t xml:space="preserve"> </w:t>
      </w:r>
      <w:proofErr w:type="spellStart"/>
      <w:r w:rsidRPr="0065484A">
        <w:rPr>
          <w:szCs w:val="18"/>
        </w:rPr>
        <w:t>Pharmacol</w:t>
      </w:r>
      <w:proofErr w:type="spellEnd"/>
      <w:r w:rsidRPr="0065484A">
        <w:rPr>
          <w:szCs w:val="18"/>
        </w:rPr>
        <w:t xml:space="preserve"> </w:t>
      </w:r>
      <w:proofErr w:type="spellStart"/>
      <w:r w:rsidRPr="0065484A">
        <w:rPr>
          <w:szCs w:val="18"/>
        </w:rPr>
        <w:t>Ther</w:t>
      </w:r>
      <w:proofErr w:type="spellEnd"/>
      <w:r w:rsidRPr="0065484A">
        <w:rPr>
          <w:szCs w:val="18"/>
        </w:rPr>
        <w:t xml:space="preserve"> 2004</w:t>
      </w:r>
      <w:proofErr w:type="gramStart"/>
      <w:r w:rsidRPr="0065484A">
        <w:rPr>
          <w:szCs w:val="18"/>
        </w:rPr>
        <w:t>;42</w:t>
      </w:r>
      <w:proofErr w:type="gramEnd"/>
      <w:r w:rsidRPr="0065484A">
        <w:rPr>
          <w:szCs w:val="18"/>
        </w:rPr>
        <w:t>(5):267-76.</w:t>
      </w:r>
    </w:p>
  </w:footnote>
  <w:footnote w:id="25">
    <w:p w:rsidR="00FA2001" w:rsidRPr="0065484A" w:rsidRDefault="00FA2001" w:rsidP="0065484A">
      <w:pPr>
        <w:pStyle w:val="Footer"/>
        <w:rPr>
          <w:szCs w:val="18"/>
        </w:rPr>
      </w:pPr>
      <w:r w:rsidRPr="0065484A">
        <w:rPr>
          <w:rStyle w:val="FootnoteReference"/>
          <w:rFonts w:asciiTheme="minorHAnsi" w:hAnsiTheme="minorHAnsi"/>
          <w:szCs w:val="18"/>
        </w:rPr>
        <w:footnoteRef/>
      </w:r>
      <w:r w:rsidRPr="0065484A">
        <w:rPr>
          <w:szCs w:val="18"/>
        </w:rPr>
        <w:t xml:space="preserve"> Lee H, </w:t>
      </w:r>
      <w:proofErr w:type="spellStart"/>
      <w:r w:rsidRPr="0065484A">
        <w:rPr>
          <w:szCs w:val="18"/>
        </w:rPr>
        <w:t>Kimko</w:t>
      </w:r>
      <w:proofErr w:type="spellEnd"/>
      <w:r w:rsidRPr="0065484A">
        <w:rPr>
          <w:szCs w:val="18"/>
        </w:rPr>
        <w:t xml:space="preserve"> HC, Rogge M, et al. Population pharmacokinetic and </w:t>
      </w:r>
      <w:proofErr w:type="spellStart"/>
      <w:r w:rsidRPr="0065484A">
        <w:rPr>
          <w:szCs w:val="18"/>
        </w:rPr>
        <w:t>pharmacodynamic</w:t>
      </w:r>
      <w:proofErr w:type="spellEnd"/>
      <w:r w:rsidRPr="0065484A">
        <w:rPr>
          <w:szCs w:val="18"/>
        </w:rPr>
        <w:t xml:space="preserve"> </w:t>
      </w:r>
      <w:proofErr w:type="spellStart"/>
      <w:r w:rsidRPr="0065484A">
        <w:rPr>
          <w:szCs w:val="18"/>
        </w:rPr>
        <w:t>modeling</w:t>
      </w:r>
      <w:proofErr w:type="spellEnd"/>
      <w:r w:rsidRPr="0065484A">
        <w:rPr>
          <w:szCs w:val="18"/>
        </w:rPr>
        <w:t xml:space="preserve"> of </w:t>
      </w:r>
      <w:proofErr w:type="spellStart"/>
      <w:r w:rsidRPr="0065484A">
        <w:rPr>
          <w:szCs w:val="18"/>
        </w:rPr>
        <w:t>etanercept</w:t>
      </w:r>
      <w:proofErr w:type="spellEnd"/>
      <w:r w:rsidRPr="0065484A">
        <w:rPr>
          <w:szCs w:val="18"/>
        </w:rPr>
        <w:t xml:space="preserve"> using logistic regression analysis. </w:t>
      </w:r>
      <w:proofErr w:type="spellStart"/>
      <w:r w:rsidRPr="0065484A">
        <w:rPr>
          <w:szCs w:val="18"/>
        </w:rPr>
        <w:t>Clin</w:t>
      </w:r>
      <w:proofErr w:type="spellEnd"/>
      <w:r w:rsidRPr="0065484A">
        <w:rPr>
          <w:szCs w:val="18"/>
        </w:rPr>
        <w:t xml:space="preserve"> </w:t>
      </w:r>
      <w:proofErr w:type="spellStart"/>
      <w:r w:rsidRPr="0065484A">
        <w:rPr>
          <w:szCs w:val="18"/>
        </w:rPr>
        <w:t>Pharmacol</w:t>
      </w:r>
      <w:proofErr w:type="spellEnd"/>
      <w:r w:rsidRPr="0065484A">
        <w:rPr>
          <w:szCs w:val="18"/>
        </w:rPr>
        <w:t xml:space="preserve"> </w:t>
      </w:r>
      <w:proofErr w:type="spellStart"/>
      <w:r w:rsidRPr="0065484A">
        <w:rPr>
          <w:szCs w:val="18"/>
        </w:rPr>
        <w:t>Ther</w:t>
      </w:r>
      <w:proofErr w:type="spellEnd"/>
      <w:r w:rsidRPr="0065484A">
        <w:rPr>
          <w:szCs w:val="18"/>
        </w:rPr>
        <w:t xml:space="preserve"> 2003</w:t>
      </w:r>
      <w:proofErr w:type="gramStart"/>
      <w:r w:rsidRPr="0065484A">
        <w:rPr>
          <w:szCs w:val="18"/>
        </w:rPr>
        <w:t>;73</w:t>
      </w:r>
      <w:proofErr w:type="gramEnd"/>
      <w:r w:rsidRPr="0065484A">
        <w:rPr>
          <w:szCs w:val="18"/>
        </w:rPr>
        <w:t>(4):348-65.</w:t>
      </w:r>
    </w:p>
  </w:footnote>
  <w:footnote w:id="26">
    <w:p w:rsidR="00FA2001" w:rsidRPr="0065484A" w:rsidRDefault="00FA2001" w:rsidP="0065484A">
      <w:pPr>
        <w:pStyle w:val="Footer"/>
        <w:rPr>
          <w:szCs w:val="18"/>
        </w:rPr>
      </w:pPr>
      <w:r w:rsidRPr="0065484A">
        <w:rPr>
          <w:rStyle w:val="FootnoteReference"/>
          <w:rFonts w:asciiTheme="minorHAnsi" w:hAnsiTheme="minorHAnsi"/>
          <w:szCs w:val="18"/>
        </w:rPr>
        <w:footnoteRef/>
      </w:r>
      <w:r w:rsidRPr="0065484A">
        <w:rPr>
          <w:szCs w:val="18"/>
        </w:rPr>
        <w:t xml:space="preserve"> BASDAI: Bath Ankylosing Spondylitis Disease Activity Index. </w:t>
      </w:r>
      <w:proofErr w:type="gramStart"/>
      <w:r w:rsidRPr="0065484A">
        <w:rPr>
          <w:szCs w:val="18"/>
        </w:rPr>
        <w:t>www.basdai.com</w:t>
      </w:r>
      <w:proofErr w:type="gramEnd"/>
      <w:r w:rsidRPr="0065484A">
        <w:rPr>
          <w:szCs w:val="18"/>
        </w:rPr>
        <w:t>. Accessed 08 September 2014.</w:t>
      </w:r>
    </w:p>
  </w:footnote>
  <w:footnote w:id="27">
    <w:p w:rsidR="00FA2001" w:rsidRDefault="00FA2001" w:rsidP="009C699F">
      <w:pPr>
        <w:pStyle w:val="Footer"/>
      </w:pPr>
      <w:r>
        <w:rPr>
          <w:rStyle w:val="FootnoteReference"/>
        </w:rPr>
        <w:footnoteRef/>
      </w:r>
      <w:r>
        <w:t xml:space="preserve"> </w:t>
      </w:r>
      <w:r w:rsidRPr="006C2FB0">
        <w:t>Grade 0: Normal</w:t>
      </w:r>
      <w:r>
        <w:t xml:space="preserve">. </w:t>
      </w:r>
      <w:proofErr w:type="gramStart"/>
      <w:r w:rsidRPr="006C2FB0">
        <w:t>Grade 1: Suspicious changes</w:t>
      </w:r>
      <w:r>
        <w:t>.</w:t>
      </w:r>
      <w:proofErr w:type="gramEnd"/>
      <w:r>
        <w:t xml:space="preserve"> </w:t>
      </w:r>
      <w:proofErr w:type="gramStart"/>
      <w:r w:rsidRPr="006C2FB0">
        <w:t xml:space="preserve">Grade 2: Minimal abnormality – </w:t>
      </w:r>
      <w:r>
        <w:t>s</w:t>
      </w:r>
      <w:r w:rsidRPr="006C2FB0">
        <w:t>mall locali</w:t>
      </w:r>
      <w:r>
        <w:t>s</w:t>
      </w:r>
      <w:r w:rsidRPr="006C2FB0">
        <w:t>ed areas with erosions or sclerosis, without alteration in the joint width</w:t>
      </w:r>
      <w:r>
        <w:t>.</w:t>
      </w:r>
      <w:proofErr w:type="gramEnd"/>
      <w:r>
        <w:t xml:space="preserve"> </w:t>
      </w:r>
      <w:proofErr w:type="gramStart"/>
      <w:r w:rsidRPr="006C2FB0">
        <w:t xml:space="preserve">Grade 3: Unequivocal abnormality – </w:t>
      </w:r>
      <w:r>
        <w:t>m</w:t>
      </w:r>
      <w:r w:rsidRPr="006C2FB0">
        <w:t xml:space="preserve">oderate or advanced sacroiliitis with erosions, evidence of sclerosis, widening, narrowing, or partial </w:t>
      </w:r>
      <w:proofErr w:type="spellStart"/>
      <w:r w:rsidRPr="006C2FB0">
        <w:t>ankylosis</w:t>
      </w:r>
      <w:proofErr w:type="spellEnd"/>
      <w:r>
        <w:t>.</w:t>
      </w:r>
      <w:proofErr w:type="gramEnd"/>
      <w:r>
        <w:t xml:space="preserve"> </w:t>
      </w:r>
      <w:r w:rsidRPr="006C2FB0">
        <w:t xml:space="preserve">Grade 4: Severe abnormality – </w:t>
      </w:r>
      <w:r>
        <w:t>t</w:t>
      </w:r>
      <w:r w:rsidRPr="006C2FB0">
        <w:t xml:space="preserve">otal </w:t>
      </w:r>
      <w:r>
        <w:t>ankyloses.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001" w:rsidRDefault="00FA200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001" w:rsidRDefault="00FA2001">
    <w:pPr>
      <w:rPr>
        <w:noProof/>
        <w:lang w:eastAsia="en-AU"/>
      </w:rPr>
    </w:pPr>
    <w:r w:rsidRPr="002D545C">
      <w:rPr>
        <w:noProof/>
        <w:lang w:eastAsia="en-AU"/>
      </w:rPr>
      <w:drawing>
        <wp:anchor distT="0" distB="0" distL="114300" distR="114300" simplePos="0" relativeHeight="251659264" behindDoc="1" locked="0" layoutInCell="1" allowOverlap="1" wp14:anchorId="067AAEF8" wp14:editId="2B970988">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A2001" w:rsidRDefault="00FA2001" w:rsidP="00593AD1">
    <w:pPr>
      <w:pStyle w:val="HeaderNoLine"/>
    </w:pPr>
    <w:r>
      <w:rPr>
        <w:noProof/>
        <w:lang w:eastAsia="en-AU"/>
      </w:rPr>
      <w:drawing>
        <wp:inline distT="0" distB="0" distL="0" distR="0">
          <wp:extent cx="5400675" cy="7639050"/>
          <wp:effectExtent l="0" t="0" r="9525" b="0"/>
          <wp:docPr id="6"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001" w:rsidRDefault="00FA20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001" w:rsidRDefault="00FA200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001" w:rsidRDefault="00FA200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001" w:rsidRDefault="00FA200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001" w:rsidRDefault="00FA2001"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001" w:rsidRDefault="00FA2001" w:rsidP="006E08B3">
    <w:r>
      <w:t>Therapeutic Goods Administration</w:t>
    </w:r>
  </w:p>
  <w:p w:rsidR="00FA2001" w:rsidRDefault="00FA200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2626F23"/>
    <w:multiLevelType w:val="hybridMultilevel"/>
    <w:tmpl w:val="F768E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CB955BC"/>
    <w:multiLevelType w:val="hybridMultilevel"/>
    <w:tmpl w:val="BA8C17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6">
    <w:nsid w:val="767C47D5"/>
    <w:multiLevelType w:val="hybridMultilevel"/>
    <w:tmpl w:val="16BEF3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B02452E"/>
    <w:multiLevelType w:val="hybridMultilevel"/>
    <w:tmpl w:val="70249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2"/>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5"/>
  </w:num>
  <w:num w:numId="6">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4"/>
  </w:num>
  <w:num w:numId="11">
    <w:abstractNumId w:val="6"/>
  </w:num>
  <w:num w:numId="12">
    <w:abstractNumId w:val="7"/>
  </w:num>
  <w:num w:numId="13">
    <w:abstractNumId w:val="3"/>
  </w:num>
  <w:num w:numId="1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BB7"/>
    <w:rsid w:val="00002031"/>
    <w:rsid w:val="00004734"/>
    <w:rsid w:val="00006B22"/>
    <w:rsid w:val="0001276A"/>
    <w:rsid w:val="000246AE"/>
    <w:rsid w:val="00025C67"/>
    <w:rsid w:val="00030BB7"/>
    <w:rsid w:val="00040ACB"/>
    <w:rsid w:val="0005559E"/>
    <w:rsid w:val="00077775"/>
    <w:rsid w:val="000803C6"/>
    <w:rsid w:val="00090471"/>
    <w:rsid w:val="000A3AED"/>
    <w:rsid w:val="000A63AF"/>
    <w:rsid w:val="000B3532"/>
    <w:rsid w:val="000B3A75"/>
    <w:rsid w:val="000C4BB8"/>
    <w:rsid w:val="000C690F"/>
    <w:rsid w:val="000D1295"/>
    <w:rsid w:val="000D2ABE"/>
    <w:rsid w:val="000D391B"/>
    <w:rsid w:val="000D3D6D"/>
    <w:rsid w:val="000D4FC7"/>
    <w:rsid w:val="000E48FE"/>
    <w:rsid w:val="000F02F9"/>
    <w:rsid w:val="000F4869"/>
    <w:rsid w:val="000F5B42"/>
    <w:rsid w:val="000F6E6F"/>
    <w:rsid w:val="0010193C"/>
    <w:rsid w:val="00102B13"/>
    <w:rsid w:val="00104613"/>
    <w:rsid w:val="0010601F"/>
    <w:rsid w:val="0010788A"/>
    <w:rsid w:val="00107A31"/>
    <w:rsid w:val="00110EA5"/>
    <w:rsid w:val="00112F56"/>
    <w:rsid w:val="00125318"/>
    <w:rsid w:val="00125531"/>
    <w:rsid w:val="001305A2"/>
    <w:rsid w:val="00133238"/>
    <w:rsid w:val="0014197B"/>
    <w:rsid w:val="001447CD"/>
    <w:rsid w:val="001516B1"/>
    <w:rsid w:val="001545C8"/>
    <w:rsid w:val="00154EBB"/>
    <w:rsid w:val="00156316"/>
    <w:rsid w:val="00165389"/>
    <w:rsid w:val="00166C6D"/>
    <w:rsid w:val="0017078F"/>
    <w:rsid w:val="0017693F"/>
    <w:rsid w:val="0018110E"/>
    <w:rsid w:val="00181684"/>
    <w:rsid w:val="001843C6"/>
    <w:rsid w:val="001850E0"/>
    <w:rsid w:val="00196761"/>
    <w:rsid w:val="001A0172"/>
    <w:rsid w:val="001A2158"/>
    <w:rsid w:val="001A525F"/>
    <w:rsid w:val="001B09F9"/>
    <w:rsid w:val="001B529F"/>
    <w:rsid w:val="001B5D98"/>
    <w:rsid w:val="001B6448"/>
    <w:rsid w:val="001E07CF"/>
    <w:rsid w:val="001E59F1"/>
    <w:rsid w:val="001F49EB"/>
    <w:rsid w:val="001F6CBA"/>
    <w:rsid w:val="00201B74"/>
    <w:rsid w:val="00201D4E"/>
    <w:rsid w:val="002076C9"/>
    <w:rsid w:val="00220B8A"/>
    <w:rsid w:val="002257F3"/>
    <w:rsid w:val="00233456"/>
    <w:rsid w:val="002339A5"/>
    <w:rsid w:val="00242A54"/>
    <w:rsid w:val="00257848"/>
    <w:rsid w:val="002666AC"/>
    <w:rsid w:val="0027084A"/>
    <w:rsid w:val="00286434"/>
    <w:rsid w:val="002864A0"/>
    <w:rsid w:val="00286C59"/>
    <w:rsid w:val="00292113"/>
    <w:rsid w:val="002929D2"/>
    <w:rsid w:val="002942D1"/>
    <w:rsid w:val="0029501A"/>
    <w:rsid w:val="002979BE"/>
    <w:rsid w:val="002B1638"/>
    <w:rsid w:val="002C63ED"/>
    <w:rsid w:val="002D545C"/>
    <w:rsid w:val="002D6161"/>
    <w:rsid w:val="002E4213"/>
    <w:rsid w:val="002E4C9A"/>
    <w:rsid w:val="002F0BE2"/>
    <w:rsid w:val="002F11F8"/>
    <w:rsid w:val="002F3F56"/>
    <w:rsid w:val="002F44B5"/>
    <w:rsid w:val="00311AC0"/>
    <w:rsid w:val="0032583B"/>
    <w:rsid w:val="00327883"/>
    <w:rsid w:val="00335504"/>
    <w:rsid w:val="00344796"/>
    <w:rsid w:val="003521E8"/>
    <w:rsid w:val="003728F3"/>
    <w:rsid w:val="0037496E"/>
    <w:rsid w:val="0037520F"/>
    <w:rsid w:val="0037623D"/>
    <w:rsid w:val="00386150"/>
    <w:rsid w:val="003874CE"/>
    <w:rsid w:val="00390900"/>
    <w:rsid w:val="00396C92"/>
    <w:rsid w:val="003A7F6C"/>
    <w:rsid w:val="003B1113"/>
    <w:rsid w:val="003B4D60"/>
    <w:rsid w:val="003B634F"/>
    <w:rsid w:val="003B7E39"/>
    <w:rsid w:val="003C58DC"/>
    <w:rsid w:val="003D0A3B"/>
    <w:rsid w:val="003D1E62"/>
    <w:rsid w:val="003D30A4"/>
    <w:rsid w:val="003E2486"/>
    <w:rsid w:val="003E3208"/>
    <w:rsid w:val="003E4117"/>
    <w:rsid w:val="003F0B04"/>
    <w:rsid w:val="0040134E"/>
    <w:rsid w:val="00403D1D"/>
    <w:rsid w:val="00405DE8"/>
    <w:rsid w:val="00415D59"/>
    <w:rsid w:val="00425F37"/>
    <w:rsid w:val="004358AA"/>
    <w:rsid w:val="0043797D"/>
    <w:rsid w:val="00440A2D"/>
    <w:rsid w:val="00441F83"/>
    <w:rsid w:val="00455970"/>
    <w:rsid w:val="00455BC5"/>
    <w:rsid w:val="004564A7"/>
    <w:rsid w:val="004617BF"/>
    <w:rsid w:val="00463658"/>
    <w:rsid w:val="004722CC"/>
    <w:rsid w:val="0048343E"/>
    <w:rsid w:val="00491C85"/>
    <w:rsid w:val="004936E4"/>
    <w:rsid w:val="00494E60"/>
    <w:rsid w:val="00497487"/>
    <w:rsid w:val="004A7E13"/>
    <w:rsid w:val="004B7713"/>
    <w:rsid w:val="004B7B76"/>
    <w:rsid w:val="004C2DCA"/>
    <w:rsid w:val="004C3C18"/>
    <w:rsid w:val="004F0F38"/>
    <w:rsid w:val="004F4AF5"/>
    <w:rsid w:val="00501921"/>
    <w:rsid w:val="00504B7E"/>
    <w:rsid w:val="005133E8"/>
    <w:rsid w:val="0052556F"/>
    <w:rsid w:val="00530354"/>
    <w:rsid w:val="0053625B"/>
    <w:rsid w:val="005434C6"/>
    <w:rsid w:val="00543B39"/>
    <w:rsid w:val="00543B3A"/>
    <w:rsid w:val="00550096"/>
    <w:rsid w:val="00557FF9"/>
    <w:rsid w:val="00576378"/>
    <w:rsid w:val="00576B4B"/>
    <w:rsid w:val="00577945"/>
    <w:rsid w:val="00577E38"/>
    <w:rsid w:val="00585322"/>
    <w:rsid w:val="005857C6"/>
    <w:rsid w:val="00586F98"/>
    <w:rsid w:val="00592F6E"/>
    <w:rsid w:val="00593AD1"/>
    <w:rsid w:val="005A06AD"/>
    <w:rsid w:val="005A68B6"/>
    <w:rsid w:val="005C5570"/>
    <w:rsid w:val="005C79A4"/>
    <w:rsid w:val="005D2BE4"/>
    <w:rsid w:val="005D5442"/>
    <w:rsid w:val="005E2056"/>
    <w:rsid w:val="00603F32"/>
    <w:rsid w:val="006060A7"/>
    <w:rsid w:val="00620406"/>
    <w:rsid w:val="00632398"/>
    <w:rsid w:val="00640FC3"/>
    <w:rsid w:val="00642020"/>
    <w:rsid w:val="00643F33"/>
    <w:rsid w:val="00646206"/>
    <w:rsid w:val="0065337B"/>
    <w:rsid w:val="00653F8D"/>
    <w:rsid w:val="0065419D"/>
    <w:rsid w:val="0065484A"/>
    <w:rsid w:val="006604D8"/>
    <w:rsid w:val="00664A5B"/>
    <w:rsid w:val="00675068"/>
    <w:rsid w:val="006763D2"/>
    <w:rsid w:val="00680C08"/>
    <w:rsid w:val="006931B1"/>
    <w:rsid w:val="006A15C0"/>
    <w:rsid w:val="006A7E9B"/>
    <w:rsid w:val="006C130C"/>
    <w:rsid w:val="006C3E2A"/>
    <w:rsid w:val="006C642F"/>
    <w:rsid w:val="006D0299"/>
    <w:rsid w:val="006D03E5"/>
    <w:rsid w:val="006D3C8A"/>
    <w:rsid w:val="006D5D3E"/>
    <w:rsid w:val="006E08B3"/>
    <w:rsid w:val="006F17AC"/>
    <w:rsid w:val="006F1D37"/>
    <w:rsid w:val="006F26D0"/>
    <w:rsid w:val="006F2796"/>
    <w:rsid w:val="006F39FA"/>
    <w:rsid w:val="006F572E"/>
    <w:rsid w:val="007046D6"/>
    <w:rsid w:val="00705DB0"/>
    <w:rsid w:val="00722B57"/>
    <w:rsid w:val="0074253D"/>
    <w:rsid w:val="00743030"/>
    <w:rsid w:val="0074429B"/>
    <w:rsid w:val="007513B4"/>
    <w:rsid w:val="007532D8"/>
    <w:rsid w:val="007615BC"/>
    <w:rsid w:val="00762F05"/>
    <w:rsid w:val="007652FF"/>
    <w:rsid w:val="00770EF1"/>
    <w:rsid w:val="00773EF7"/>
    <w:rsid w:val="00774E1D"/>
    <w:rsid w:val="0077675A"/>
    <w:rsid w:val="00780355"/>
    <w:rsid w:val="00785721"/>
    <w:rsid w:val="00793A59"/>
    <w:rsid w:val="007B6E9F"/>
    <w:rsid w:val="007C1216"/>
    <w:rsid w:val="007C1AF7"/>
    <w:rsid w:val="007D516D"/>
    <w:rsid w:val="007E608A"/>
    <w:rsid w:val="007E6E27"/>
    <w:rsid w:val="007F4DF9"/>
    <w:rsid w:val="00805D27"/>
    <w:rsid w:val="00821776"/>
    <w:rsid w:val="008321F5"/>
    <w:rsid w:val="00832369"/>
    <w:rsid w:val="00832B0E"/>
    <w:rsid w:val="00834660"/>
    <w:rsid w:val="00836BC2"/>
    <w:rsid w:val="00840622"/>
    <w:rsid w:val="008414A0"/>
    <w:rsid w:val="0085641B"/>
    <w:rsid w:val="00857136"/>
    <w:rsid w:val="008830F9"/>
    <w:rsid w:val="00886D15"/>
    <w:rsid w:val="00887DD8"/>
    <w:rsid w:val="00896018"/>
    <w:rsid w:val="008960DD"/>
    <w:rsid w:val="0089635C"/>
    <w:rsid w:val="008A0A13"/>
    <w:rsid w:val="008A1102"/>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2742E"/>
    <w:rsid w:val="00930237"/>
    <w:rsid w:val="00930C6A"/>
    <w:rsid w:val="009438E8"/>
    <w:rsid w:val="00943C80"/>
    <w:rsid w:val="00946EA5"/>
    <w:rsid w:val="0095160F"/>
    <w:rsid w:val="00963C08"/>
    <w:rsid w:val="00981D66"/>
    <w:rsid w:val="0098585A"/>
    <w:rsid w:val="0098669D"/>
    <w:rsid w:val="00994C95"/>
    <w:rsid w:val="009A4CED"/>
    <w:rsid w:val="009A690D"/>
    <w:rsid w:val="009B1D12"/>
    <w:rsid w:val="009B416B"/>
    <w:rsid w:val="009C4BD5"/>
    <w:rsid w:val="009C699F"/>
    <w:rsid w:val="009D7B77"/>
    <w:rsid w:val="009E0BB0"/>
    <w:rsid w:val="009E3FBB"/>
    <w:rsid w:val="009E5AA9"/>
    <w:rsid w:val="00A102E4"/>
    <w:rsid w:val="00A12C42"/>
    <w:rsid w:val="00A14DF7"/>
    <w:rsid w:val="00A235D9"/>
    <w:rsid w:val="00A3246D"/>
    <w:rsid w:val="00A36FA7"/>
    <w:rsid w:val="00A475B7"/>
    <w:rsid w:val="00A47AF7"/>
    <w:rsid w:val="00A47C3E"/>
    <w:rsid w:val="00A50226"/>
    <w:rsid w:val="00A6051D"/>
    <w:rsid w:val="00A60BAD"/>
    <w:rsid w:val="00A70499"/>
    <w:rsid w:val="00A7465F"/>
    <w:rsid w:val="00A964D1"/>
    <w:rsid w:val="00AA0ED0"/>
    <w:rsid w:val="00AA3499"/>
    <w:rsid w:val="00AB3C20"/>
    <w:rsid w:val="00AC2B40"/>
    <w:rsid w:val="00AC2BB2"/>
    <w:rsid w:val="00AC2C3C"/>
    <w:rsid w:val="00AC512D"/>
    <w:rsid w:val="00AE01C2"/>
    <w:rsid w:val="00AE65EB"/>
    <w:rsid w:val="00AE67A7"/>
    <w:rsid w:val="00AF1D94"/>
    <w:rsid w:val="00AF60C5"/>
    <w:rsid w:val="00B009C6"/>
    <w:rsid w:val="00B00C29"/>
    <w:rsid w:val="00B01548"/>
    <w:rsid w:val="00B02208"/>
    <w:rsid w:val="00B1425E"/>
    <w:rsid w:val="00B17FDA"/>
    <w:rsid w:val="00B21D29"/>
    <w:rsid w:val="00B25034"/>
    <w:rsid w:val="00B25416"/>
    <w:rsid w:val="00B33588"/>
    <w:rsid w:val="00B33863"/>
    <w:rsid w:val="00B3567E"/>
    <w:rsid w:val="00B37D17"/>
    <w:rsid w:val="00B4175E"/>
    <w:rsid w:val="00B452CE"/>
    <w:rsid w:val="00B45437"/>
    <w:rsid w:val="00B52831"/>
    <w:rsid w:val="00B54C25"/>
    <w:rsid w:val="00B553DF"/>
    <w:rsid w:val="00B76B91"/>
    <w:rsid w:val="00B77EB1"/>
    <w:rsid w:val="00B811C6"/>
    <w:rsid w:val="00B85A87"/>
    <w:rsid w:val="00B92E08"/>
    <w:rsid w:val="00B96EBE"/>
    <w:rsid w:val="00BC1DBB"/>
    <w:rsid w:val="00BC38AD"/>
    <w:rsid w:val="00BC622A"/>
    <w:rsid w:val="00BD45E3"/>
    <w:rsid w:val="00BE0A78"/>
    <w:rsid w:val="00BE32A6"/>
    <w:rsid w:val="00BE6252"/>
    <w:rsid w:val="00BE79F0"/>
    <w:rsid w:val="00BF046D"/>
    <w:rsid w:val="00BF1190"/>
    <w:rsid w:val="00BF5D04"/>
    <w:rsid w:val="00C1164D"/>
    <w:rsid w:val="00C16861"/>
    <w:rsid w:val="00C22678"/>
    <w:rsid w:val="00C34B88"/>
    <w:rsid w:val="00C404A6"/>
    <w:rsid w:val="00C40A36"/>
    <w:rsid w:val="00C44419"/>
    <w:rsid w:val="00C45E7B"/>
    <w:rsid w:val="00C4625F"/>
    <w:rsid w:val="00C471B1"/>
    <w:rsid w:val="00C618F7"/>
    <w:rsid w:val="00C630B4"/>
    <w:rsid w:val="00C6316B"/>
    <w:rsid w:val="00C634A9"/>
    <w:rsid w:val="00C64586"/>
    <w:rsid w:val="00C70D53"/>
    <w:rsid w:val="00C73D0B"/>
    <w:rsid w:val="00C772FF"/>
    <w:rsid w:val="00C801AF"/>
    <w:rsid w:val="00C80256"/>
    <w:rsid w:val="00C811C0"/>
    <w:rsid w:val="00C93718"/>
    <w:rsid w:val="00CA02D7"/>
    <w:rsid w:val="00CB6BC0"/>
    <w:rsid w:val="00CC1B7C"/>
    <w:rsid w:val="00CC4C0B"/>
    <w:rsid w:val="00CC727F"/>
    <w:rsid w:val="00CF15C3"/>
    <w:rsid w:val="00CF2B6F"/>
    <w:rsid w:val="00CF58B6"/>
    <w:rsid w:val="00D017ED"/>
    <w:rsid w:val="00D040D3"/>
    <w:rsid w:val="00D04C65"/>
    <w:rsid w:val="00D06D6E"/>
    <w:rsid w:val="00D12096"/>
    <w:rsid w:val="00D224FE"/>
    <w:rsid w:val="00D23320"/>
    <w:rsid w:val="00D534F1"/>
    <w:rsid w:val="00D53A31"/>
    <w:rsid w:val="00D6222C"/>
    <w:rsid w:val="00D6493E"/>
    <w:rsid w:val="00D7301E"/>
    <w:rsid w:val="00D83AE1"/>
    <w:rsid w:val="00D855D4"/>
    <w:rsid w:val="00D87961"/>
    <w:rsid w:val="00D9068D"/>
    <w:rsid w:val="00D93466"/>
    <w:rsid w:val="00DA1124"/>
    <w:rsid w:val="00DB75B7"/>
    <w:rsid w:val="00DC5907"/>
    <w:rsid w:val="00DC6E02"/>
    <w:rsid w:val="00DD6A2F"/>
    <w:rsid w:val="00DE02AE"/>
    <w:rsid w:val="00DF1D7F"/>
    <w:rsid w:val="00DF4BE4"/>
    <w:rsid w:val="00E02FB4"/>
    <w:rsid w:val="00E07F15"/>
    <w:rsid w:val="00E13B1F"/>
    <w:rsid w:val="00E20571"/>
    <w:rsid w:val="00E235F7"/>
    <w:rsid w:val="00E23659"/>
    <w:rsid w:val="00E239D4"/>
    <w:rsid w:val="00E26130"/>
    <w:rsid w:val="00E2741C"/>
    <w:rsid w:val="00E40B22"/>
    <w:rsid w:val="00E45619"/>
    <w:rsid w:val="00E4588F"/>
    <w:rsid w:val="00E46DA3"/>
    <w:rsid w:val="00E51BB1"/>
    <w:rsid w:val="00E54EDF"/>
    <w:rsid w:val="00E624A5"/>
    <w:rsid w:val="00E7344E"/>
    <w:rsid w:val="00E936E3"/>
    <w:rsid w:val="00E979F4"/>
    <w:rsid w:val="00EB0798"/>
    <w:rsid w:val="00EB40AD"/>
    <w:rsid w:val="00EB586E"/>
    <w:rsid w:val="00EB5FC8"/>
    <w:rsid w:val="00EC72B3"/>
    <w:rsid w:val="00ED3CAD"/>
    <w:rsid w:val="00ED5A41"/>
    <w:rsid w:val="00EE1DE8"/>
    <w:rsid w:val="00EE6497"/>
    <w:rsid w:val="00EE72CF"/>
    <w:rsid w:val="00F033EC"/>
    <w:rsid w:val="00F0386D"/>
    <w:rsid w:val="00F04F68"/>
    <w:rsid w:val="00F12670"/>
    <w:rsid w:val="00F14B27"/>
    <w:rsid w:val="00F3148D"/>
    <w:rsid w:val="00F325C5"/>
    <w:rsid w:val="00F32FE0"/>
    <w:rsid w:val="00F35298"/>
    <w:rsid w:val="00F422D9"/>
    <w:rsid w:val="00F47333"/>
    <w:rsid w:val="00F47E37"/>
    <w:rsid w:val="00F53C07"/>
    <w:rsid w:val="00F54B65"/>
    <w:rsid w:val="00F5635D"/>
    <w:rsid w:val="00F640B6"/>
    <w:rsid w:val="00F80E40"/>
    <w:rsid w:val="00F848D9"/>
    <w:rsid w:val="00FA2001"/>
    <w:rsid w:val="00FA5B82"/>
    <w:rsid w:val="00FA639E"/>
    <w:rsid w:val="00FC25E4"/>
    <w:rsid w:val="00FC4EF7"/>
    <w:rsid w:val="00FD6E03"/>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unhideWhenUsed/>
    <w:qFormat/>
    <w:rsid w:val="00E54ED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52556F"/>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52556F"/>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C38AD"/>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832B0E"/>
    <w:pPr>
      <w:tabs>
        <w:tab w:val="center" w:pos="4513"/>
        <w:tab w:val="right" w:pos="9026"/>
      </w:tabs>
      <w:spacing w:before="0" w:after="0" w:line="240" w:lineRule="auto"/>
    </w:pPr>
    <w:rPr>
      <w:sz w:val="18"/>
    </w:rPr>
  </w:style>
  <w:style w:type="character" w:customStyle="1" w:styleId="FooterChar">
    <w:name w:val="Footer Char"/>
    <w:basedOn w:val="DefaultParagraphFont"/>
    <w:link w:val="Footer"/>
    <w:uiPriority w:val="99"/>
    <w:rsid w:val="00832B0E"/>
    <w:rPr>
      <w:rFonts w:ascii="Cambria" w:eastAsia="Cambria" w:hAnsi="Cambria" w:cs="Times New Roman"/>
      <w:sz w:val="18"/>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52556F"/>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52556F"/>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52556F"/>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52556F"/>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5D2BE4"/>
    <w:pPr>
      <w:ind w:left="2268" w:hanging="2268"/>
    </w:pPr>
  </w:style>
  <w:style w:type="paragraph" w:customStyle="1" w:styleId="Abbreviations">
    <w:name w:val="Abbreviations"/>
    <w:basedOn w:val="Normal"/>
    <w:rsid w:val="00D12096"/>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FootnoteText">
    <w:name w:val="footnote text"/>
    <w:basedOn w:val="Normal"/>
    <w:link w:val="FootnoteTextChar"/>
    <w:rsid w:val="003447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344796"/>
    <w:rPr>
      <w:rFonts w:ascii="Cambria" w:eastAsia="Times New Roman" w:hAnsi="Cambria" w:cs="Times New Roman"/>
      <w:kern w:val="16"/>
      <w:sz w:val="20"/>
      <w:szCs w:val="20"/>
      <w:lang w:eastAsia="en-AU"/>
    </w:rPr>
  </w:style>
  <w:style w:type="character" w:styleId="FootnoteReference">
    <w:name w:val="footnote reference"/>
    <w:rsid w:val="00344796"/>
    <w:rPr>
      <w:vertAlign w:val="superscript"/>
    </w:rPr>
  </w:style>
  <w:style w:type="paragraph" w:customStyle="1" w:styleId="Default">
    <w:name w:val="Default"/>
    <w:rsid w:val="004C3C18"/>
    <w:pPr>
      <w:autoSpaceDE w:val="0"/>
      <w:autoSpaceDN w:val="0"/>
      <w:adjustRightInd w:val="0"/>
      <w:spacing w:after="0" w:line="240" w:lineRule="auto"/>
    </w:pPr>
    <w:rPr>
      <w:rFonts w:ascii="Times New Roman" w:eastAsia="Times New Roman" w:hAnsi="Times New Roman" w:cs="Times New Roman"/>
      <w:color w:val="000000"/>
      <w:sz w:val="24"/>
      <w:szCs w:val="24"/>
      <w:lang w:eastAsia="zh-TW"/>
    </w:rPr>
  </w:style>
  <w:style w:type="paragraph" w:styleId="ListParagraph">
    <w:name w:val="List Paragraph"/>
    <w:basedOn w:val="Normal"/>
    <w:uiPriority w:val="34"/>
    <w:qFormat/>
    <w:rsid w:val="001A017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Comment1">
    <w:name w:val="Comment 1"/>
    <w:basedOn w:val="Normal"/>
    <w:next w:val="Normal"/>
    <w:qFormat/>
    <w:rsid w:val="001A017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Instructions2">
    <w:name w:val="Instructions 2"/>
    <w:basedOn w:val="Normal"/>
    <w:qFormat/>
    <w:rsid w:val="00125531"/>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bulletindent1">
    <w:name w:val="bulletindent1"/>
    <w:basedOn w:val="Normal"/>
    <w:rsid w:val="009C699F"/>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eading8Char">
    <w:name w:val="Heading 8 Char"/>
    <w:basedOn w:val="DefaultParagraphFont"/>
    <w:link w:val="Heading8"/>
    <w:uiPriority w:val="9"/>
    <w:rsid w:val="00E54EDF"/>
    <w:rPr>
      <w:rFonts w:asciiTheme="majorHAnsi" w:eastAsiaTheme="majorEastAsia" w:hAnsiTheme="majorHAnsi" w:cstheme="majorBidi"/>
      <w:color w:val="404040" w:themeColor="text1" w:themeTint="BF"/>
      <w:sz w:val="20"/>
      <w:szCs w:val="20"/>
    </w:rPr>
  </w:style>
  <w:style w:type="character" w:styleId="CommentReference">
    <w:name w:val="annotation reference"/>
    <w:basedOn w:val="DefaultParagraphFont"/>
    <w:uiPriority w:val="99"/>
    <w:semiHidden/>
    <w:unhideWhenUsed/>
    <w:rsid w:val="004358AA"/>
    <w:rPr>
      <w:sz w:val="16"/>
      <w:szCs w:val="16"/>
    </w:rPr>
  </w:style>
  <w:style w:type="paragraph" w:styleId="CommentText">
    <w:name w:val="annotation text"/>
    <w:basedOn w:val="Normal"/>
    <w:link w:val="CommentTextChar"/>
    <w:uiPriority w:val="99"/>
    <w:semiHidden/>
    <w:unhideWhenUsed/>
    <w:rsid w:val="004358AA"/>
    <w:pPr>
      <w:spacing w:line="240" w:lineRule="auto"/>
    </w:pPr>
    <w:rPr>
      <w:sz w:val="20"/>
      <w:szCs w:val="20"/>
    </w:rPr>
  </w:style>
  <w:style w:type="character" w:customStyle="1" w:styleId="CommentTextChar">
    <w:name w:val="Comment Text Char"/>
    <w:basedOn w:val="DefaultParagraphFont"/>
    <w:link w:val="CommentText"/>
    <w:uiPriority w:val="99"/>
    <w:semiHidden/>
    <w:rsid w:val="004358AA"/>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358AA"/>
    <w:rPr>
      <w:b/>
      <w:bCs/>
    </w:rPr>
  </w:style>
  <w:style w:type="character" w:customStyle="1" w:styleId="CommentSubjectChar">
    <w:name w:val="Comment Subject Char"/>
    <w:basedOn w:val="CommentTextChar"/>
    <w:link w:val="CommentSubject"/>
    <w:uiPriority w:val="99"/>
    <w:semiHidden/>
    <w:rsid w:val="004358AA"/>
    <w:rPr>
      <w:rFonts w:ascii="Cambria" w:eastAsia="Cambria" w:hAnsi="Cambria" w:cs="Times New Roman"/>
      <w:b/>
      <w:bCs/>
      <w:sz w:val="20"/>
      <w:szCs w:val="20"/>
    </w:rPr>
  </w:style>
  <w:style w:type="paragraph" w:styleId="Revision">
    <w:name w:val="Revision"/>
    <w:hidden/>
    <w:uiPriority w:val="99"/>
    <w:semiHidden/>
    <w:rsid w:val="00A7465F"/>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unhideWhenUsed/>
    <w:qFormat/>
    <w:rsid w:val="00E54ED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52556F"/>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52556F"/>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C38AD"/>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832B0E"/>
    <w:pPr>
      <w:tabs>
        <w:tab w:val="center" w:pos="4513"/>
        <w:tab w:val="right" w:pos="9026"/>
      </w:tabs>
      <w:spacing w:before="0" w:after="0" w:line="240" w:lineRule="auto"/>
    </w:pPr>
    <w:rPr>
      <w:sz w:val="18"/>
    </w:rPr>
  </w:style>
  <w:style w:type="character" w:customStyle="1" w:styleId="FooterChar">
    <w:name w:val="Footer Char"/>
    <w:basedOn w:val="DefaultParagraphFont"/>
    <w:link w:val="Footer"/>
    <w:uiPriority w:val="99"/>
    <w:rsid w:val="00832B0E"/>
    <w:rPr>
      <w:rFonts w:ascii="Cambria" w:eastAsia="Cambria" w:hAnsi="Cambria" w:cs="Times New Roman"/>
      <w:sz w:val="18"/>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52556F"/>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52556F"/>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52556F"/>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52556F"/>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5D2BE4"/>
    <w:pPr>
      <w:ind w:left="2268" w:hanging="2268"/>
    </w:pPr>
  </w:style>
  <w:style w:type="paragraph" w:customStyle="1" w:styleId="Abbreviations">
    <w:name w:val="Abbreviations"/>
    <w:basedOn w:val="Normal"/>
    <w:rsid w:val="00D12096"/>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FootnoteText">
    <w:name w:val="footnote text"/>
    <w:basedOn w:val="Normal"/>
    <w:link w:val="FootnoteTextChar"/>
    <w:rsid w:val="003447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344796"/>
    <w:rPr>
      <w:rFonts w:ascii="Cambria" w:eastAsia="Times New Roman" w:hAnsi="Cambria" w:cs="Times New Roman"/>
      <w:kern w:val="16"/>
      <w:sz w:val="20"/>
      <w:szCs w:val="20"/>
      <w:lang w:eastAsia="en-AU"/>
    </w:rPr>
  </w:style>
  <w:style w:type="character" w:styleId="FootnoteReference">
    <w:name w:val="footnote reference"/>
    <w:rsid w:val="00344796"/>
    <w:rPr>
      <w:vertAlign w:val="superscript"/>
    </w:rPr>
  </w:style>
  <w:style w:type="paragraph" w:customStyle="1" w:styleId="Default">
    <w:name w:val="Default"/>
    <w:rsid w:val="004C3C18"/>
    <w:pPr>
      <w:autoSpaceDE w:val="0"/>
      <w:autoSpaceDN w:val="0"/>
      <w:adjustRightInd w:val="0"/>
      <w:spacing w:after="0" w:line="240" w:lineRule="auto"/>
    </w:pPr>
    <w:rPr>
      <w:rFonts w:ascii="Times New Roman" w:eastAsia="Times New Roman" w:hAnsi="Times New Roman" w:cs="Times New Roman"/>
      <w:color w:val="000000"/>
      <w:sz w:val="24"/>
      <w:szCs w:val="24"/>
      <w:lang w:eastAsia="zh-TW"/>
    </w:rPr>
  </w:style>
  <w:style w:type="paragraph" w:styleId="ListParagraph">
    <w:name w:val="List Paragraph"/>
    <w:basedOn w:val="Normal"/>
    <w:uiPriority w:val="34"/>
    <w:qFormat/>
    <w:rsid w:val="001A017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Comment1">
    <w:name w:val="Comment 1"/>
    <w:basedOn w:val="Normal"/>
    <w:next w:val="Normal"/>
    <w:qFormat/>
    <w:rsid w:val="001A017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Instructions2">
    <w:name w:val="Instructions 2"/>
    <w:basedOn w:val="Normal"/>
    <w:qFormat/>
    <w:rsid w:val="00125531"/>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bulletindent1">
    <w:name w:val="bulletindent1"/>
    <w:basedOn w:val="Normal"/>
    <w:rsid w:val="009C699F"/>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eading8Char">
    <w:name w:val="Heading 8 Char"/>
    <w:basedOn w:val="DefaultParagraphFont"/>
    <w:link w:val="Heading8"/>
    <w:uiPriority w:val="9"/>
    <w:rsid w:val="00E54EDF"/>
    <w:rPr>
      <w:rFonts w:asciiTheme="majorHAnsi" w:eastAsiaTheme="majorEastAsia" w:hAnsiTheme="majorHAnsi" w:cstheme="majorBidi"/>
      <w:color w:val="404040" w:themeColor="text1" w:themeTint="BF"/>
      <w:sz w:val="20"/>
      <w:szCs w:val="20"/>
    </w:rPr>
  </w:style>
  <w:style w:type="character" w:styleId="CommentReference">
    <w:name w:val="annotation reference"/>
    <w:basedOn w:val="DefaultParagraphFont"/>
    <w:uiPriority w:val="99"/>
    <w:semiHidden/>
    <w:unhideWhenUsed/>
    <w:rsid w:val="004358AA"/>
    <w:rPr>
      <w:sz w:val="16"/>
      <w:szCs w:val="16"/>
    </w:rPr>
  </w:style>
  <w:style w:type="paragraph" w:styleId="CommentText">
    <w:name w:val="annotation text"/>
    <w:basedOn w:val="Normal"/>
    <w:link w:val="CommentTextChar"/>
    <w:uiPriority w:val="99"/>
    <w:semiHidden/>
    <w:unhideWhenUsed/>
    <w:rsid w:val="004358AA"/>
    <w:pPr>
      <w:spacing w:line="240" w:lineRule="auto"/>
    </w:pPr>
    <w:rPr>
      <w:sz w:val="20"/>
      <w:szCs w:val="20"/>
    </w:rPr>
  </w:style>
  <w:style w:type="character" w:customStyle="1" w:styleId="CommentTextChar">
    <w:name w:val="Comment Text Char"/>
    <w:basedOn w:val="DefaultParagraphFont"/>
    <w:link w:val="CommentText"/>
    <w:uiPriority w:val="99"/>
    <w:semiHidden/>
    <w:rsid w:val="004358AA"/>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358AA"/>
    <w:rPr>
      <w:b/>
      <w:bCs/>
    </w:rPr>
  </w:style>
  <w:style w:type="character" w:customStyle="1" w:styleId="CommentSubjectChar">
    <w:name w:val="Comment Subject Char"/>
    <w:basedOn w:val="CommentTextChar"/>
    <w:link w:val="CommentSubject"/>
    <w:uiPriority w:val="99"/>
    <w:semiHidden/>
    <w:rsid w:val="004358AA"/>
    <w:rPr>
      <w:rFonts w:ascii="Cambria" w:eastAsia="Cambria" w:hAnsi="Cambria" w:cs="Times New Roman"/>
      <w:b/>
      <w:bCs/>
      <w:sz w:val="20"/>
      <w:szCs w:val="20"/>
    </w:rPr>
  </w:style>
  <w:style w:type="paragraph" w:styleId="Revision">
    <w:name w:val="Revision"/>
    <w:hidden/>
    <w:uiPriority w:val="99"/>
    <w:semiHidden/>
    <w:rsid w:val="00A7465F"/>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296836">
      <w:bodyDiv w:val="1"/>
      <w:marLeft w:val="0"/>
      <w:marRight w:val="0"/>
      <w:marTop w:val="0"/>
      <w:marBottom w:val="0"/>
      <w:divBdr>
        <w:top w:val="none" w:sz="0" w:space="0" w:color="auto"/>
        <w:left w:val="none" w:sz="0" w:space="0" w:color="auto"/>
        <w:bottom w:val="none" w:sz="0" w:space="0" w:color="auto"/>
        <w:right w:val="none" w:sz="0" w:space="0" w:color="auto"/>
      </w:divBdr>
    </w:div>
    <w:div w:id="199139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emf"/><Relationship Id="rId34" Type="http://schemas.microsoft.com/office/2007/relationships/hdphoto" Target="media/hdphoto2.wdp"/><Relationship Id="rId42" Type="http://schemas.openxmlformats.org/officeDocument/2006/relationships/hyperlink" Target="mailto:info@tga.gov.au"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header" Target="header3.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6.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microsoft.com/office/2007/relationships/hdphoto" Target="media/hdphoto1.wdp"/><Relationship Id="rId32" Type="http://schemas.openxmlformats.org/officeDocument/2006/relationships/image" Target="media/image19.emf"/><Relationship Id="rId37" Type="http://schemas.microsoft.com/office/2007/relationships/hdphoto" Target="media/hdphoto3.wdp"/><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5.emf"/><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yperlink" Target="https://www.tga.gov.au/product-information-pi" TargetMode="External"/><Relationship Id="rId19" Type="http://schemas.openxmlformats.org/officeDocument/2006/relationships/image" Target="media/image7.emf"/><Relationship Id="rId31" Type="http://schemas.openxmlformats.org/officeDocument/2006/relationships/image" Target="media/image18.emf"/><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1.emf"/><Relationship Id="rId43" Type="http://schemas.openxmlformats.org/officeDocument/2006/relationships/hyperlink" Target="https://www.tga.gov.au" TargetMode="External"/><Relationship Id="rId48" Type="http://schemas.openxmlformats.org/officeDocument/2006/relationships/footer" Target="footer4.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457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5D2FE-6914-464F-ADC2-6D00B97FE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84</TotalTime>
  <Pages>56</Pages>
  <Words>17940</Words>
  <Characters>102262</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119963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Etanercept</dc:title>
  <dc:subject>Prescription medicines</dc:subject>
  <dc:creator>Therapeutic Goods Administration</dc:creator>
  <cp:keywords>AusPARs</cp:keywords>
  <cp:lastModifiedBy>Sheppard, Fran</cp:lastModifiedBy>
  <cp:revision>32</cp:revision>
  <cp:lastPrinted>2015-09-15T04:08:00Z</cp:lastPrinted>
  <dcterms:created xsi:type="dcterms:W3CDTF">2015-09-22T23:31:00Z</dcterms:created>
  <dcterms:modified xsi:type="dcterms:W3CDTF">2015-10-22T11:42:00Z</dcterms:modified>
</cp:coreProperties>
</file>