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B09E6" w:rsidP="00096AA7">
            <w:pPr>
              <w:rPr>
                <w:rFonts w:ascii="Arial" w:hAnsi="Arial" w:cs="Arial"/>
                <w:b/>
                <w:color w:val="002C47"/>
                <w:sz w:val="36"/>
                <w:szCs w:val="36"/>
              </w:rPr>
            </w:pPr>
            <w:r>
              <w:rPr>
                <w:rFonts w:ascii="Arial" w:hAnsi="Arial" w:cs="Arial"/>
                <w:b/>
                <w:color w:val="002C47"/>
                <w:sz w:val="36"/>
                <w:szCs w:val="36"/>
              </w:rPr>
              <w:t>April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EB09E6">
            <w:pPr>
              <w:pStyle w:val="Title"/>
              <w:rPr>
                <w:color w:val="FFFFFF" w:themeColor="background1"/>
              </w:rPr>
            </w:pPr>
            <w:r w:rsidRPr="00A964D1">
              <w:rPr>
                <w:color w:val="FFFFFF" w:themeColor="background1"/>
              </w:rPr>
              <w:t xml:space="preserve">Australian Public Assessment Report for </w:t>
            </w:r>
            <w:proofErr w:type="spellStart"/>
            <w:r w:rsidR="00EB09E6">
              <w:rPr>
                <w:color w:val="FFFFFF" w:themeColor="background1"/>
              </w:rPr>
              <w:t>etanercept</w:t>
            </w:r>
            <w:proofErr w:type="spellEnd"/>
            <w:r w:rsidR="00EB09E6">
              <w:rPr>
                <w:color w:val="FFFFFF" w:themeColor="background1"/>
              </w:rPr>
              <w:t xml:space="preserve"> (</w:t>
            </w:r>
            <w:proofErr w:type="spellStart"/>
            <w:r w:rsidR="00EB09E6">
              <w:rPr>
                <w:color w:val="FFFFFF" w:themeColor="background1"/>
              </w:rPr>
              <w:t>rch</w:t>
            </w:r>
            <w:proofErr w:type="spellEnd"/>
            <w:r w:rsidR="00EB09E6">
              <w:rPr>
                <w:color w:val="FFFFFF" w:themeColor="background1"/>
              </w:rPr>
              <w:t>)</w:t>
            </w:r>
          </w:p>
        </w:tc>
      </w:tr>
      <w:tr w:rsidR="0032583B" w:rsidRPr="00B64760" w:rsidTr="0032583B">
        <w:tc>
          <w:tcPr>
            <w:tcW w:w="9079" w:type="dxa"/>
          </w:tcPr>
          <w:p w:rsidR="0032583B" w:rsidRPr="008E7846" w:rsidRDefault="0032583B" w:rsidP="00EB09E6">
            <w:pPr>
              <w:pStyle w:val="Subtitle"/>
              <w:rPr>
                <w:color w:val="FFFFFF" w:themeColor="background1"/>
              </w:rPr>
            </w:pPr>
            <w:r w:rsidRPr="008E7846">
              <w:rPr>
                <w:color w:val="FFFFFF" w:themeColor="background1"/>
              </w:rPr>
              <w:t xml:space="preserve">Proprietary Product Name: </w:t>
            </w:r>
            <w:r w:rsidR="00EB09E6">
              <w:rPr>
                <w:color w:val="FFFFFF" w:themeColor="background1"/>
              </w:rPr>
              <w:t>Enbrel</w:t>
            </w:r>
          </w:p>
        </w:tc>
      </w:tr>
      <w:tr w:rsidR="0032583B" w:rsidRPr="00B64760" w:rsidTr="0032583B">
        <w:trPr>
          <w:trHeight w:val="486"/>
        </w:trPr>
        <w:tc>
          <w:tcPr>
            <w:tcW w:w="9079" w:type="dxa"/>
          </w:tcPr>
          <w:p w:rsidR="0032583B" w:rsidRPr="008E7846" w:rsidRDefault="00EB09E6" w:rsidP="0032583B">
            <w:pPr>
              <w:pStyle w:val="Subtitle"/>
              <w:rPr>
                <w:color w:val="FFFFFF" w:themeColor="background1"/>
              </w:rPr>
            </w:pPr>
            <w:r>
              <w:rPr>
                <w:color w:val="FFFFFF" w:themeColor="background1"/>
              </w:rPr>
              <w:t>Sponsor: 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7517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C7517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7517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7517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75174">
      <w:pPr>
        <w:pStyle w:val="ListBullet"/>
        <w:numPr>
          <w:ilvl w:val="0"/>
          <w:numId w:val="1"/>
        </w:numPr>
        <w:ind w:left="357" w:hanging="357"/>
      </w:pPr>
      <w:r>
        <w:t>To report a problem with a medicine or medical device, please see the information on the TGA website</w:t>
      </w:r>
      <w:r w:rsidR="00112F56">
        <w:t xml:space="preserve"> </w:t>
      </w:r>
      <w:r w:rsidR="00CA1376">
        <w:t>&lt;</w:t>
      </w:r>
      <w:hyperlink r:id="rId9" w:history="1">
        <w:r w:rsidR="00EC7A85" w:rsidRPr="00A449FF">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C75174">
      <w:pPr>
        <w:pStyle w:val="ListBullet"/>
        <w:numPr>
          <w:ilvl w:val="0"/>
          <w:numId w:val="1"/>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CA1376">
        <w:t>escription medicine submission.</w:t>
      </w:r>
    </w:p>
    <w:p w:rsidR="008E7846" w:rsidRDefault="008E7846" w:rsidP="00C75174">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C75174">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C75174">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C75174">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CA1376">
      <w:pPr>
        <w:pStyle w:val="LegalSubheading"/>
        <w:spacing w:before="3360"/>
      </w:pPr>
      <w:r w:rsidRPr="00DF1D7F">
        <w:t>Copyright</w:t>
      </w:r>
    </w:p>
    <w:p w:rsidR="002040F3"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2040F3">
        <w:rPr>
          <w:rFonts w:cs="Arial"/>
          <w:lang w:val="en-GB"/>
        </w:rPr>
        <w:t xml:space="preserve">&lt; </w:t>
      </w:r>
      <w:hyperlink r:id="rId10" w:history="1">
        <w:r w:rsidRPr="00191B3B">
          <w:rPr>
            <w:rStyle w:val="Hyperlink"/>
            <w:rFonts w:cs="Arial"/>
            <w:lang w:val="en-GB"/>
          </w:rPr>
          <w:t>tga.copyright@tga.gov.au</w:t>
        </w:r>
      </w:hyperlink>
      <w:r w:rsidRPr="00191B3B">
        <w:rPr>
          <w:rFonts w:cs="Arial"/>
        </w:rPr>
        <w:t>&gt;.</w:t>
      </w:r>
    </w:p>
    <w:p w:rsidR="00C35A3A" w:rsidRDefault="00C35A3A" w:rsidP="00924482">
      <w:pPr>
        <w:pStyle w:val="LegalCopy"/>
        <w:sectPr w:rsidR="00C35A3A"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36E52" w:rsidRDefault="00281DC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A36E52" w:rsidRPr="00A24475">
            <w:rPr>
              <w:rStyle w:val="Hyperlink"/>
              <w:noProof/>
            </w:rPr>
            <w:fldChar w:fldCharType="begin"/>
          </w:r>
          <w:r w:rsidR="00A36E52" w:rsidRPr="00A24475">
            <w:rPr>
              <w:rStyle w:val="Hyperlink"/>
              <w:noProof/>
            </w:rPr>
            <w:instrText xml:space="preserve"> </w:instrText>
          </w:r>
          <w:r w:rsidR="00A36E52">
            <w:rPr>
              <w:noProof/>
            </w:rPr>
            <w:instrText>HYPERLINK \l "_Toc390330053"</w:instrText>
          </w:r>
          <w:r w:rsidR="00A36E52" w:rsidRPr="00A24475">
            <w:rPr>
              <w:rStyle w:val="Hyperlink"/>
              <w:noProof/>
            </w:rPr>
            <w:instrText xml:space="preserve"> </w:instrText>
          </w:r>
          <w:r w:rsidR="00A36E52" w:rsidRPr="00A24475">
            <w:rPr>
              <w:rStyle w:val="Hyperlink"/>
              <w:noProof/>
            </w:rPr>
          </w:r>
          <w:r w:rsidR="00A36E52" w:rsidRPr="00A24475">
            <w:rPr>
              <w:rStyle w:val="Hyperlink"/>
              <w:noProof/>
            </w:rPr>
            <w:fldChar w:fldCharType="separate"/>
          </w:r>
          <w:r w:rsidR="00A36E52" w:rsidRPr="00A24475">
            <w:rPr>
              <w:rStyle w:val="Hyperlink"/>
              <w:noProof/>
            </w:rPr>
            <w:t>List of abbreviations</w:t>
          </w:r>
          <w:r w:rsidR="00A36E52">
            <w:rPr>
              <w:noProof/>
              <w:webHidden/>
            </w:rPr>
            <w:tab/>
          </w:r>
          <w:r w:rsidR="00A36E52">
            <w:rPr>
              <w:noProof/>
              <w:webHidden/>
            </w:rPr>
            <w:fldChar w:fldCharType="begin"/>
          </w:r>
          <w:r w:rsidR="00A36E52">
            <w:rPr>
              <w:noProof/>
              <w:webHidden/>
            </w:rPr>
            <w:instrText xml:space="preserve"> PAGEREF _Toc390330053 \h </w:instrText>
          </w:r>
          <w:r w:rsidR="00A36E52">
            <w:rPr>
              <w:noProof/>
              <w:webHidden/>
            </w:rPr>
          </w:r>
          <w:r w:rsidR="00A36E52">
            <w:rPr>
              <w:noProof/>
              <w:webHidden/>
            </w:rPr>
            <w:fldChar w:fldCharType="separate"/>
          </w:r>
          <w:r w:rsidR="00A36E52">
            <w:rPr>
              <w:noProof/>
              <w:webHidden/>
            </w:rPr>
            <w:t>4</w:t>
          </w:r>
          <w:r w:rsidR="00A36E52">
            <w:rPr>
              <w:noProof/>
              <w:webHidden/>
            </w:rPr>
            <w:fldChar w:fldCharType="end"/>
          </w:r>
          <w:r w:rsidR="00A36E52" w:rsidRPr="00A24475">
            <w:rPr>
              <w:rStyle w:val="Hyperlink"/>
              <w:noProof/>
            </w:rPr>
            <w:fldChar w:fldCharType="end"/>
          </w:r>
        </w:p>
        <w:p w:rsidR="00A36E52" w:rsidRDefault="00A36E52">
          <w:pPr>
            <w:pStyle w:val="TOC2"/>
            <w:rPr>
              <w:rFonts w:asciiTheme="minorHAnsi" w:eastAsiaTheme="minorEastAsia" w:hAnsiTheme="minorHAnsi" w:cstheme="minorBidi"/>
              <w:b w:val="0"/>
              <w:noProof/>
              <w:sz w:val="22"/>
              <w:lang w:eastAsia="en-AU"/>
            </w:rPr>
          </w:pPr>
          <w:hyperlink w:anchor="_Toc390330054" w:history="1">
            <w:r w:rsidRPr="00A24475">
              <w:rPr>
                <w:rStyle w:val="Hyperlink"/>
                <w:noProof/>
              </w:rPr>
              <w:t>Introduction to product submission</w:t>
            </w:r>
            <w:r>
              <w:rPr>
                <w:noProof/>
                <w:webHidden/>
              </w:rPr>
              <w:tab/>
            </w:r>
            <w:r>
              <w:rPr>
                <w:noProof/>
                <w:webHidden/>
              </w:rPr>
              <w:fldChar w:fldCharType="begin"/>
            </w:r>
            <w:r>
              <w:rPr>
                <w:noProof/>
                <w:webHidden/>
              </w:rPr>
              <w:instrText xml:space="preserve"> PAGEREF _Toc390330054 \h </w:instrText>
            </w:r>
            <w:r>
              <w:rPr>
                <w:noProof/>
                <w:webHidden/>
              </w:rPr>
            </w:r>
            <w:r>
              <w:rPr>
                <w:noProof/>
                <w:webHidden/>
              </w:rPr>
              <w:fldChar w:fldCharType="separate"/>
            </w:r>
            <w:r>
              <w:rPr>
                <w:noProof/>
                <w:webHidden/>
              </w:rPr>
              <w:t>7</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55" w:history="1">
            <w:r w:rsidRPr="00A24475">
              <w:rPr>
                <w:rStyle w:val="Hyperlink"/>
                <w:noProof/>
                <w:lang w:eastAsia="en-AU"/>
              </w:rPr>
              <w:t>Submission details</w:t>
            </w:r>
            <w:r>
              <w:rPr>
                <w:noProof/>
                <w:webHidden/>
              </w:rPr>
              <w:tab/>
            </w:r>
            <w:r>
              <w:rPr>
                <w:noProof/>
                <w:webHidden/>
              </w:rPr>
              <w:fldChar w:fldCharType="begin"/>
            </w:r>
            <w:r>
              <w:rPr>
                <w:noProof/>
                <w:webHidden/>
              </w:rPr>
              <w:instrText xml:space="preserve"> PAGEREF _Toc390330055 \h </w:instrText>
            </w:r>
            <w:r>
              <w:rPr>
                <w:noProof/>
                <w:webHidden/>
              </w:rPr>
            </w:r>
            <w:r>
              <w:rPr>
                <w:noProof/>
                <w:webHidden/>
              </w:rPr>
              <w:fldChar w:fldCharType="separate"/>
            </w:r>
            <w:r>
              <w:rPr>
                <w:noProof/>
                <w:webHidden/>
              </w:rPr>
              <w:t>7</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56" w:history="1">
            <w:r w:rsidRPr="00A24475">
              <w:rPr>
                <w:rStyle w:val="Hyperlink"/>
                <w:noProof/>
              </w:rPr>
              <w:t>Product background</w:t>
            </w:r>
            <w:r>
              <w:rPr>
                <w:noProof/>
                <w:webHidden/>
              </w:rPr>
              <w:tab/>
            </w:r>
            <w:r>
              <w:rPr>
                <w:noProof/>
                <w:webHidden/>
              </w:rPr>
              <w:fldChar w:fldCharType="begin"/>
            </w:r>
            <w:r>
              <w:rPr>
                <w:noProof/>
                <w:webHidden/>
              </w:rPr>
              <w:instrText xml:space="preserve"> PAGEREF _Toc390330056 \h </w:instrText>
            </w:r>
            <w:r>
              <w:rPr>
                <w:noProof/>
                <w:webHidden/>
              </w:rPr>
            </w:r>
            <w:r>
              <w:rPr>
                <w:noProof/>
                <w:webHidden/>
              </w:rPr>
              <w:fldChar w:fldCharType="separate"/>
            </w:r>
            <w:r>
              <w:rPr>
                <w:noProof/>
                <w:webHidden/>
              </w:rPr>
              <w:t>8</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57" w:history="1">
            <w:r w:rsidRPr="00A24475">
              <w:rPr>
                <w:rStyle w:val="Hyperlink"/>
                <w:noProof/>
              </w:rPr>
              <w:t>Regulatory status</w:t>
            </w:r>
            <w:r>
              <w:rPr>
                <w:noProof/>
                <w:webHidden/>
              </w:rPr>
              <w:tab/>
            </w:r>
            <w:r>
              <w:rPr>
                <w:noProof/>
                <w:webHidden/>
              </w:rPr>
              <w:fldChar w:fldCharType="begin"/>
            </w:r>
            <w:r>
              <w:rPr>
                <w:noProof/>
                <w:webHidden/>
              </w:rPr>
              <w:instrText xml:space="preserve"> PAGEREF _Toc390330057 \h </w:instrText>
            </w:r>
            <w:r>
              <w:rPr>
                <w:noProof/>
                <w:webHidden/>
              </w:rPr>
            </w:r>
            <w:r>
              <w:rPr>
                <w:noProof/>
                <w:webHidden/>
              </w:rPr>
              <w:fldChar w:fldCharType="separate"/>
            </w:r>
            <w:r>
              <w:rPr>
                <w:noProof/>
                <w:webHidden/>
              </w:rPr>
              <w:t>9</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58" w:history="1">
            <w:r w:rsidRPr="00A24475">
              <w:rPr>
                <w:rStyle w:val="Hyperlink"/>
                <w:noProof/>
              </w:rPr>
              <w:t>Product Information</w:t>
            </w:r>
            <w:r>
              <w:rPr>
                <w:noProof/>
                <w:webHidden/>
              </w:rPr>
              <w:tab/>
            </w:r>
            <w:r>
              <w:rPr>
                <w:noProof/>
                <w:webHidden/>
              </w:rPr>
              <w:fldChar w:fldCharType="begin"/>
            </w:r>
            <w:r>
              <w:rPr>
                <w:noProof/>
                <w:webHidden/>
              </w:rPr>
              <w:instrText xml:space="preserve"> PAGEREF _Toc390330058 \h </w:instrText>
            </w:r>
            <w:r>
              <w:rPr>
                <w:noProof/>
                <w:webHidden/>
              </w:rPr>
            </w:r>
            <w:r>
              <w:rPr>
                <w:noProof/>
                <w:webHidden/>
              </w:rPr>
              <w:fldChar w:fldCharType="separate"/>
            </w:r>
            <w:r>
              <w:rPr>
                <w:noProof/>
                <w:webHidden/>
              </w:rPr>
              <w:t>10</w:t>
            </w:r>
            <w:r>
              <w:rPr>
                <w:noProof/>
                <w:webHidden/>
              </w:rPr>
              <w:fldChar w:fldCharType="end"/>
            </w:r>
          </w:hyperlink>
        </w:p>
        <w:p w:rsidR="00A36E52" w:rsidRDefault="00A36E52">
          <w:pPr>
            <w:pStyle w:val="TOC2"/>
            <w:rPr>
              <w:rFonts w:asciiTheme="minorHAnsi" w:eastAsiaTheme="minorEastAsia" w:hAnsiTheme="minorHAnsi" w:cstheme="minorBidi"/>
              <w:b w:val="0"/>
              <w:noProof/>
              <w:sz w:val="22"/>
              <w:lang w:eastAsia="en-AU"/>
            </w:rPr>
          </w:pPr>
          <w:hyperlink w:anchor="_Toc390330059" w:history="1">
            <w:r w:rsidRPr="00A24475">
              <w:rPr>
                <w:rStyle w:val="Hyperlink"/>
                <w:noProof/>
              </w:rPr>
              <w:t>II. Quality findings</w:t>
            </w:r>
            <w:r>
              <w:rPr>
                <w:noProof/>
                <w:webHidden/>
              </w:rPr>
              <w:tab/>
            </w:r>
            <w:r>
              <w:rPr>
                <w:noProof/>
                <w:webHidden/>
              </w:rPr>
              <w:fldChar w:fldCharType="begin"/>
            </w:r>
            <w:r>
              <w:rPr>
                <w:noProof/>
                <w:webHidden/>
              </w:rPr>
              <w:instrText xml:space="preserve"> PAGEREF _Toc390330059 \h </w:instrText>
            </w:r>
            <w:r>
              <w:rPr>
                <w:noProof/>
                <w:webHidden/>
              </w:rPr>
            </w:r>
            <w:r>
              <w:rPr>
                <w:noProof/>
                <w:webHidden/>
              </w:rPr>
              <w:fldChar w:fldCharType="separate"/>
            </w:r>
            <w:r>
              <w:rPr>
                <w:noProof/>
                <w:webHidden/>
              </w:rPr>
              <w:t>10</w:t>
            </w:r>
            <w:r>
              <w:rPr>
                <w:noProof/>
                <w:webHidden/>
              </w:rPr>
              <w:fldChar w:fldCharType="end"/>
            </w:r>
          </w:hyperlink>
        </w:p>
        <w:p w:rsidR="00A36E52" w:rsidRDefault="00A36E52">
          <w:pPr>
            <w:pStyle w:val="TOC2"/>
            <w:rPr>
              <w:rFonts w:asciiTheme="minorHAnsi" w:eastAsiaTheme="minorEastAsia" w:hAnsiTheme="minorHAnsi" w:cstheme="minorBidi"/>
              <w:b w:val="0"/>
              <w:noProof/>
              <w:sz w:val="22"/>
              <w:lang w:eastAsia="en-AU"/>
            </w:rPr>
          </w:pPr>
          <w:hyperlink w:anchor="_Toc390330060" w:history="1">
            <w:r w:rsidRPr="00A24475">
              <w:rPr>
                <w:rStyle w:val="Hyperlink"/>
                <w:noProof/>
              </w:rPr>
              <w:t>III. Nonclinical findings</w:t>
            </w:r>
            <w:r>
              <w:rPr>
                <w:noProof/>
                <w:webHidden/>
              </w:rPr>
              <w:tab/>
            </w:r>
            <w:r>
              <w:rPr>
                <w:noProof/>
                <w:webHidden/>
              </w:rPr>
              <w:fldChar w:fldCharType="begin"/>
            </w:r>
            <w:r>
              <w:rPr>
                <w:noProof/>
                <w:webHidden/>
              </w:rPr>
              <w:instrText xml:space="preserve"> PAGEREF _Toc390330060 \h </w:instrText>
            </w:r>
            <w:r>
              <w:rPr>
                <w:noProof/>
                <w:webHidden/>
              </w:rPr>
            </w:r>
            <w:r>
              <w:rPr>
                <w:noProof/>
                <w:webHidden/>
              </w:rPr>
              <w:fldChar w:fldCharType="separate"/>
            </w:r>
            <w:r>
              <w:rPr>
                <w:noProof/>
                <w:webHidden/>
              </w:rPr>
              <w:t>10</w:t>
            </w:r>
            <w:r>
              <w:rPr>
                <w:noProof/>
                <w:webHidden/>
              </w:rPr>
              <w:fldChar w:fldCharType="end"/>
            </w:r>
          </w:hyperlink>
        </w:p>
        <w:p w:rsidR="00A36E52" w:rsidRDefault="00A36E52">
          <w:pPr>
            <w:pStyle w:val="TOC2"/>
            <w:rPr>
              <w:rFonts w:asciiTheme="minorHAnsi" w:eastAsiaTheme="minorEastAsia" w:hAnsiTheme="minorHAnsi" w:cstheme="minorBidi"/>
              <w:b w:val="0"/>
              <w:noProof/>
              <w:sz w:val="22"/>
              <w:lang w:eastAsia="en-AU"/>
            </w:rPr>
          </w:pPr>
          <w:hyperlink w:anchor="_Toc390330061" w:history="1">
            <w:r w:rsidRPr="00A24475">
              <w:rPr>
                <w:rStyle w:val="Hyperlink"/>
                <w:noProof/>
              </w:rPr>
              <w:t>IV. Clinical findings</w:t>
            </w:r>
            <w:r>
              <w:rPr>
                <w:noProof/>
                <w:webHidden/>
              </w:rPr>
              <w:tab/>
            </w:r>
            <w:r>
              <w:rPr>
                <w:noProof/>
                <w:webHidden/>
              </w:rPr>
              <w:fldChar w:fldCharType="begin"/>
            </w:r>
            <w:r>
              <w:rPr>
                <w:noProof/>
                <w:webHidden/>
              </w:rPr>
              <w:instrText xml:space="preserve"> PAGEREF _Toc390330061 \h </w:instrText>
            </w:r>
            <w:r>
              <w:rPr>
                <w:noProof/>
                <w:webHidden/>
              </w:rPr>
            </w:r>
            <w:r>
              <w:rPr>
                <w:noProof/>
                <w:webHidden/>
              </w:rPr>
              <w:fldChar w:fldCharType="separate"/>
            </w:r>
            <w:r>
              <w:rPr>
                <w:noProof/>
                <w:webHidden/>
              </w:rPr>
              <w:t>10</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2" w:history="1">
            <w:r w:rsidRPr="00A24475">
              <w:rPr>
                <w:rStyle w:val="Hyperlink"/>
                <w:noProof/>
              </w:rPr>
              <w:t>Introduction</w:t>
            </w:r>
            <w:r>
              <w:rPr>
                <w:noProof/>
                <w:webHidden/>
              </w:rPr>
              <w:tab/>
            </w:r>
            <w:r>
              <w:rPr>
                <w:noProof/>
                <w:webHidden/>
              </w:rPr>
              <w:fldChar w:fldCharType="begin"/>
            </w:r>
            <w:r>
              <w:rPr>
                <w:noProof/>
                <w:webHidden/>
              </w:rPr>
              <w:instrText xml:space="preserve"> PAGEREF _Toc390330062 \h </w:instrText>
            </w:r>
            <w:r>
              <w:rPr>
                <w:noProof/>
                <w:webHidden/>
              </w:rPr>
            </w:r>
            <w:r>
              <w:rPr>
                <w:noProof/>
                <w:webHidden/>
              </w:rPr>
              <w:fldChar w:fldCharType="separate"/>
            </w:r>
            <w:r>
              <w:rPr>
                <w:noProof/>
                <w:webHidden/>
              </w:rPr>
              <w:t>10</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3" w:history="1">
            <w:r w:rsidRPr="00A24475">
              <w:rPr>
                <w:rStyle w:val="Hyperlink"/>
                <w:noProof/>
              </w:rPr>
              <w:t>Pharmacokinetics</w:t>
            </w:r>
            <w:r>
              <w:rPr>
                <w:noProof/>
                <w:webHidden/>
              </w:rPr>
              <w:tab/>
            </w:r>
            <w:r>
              <w:rPr>
                <w:noProof/>
                <w:webHidden/>
              </w:rPr>
              <w:fldChar w:fldCharType="begin"/>
            </w:r>
            <w:r>
              <w:rPr>
                <w:noProof/>
                <w:webHidden/>
              </w:rPr>
              <w:instrText xml:space="preserve"> PAGEREF _Toc390330063 \h </w:instrText>
            </w:r>
            <w:r>
              <w:rPr>
                <w:noProof/>
                <w:webHidden/>
              </w:rPr>
            </w:r>
            <w:r>
              <w:rPr>
                <w:noProof/>
                <w:webHidden/>
              </w:rPr>
              <w:fldChar w:fldCharType="separate"/>
            </w:r>
            <w:r>
              <w:rPr>
                <w:noProof/>
                <w:webHidden/>
              </w:rPr>
              <w:t>11</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4" w:history="1">
            <w:r w:rsidRPr="00A24475">
              <w:rPr>
                <w:rStyle w:val="Hyperlink"/>
                <w:noProof/>
              </w:rPr>
              <w:t>Pharmacodynamics</w:t>
            </w:r>
            <w:r>
              <w:rPr>
                <w:noProof/>
                <w:webHidden/>
              </w:rPr>
              <w:tab/>
            </w:r>
            <w:r>
              <w:rPr>
                <w:noProof/>
                <w:webHidden/>
              </w:rPr>
              <w:fldChar w:fldCharType="begin"/>
            </w:r>
            <w:r>
              <w:rPr>
                <w:noProof/>
                <w:webHidden/>
              </w:rPr>
              <w:instrText xml:space="preserve"> PAGEREF _Toc390330064 \h </w:instrText>
            </w:r>
            <w:r>
              <w:rPr>
                <w:noProof/>
                <w:webHidden/>
              </w:rPr>
            </w:r>
            <w:r>
              <w:rPr>
                <w:noProof/>
                <w:webHidden/>
              </w:rPr>
              <w:fldChar w:fldCharType="separate"/>
            </w:r>
            <w:r>
              <w:rPr>
                <w:noProof/>
                <w:webHidden/>
              </w:rPr>
              <w:t>12</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5" w:history="1">
            <w:r w:rsidRPr="00A24475">
              <w:rPr>
                <w:rStyle w:val="Hyperlink"/>
                <w:noProof/>
              </w:rPr>
              <w:t>Dosage selection for the pivotal studies</w:t>
            </w:r>
            <w:r>
              <w:rPr>
                <w:noProof/>
                <w:webHidden/>
              </w:rPr>
              <w:tab/>
            </w:r>
            <w:r>
              <w:rPr>
                <w:noProof/>
                <w:webHidden/>
              </w:rPr>
              <w:fldChar w:fldCharType="begin"/>
            </w:r>
            <w:r>
              <w:rPr>
                <w:noProof/>
                <w:webHidden/>
              </w:rPr>
              <w:instrText xml:space="preserve"> PAGEREF _Toc390330065 \h </w:instrText>
            </w:r>
            <w:r>
              <w:rPr>
                <w:noProof/>
                <w:webHidden/>
              </w:rPr>
            </w:r>
            <w:r>
              <w:rPr>
                <w:noProof/>
                <w:webHidden/>
              </w:rPr>
              <w:fldChar w:fldCharType="separate"/>
            </w:r>
            <w:r>
              <w:rPr>
                <w:noProof/>
                <w:webHidden/>
              </w:rPr>
              <w:t>12</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6" w:history="1">
            <w:r w:rsidRPr="00A24475">
              <w:rPr>
                <w:rStyle w:val="Hyperlink"/>
                <w:noProof/>
              </w:rPr>
              <w:t>Efficacy</w:t>
            </w:r>
            <w:r>
              <w:rPr>
                <w:noProof/>
                <w:webHidden/>
              </w:rPr>
              <w:tab/>
            </w:r>
            <w:r>
              <w:rPr>
                <w:noProof/>
                <w:webHidden/>
              </w:rPr>
              <w:fldChar w:fldCharType="begin"/>
            </w:r>
            <w:r>
              <w:rPr>
                <w:noProof/>
                <w:webHidden/>
              </w:rPr>
              <w:instrText xml:space="preserve"> PAGEREF _Toc390330066 \h </w:instrText>
            </w:r>
            <w:r>
              <w:rPr>
                <w:noProof/>
                <w:webHidden/>
              </w:rPr>
            </w:r>
            <w:r>
              <w:rPr>
                <w:noProof/>
                <w:webHidden/>
              </w:rPr>
              <w:fldChar w:fldCharType="separate"/>
            </w:r>
            <w:r>
              <w:rPr>
                <w:noProof/>
                <w:webHidden/>
              </w:rPr>
              <w:t>12</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7" w:history="1">
            <w:r w:rsidRPr="00A24475">
              <w:rPr>
                <w:rStyle w:val="Hyperlink"/>
                <w:noProof/>
              </w:rPr>
              <w:t>Safety</w:t>
            </w:r>
            <w:r>
              <w:rPr>
                <w:noProof/>
                <w:webHidden/>
              </w:rPr>
              <w:tab/>
            </w:r>
            <w:r>
              <w:rPr>
                <w:noProof/>
                <w:webHidden/>
              </w:rPr>
              <w:fldChar w:fldCharType="begin"/>
            </w:r>
            <w:r>
              <w:rPr>
                <w:noProof/>
                <w:webHidden/>
              </w:rPr>
              <w:instrText xml:space="preserve"> PAGEREF _Toc390330067 \h </w:instrText>
            </w:r>
            <w:r>
              <w:rPr>
                <w:noProof/>
                <w:webHidden/>
              </w:rPr>
            </w:r>
            <w:r>
              <w:rPr>
                <w:noProof/>
                <w:webHidden/>
              </w:rPr>
              <w:fldChar w:fldCharType="separate"/>
            </w:r>
            <w:r>
              <w:rPr>
                <w:noProof/>
                <w:webHidden/>
              </w:rPr>
              <w:t>15</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8" w:history="1">
            <w:r w:rsidRPr="00A24475">
              <w:rPr>
                <w:rStyle w:val="Hyperlink"/>
                <w:noProof/>
              </w:rPr>
              <w:t>First round benefit-risk assessment</w:t>
            </w:r>
            <w:r>
              <w:rPr>
                <w:noProof/>
                <w:webHidden/>
              </w:rPr>
              <w:tab/>
            </w:r>
            <w:r>
              <w:rPr>
                <w:noProof/>
                <w:webHidden/>
              </w:rPr>
              <w:fldChar w:fldCharType="begin"/>
            </w:r>
            <w:r>
              <w:rPr>
                <w:noProof/>
                <w:webHidden/>
              </w:rPr>
              <w:instrText xml:space="preserve"> PAGEREF _Toc390330068 \h </w:instrText>
            </w:r>
            <w:r>
              <w:rPr>
                <w:noProof/>
                <w:webHidden/>
              </w:rPr>
            </w:r>
            <w:r>
              <w:rPr>
                <w:noProof/>
                <w:webHidden/>
              </w:rPr>
              <w:fldChar w:fldCharType="separate"/>
            </w:r>
            <w:r>
              <w:rPr>
                <w:noProof/>
                <w:webHidden/>
              </w:rPr>
              <w:t>20</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69" w:history="1">
            <w:r w:rsidRPr="00A24475">
              <w:rPr>
                <w:rStyle w:val="Hyperlink"/>
                <w:noProof/>
              </w:rPr>
              <w:t>First round recommendation regarding authorisation</w:t>
            </w:r>
            <w:r>
              <w:rPr>
                <w:noProof/>
                <w:webHidden/>
              </w:rPr>
              <w:tab/>
            </w:r>
            <w:r>
              <w:rPr>
                <w:noProof/>
                <w:webHidden/>
              </w:rPr>
              <w:fldChar w:fldCharType="begin"/>
            </w:r>
            <w:r>
              <w:rPr>
                <w:noProof/>
                <w:webHidden/>
              </w:rPr>
              <w:instrText xml:space="preserve"> PAGEREF _Toc390330069 \h </w:instrText>
            </w:r>
            <w:r>
              <w:rPr>
                <w:noProof/>
                <w:webHidden/>
              </w:rPr>
            </w:r>
            <w:r>
              <w:rPr>
                <w:noProof/>
                <w:webHidden/>
              </w:rPr>
              <w:fldChar w:fldCharType="separate"/>
            </w:r>
            <w:r>
              <w:rPr>
                <w:noProof/>
                <w:webHidden/>
              </w:rPr>
              <w:t>21</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0" w:history="1">
            <w:r w:rsidRPr="00A24475">
              <w:rPr>
                <w:rStyle w:val="Hyperlink"/>
                <w:noProof/>
              </w:rPr>
              <w:t>Clinical questions</w:t>
            </w:r>
            <w:r>
              <w:rPr>
                <w:noProof/>
                <w:webHidden/>
              </w:rPr>
              <w:tab/>
            </w:r>
            <w:r>
              <w:rPr>
                <w:noProof/>
                <w:webHidden/>
              </w:rPr>
              <w:fldChar w:fldCharType="begin"/>
            </w:r>
            <w:r>
              <w:rPr>
                <w:noProof/>
                <w:webHidden/>
              </w:rPr>
              <w:instrText xml:space="preserve"> PAGEREF _Toc390330070 \h </w:instrText>
            </w:r>
            <w:r>
              <w:rPr>
                <w:noProof/>
                <w:webHidden/>
              </w:rPr>
            </w:r>
            <w:r>
              <w:rPr>
                <w:noProof/>
                <w:webHidden/>
              </w:rPr>
              <w:fldChar w:fldCharType="separate"/>
            </w:r>
            <w:r>
              <w:rPr>
                <w:noProof/>
                <w:webHidden/>
              </w:rPr>
              <w:t>21</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1" w:history="1">
            <w:r w:rsidRPr="00A24475">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_Toc390330071 \h </w:instrText>
            </w:r>
            <w:r>
              <w:rPr>
                <w:noProof/>
                <w:webHidden/>
              </w:rPr>
            </w:r>
            <w:r>
              <w:rPr>
                <w:noProof/>
                <w:webHidden/>
              </w:rPr>
              <w:fldChar w:fldCharType="separate"/>
            </w:r>
            <w:r>
              <w:rPr>
                <w:noProof/>
                <w:webHidden/>
              </w:rPr>
              <w:t>22</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2" w:history="1">
            <w:r w:rsidRPr="00A24475">
              <w:rPr>
                <w:rStyle w:val="Hyperlink"/>
                <w:noProof/>
              </w:rPr>
              <w:t>Second round benefit-risk assessment</w:t>
            </w:r>
            <w:r>
              <w:rPr>
                <w:noProof/>
                <w:webHidden/>
              </w:rPr>
              <w:tab/>
            </w:r>
            <w:r>
              <w:rPr>
                <w:noProof/>
                <w:webHidden/>
              </w:rPr>
              <w:fldChar w:fldCharType="begin"/>
            </w:r>
            <w:r>
              <w:rPr>
                <w:noProof/>
                <w:webHidden/>
              </w:rPr>
              <w:instrText xml:space="preserve"> PAGEREF _Toc390330072 \h </w:instrText>
            </w:r>
            <w:r>
              <w:rPr>
                <w:noProof/>
                <w:webHidden/>
              </w:rPr>
            </w:r>
            <w:r>
              <w:rPr>
                <w:noProof/>
                <w:webHidden/>
              </w:rPr>
              <w:fldChar w:fldCharType="separate"/>
            </w:r>
            <w:r>
              <w:rPr>
                <w:noProof/>
                <w:webHidden/>
              </w:rPr>
              <w:t>28</w:t>
            </w:r>
            <w:r>
              <w:rPr>
                <w:noProof/>
                <w:webHidden/>
              </w:rPr>
              <w:fldChar w:fldCharType="end"/>
            </w:r>
          </w:hyperlink>
        </w:p>
        <w:p w:rsidR="00A36E52" w:rsidRDefault="00A36E52">
          <w:pPr>
            <w:pStyle w:val="TOC2"/>
            <w:rPr>
              <w:rFonts w:asciiTheme="minorHAnsi" w:eastAsiaTheme="minorEastAsia" w:hAnsiTheme="minorHAnsi" w:cstheme="minorBidi"/>
              <w:b w:val="0"/>
              <w:noProof/>
              <w:sz w:val="22"/>
              <w:lang w:eastAsia="en-AU"/>
            </w:rPr>
          </w:pPr>
          <w:hyperlink w:anchor="_Toc390330073" w:history="1">
            <w:r w:rsidRPr="00A24475">
              <w:rPr>
                <w:rStyle w:val="Hyperlink"/>
                <w:noProof/>
              </w:rPr>
              <w:t>V. Pharmacovigilance findings</w:t>
            </w:r>
            <w:r>
              <w:rPr>
                <w:noProof/>
                <w:webHidden/>
              </w:rPr>
              <w:tab/>
            </w:r>
            <w:r>
              <w:rPr>
                <w:noProof/>
                <w:webHidden/>
              </w:rPr>
              <w:fldChar w:fldCharType="begin"/>
            </w:r>
            <w:r>
              <w:rPr>
                <w:noProof/>
                <w:webHidden/>
              </w:rPr>
              <w:instrText xml:space="preserve"> PAGEREF _Toc390330073 \h </w:instrText>
            </w:r>
            <w:r>
              <w:rPr>
                <w:noProof/>
                <w:webHidden/>
              </w:rPr>
            </w:r>
            <w:r>
              <w:rPr>
                <w:noProof/>
                <w:webHidden/>
              </w:rPr>
              <w:fldChar w:fldCharType="separate"/>
            </w:r>
            <w:r>
              <w:rPr>
                <w:noProof/>
                <w:webHidden/>
              </w:rPr>
              <w:t>28</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4" w:history="1">
            <w:r w:rsidRPr="00A24475">
              <w:rPr>
                <w:rStyle w:val="Hyperlink"/>
                <w:noProof/>
                <w:lang w:eastAsia="en-AU"/>
              </w:rPr>
              <w:t>Risk management plan</w:t>
            </w:r>
            <w:r>
              <w:rPr>
                <w:noProof/>
                <w:webHidden/>
              </w:rPr>
              <w:tab/>
            </w:r>
            <w:r>
              <w:rPr>
                <w:noProof/>
                <w:webHidden/>
              </w:rPr>
              <w:fldChar w:fldCharType="begin"/>
            </w:r>
            <w:r>
              <w:rPr>
                <w:noProof/>
                <w:webHidden/>
              </w:rPr>
              <w:instrText xml:space="preserve"> PAGEREF _Toc390330074 \h </w:instrText>
            </w:r>
            <w:r>
              <w:rPr>
                <w:noProof/>
                <w:webHidden/>
              </w:rPr>
            </w:r>
            <w:r>
              <w:rPr>
                <w:noProof/>
                <w:webHidden/>
              </w:rPr>
              <w:fldChar w:fldCharType="separate"/>
            </w:r>
            <w:r>
              <w:rPr>
                <w:noProof/>
                <w:webHidden/>
              </w:rPr>
              <w:t>28</w:t>
            </w:r>
            <w:r>
              <w:rPr>
                <w:noProof/>
                <w:webHidden/>
              </w:rPr>
              <w:fldChar w:fldCharType="end"/>
            </w:r>
          </w:hyperlink>
        </w:p>
        <w:p w:rsidR="00A36E52" w:rsidRDefault="00A36E52">
          <w:pPr>
            <w:pStyle w:val="TOC2"/>
            <w:rPr>
              <w:rFonts w:asciiTheme="minorHAnsi" w:eastAsiaTheme="minorEastAsia" w:hAnsiTheme="minorHAnsi" w:cstheme="minorBidi"/>
              <w:b w:val="0"/>
              <w:noProof/>
              <w:sz w:val="22"/>
              <w:lang w:eastAsia="en-AU"/>
            </w:rPr>
          </w:pPr>
          <w:hyperlink w:anchor="_Toc390330075" w:history="1">
            <w:r w:rsidRPr="00A24475">
              <w:rPr>
                <w:rStyle w:val="Hyperlink"/>
                <w:noProof/>
              </w:rPr>
              <w:t>VI. Overall conclusion and risk/benefit assessment</w:t>
            </w:r>
            <w:r>
              <w:rPr>
                <w:noProof/>
                <w:webHidden/>
              </w:rPr>
              <w:tab/>
            </w:r>
            <w:r>
              <w:rPr>
                <w:noProof/>
                <w:webHidden/>
              </w:rPr>
              <w:fldChar w:fldCharType="begin"/>
            </w:r>
            <w:r>
              <w:rPr>
                <w:noProof/>
                <w:webHidden/>
              </w:rPr>
              <w:instrText xml:space="preserve"> PAGEREF _Toc390330075 \h </w:instrText>
            </w:r>
            <w:r>
              <w:rPr>
                <w:noProof/>
                <w:webHidden/>
              </w:rPr>
            </w:r>
            <w:r>
              <w:rPr>
                <w:noProof/>
                <w:webHidden/>
              </w:rPr>
              <w:fldChar w:fldCharType="separate"/>
            </w:r>
            <w:r>
              <w:rPr>
                <w:noProof/>
                <w:webHidden/>
              </w:rPr>
              <w:t>58</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6" w:history="1">
            <w:r w:rsidRPr="00A24475">
              <w:rPr>
                <w:rStyle w:val="Hyperlink"/>
                <w:noProof/>
              </w:rPr>
              <w:t>Quality</w:t>
            </w:r>
            <w:r>
              <w:rPr>
                <w:noProof/>
                <w:webHidden/>
              </w:rPr>
              <w:tab/>
            </w:r>
            <w:r>
              <w:rPr>
                <w:noProof/>
                <w:webHidden/>
              </w:rPr>
              <w:fldChar w:fldCharType="begin"/>
            </w:r>
            <w:r>
              <w:rPr>
                <w:noProof/>
                <w:webHidden/>
              </w:rPr>
              <w:instrText xml:space="preserve"> PAGEREF _Toc390330076 \h </w:instrText>
            </w:r>
            <w:r>
              <w:rPr>
                <w:noProof/>
                <w:webHidden/>
              </w:rPr>
            </w:r>
            <w:r>
              <w:rPr>
                <w:noProof/>
                <w:webHidden/>
              </w:rPr>
              <w:fldChar w:fldCharType="separate"/>
            </w:r>
            <w:r>
              <w:rPr>
                <w:noProof/>
                <w:webHidden/>
              </w:rPr>
              <w:t>58</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7" w:history="1">
            <w:r w:rsidRPr="00A24475">
              <w:rPr>
                <w:rStyle w:val="Hyperlink"/>
                <w:noProof/>
              </w:rPr>
              <w:t>Nonclinical</w:t>
            </w:r>
            <w:r>
              <w:rPr>
                <w:noProof/>
                <w:webHidden/>
              </w:rPr>
              <w:tab/>
            </w:r>
            <w:r>
              <w:rPr>
                <w:noProof/>
                <w:webHidden/>
              </w:rPr>
              <w:fldChar w:fldCharType="begin"/>
            </w:r>
            <w:r>
              <w:rPr>
                <w:noProof/>
                <w:webHidden/>
              </w:rPr>
              <w:instrText xml:space="preserve"> PAGEREF _Toc390330077 \h </w:instrText>
            </w:r>
            <w:r>
              <w:rPr>
                <w:noProof/>
                <w:webHidden/>
              </w:rPr>
            </w:r>
            <w:r>
              <w:rPr>
                <w:noProof/>
                <w:webHidden/>
              </w:rPr>
              <w:fldChar w:fldCharType="separate"/>
            </w:r>
            <w:r>
              <w:rPr>
                <w:noProof/>
                <w:webHidden/>
              </w:rPr>
              <w:t>58</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8" w:history="1">
            <w:r w:rsidRPr="00A24475">
              <w:rPr>
                <w:rStyle w:val="Hyperlink"/>
                <w:noProof/>
              </w:rPr>
              <w:t>Clinical</w:t>
            </w:r>
            <w:r>
              <w:rPr>
                <w:noProof/>
                <w:webHidden/>
              </w:rPr>
              <w:tab/>
            </w:r>
            <w:r>
              <w:rPr>
                <w:noProof/>
                <w:webHidden/>
              </w:rPr>
              <w:fldChar w:fldCharType="begin"/>
            </w:r>
            <w:r>
              <w:rPr>
                <w:noProof/>
                <w:webHidden/>
              </w:rPr>
              <w:instrText xml:space="preserve"> PAGEREF _Toc390330078 \h </w:instrText>
            </w:r>
            <w:r>
              <w:rPr>
                <w:noProof/>
                <w:webHidden/>
              </w:rPr>
            </w:r>
            <w:r>
              <w:rPr>
                <w:noProof/>
                <w:webHidden/>
              </w:rPr>
              <w:fldChar w:fldCharType="separate"/>
            </w:r>
            <w:r>
              <w:rPr>
                <w:noProof/>
                <w:webHidden/>
              </w:rPr>
              <w:t>58</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79" w:history="1">
            <w:r w:rsidRPr="00A24475">
              <w:rPr>
                <w:rStyle w:val="Hyperlink"/>
                <w:noProof/>
                <w:lang w:eastAsia="en-AU"/>
              </w:rPr>
              <w:t>Risk management plan</w:t>
            </w:r>
            <w:r>
              <w:rPr>
                <w:noProof/>
                <w:webHidden/>
              </w:rPr>
              <w:tab/>
            </w:r>
            <w:r>
              <w:rPr>
                <w:noProof/>
                <w:webHidden/>
              </w:rPr>
              <w:fldChar w:fldCharType="begin"/>
            </w:r>
            <w:r>
              <w:rPr>
                <w:noProof/>
                <w:webHidden/>
              </w:rPr>
              <w:instrText xml:space="preserve"> PAGEREF _Toc390330079 \h </w:instrText>
            </w:r>
            <w:r>
              <w:rPr>
                <w:noProof/>
                <w:webHidden/>
              </w:rPr>
            </w:r>
            <w:r>
              <w:rPr>
                <w:noProof/>
                <w:webHidden/>
              </w:rPr>
              <w:fldChar w:fldCharType="separate"/>
            </w:r>
            <w:r>
              <w:rPr>
                <w:noProof/>
                <w:webHidden/>
              </w:rPr>
              <w:t>67</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80" w:history="1">
            <w:r w:rsidRPr="00A24475">
              <w:rPr>
                <w:rStyle w:val="Hyperlink"/>
                <w:noProof/>
              </w:rPr>
              <w:t>Risk-benefit analysis</w:t>
            </w:r>
            <w:r>
              <w:rPr>
                <w:noProof/>
                <w:webHidden/>
              </w:rPr>
              <w:tab/>
            </w:r>
            <w:r>
              <w:rPr>
                <w:noProof/>
                <w:webHidden/>
              </w:rPr>
              <w:fldChar w:fldCharType="begin"/>
            </w:r>
            <w:r>
              <w:rPr>
                <w:noProof/>
                <w:webHidden/>
              </w:rPr>
              <w:instrText xml:space="preserve"> PAGEREF _Toc390330080 \h </w:instrText>
            </w:r>
            <w:r>
              <w:rPr>
                <w:noProof/>
                <w:webHidden/>
              </w:rPr>
            </w:r>
            <w:r>
              <w:rPr>
                <w:noProof/>
                <w:webHidden/>
              </w:rPr>
              <w:fldChar w:fldCharType="separate"/>
            </w:r>
            <w:r>
              <w:rPr>
                <w:noProof/>
                <w:webHidden/>
              </w:rPr>
              <w:t>68</w:t>
            </w:r>
            <w:r>
              <w:rPr>
                <w:noProof/>
                <w:webHidden/>
              </w:rPr>
              <w:fldChar w:fldCharType="end"/>
            </w:r>
          </w:hyperlink>
        </w:p>
        <w:p w:rsidR="00A36E52" w:rsidRDefault="00A36E52">
          <w:pPr>
            <w:pStyle w:val="TOC3"/>
            <w:rPr>
              <w:rFonts w:asciiTheme="minorHAnsi" w:eastAsiaTheme="minorEastAsia" w:hAnsiTheme="minorHAnsi" w:cstheme="minorBidi"/>
              <w:noProof/>
              <w:lang w:eastAsia="en-AU"/>
            </w:rPr>
          </w:pPr>
          <w:hyperlink w:anchor="_Toc390330081" w:history="1">
            <w:r w:rsidRPr="00A24475">
              <w:rPr>
                <w:rStyle w:val="Hyperlink"/>
                <w:noProof/>
              </w:rPr>
              <w:t>Outcome</w:t>
            </w:r>
            <w:r>
              <w:rPr>
                <w:noProof/>
                <w:webHidden/>
              </w:rPr>
              <w:tab/>
            </w:r>
            <w:r>
              <w:rPr>
                <w:noProof/>
                <w:webHidden/>
              </w:rPr>
              <w:fldChar w:fldCharType="begin"/>
            </w:r>
            <w:r>
              <w:rPr>
                <w:noProof/>
                <w:webHidden/>
              </w:rPr>
              <w:instrText xml:space="preserve"> PAGEREF _Toc390330081 \h </w:instrText>
            </w:r>
            <w:r>
              <w:rPr>
                <w:noProof/>
                <w:webHidden/>
              </w:rPr>
            </w:r>
            <w:r>
              <w:rPr>
                <w:noProof/>
                <w:webHidden/>
              </w:rPr>
              <w:fldChar w:fldCharType="separate"/>
            </w:r>
            <w:r>
              <w:rPr>
                <w:noProof/>
                <w:webHidden/>
              </w:rPr>
              <w:t>74</w:t>
            </w:r>
            <w:r>
              <w:rPr>
                <w:noProof/>
                <w:webHidden/>
              </w:rPr>
              <w:fldChar w:fldCharType="end"/>
            </w:r>
          </w:hyperlink>
        </w:p>
        <w:p w:rsidR="00A36E52" w:rsidRDefault="00A36E52">
          <w:pPr>
            <w:pStyle w:val="TOC2"/>
            <w:tabs>
              <w:tab w:val="left" w:pos="2448"/>
            </w:tabs>
            <w:rPr>
              <w:rFonts w:asciiTheme="minorHAnsi" w:eastAsiaTheme="minorEastAsia" w:hAnsiTheme="minorHAnsi" w:cstheme="minorBidi"/>
              <w:b w:val="0"/>
              <w:noProof/>
              <w:sz w:val="22"/>
              <w:lang w:eastAsia="en-AU"/>
            </w:rPr>
          </w:pPr>
          <w:hyperlink w:anchor="_Toc390330082" w:history="1">
            <w:r w:rsidRPr="00A24475">
              <w:rPr>
                <w:rStyle w:val="Hyperlink"/>
                <w:noProof/>
              </w:rPr>
              <w:t>Attachment 1.</w:t>
            </w:r>
            <w:r>
              <w:rPr>
                <w:rFonts w:asciiTheme="minorHAnsi" w:eastAsiaTheme="minorEastAsia" w:hAnsiTheme="minorHAnsi" w:cstheme="minorBidi"/>
                <w:b w:val="0"/>
                <w:noProof/>
                <w:sz w:val="22"/>
                <w:lang w:eastAsia="en-AU"/>
              </w:rPr>
              <w:tab/>
            </w:r>
            <w:r w:rsidRPr="00A24475">
              <w:rPr>
                <w:rStyle w:val="Hyperlink"/>
                <w:noProof/>
              </w:rPr>
              <w:t>Product Information</w:t>
            </w:r>
            <w:r>
              <w:rPr>
                <w:noProof/>
                <w:webHidden/>
              </w:rPr>
              <w:tab/>
            </w:r>
            <w:r>
              <w:rPr>
                <w:noProof/>
                <w:webHidden/>
              </w:rPr>
              <w:fldChar w:fldCharType="begin"/>
            </w:r>
            <w:r>
              <w:rPr>
                <w:noProof/>
                <w:webHidden/>
              </w:rPr>
              <w:instrText xml:space="preserve"> PAGEREF _Toc390330082 \h </w:instrText>
            </w:r>
            <w:r>
              <w:rPr>
                <w:noProof/>
                <w:webHidden/>
              </w:rPr>
            </w:r>
            <w:r>
              <w:rPr>
                <w:noProof/>
                <w:webHidden/>
              </w:rPr>
              <w:fldChar w:fldCharType="separate"/>
            </w:r>
            <w:r>
              <w:rPr>
                <w:noProof/>
                <w:webHidden/>
              </w:rPr>
              <w:t>76</w:t>
            </w:r>
            <w:r>
              <w:rPr>
                <w:noProof/>
                <w:webHidden/>
              </w:rPr>
              <w:fldChar w:fldCharType="end"/>
            </w:r>
          </w:hyperlink>
        </w:p>
        <w:p w:rsidR="00A36E52" w:rsidRDefault="00A36E52">
          <w:pPr>
            <w:pStyle w:val="TOC2"/>
            <w:rPr>
              <w:rFonts w:asciiTheme="minorHAnsi" w:eastAsiaTheme="minorEastAsia" w:hAnsiTheme="minorHAnsi" w:cstheme="minorBidi"/>
              <w:b w:val="0"/>
              <w:noProof/>
              <w:sz w:val="22"/>
              <w:lang w:eastAsia="en-AU"/>
            </w:rPr>
          </w:pPr>
          <w:hyperlink w:anchor="_Toc390330083" w:history="1">
            <w:r w:rsidRPr="00A24475">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_Toc390330083 \h </w:instrText>
            </w:r>
            <w:r>
              <w:rPr>
                <w:noProof/>
                <w:webHidden/>
              </w:rPr>
            </w:r>
            <w:r>
              <w:rPr>
                <w:noProof/>
                <w:webHidden/>
              </w:rPr>
              <w:fldChar w:fldCharType="separate"/>
            </w:r>
            <w:r>
              <w:rPr>
                <w:noProof/>
                <w:webHidden/>
              </w:rPr>
              <w:t>76</w:t>
            </w:r>
            <w:r>
              <w:rPr>
                <w:noProof/>
                <w:webHidden/>
              </w:rPr>
              <w:fldChar w:fldCharType="end"/>
            </w:r>
          </w:hyperlink>
        </w:p>
        <w:p w:rsidR="003A7F6C" w:rsidRPr="00B811C6" w:rsidRDefault="00281DCD" w:rsidP="00B811C6">
          <w:pPr>
            <w:pStyle w:val="TOC2"/>
          </w:pPr>
          <w:r>
            <w:fldChar w:fldCharType="end"/>
          </w:r>
        </w:p>
      </w:sdtContent>
    </w:sdt>
    <w:bookmarkStart w:id="3" w:name="_Toc314842482" w:displacedByCustomXml="prev"/>
    <w:p w:rsidR="003F0465" w:rsidRDefault="003F0465">
      <w:pPr>
        <w:spacing w:before="0" w:after="200" w:line="0" w:lineRule="auto"/>
        <w:rPr>
          <w:rFonts w:ascii="Arial" w:eastAsia="Times New Roman" w:hAnsi="Arial"/>
          <w:b/>
          <w:bCs/>
          <w:sz w:val="32"/>
          <w:szCs w:val="26"/>
        </w:rPr>
      </w:pPr>
      <w:r>
        <w:br w:type="page"/>
      </w:r>
    </w:p>
    <w:p w:rsidR="00C35A3A" w:rsidRDefault="00C35A3A" w:rsidP="008E7846">
      <w:pPr>
        <w:pStyle w:val="Heading2"/>
      </w:pPr>
      <w:bookmarkStart w:id="4" w:name="_Toc390330053"/>
      <w:r>
        <w:t xml:space="preserve">List of </w:t>
      </w:r>
      <w:r w:rsidR="00BB50FE">
        <w:t>a</w:t>
      </w:r>
      <w:r>
        <w:t>bbreviations</w:t>
      </w:r>
      <w:bookmarkEnd w:id="4"/>
    </w:p>
    <w:tbl>
      <w:tblPr>
        <w:tblStyle w:val="TableTGAblue"/>
        <w:tblW w:w="8755" w:type="dxa"/>
        <w:tblLook w:val="04A0" w:firstRow="1" w:lastRow="0" w:firstColumn="1" w:lastColumn="0" w:noHBand="0" w:noVBand="1"/>
      </w:tblPr>
      <w:tblGrid>
        <w:gridCol w:w="2802"/>
        <w:gridCol w:w="5953"/>
      </w:tblGrid>
      <w:tr w:rsidR="00C35A3A" w:rsidTr="001F68DB">
        <w:trPr>
          <w:cnfStyle w:val="100000000000" w:firstRow="1" w:lastRow="0" w:firstColumn="0" w:lastColumn="0" w:oddVBand="0" w:evenVBand="0" w:oddHBand="0" w:evenHBand="0" w:firstRowFirstColumn="0" w:firstRowLastColumn="0" w:lastRowFirstColumn="0" w:lastRowLastColumn="0"/>
        </w:trPr>
        <w:tc>
          <w:tcPr>
            <w:tcW w:w="2802" w:type="dxa"/>
          </w:tcPr>
          <w:p w:rsidR="00C35A3A" w:rsidRDefault="00C35A3A" w:rsidP="001F68DB">
            <w:r>
              <w:t>Abbreviation</w:t>
            </w:r>
          </w:p>
        </w:tc>
        <w:tc>
          <w:tcPr>
            <w:tcW w:w="5953" w:type="dxa"/>
          </w:tcPr>
          <w:p w:rsidR="00C35A3A" w:rsidRDefault="00C35A3A" w:rsidP="001F68DB">
            <w:r>
              <w:t>Meaning</w:t>
            </w:r>
          </w:p>
        </w:tc>
      </w:tr>
      <w:tr w:rsidR="00C35A3A" w:rsidTr="001F68DB">
        <w:tc>
          <w:tcPr>
            <w:tcW w:w="2802" w:type="dxa"/>
          </w:tcPr>
          <w:p w:rsidR="00C35A3A" w:rsidRDefault="00C35A3A" w:rsidP="001F68DB">
            <w:r>
              <w:t>ACPM</w:t>
            </w:r>
          </w:p>
        </w:tc>
        <w:tc>
          <w:tcPr>
            <w:tcW w:w="5953" w:type="dxa"/>
          </w:tcPr>
          <w:p w:rsidR="00C35A3A" w:rsidRDefault="00C35A3A" w:rsidP="001F68DB">
            <w:r>
              <w:t>Advisory Committee on Prescription Medicines</w:t>
            </w:r>
          </w:p>
        </w:tc>
      </w:tr>
      <w:tr w:rsidR="00C35A3A" w:rsidTr="001F68DB">
        <w:tc>
          <w:tcPr>
            <w:tcW w:w="2802" w:type="dxa"/>
          </w:tcPr>
          <w:p w:rsidR="00C35A3A" w:rsidRDefault="00C35A3A" w:rsidP="001F68DB">
            <w:r>
              <w:t>ACR Pedi 30 Response</w:t>
            </w:r>
          </w:p>
        </w:tc>
        <w:tc>
          <w:tcPr>
            <w:tcW w:w="5953" w:type="dxa"/>
          </w:tcPr>
          <w:p w:rsidR="00C35A3A" w:rsidRDefault="00C35A3A" w:rsidP="001F68DB">
            <w:r>
              <w:t>American College of Rheumatology Paediatric 30 Response</w:t>
            </w:r>
          </w:p>
        </w:tc>
      </w:tr>
      <w:tr w:rsidR="00C35A3A" w:rsidTr="001F68DB">
        <w:tc>
          <w:tcPr>
            <w:tcW w:w="2802" w:type="dxa"/>
          </w:tcPr>
          <w:p w:rsidR="00C35A3A" w:rsidRDefault="00C35A3A" w:rsidP="001F68DB">
            <w:r>
              <w:t>ADR</w:t>
            </w:r>
          </w:p>
        </w:tc>
        <w:tc>
          <w:tcPr>
            <w:tcW w:w="5953" w:type="dxa"/>
          </w:tcPr>
          <w:p w:rsidR="00C35A3A" w:rsidRDefault="00C35A3A" w:rsidP="001F68DB">
            <w:r>
              <w:t>Adverse drug reaction</w:t>
            </w:r>
          </w:p>
        </w:tc>
      </w:tr>
      <w:tr w:rsidR="00C35A3A" w:rsidTr="001F68DB">
        <w:tc>
          <w:tcPr>
            <w:tcW w:w="2802" w:type="dxa"/>
          </w:tcPr>
          <w:p w:rsidR="00C35A3A" w:rsidRDefault="00C35A3A" w:rsidP="001F68DB">
            <w:r>
              <w:t>AE</w:t>
            </w:r>
          </w:p>
        </w:tc>
        <w:tc>
          <w:tcPr>
            <w:tcW w:w="5953" w:type="dxa"/>
          </w:tcPr>
          <w:p w:rsidR="00C35A3A" w:rsidRDefault="00C35A3A" w:rsidP="001F68DB">
            <w:r>
              <w:t>Adverse Event</w:t>
            </w:r>
          </w:p>
        </w:tc>
      </w:tr>
      <w:tr w:rsidR="00C35A3A" w:rsidTr="001F68DB">
        <w:tc>
          <w:tcPr>
            <w:tcW w:w="2802" w:type="dxa"/>
          </w:tcPr>
          <w:p w:rsidR="00C35A3A" w:rsidRDefault="00C35A3A" w:rsidP="001F68DB">
            <w:r>
              <w:t>ALS</w:t>
            </w:r>
          </w:p>
        </w:tc>
        <w:tc>
          <w:tcPr>
            <w:tcW w:w="5953" w:type="dxa"/>
          </w:tcPr>
          <w:p w:rsidR="00C35A3A" w:rsidRDefault="00C35A3A" w:rsidP="001F68DB">
            <w:r>
              <w:t>Amyotrophic lateral sclerosis</w:t>
            </w:r>
          </w:p>
        </w:tc>
      </w:tr>
      <w:tr w:rsidR="00C35A3A" w:rsidTr="001F68DB">
        <w:tc>
          <w:tcPr>
            <w:tcW w:w="2802" w:type="dxa"/>
          </w:tcPr>
          <w:p w:rsidR="00C35A3A" w:rsidRDefault="00C35A3A" w:rsidP="001F68DB">
            <w:r>
              <w:t>ALT</w:t>
            </w:r>
          </w:p>
        </w:tc>
        <w:tc>
          <w:tcPr>
            <w:tcW w:w="5953" w:type="dxa"/>
          </w:tcPr>
          <w:p w:rsidR="00C35A3A" w:rsidRDefault="00C35A3A" w:rsidP="001F68DB">
            <w:r>
              <w:t>Alanine transaminase</w:t>
            </w:r>
          </w:p>
        </w:tc>
      </w:tr>
      <w:tr w:rsidR="00C35A3A" w:rsidTr="001F68DB">
        <w:tc>
          <w:tcPr>
            <w:tcW w:w="2802" w:type="dxa"/>
          </w:tcPr>
          <w:p w:rsidR="00C35A3A" w:rsidRDefault="00C35A3A" w:rsidP="001F68DB">
            <w:r>
              <w:t>ANCA</w:t>
            </w:r>
          </w:p>
        </w:tc>
        <w:tc>
          <w:tcPr>
            <w:tcW w:w="5953" w:type="dxa"/>
          </w:tcPr>
          <w:p w:rsidR="00C35A3A" w:rsidRDefault="00C35A3A" w:rsidP="001F68DB">
            <w:r>
              <w:t>Anti-neutrophil cytoplasmic antibody</w:t>
            </w:r>
          </w:p>
        </w:tc>
      </w:tr>
      <w:tr w:rsidR="00C35A3A" w:rsidTr="001F68DB">
        <w:tc>
          <w:tcPr>
            <w:tcW w:w="2802" w:type="dxa"/>
          </w:tcPr>
          <w:p w:rsidR="00C35A3A" w:rsidRDefault="00C35A3A" w:rsidP="001F68DB">
            <w:r>
              <w:t>ARTG</w:t>
            </w:r>
          </w:p>
        </w:tc>
        <w:tc>
          <w:tcPr>
            <w:tcW w:w="5953" w:type="dxa"/>
          </w:tcPr>
          <w:p w:rsidR="00C35A3A" w:rsidRDefault="00C35A3A" w:rsidP="001F68DB">
            <w:r>
              <w:t>Australian Register of Therapeutic Goods</w:t>
            </w:r>
          </w:p>
        </w:tc>
      </w:tr>
      <w:tr w:rsidR="00C35A3A" w:rsidTr="001F68DB">
        <w:tc>
          <w:tcPr>
            <w:tcW w:w="2802" w:type="dxa"/>
          </w:tcPr>
          <w:p w:rsidR="00C35A3A" w:rsidRDefault="00C35A3A" w:rsidP="001F68DB">
            <w:r>
              <w:t>AS</w:t>
            </w:r>
          </w:p>
        </w:tc>
        <w:tc>
          <w:tcPr>
            <w:tcW w:w="5953" w:type="dxa"/>
          </w:tcPr>
          <w:p w:rsidR="00C35A3A" w:rsidRDefault="00C35A3A" w:rsidP="001F68DB">
            <w:proofErr w:type="spellStart"/>
            <w:r>
              <w:t>Ankylosing</w:t>
            </w:r>
            <w:proofErr w:type="spellEnd"/>
            <w:r>
              <w:t xml:space="preserve"> Spondylitis</w:t>
            </w:r>
          </w:p>
        </w:tc>
      </w:tr>
      <w:tr w:rsidR="00C35A3A" w:rsidTr="001F68DB">
        <w:tc>
          <w:tcPr>
            <w:tcW w:w="2802" w:type="dxa"/>
          </w:tcPr>
          <w:p w:rsidR="00C35A3A" w:rsidRDefault="00C35A3A" w:rsidP="001F68DB">
            <w:r>
              <w:t>AST</w:t>
            </w:r>
          </w:p>
        </w:tc>
        <w:tc>
          <w:tcPr>
            <w:tcW w:w="5953" w:type="dxa"/>
          </w:tcPr>
          <w:p w:rsidR="00C35A3A" w:rsidRDefault="00C35A3A" w:rsidP="001F68DB">
            <w:r>
              <w:t>Aspartate transaminase</w:t>
            </w:r>
          </w:p>
        </w:tc>
      </w:tr>
      <w:tr w:rsidR="00C35A3A" w:rsidRPr="00F7634C" w:rsidTr="001F68DB">
        <w:tc>
          <w:tcPr>
            <w:tcW w:w="2802" w:type="dxa"/>
          </w:tcPr>
          <w:p w:rsidR="00C35A3A" w:rsidRDefault="00C35A3A" w:rsidP="001F68DB">
            <w:r>
              <w:t>BMI</w:t>
            </w:r>
          </w:p>
        </w:tc>
        <w:tc>
          <w:tcPr>
            <w:tcW w:w="5953" w:type="dxa"/>
          </w:tcPr>
          <w:p w:rsidR="00C35A3A" w:rsidRPr="00F7634C" w:rsidRDefault="00C35A3A" w:rsidP="001F68DB">
            <w:r>
              <w:t>Body mass index</w:t>
            </w:r>
          </w:p>
        </w:tc>
      </w:tr>
      <w:tr w:rsidR="00C35A3A" w:rsidTr="001F68DB">
        <w:tc>
          <w:tcPr>
            <w:tcW w:w="2802" w:type="dxa"/>
          </w:tcPr>
          <w:p w:rsidR="00C35A3A" w:rsidRDefault="00C35A3A" w:rsidP="001F68DB">
            <w:r>
              <w:t>BSA</w:t>
            </w:r>
          </w:p>
        </w:tc>
        <w:tc>
          <w:tcPr>
            <w:tcW w:w="5953" w:type="dxa"/>
          </w:tcPr>
          <w:p w:rsidR="00C35A3A" w:rsidRDefault="00C35A3A" w:rsidP="001F68DB">
            <w:r>
              <w:t>Body surface area</w:t>
            </w:r>
          </w:p>
        </w:tc>
      </w:tr>
      <w:tr w:rsidR="00C35A3A" w:rsidTr="001F68DB">
        <w:tc>
          <w:tcPr>
            <w:tcW w:w="2802" w:type="dxa"/>
          </w:tcPr>
          <w:p w:rsidR="00C35A3A" w:rsidRDefault="00C35A3A" w:rsidP="001F68DB">
            <w:r>
              <w:t>CER</w:t>
            </w:r>
          </w:p>
        </w:tc>
        <w:tc>
          <w:tcPr>
            <w:tcW w:w="5953" w:type="dxa"/>
          </w:tcPr>
          <w:p w:rsidR="00C35A3A" w:rsidRDefault="00C35A3A" w:rsidP="001F68DB">
            <w:r>
              <w:t>Clinical Evaluation Report</w:t>
            </w:r>
          </w:p>
        </w:tc>
      </w:tr>
      <w:tr w:rsidR="00C35A3A" w:rsidTr="001F68DB">
        <w:tc>
          <w:tcPr>
            <w:tcW w:w="2802" w:type="dxa"/>
          </w:tcPr>
          <w:p w:rsidR="00C35A3A" w:rsidRDefault="00C35A3A" w:rsidP="001F68DB">
            <w:r>
              <w:t>CHAQ</w:t>
            </w:r>
          </w:p>
        </w:tc>
        <w:tc>
          <w:tcPr>
            <w:tcW w:w="5953" w:type="dxa"/>
          </w:tcPr>
          <w:p w:rsidR="00C35A3A" w:rsidRDefault="00C35A3A" w:rsidP="001F68DB">
            <w:r w:rsidRPr="00DA4F9B">
              <w:t>Childhood Health Assessment Questionnaire</w:t>
            </w:r>
          </w:p>
        </w:tc>
      </w:tr>
      <w:tr w:rsidR="00C35A3A" w:rsidTr="001F68DB">
        <w:tc>
          <w:tcPr>
            <w:tcW w:w="2802" w:type="dxa"/>
          </w:tcPr>
          <w:p w:rsidR="00C35A3A" w:rsidRDefault="00C35A3A" w:rsidP="001F68DB">
            <w:r>
              <w:t>CHMP</w:t>
            </w:r>
          </w:p>
        </w:tc>
        <w:tc>
          <w:tcPr>
            <w:tcW w:w="5953" w:type="dxa"/>
          </w:tcPr>
          <w:p w:rsidR="00C35A3A" w:rsidRDefault="00C35A3A" w:rsidP="001F68DB">
            <w:r>
              <w:t xml:space="preserve">Committee for Medicinal Products for Human Use </w:t>
            </w:r>
          </w:p>
        </w:tc>
      </w:tr>
      <w:tr w:rsidR="00C35A3A" w:rsidTr="001F68DB">
        <w:tc>
          <w:tcPr>
            <w:tcW w:w="2802" w:type="dxa"/>
          </w:tcPr>
          <w:p w:rsidR="00C35A3A" w:rsidRDefault="00C35A3A" w:rsidP="001F68DB">
            <w:r>
              <w:t>CHO</w:t>
            </w:r>
          </w:p>
        </w:tc>
        <w:tc>
          <w:tcPr>
            <w:tcW w:w="5953" w:type="dxa"/>
          </w:tcPr>
          <w:p w:rsidR="00C35A3A" w:rsidRDefault="00C35A3A" w:rsidP="001F68DB">
            <w:r>
              <w:t>Chinese Hamster Ovary</w:t>
            </w:r>
          </w:p>
        </w:tc>
      </w:tr>
      <w:tr w:rsidR="00C35A3A" w:rsidTr="001F68DB">
        <w:tc>
          <w:tcPr>
            <w:tcW w:w="2802" w:type="dxa"/>
          </w:tcPr>
          <w:p w:rsidR="00C35A3A" w:rsidRDefault="00C35A3A" w:rsidP="001F68DB">
            <w:r>
              <w:t>CI</w:t>
            </w:r>
          </w:p>
        </w:tc>
        <w:tc>
          <w:tcPr>
            <w:tcW w:w="5953" w:type="dxa"/>
          </w:tcPr>
          <w:p w:rsidR="00C35A3A" w:rsidRDefault="00C35A3A" w:rsidP="001F68DB">
            <w:r>
              <w:t>Confidence Interval</w:t>
            </w:r>
          </w:p>
        </w:tc>
      </w:tr>
      <w:tr w:rsidR="00C35A3A" w:rsidTr="001F68DB">
        <w:tc>
          <w:tcPr>
            <w:tcW w:w="2802" w:type="dxa"/>
          </w:tcPr>
          <w:p w:rsidR="00C35A3A" w:rsidRDefault="00C35A3A" w:rsidP="001F68DB">
            <w:r>
              <w:t xml:space="preserve">CMI </w:t>
            </w:r>
          </w:p>
        </w:tc>
        <w:tc>
          <w:tcPr>
            <w:tcW w:w="5953" w:type="dxa"/>
          </w:tcPr>
          <w:p w:rsidR="00C35A3A" w:rsidRDefault="00C35A3A" w:rsidP="001F68DB">
            <w:r>
              <w:t>Consumer Medicines Information</w:t>
            </w:r>
          </w:p>
        </w:tc>
      </w:tr>
      <w:tr w:rsidR="00C35A3A" w:rsidTr="001F68DB">
        <w:tc>
          <w:tcPr>
            <w:tcW w:w="2802" w:type="dxa"/>
          </w:tcPr>
          <w:p w:rsidR="00C35A3A" w:rsidRDefault="00C35A3A" w:rsidP="001F68DB">
            <w:r>
              <w:t>COSTART</w:t>
            </w:r>
          </w:p>
        </w:tc>
        <w:tc>
          <w:tcPr>
            <w:tcW w:w="5953" w:type="dxa"/>
          </w:tcPr>
          <w:p w:rsidR="00C35A3A" w:rsidRDefault="00C35A3A" w:rsidP="001F68DB">
            <w:r>
              <w:t>Coding symbols for a thesaurus of adverse events terms</w:t>
            </w:r>
          </w:p>
        </w:tc>
      </w:tr>
      <w:tr w:rsidR="00C35A3A" w:rsidTr="001F68DB">
        <w:tc>
          <w:tcPr>
            <w:tcW w:w="2802" w:type="dxa"/>
          </w:tcPr>
          <w:p w:rsidR="00C35A3A" w:rsidRDefault="00C35A3A" w:rsidP="001F68DB">
            <w:r>
              <w:t>CRP</w:t>
            </w:r>
          </w:p>
        </w:tc>
        <w:tc>
          <w:tcPr>
            <w:tcW w:w="5953" w:type="dxa"/>
          </w:tcPr>
          <w:p w:rsidR="00C35A3A" w:rsidRDefault="00C35A3A" w:rsidP="001F68DB">
            <w:r w:rsidRPr="00F7634C">
              <w:t>C-Reactive Protein</w:t>
            </w:r>
          </w:p>
        </w:tc>
      </w:tr>
      <w:tr w:rsidR="00C35A3A" w:rsidTr="001F68DB">
        <w:tc>
          <w:tcPr>
            <w:tcW w:w="2802" w:type="dxa"/>
          </w:tcPr>
          <w:p w:rsidR="00C35A3A" w:rsidRDefault="00C35A3A" w:rsidP="001F68DB">
            <w:r>
              <w:t>CS</w:t>
            </w:r>
          </w:p>
        </w:tc>
        <w:tc>
          <w:tcPr>
            <w:tcW w:w="5953" w:type="dxa"/>
          </w:tcPr>
          <w:p w:rsidR="00C35A3A" w:rsidRDefault="00C35A3A" w:rsidP="001F68DB">
            <w:r>
              <w:t>Corticosteroid</w:t>
            </w:r>
          </w:p>
        </w:tc>
      </w:tr>
      <w:tr w:rsidR="00C35A3A" w:rsidRPr="00F7634C" w:rsidTr="001F68DB">
        <w:tc>
          <w:tcPr>
            <w:tcW w:w="2802" w:type="dxa"/>
          </w:tcPr>
          <w:p w:rsidR="00C35A3A" w:rsidRDefault="00C35A3A" w:rsidP="001F68DB">
            <w:r>
              <w:t>DMARD</w:t>
            </w:r>
          </w:p>
        </w:tc>
        <w:tc>
          <w:tcPr>
            <w:tcW w:w="5953" w:type="dxa"/>
          </w:tcPr>
          <w:p w:rsidR="00C35A3A" w:rsidRPr="001F68DB" w:rsidRDefault="00C35A3A" w:rsidP="001F68DB">
            <w:r w:rsidRPr="001F68DB">
              <w:rPr>
                <w:rStyle w:val="st1"/>
                <w:rFonts w:cs="Arial"/>
                <w:color w:val="545454"/>
              </w:rPr>
              <w:t>Disease</w:t>
            </w:r>
            <w:r w:rsidR="001F68DB" w:rsidRPr="001F68DB">
              <w:rPr>
                <w:rStyle w:val="st1"/>
                <w:rFonts w:cs="Arial"/>
                <w:color w:val="545454"/>
              </w:rPr>
              <w:t xml:space="preserve"> </w:t>
            </w:r>
            <w:r w:rsidRPr="001F68DB">
              <w:rPr>
                <w:rStyle w:val="st1"/>
                <w:rFonts w:cs="Arial"/>
                <w:color w:val="545454"/>
              </w:rPr>
              <w:t xml:space="preserve">modifying </w:t>
            </w:r>
            <w:proofErr w:type="spellStart"/>
            <w:r w:rsidRPr="001F68DB">
              <w:rPr>
                <w:rStyle w:val="Emphasis"/>
                <w:rFonts w:cs="Arial"/>
                <w:b w:val="0"/>
                <w:color w:val="545454"/>
              </w:rPr>
              <w:t>antirheumatic</w:t>
            </w:r>
            <w:proofErr w:type="spellEnd"/>
            <w:r w:rsidRPr="001F68DB">
              <w:rPr>
                <w:rStyle w:val="st1"/>
                <w:rFonts w:cs="Arial"/>
                <w:color w:val="545454"/>
              </w:rPr>
              <w:t xml:space="preserve"> drugs</w:t>
            </w:r>
          </w:p>
        </w:tc>
      </w:tr>
      <w:tr w:rsidR="00C35A3A" w:rsidTr="001F68DB">
        <w:tc>
          <w:tcPr>
            <w:tcW w:w="2802" w:type="dxa"/>
          </w:tcPr>
          <w:p w:rsidR="00C35A3A" w:rsidRDefault="00C35A3A" w:rsidP="001F68DB">
            <w:r>
              <w:t>DNA</w:t>
            </w:r>
          </w:p>
        </w:tc>
        <w:tc>
          <w:tcPr>
            <w:tcW w:w="5953" w:type="dxa"/>
          </w:tcPr>
          <w:p w:rsidR="00C35A3A" w:rsidRDefault="00C35A3A" w:rsidP="001F68DB">
            <w:r>
              <w:t>Deoxyribonucleic acid</w:t>
            </w:r>
          </w:p>
        </w:tc>
      </w:tr>
      <w:tr w:rsidR="00C35A3A" w:rsidTr="001F68DB">
        <w:tc>
          <w:tcPr>
            <w:tcW w:w="2802" w:type="dxa"/>
          </w:tcPr>
          <w:p w:rsidR="00C35A3A" w:rsidRDefault="00C35A3A" w:rsidP="001F68DB">
            <w:r>
              <w:t>EMA</w:t>
            </w:r>
          </w:p>
        </w:tc>
        <w:tc>
          <w:tcPr>
            <w:tcW w:w="5953" w:type="dxa"/>
          </w:tcPr>
          <w:p w:rsidR="00C35A3A" w:rsidRDefault="00C35A3A" w:rsidP="001F68DB">
            <w:r>
              <w:t>European medicines agency</w:t>
            </w:r>
          </w:p>
        </w:tc>
      </w:tr>
      <w:tr w:rsidR="00C35A3A" w:rsidTr="001F68DB">
        <w:tc>
          <w:tcPr>
            <w:tcW w:w="2802" w:type="dxa"/>
          </w:tcPr>
          <w:p w:rsidR="00C35A3A" w:rsidRDefault="00C35A3A" w:rsidP="001F68DB">
            <w:proofErr w:type="spellStart"/>
            <w:r>
              <w:t>eoJIA</w:t>
            </w:r>
            <w:proofErr w:type="spellEnd"/>
          </w:p>
        </w:tc>
        <w:tc>
          <w:tcPr>
            <w:tcW w:w="5953" w:type="dxa"/>
          </w:tcPr>
          <w:p w:rsidR="00C35A3A" w:rsidRDefault="00C35A3A" w:rsidP="001F68DB">
            <w:r>
              <w:t xml:space="preserve">Extended </w:t>
            </w:r>
            <w:proofErr w:type="spellStart"/>
            <w:r>
              <w:t>oligoarticular</w:t>
            </w:r>
            <w:proofErr w:type="spellEnd"/>
            <w:r>
              <w:t xml:space="preserve"> JIA</w:t>
            </w:r>
          </w:p>
        </w:tc>
      </w:tr>
      <w:tr w:rsidR="00C35A3A" w:rsidTr="001F68DB">
        <w:tc>
          <w:tcPr>
            <w:tcW w:w="2802" w:type="dxa"/>
          </w:tcPr>
          <w:p w:rsidR="00C35A3A" w:rsidRDefault="00C35A3A" w:rsidP="001F68DB">
            <w:r>
              <w:t>ERA</w:t>
            </w:r>
          </w:p>
        </w:tc>
        <w:tc>
          <w:tcPr>
            <w:tcW w:w="5953" w:type="dxa"/>
          </w:tcPr>
          <w:p w:rsidR="00C35A3A" w:rsidRDefault="00C35A3A" w:rsidP="001F68DB">
            <w:proofErr w:type="spellStart"/>
            <w:r>
              <w:t>Enthesitis</w:t>
            </w:r>
            <w:proofErr w:type="spellEnd"/>
            <w:r w:rsidR="001F68DB">
              <w:t xml:space="preserve"> </w:t>
            </w:r>
            <w:r>
              <w:t>related arthritis</w:t>
            </w:r>
          </w:p>
        </w:tc>
      </w:tr>
      <w:tr w:rsidR="00C35A3A" w:rsidTr="001F68DB">
        <w:tc>
          <w:tcPr>
            <w:tcW w:w="2802" w:type="dxa"/>
          </w:tcPr>
          <w:p w:rsidR="00C35A3A" w:rsidRDefault="00C35A3A" w:rsidP="001F68DB">
            <w:r>
              <w:t>ETN</w:t>
            </w:r>
          </w:p>
        </w:tc>
        <w:tc>
          <w:tcPr>
            <w:tcW w:w="5953" w:type="dxa"/>
          </w:tcPr>
          <w:p w:rsidR="00C35A3A" w:rsidRDefault="00C35A3A" w:rsidP="001F68DB">
            <w:proofErr w:type="spellStart"/>
            <w:r>
              <w:t>Etanercept</w:t>
            </w:r>
            <w:proofErr w:type="spellEnd"/>
          </w:p>
        </w:tc>
      </w:tr>
      <w:tr w:rsidR="00C35A3A" w:rsidTr="001F68DB">
        <w:tc>
          <w:tcPr>
            <w:tcW w:w="2802" w:type="dxa"/>
          </w:tcPr>
          <w:p w:rsidR="00C35A3A" w:rsidRDefault="00C35A3A" w:rsidP="001F68DB">
            <w:r>
              <w:t>EU</w:t>
            </w:r>
          </w:p>
        </w:tc>
        <w:tc>
          <w:tcPr>
            <w:tcW w:w="5953" w:type="dxa"/>
          </w:tcPr>
          <w:p w:rsidR="00C35A3A" w:rsidRDefault="00BB50FE" w:rsidP="001F68DB">
            <w:r>
              <w:t>European Union</w:t>
            </w:r>
          </w:p>
        </w:tc>
      </w:tr>
      <w:tr w:rsidR="00C35A3A" w:rsidTr="001F68DB">
        <w:tc>
          <w:tcPr>
            <w:tcW w:w="2802" w:type="dxa"/>
          </w:tcPr>
          <w:p w:rsidR="00C35A3A" w:rsidRDefault="00C35A3A" w:rsidP="001F68DB">
            <w:r>
              <w:t>FDA</w:t>
            </w:r>
          </w:p>
        </w:tc>
        <w:tc>
          <w:tcPr>
            <w:tcW w:w="5953" w:type="dxa"/>
          </w:tcPr>
          <w:p w:rsidR="00C35A3A" w:rsidRDefault="00C35A3A" w:rsidP="001F68DB">
            <w:r>
              <w:t>Food and Drug Administration</w:t>
            </w:r>
          </w:p>
        </w:tc>
      </w:tr>
      <w:tr w:rsidR="00C35A3A" w:rsidTr="001F68DB">
        <w:tc>
          <w:tcPr>
            <w:tcW w:w="2802" w:type="dxa"/>
          </w:tcPr>
          <w:p w:rsidR="00C35A3A" w:rsidRDefault="00C35A3A" w:rsidP="001F68DB">
            <w:r>
              <w:t>GCP</w:t>
            </w:r>
          </w:p>
        </w:tc>
        <w:tc>
          <w:tcPr>
            <w:tcW w:w="5953" w:type="dxa"/>
          </w:tcPr>
          <w:p w:rsidR="00C35A3A" w:rsidRDefault="00C35A3A" w:rsidP="001F68DB">
            <w:r>
              <w:t>Good Clinical Practice</w:t>
            </w:r>
          </w:p>
        </w:tc>
      </w:tr>
      <w:tr w:rsidR="00C35A3A" w:rsidTr="001F68DB">
        <w:tc>
          <w:tcPr>
            <w:tcW w:w="2802" w:type="dxa"/>
          </w:tcPr>
          <w:p w:rsidR="00C35A3A" w:rsidRDefault="00C35A3A" w:rsidP="001F68DB">
            <w:r>
              <w:t>ICH</w:t>
            </w:r>
          </w:p>
        </w:tc>
        <w:tc>
          <w:tcPr>
            <w:tcW w:w="5953" w:type="dxa"/>
          </w:tcPr>
          <w:p w:rsidR="00C35A3A" w:rsidRDefault="00C35A3A" w:rsidP="001F68DB">
            <w:r>
              <w:t>International Conference on Harmonisation of Technical Requirements for Registration of Pharmaceuticals for Human Use</w:t>
            </w:r>
          </w:p>
        </w:tc>
      </w:tr>
      <w:tr w:rsidR="00C35A3A" w:rsidTr="001F68DB">
        <w:tc>
          <w:tcPr>
            <w:tcW w:w="2802" w:type="dxa"/>
          </w:tcPr>
          <w:p w:rsidR="00C35A3A" w:rsidRDefault="00C35A3A" w:rsidP="001F68DB">
            <w:r>
              <w:t>IgG1</w:t>
            </w:r>
          </w:p>
        </w:tc>
        <w:tc>
          <w:tcPr>
            <w:tcW w:w="5953" w:type="dxa"/>
          </w:tcPr>
          <w:p w:rsidR="00C35A3A" w:rsidRDefault="00C35A3A" w:rsidP="001F68DB">
            <w:r>
              <w:t>Immunoglobulin G1</w:t>
            </w:r>
          </w:p>
        </w:tc>
      </w:tr>
      <w:tr w:rsidR="00C35A3A" w:rsidTr="001F68DB">
        <w:tc>
          <w:tcPr>
            <w:tcW w:w="2802" w:type="dxa"/>
          </w:tcPr>
          <w:p w:rsidR="00C35A3A" w:rsidRDefault="00C35A3A" w:rsidP="001F68DB">
            <w:r>
              <w:t>ILAR</w:t>
            </w:r>
          </w:p>
        </w:tc>
        <w:tc>
          <w:tcPr>
            <w:tcW w:w="5953" w:type="dxa"/>
          </w:tcPr>
          <w:p w:rsidR="00C35A3A" w:rsidRDefault="00C35A3A" w:rsidP="001F68DB">
            <w:r>
              <w:t>International League of Associations for Rheumatology</w:t>
            </w:r>
          </w:p>
        </w:tc>
      </w:tr>
      <w:tr w:rsidR="00C35A3A" w:rsidTr="001F68DB">
        <w:tc>
          <w:tcPr>
            <w:tcW w:w="2802" w:type="dxa"/>
          </w:tcPr>
          <w:p w:rsidR="00C35A3A" w:rsidRDefault="00C35A3A" w:rsidP="001F68DB">
            <w:r>
              <w:t>ISR</w:t>
            </w:r>
          </w:p>
        </w:tc>
        <w:tc>
          <w:tcPr>
            <w:tcW w:w="5953" w:type="dxa"/>
          </w:tcPr>
          <w:p w:rsidR="00C35A3A" w:rsidRDefault="00C35A3A" w:rsidP="001F68DB">
            <w:r w:rsidRPr="00F7634C">
              <w:t>Injection Site Reaction</w:t>
            </w:r>
          </w:p>
        </w:tc>
      </w:tr>
      <w:tr w:rsidR="00C35A3A" w:rsidRPr="00F7634C" w:rsidTr="001F68DB">
        <w:tc>
          <w:tcPr>
            <w:tcW w:w="2802" w:type="dxa"/>
          </w:tcPr>
          <w:p w:rsidR="00C35A3A" w:rsidRDefault="00C35A3A" w:rsidP="001F68DB">
            <w:r>
              <w:t>IV</w:t>
            </w:r>
          </w:p>
        </w:tc>
        <w:tc>
          <w:tcPr>
            <w:tcW w:w="5953" w:type="dxa"/>
          </w:tcPr>
          <w:p w:rsidR="00C35A3A" w:rsidRPr="00F7634C" w:rsidRDefault="00C35A3A" w:rsidP="001F68DB">
            <w:r>
              <w:t>Intravenous</w:t>
            </w:r>
          </w:p>
        </w:tc>
      </w:tr>
      <w:tr w:rsidR="00C35A3A" w:rsidTr="001F68DB">
        <w:tc>
          <w:tcPr>
            <w:tcW w:w="2802" w:type="dxa"/>
          </w:tcPr>
          <w:p w:rsidR="00C35A3A" w:rsidRDefault="00C35A3A" w:rsidP="001F68DB">
            <w:r>
              <w:t>JCA</w:t>
            </w:r>
          </w:p>
        </w:tc>
        <w:tc>
          <w:tcPr>
            <w:tcW w:w="5953" w:type="dxa"/>
          </w:tcPr>
          <w:p w:rsidR="00C35A3A" w:rsidRDefault="00C35A3A" w:rsidP="001F68DB">
            <w:r>
              <w:t>Juvenile chronic arthritis</w:t>
            </w:r>
          </w:p>
        </w:tc>
      </w:tr>
      <w:tr w:rsidR="00C35A3A" w:rsidTr="001F68DB">
        <w:tc>
          <w:tcPr>
            <w:tcW w:w="2802" w:type="dxa"/>
          </w:tcPr>
          <w:p w:rsidR="00C35A3A" w:rsidRDefault="00C35A3A" w:rsidP="001F68DB">
            <w:r>
              <w:t>JIA</w:t>
            </w:r>
          </w:p>
        </w:tc>
        <w:tc>
          <w:tcPr>
            <w:tcW w:w="5953" w:type="dxa"/>
          </w:tcPr>
          <w:p w:rsidR="00C35A3A" w:rsidRDefault="00C35A3A" w:rsidP="001F68DB">
            <w:r>
              <w:t>Juvenile Idiopathic Arthritis</w:t>
            </w:r>
          </w:p>
        </w:tc>
      </w:tr>
      <w:tr w:rsidR="00C35A3A" w:rsidTr="001F68DB">
        <w:tc>
          <w:tcPr>
            <w:tcW w:w="2802" w:type="dxa"/>
          </w:tcPr>
          <w:p w:rsidR="00C35A3A" w:rsidRDefault="00C35A3A" w:rsidP="001F68DB">
            <w:r>
              <w:t>JRA</w:t>
            </w:r>
          </w:p>
        </w:tc>
        <w:tc>
          <w:tcPr>
            <w:tcW w:w="5953" w:type="dxa"/>
          </w:tcPr>
          <w:p w:rsidR="00C35A3A" w:rsidRDefault="00C35A3A" w:rsidP="001F68DB">
            <w:r>
              <w:t>Juvenile Rheumatoid arthritis</w:t>
            </w:r>
          </w:p>
        </w:tc>
      </w:tr>
      <w:tr w:rsidR="00C35A3A" w:rsidTr="001F68DB">
        <w:tc>
          <w:tcPr>
            <w:tcW w:w="2802" w:type="dxa"/>
          </w:tcPr>
          <w:p w:rsidR="00C35A3A" w:rsidRDefault="00C35A3A" w:rsidP="001F68DB">
            <w:r>
              <w:t>LFT</w:t>
            </w:r>
          </w:p>
        </w:tc>
        <w:tc>
          <w:tcPr>
            <w:tcW w:w="5953" w:type="dxa"/>
          </w:tcPr>
          <w:p w:rsidR="00C35A3A" w:rsidRDefault="00C35A3A" w:rsidP="001F68DB">
            <w:r>
              <w:t>Liver function test</w:t>
            </w:r>
          </w:p>
        </w:tc>
      </w:tr>
      <w:tr w:rsidR="00C35A3A" w:rsidTr="001F68DB">
        <w:tc>
          <w:tcPr>
            <w:tcW w:w="2802" w:type="dxa"/>
          </w:tcPr>
          <w:p w:rsidR="00C35A3A" w:rsidRDefault="00C35A3A" w:rsidP="001F68DB">
            <w:r>
              <w:t>LOCF</w:t>
            </w:r>
          </w:p>
        </w:tc>
        <w:tc>
          <w:tcPr>
            <w:tcW w:w="5953" w:type="dxa"/>
          </w:tcPr>
          <w:p w:rsidR="00C35A3A" w:rsidRDefault="00C35A3A" w:rsidP="001F68DB">
            <w:r>
              <w:t>Last observation carried forward</w:t>
            </w:r>
          </w:p>
        </w:tc>
      </w:tr>
      <w:tr w:rsidR="00C35A3A" w:rsidTr="001F68DB">
        <w:tc>
          <w:tcPr>
            <w:tcW w:w="2802" w:type="dxa"/>
          </w:tcPr>
          <w:p w:rsidR="00C35A3A" w:rsidRDefault="00C35A3A" w:rsidP="001F68DB">
            <w:r>
              <w:t>LOM</w:t>
            </w:r>
          </w:p>
        </w:tc>
        <w:tc>
          <w:tcPr>
            <w:tcW w:w="5953" w:type="dxa"/>
          </w:tcPr>
          <w:p w:rsidR="00C35A3A" w:rsidRDefault="00C35A3A" w:rsidP="001F68DB">
            <w:r>
              <w:t>Limitation of movement</w:t>
            </w:r>
          </w:p>
        </w:tc>
      </w:tr>
      <w:tr w:rsidR="00C35A3A" w:rsidTr="001F68DB">
        <w:tc>
          <w:tcPr>
            <w:tcW w:w="2802" w:type="dxa"/>
          </w:tcPr>
          <w:p w:rsidR="00C35A3A" w:rsidRDefault="00C35A3A" w:rsidP="001F68DB">
            <w:r>
              <w:t>MAS</w:t>
            </w:r>
          </w:p>
        </w:tc>
        <w:tc>
          <w:tcPr>
            <w:tcW w:w="5953" w:type="dxa"/>
          </w:tcPr>
          <w:p w:rsidR="00C35A3A" w:rsidRDefault="00C35A3A" w:rsidP="001F68DB">
            <w:r>
              <w:t>Macrophage activation syndrome</w:t>
            </w:r>
          </w:p>
        </w:tc>
      </w:tr>
      <w:tr w:rsidR="00C35A3A" w:rsidTr="001F68DB">
        <w:tc>
          <w:tcPr>
            <w:tcW w:w="2802" w:type="dxa"/>
          </w:tcPr>
          <w:p w:rsidR="00C35A3A" w:rsidRDefault="00C35A3A" w:rsidP="001F68DB">
            <w:r>
              <w:t>MG</w:t>
            </w:r>
          </w:p>
        </w:tc>
        <w:tc>
          <w:tcPr>
            <w:tcW w:w="5953" w:type="dxa"/>
          </w:tcPr>
          <w:p w:rsidR="00C35A3A" w:rsidRDefault="00C35A3A" w:rsidP="001F68DB">
            <w:r>
              <w:t>Myasthenia gravis</w:t>
            </w:r>
          </w:p>
        </w:tc>
      </w:tr>
      <w:tr w:rsidR="00C35A3A" w:rsidTr="001F68DB">
        <w:tc>
          <w:tcPr>
            <w:tcW w:w="2802" w:type="dxa"/>
          </w:tcPr>
          <w:p w:rsidR="00C35A3A" w:rsidRDefault="00C35A3A" w:rsidP="001F68DB">
            <w:r>
              <w:t>MTX</w:t>
            </w:r>
          </w:p>
        </w:tc>
        <w:tc>
          <w:tcPr>
            <w:tcW w:w="5953" w:type="dxa"/>
          </w:tcPr>
          <w:p w:rsidR="00C35A3A" w:rsidRDefault="00C35A3A" w:rsidP="001F68DB">
            <w:r>
              <w:t>Methotrexate</w:t>
            </w:r>
          </w:p>
        </w:tc>
      </w:tr>
      <w:tr w:rsidR="00C35A3A" w:rsidTr="001F68DB">
        <w:tc>
          <w:tcPr>
            <w:tcW w:w="2802" w:type="dxa"/>
          </w:tcPr>
          <w:p w:rsidR="00C35A3A" w:rsidRDefault="00C35A3A" w:rsidP="001F68DB">
            <w:r>
              <w:t>NRI</w:t>
            </w:r>
          </w:p>
        </w:tc>
        <w:tc>
          <w:tcPr>
            <w:tcW w:w="5953" w:type="dxa"/>
          </w:tcPr>
          <w:p w:rsidR="00C35A3A" w:rsidRDefault="00C35A3A" w:rsidP="001F68DB">
            <w:r>
              <w:t>Non responder imputation</w:t>
            </w:r>
          </w:p>
        </w:tc>
      </w:tr>
      <w:tr w:rsidR="00C35A3A" w:rsidTr="001F68DB">
        <w:tc>
          <w:tcPr>
            <w:tcW w:w="2802" w:type="dxa"/>
          </w:tcPr>
          <w:p w:rsidR="00C35A3A" w:rsidRDefault="00C35A3A" w:rsidP="001F68DB">
            <w:r>
              <w:t>NSAID</w:t>
            </w:r>
          </w:p>
        </w:tc>
        <w:tc>
          <w:tcPr>
            <w:tcW w:w="5953" w:type="dxa"/>
          </w:tcPr>
          <w:p w:rsidR="00C35A3A" w:rsidRDefault="00904313" w:rsidP="001F68DB">
            <w:r>
              <w:t>Non-steroidal</w:t>
            </w:r>
            <w:r w:rsidR="00C35A3A">
              <w:t xml:space="preserve"> </w:t>
            </w:r>
            <w:r>
              <w:t>anti</w:t>
            </w:r>
            <w:r w:rsidR="00C35A3A">
              <w:t>-inflammatory</w:t>
            </w:r>
          </w:p>
        </w:tc>
      </w:tr>
      <w:tr w:rsidR="00C35A3A" w:rsidTr="001F68DB">
        <w:tc>
          <w:tcPr>
            <w:tcW w:w="2802" w:type="dxa"/>
          </w:tcPr>
          <w:p w:rsidR="00C35A3A" w:rsidRDefault="00C35A3A" w:rsidP="001F68DB">
            <w:r>
              <w:t>PD</w:t>
            </w:r>
          </w:p>
        </w:tc>
        <w:tc>
          <w:tcPr>
            <w:tcW w:w="5953" w:type="dxa"/>
          </w:tcPr>
          <w:p w:rsidR="00C35A3A" w:rsidRDefault="00C35A3A" w:rsidP="001F68DB">
            <w:proofErr w:type="spellStart"/>
            <w:r>
              <w:t>Pharmacodynamic</w:t>
            </w:r>
            <w:proofErr w:type="spellEnd"/>
          </w:p>
        </w:tc>
      </w:tr>
      <w:tr w:rsidR="00C35A3A" w:rsidTr="001F68DB">
        <w:tc>
          <w:tcPr>
            <w:tcW w:w="2802" w:type="dxa"/>
          </w:tcPr>
          <w:p w:rsidR="00C35A3A" w:rsidRDefault="00C35A3A" w:rsidP="001F68DB">
            <w:r>
              <w:t>PGA</w:t>
            </w:r>
          </w:p>
        </w:tc>
        <w:tc>
          <w:tcPr>
            <w:tcW w:w="5953" w:type="dxa"/>
          </w:tcPr>
          <w:p w:rsidR="00C35A3A" w:rsidRDefault="00C35A3A" w:rsidP="001F68DB">
            <w:r>
              <w:t>Physician Global Assessment</w:t>
            </w:r>
          </w:p>
        </w:tc>
      </w:tr>
      <w:tr w:rsidR="00C35A3A" w:rsidTr="001F68DB">
        <w:tc>
          <w:tcPr>
            <w:tcW w:w="2802" w:type="dxa"/>
          </w:tcPr>
          <w:p w:rsidR="00C35A3A" w:rsidRDefault="00C35A3A" w:rsidP="001F68DB">
            <w:r>
              <w:t>PI</w:t>
            </w:r>
          </w:p>
        </w:tc>
        <w:tc>
          <w:tcPr>
            <w:tcW w:w="5953" w:type="dxa"/>
          </w:tcPr>
          <w:p w:rsidR="00C35A3A" w:rsidRDefault="00C35A3A" w:rsidP="001F68DB">
            <w:r>
              <w:t>Product Information</w:t>
            </w:r>
          </w:p>
        </w:tc>
      </w:tr>
      <w:tr w:rsidR="00C35A3A" w:rsidTr="001F68DB">
        <w:tc>
          <w:tcPr>
            <w:tcW w:w="2802" w:type="dxa"/>
          </w:tcPr>
          <w:p w:rsidR="00C35A3A" w:rsidRDefault="00C35A3A" w:rsidP="001F68DB">
            <w:proofErr w:type="spellStart"/>
            <w:r>
              <w:t>pJIA</w:t>
            </w:r>
            <w:proofErr w:type="spellEnd"/>
          </w:p>
        </w:tc>
        <w:tc>
          <w:tcPr>
            <w:tcW w:w="5953" w:type="dxa"/>
          </w:tcPr>
          <w:p w:rsidR="00C35A3A" w:rsidRDefault="00C35A3A" w:rsidP="001F68DB">
            <w:proofErr w:type="spellStart"/>
            <w:r>
              <w:t>Polyarticular</w:t>
            </w:r>
            <w:proofErr w:type="spellEnd"/>
            <w:r>
              <w:t xml:space="preserve"> course JIA</w:t>
            </w:r>
          </w:p>
        </w:tc>
      </w:tr>
      <w:tr w:rsidR="00C35A3A" w:rsidTr="001F68DB">
        <w:tc>
          <w:tcPr>
            <w:tcW w:w="2802" w:type="dxa"/>
          </w:tcPr>
          <w:p w:rsidR="00C35A3A" w:rsidRDefault="00C35A3A" w:rsidP="001F68DB">
            <w:r>
              <w:t>PK</w:t>
            </w:r>
          </w:p>
        </w:tc>
        <w:tc>
          <w:tcPr>
            <w:tcW w:w="5953" w:type="dxa"/>
          </w:tcPr>
          <w:p w:rsidR="00C35A3A" w:rsidRDefault="00C35A3A" w:rsidP="001F68DB">
            <w:r>
              <w:t>Pharmacokinetic</w:t>
            </w:r>
          </w:p>
        </w:tc>
      </w:tr>
      <w:tr w:rsidR="00C35A3A" w:rsidTr="001F68DB">
        <w:tc>
          <w:tcPr>
            <w:tcW w:w="2802" w:type="dxa"/>
          </w:tcPr>
          <w:p w:rsidR="00C35A3A" w:rsidRDefault="00C35A3A" w:rsidP="001F68DB">
            <w:r>
              <w:t>PML</w:t>
            </w:r>
          </w:p>
        </w:tc>
        <w:tc>
          <w:tcPr>
            <w:tcW w:w="5953" w:type="dxa"/>
          </w:tcPr>
          <w:p w:rsidR="00C35A3A" w:rsidRDefault="00C35A3A" w:rsidP="001F68DB">
            <w:r>
              <w:t xml:space="preserve">Progressive multifocal </w:t>
            </w:r>
            <w:proofErr w:type="spellStart"/>
            <w:r>
              <w:t>leukoencephalopathy</w:t>
            </w:r>
            <w:proofErr w:type="spellEnd"/>
          </w:p>
        </w:tc>
      </w:tr>
      <w:tr w:rsidR="00C35A3A" w:rsidTr="001F68DB">
        <w:tc>
          <w:tcPr>
            <w:tcW w:w="2802" w:type="dxa"/>
          </w:tcPr>
          <w:p w:rsidR="00C35A3A" w:rsidRDefault="00C35A3A" w:rsidP="001F68DB">
            <w:r>
              <w:t>PML</w:t>
            </w:r>
          </w:p>
        </w:tc>
        <w:tc>
          <w:tcPr>
            <w:tcW w:w="5953" w:type="dxa"/>
          </w:tcPr>
          <w:p w:rsidR="00C35A3A" w:rsidRDefault="00C35A3A" w:rsidP="001F68DB">
            <w:r>
              <w:t xml:space="preserve">Progressive multifocal </w:t>
            </w:r>
            <w:proofErr w:type="spellStart"/>
            <w:r>
              <w:t>leukoencephalopathy</w:t>
            </w:r>
            <w:proofErr w:type="spellEnd"/>
          </w:p>
        </w:tc>
      </w:tr>
      <w:tr w:rsidR="00C35A3A" w:rsidRPr="00DA4F9B" w:rsidTr="001F68DB">
        <w:tc>
          <w:tcPr>
            <w:tcW w:w="2802" w:type="dxa"/>
          </w:tcPr>
          <w:p w:rsidR="00C35A3A" w:rsidRDefault="00C35A3A" w:rsidP="001F68DB">
            <w:r>
              <w:t>PPD</w:t>
            </w:r>
          </w:p>
        </w:tc>
        <w:tc>
          <w:tcPr>
            <w:tcW w:w="5953" w:type="dxa"/>
          </w:tcPr>
          <w:p w:rsidR="00C35A3A" w:rsidRPr="00DA4F9B" w:rsidRDefault="00C35A3A" w:rsidP="001F68DB">
            <w:r>
              <w:t>Tuberculosis skin test</w:t>
            </w:r>
          </w:p>
        </w:tc>
      </w:tr>
      <w:tr w:rsidR="00C35A3A" w:rsidTr="001F68DB">
        <w:tc>
          <w:tcPr>
            <w:tcW w:w="2802" w:type="dxa"/>
          </w:tcPr>
          <w:p w:rsidR="00C35A3A" w:rsidRDefault="00C35A3A" w:rsidP="001F68DB">
            <w:proofErr w:type="spellStart"/>
            <w:r>
              <w:t>PsJIA</w:t>
            </w:r>
            <w:proofErr w:type="spellEnd"/>
          </w:p>
        </w:tc>
        <w:tc>
          <w:tcPr>
            <w:tcW w:w="5953" w:type="dxa"/>
          </w:tcPr>
          <w:p w:rsidR="00C35A3A" w:rsidRDefault="00C35A3A" w:rsidP="001F68DB">
            <w:r>
              <w:t>Psoriatic arthritis</w:t>
            </w:r>
          </w:p>
        </w:tc>
      </w:tr>
      <w:tr w:rsidR="00C35A3A" w:rsidTr="001F68DB">
        <w:tc>
          <w:tcPr>
            <w:tcW w:w="2802" w:type="dxa"/>
          </w:tcPr>
          <w:p w:rsidR="00C35A3A" w:rsidRDefault="00C35A3A" w:rsidP="001F68DB">
            <w:r>
              <w:t>PSUR</w:t>
            </w:r>
          </w:p>
        </w:tc>
        <w:tc>
          <w:tcPr>
            <w:tcW w:w="5953" w:type="dxa"/>
          </w:tcPr>
          <w:p w:rsidR="00C35A3A" w:rsidRDefault="00C35A3A" w:rsidP="001F68DB">
            <w:r>
              <w:t>Periodic Safety Update Report</w:t>
            </w:r>
          </w:p>
        </w:tc>
      </w:tr>
      <w:tr w:rsidR="00C35A3A" w:rsidTr="001F68DB">
        <w:tc>
          <w:tcPr>
            <w:tcW w:w="2802" w:type="dxa"/>
          </w:tcPr>
          <w:p w:rsidR="00C35A3A" w:rsidRDefault="00C35A3A" w:rsidP="001F68DB">
            <w:r>
              <w:t>RA</w:t>
            </w:r>
          </w:p>
        </w:tc>
        <w:tc>
          <w:tcPr>
            <w:tcW w:w="5953" w:type="dxa"/>
          </w:tcPr>
          <w:p w:rsidR="00C35A3A" w:rsidRDefault="00C35A3A" w:rsidP="001F68DB">
            <w:r>
              <w:t>Rheumatoid Arthritis</w:t>
            </w:r>
          </w:p>
        </w:tc>
      </w:tr>
      <w:tr w:rsidR="00C35A3A" w:rsidTr="001F68DB">
        <w:tc>
          <w:tcPr>
            <w:tcW w:w="2802" w:type="dxa"/>
          </w:tcPr>
          <w:p w:rsidR="00C35A3A" w:rsidRDefault="00C35A3A" w:rsidP="001F68DB">
            <w:r>
              <w:t>RF</w:t>
            </w:r>
          </w:p>
        </w:tc>
        <w:tc>
          <w:tcPr>
            <w:tcW w:w="5953" w:type="dxa"/>
          </w:tcPr>
          <w:p w:rsidR="00C35A3A" w:rsidRDefault="00C35A3A" w:rsidP="001F68DB">
            <w:r w:rsidRPr="00F7634C">
              <w:t>Rheumatoid Factor</w:t>
            </w:r>
          </w:p>
        </w:tc>
      </w:tr>
      <w:tr w:rsidR="00C35A3A" w:rsidTr="001F68DB">
        <w:tc>
          <w:tcPr>
            <w:tcW w:w="2802" w:type="dxa"/>
          </w:tcPr>
          <w:p w:rsidR="00C35A3A" w:rsidRDefault="00C35A3A" w:rsidP="001F68DB">
            <w:r>
              <w:t>RMP</w:t>
            </w:r>
          </w:p>
        </w:tc>
        <w:tc>
          <w:tcPr>
            <w:tcW w:w="5953" w:type="dxa"/>
          </w:tcPr>
          <w:p w:rsidR="00C35A3A" w:rsidRDefault="00C35A3A" w:rsidP="001F68DB">
            <w:r>
              <w:t>Risk Management Plan</w:t>
            </w:r>
          </w:p>
        </w:tc>
      </w:tr>
      <w:tr w:rsidR="00C35A3A" w:rsidTr="001F68DB">
        <w:tc>
          <w:tcPr>
            <w:tcW w:w="2802" w:type="dxa"/>
          </w:tcPr>
          <w:p w:rsidR="00C35A3A" w:rsidRDefault="00C35A3A" w:rsidP="001F68DB">
            <w:r>
              <w:t>SAE</w:t>
            </w:r>
          </w:p>
        </w:tc>
        <w:tc>
          <w:tcPr>
            <w:tcW w:w="5953" w:type="dxa"/>
          </w:tcPr>
          <w:p w:rsidR="00C35A3A" w:rsidRDefault="00C35A3A" w:rsidP="001F68DB">
            <w:r>
              <w:t>Serious adverse event</w:t>
            </w:r>
          </w:p>
        </w:tc>
      </w:tr>
      <w:tr w:rsidR="00C35A3A" w:rsidTr="001F68DB">
        <w:tc>
          <w:tcPr>
            <w:tcW w:w="2802" w:type="dxa"/>
          </w:tcPr>
          <w:p w:rsidR="00C35A3A" w:rsidRDefault="00C35A3A" w:rsidP="001F68DB">
            <w:r>
              <w:t>SC</w:t>
            </w:r>
          </w:p>
        </w:tc>
        <w:tc>
          <w:tcPr>
            <w:tcW w:w="5953" w:type="dxa"/>
          </w:tcPr>
          <w:p w:rsidR="00C35A3A" w:rsidRDefault="00C35A3A" w:rsidP="001F68DB">
            <w:r>
              <w:t>Subcutaneous</w:t>
            </w:r>
          </w:p>
        </w:tc>
      </w:tr>
      <w:tr w:rsidR="00C35A3A" w:rsidTr="001F68DB">
        <w:tc>
          <w:tcPr>
            <w:tcW w:w="2802" w:type="dxa"/>
          </w:tcPr>
          <w:p w:rsidR="00C35A3A" w:rsidRDefault="00C35A3A" w:rsidP="001F68DB">
            <w:r>
              <w:t>SD</w:t>
            </w:r>
          </w:p>
        </w:tc>
        <w:tc>
          <w:tcPr>
            <w:tcW w:w="5953" w:type="dxa"/>
          </w:tcPr>
          <w:p w:rsidR="00C35A3A" w:rsidRDefault="00C35A3A" w:rsidP="001F68DB">
            <w:r>
              <w:t>Mean duration</w:t>
            </w:r>
          </w:p>
        </w:tc>
      </w:tr>
      <w:tr w:rsidR="00C35A3A" w:rsidTr="001F68DB">
        <w:tc>
          <w:tcPr>
            <w:tcW w:w="2802" w:type="dxa"/>
          </w:tcPr>
          <w:p w:rsidR="00C35A3A" w:rsidRDefault="00C35A3A" w:rsidP="001F68DB">
            <w:r>
              <w:t>SMQ</w:t>
            </w:r>
          </w:p>
        </w:tc>
        <w:tc>
          <w:tcPr>
            <w:tcW w:w="5953" w:type="dxa"/>
          </w:tcPr>
          <w:p w:rsidR="00C35A3A" w:rsidRDefault="00C35A3A" w:rsidP="001F68DB">
            <w:r>
              <w:t xml:space="preserve">Standardized </w:t>
            </w:r>
            <w:proofErr w:type="spellStart"/>
            <w:r>
              <w:t>MedDRA</w:t>
            </w:r>
            <w:proofErr w:type="spellEnd"/>
            <w:r>
              <w:t xml:space="preserve"> query</w:t>
            </w:r>
          </w:p>
        </w:tc>
      </w:tr>
      <w:tr w:rsidR="00C35A3A" w:rsidTr="001F68DB">
        <w:tc>
          <w:tcPr>
            <w:tcW w:w="2802" w:type="dxa"/>
          </w:tcPr>
          <w:p w:rsidR="00C35A3A" w:rsidRDefault="00C35A3A" w:rsidP="001F68DB">
            <w:r>
              <w:t>SOC</w:t>
            </w:r>
          </w:p>
        </w:tc>
        <w:tc>
          <w:tcPr>
            <w:tcW w:w="5953" w:type="dxa"/>
          </w:tcPr>
          <w:p w:rsidR="00C35A3A" w:rsidRDefault="00C35A3A" w:rsidP="001F68DB">
            <w:r>
              <w:t>System organ class</w:t>
            </w:r>
          </w:p>
        </w:tc>
      </w:tr>
      <w:tr w:rsidR="00C35A3A" w:rsidTr="001F68DB">
        <w:tc>
          <w:tcPr>
            <w:tcW w:w="2802" w:type="dxa"/>
          </w:tcPr>
          <w:p w:rsidR="00C35A3A" w:rsidRDefault="00C35A3A" w:rsidP="001F68DB">
            <w:r>
              <w:t>TEAE</w:t>
            </w:r>
          </w:p>
        </w:tc>
        <w:tc>
          <w:tcPr>
            <w:tcW w:w="5953" w:type="dxa"/>
          </w:tcPr>
          <w:p w:rsidR="00C35A3A" w:rsidRDefault="00C35A3A" w:rsidP="001F68DB">
            <w:r>
              <w:t>Treatment emergent AE</w:t>
            </w:r>
          </w:p>
        </w:tc>
      </w:tr>
      <w:tr w:rsidR="00C35A3A" w:rsidTr="001F68DB">
        <w:tc>
          <w:tcPr>
            <w:tcW w:w="2802" w:type="dxa"/>
          </w:tcPr>
          <w:p w:rsidR="00C35A3A" w:rsidRDefault="00C35A3A" w:rsidP="001F68DB">
            <w:r>
              <w:t>TGA</w:t>
            </w:r>
          </w:p>
        </w:tc>
        <w:tc>
          <w:tcPr>
            <w:tcW w:w="5953" w:type="dxa"/>
          </w:tcPr>
          <w:p w:rsidR="00C35A3A" w:rsidRDefault="00C35A3A" w:rsidP="001F68DB">
            <w:r>
              <w:t>Therapeutic Goods Administration</w:t>
            </w:r>
          </w:p>
        </w:tc>
      </w:tr>
      <w:tr w:rsidR="00C35A3A" w:rsidTr="001F68DB">
        <w:tc>
          <w:tcPr>
            <w:tcW w:w="2802" w:type="dxa"/>
          </w:tcPr>
          <w:p w:rsidR="00C35A3A" w:rsidRDefault="00C35A3A" w:rsidP="001F68DB">
            <w:r>
              <w:t>TNF</w:t>
            </w:r>
          </w:p>
        </w:tc>
        <w:tc>
          <w:tcPr>
            <w:tcW w:w="5953" w:type="dxa"/>
          </w:tcPr>
          <w:p w:rsidR="00C35A3A" w:rsidRDefault="00C35A3A" w:rsidP="001F68DB">
            <w:r>
              <w:t>Tumour Necrosis Factor</w:t>
            </w:r>
          </w:p>
        </w:tc>
      </w:tr>
      <w:tr w:rsidR="00C35A3A" w:rsidTr="001F68DB">
        <w:tc>
          <w:tcPr>
            <w:tcW w:w="2802" w:type="dxa"/>
          </w:tcPr>
          <w:p w:rsidR="00C35A3A" w:rsidRDefault="00C35A3A" w:rsidP="001F68DB">
            <w:r>
              <w:t>ULN</w:t>
            </w:r>
          </w:p>
        </w:tc>
        <w:tc>
          <w:tcPr>
            <w:tcW w:w="5953" w:type="dxa"/>
          </w:tcPr>
          <w:p w:rsidR="00C35A3A" w:rsidRDefault="00C35A3A" w:rsidP="001F68DB">
            <w:r w:rsidRPr="00F7634C">
              <w:t>Upper Limit of Normal</w:t>
            </w:r>
          </w:p>
        </w:tc>
      </w:tr>
      <w:tr w:rsidR="00C35A3A" w:rsidTr="001F68DB">
        <w:tc>
          <w:tcPr>
            <w:tcW w:w="2802" w:type="dxa"/>
          </w:tcPr>
          <w:p w:rsidR="00C35A3A" w:rsidRDefault="00C35A3A" w:rsidP="001F68DB">
            <w:r>
              <w:t>US</w:t>
            </w:r>
          </w:p>
        </w:tc>
        <w:tc>
          <w:tcPr>
            <w:tcW w:w="5953" w:type="dxa"/>
          </w:tcPr>
          <w:p w:rsidR="00C35A3A" w:rsidRDefault="00C35A3A" w:rsidP="001F68DB">
            <w:r>
              <w:t>United States</w:t>
            </w:r>
          </w:p>
        </w:tc>
      </w:tr>
      <w:tr w:rsidR="00C35A3A" w:rsidTr="001F68DB">
        <w:tc>
          <w:tcPr>
            <w:tcW w:w="2802" w:type="dxa"/>
          </w:tcPr>
          <w:p w:rsidR="00C35A3A" w:rsidRDefault="00C35A3A" w:rsidP="001F68DB">
            <w:r>
              <w:t>VAS</w:t>
            </w:r>
          </w:p>
        </w:tc>
        <w:tc>
          <w:tcPr>
            <w:tcW w:w="5953" w:type="dxa"/>
          </w:tcPr>
          <w:p w:rsidR="00C35A3A" w:rsidRDefault="00C35A3A" w:rsidP="001F68DB">
            <w:r>
              <w:t>Visual analogue scale</w:t>
            </w:r>
          </w:p>
        </w:tc>
      </w:tr>
      <w:tr w:rsidR="00C35A3A" w:rsidTr="001F68DB">
        <w:tc>
          <w:tcPr>
            <w:tcW w:w="2802" w:type="dxa"/>
          </w:tcPr>
          <w:p w:rsidR="00C35A3A" w:rsidRDefault="00C35A3A" w:rsidP="001F68DB">
            <w:r>
              <w:t>VFE</w:t>
            </w:r>
          </w:p>
        </w:tc>
        <w:tc>
          <w:tcPr>
            <w:tcW w:w="5953" w:type="dxa"/>
          </w:tcPr>
          <w:p w:rsidR="00C35A3A" w:rsidRDefault="00C35A3A" w:rsidP="001F68DB">
            <w:r>
              <w:t>Valid for efficacy</w:t>
            </w:r>
          </w:p>
        </w:tc>
      </w:tr>
      <w:tr w:rsidR="00C35A3A" w:rsidTr="001F68DB">
        <w:tc>
          <w:tcPr>
            <w:tcW w:w="2802" w:type="dxa"/>
          </w:tcPr>
          <w:p w:rsidR="00C35A3A" w:rsidRDefault="00C35A3A" w:rsidP="001F68DB">
            <w:r>
              <w:t>WCC</w:t>
            </w:r>
          </w:p>
        </w:tc>
        <w:tc>
          <w:tcPr>
            <w:tcW w:w="5953" w:type="dxa"/>
          </w:tcPr>
          <w:p w:rsidR="00C35A3A" w:rsidRDefault="00C35A3A" w:rsidP="001F68DB">
            <w:r>
              <w:t>White cell count</w:t>
            </w:r>
          </w:p>
        </w:tc>
      </w:tr>
    </w:tbl>
    <w:p w:rsidR="008E7846" w:rsidRDefault="008E7846" w:rsidP="008E7846">
      <w:pPr>
        <w:pStyle w:val="Heading2"/>
      </w:pPr>
      <w:bookmarkStart w:id="5" w:name="_Toc390330054"/>
      <w:r>
        <w:t>Introduction to product submission</w:t>
      </w:r>
      <w:bookmarkEnd w:id="3"/>
      <w:bookmarkEnd w:id="0"/>
      <w:bookmarkEnd w:id="5"/>
    </w:p>
    <w:p w:rsidR="008E7846" w:rsidRDefault="008E7846" w:rsidP="008E7846">
      <w:pPr>
        <w:pStyle w:val="Heading3"/>
        <w:rPr>
          <w:lang w:eastAsia="en-AU"/>
        </w:rPr>
      </w:pPr>
      <w:bookmarkStart w:id="6" w:name="_Toc247691502"/>
      <w:bookmarkStart w:id="7" w:name="_Toc314842483"/>
      <w:bookmarkStart w:id="8" w:name="_Toc390330055"/>
      <w:r>
        <w:rPr>
          <w:lang w:eastAsia="en-AU"/>
        </w:rPr>
        <w:t>Submission details</w:t>
      </w:r>
      <w:bookmarkEnd w:id="6"/>
      <w:bookmarkEnd w:id="7"/>
      <w:bookmarkEnd w:id="8"/>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EB09E6" w:rsidP="001B5C90">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BB50FE" w:rsidP="00EB09E6">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EB09E6" w:rsidP="001B5C90">
            <w:r>
              <w:t>12 February 2014</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5E23C8" w:rsidRDefault="00EB09E6" w:rsidP="00EB09E6">
            <w:pPr>
              <w:rPr>
                <w:i/>
              </w:rPr>
            </w:pPr>
            <w:r>
              <w:rPr>
                <w:i/>
              </w:rPr>
              <w:t>Active ingredient</w:t>
            </w:r>
            <w:r w:rsidR="001B5C90" w:rsidRPr="005E23C8">
              <w:rPr>
                <w:i/>
              </w:rPr>
              <w:t>:</w:t>
            </w:r>
          </w:p>
        </w:tc>
        <w:tc>
          <w:tcPr>
            <w:tcW w:w="6307" w:type="dxa"/>
          </w:tcPr>
          <w:p w:rsidR="008E7846" w:rsidRPr="00487162" w:rsidRDefault="00EB09E6" w:rsidP="00E45619">
            <w:proofErr w:type="spellStart"/>
            <w:r>
              <w:t>Etanercept</w:t>
            </w:r>
            <w:proofErr w:type="spellEnd"/>
            <w:r>
              <w:t xml:space="preserve"> (</w:t>
            </w:r>
            <w:proofErr w:type="spellStart"/>
            <w:r>
              <w:t>rch</w:t>
            </w:r>
            <w:proofErr w:type="spellEnd"/>
            <w:r>
              <w:t>)</w:t>
            </w:r>
          </w:p>
        </w:tc>
      </w:tr>
      <w:tr w:rsidR="008E7846" w:rsidRPr="00487162" w:rsidTr="00BF1190">
        <w:tc>
          <w:tcPr>
            <w:tcW w:w="2907" w:type="dxa"/>
          </w:tcPr>
          <w:p w:rsidR="008E7846" w:rsidRPr="005E23C8" w:rsidRDefault="008E7846" w:rsidP="00EB09E6">
            <w:pPr>
              <w:rPr>
                <w:i/>
              </w:rPr>
            </w:pPr>
            <w:r w:rsidRPr="005E23C8">
              <w:rPr>
                <w:i/>
              </w:rPr>
              <w:t>Product</w:t>
            </w:r>
            <w:r w:rsidR="001B5C90" w:rsidRPr="005E23C8">
              <w:rPr>
                <w:i/>
              </w:rPr>
              <w:t xml:space="preserve"> name:</w:t>
            </w:r>
          </w:p>
        </w:tc>
        <w:tc>
          <w:tcPr>
            <w:tcW w:w="6307" w:type="dxa"/>
          </w:tcPr>
          <w:p w:rsidR="008E7846" w:rsidRPr="00487162" w:rsidRDefault="00EB09E6" w:rsidP="00EB09E6">
            <w:r>
              <w:t>Enbrel</w:t>
            </w:r>
          </w:p>
        </w:tc>
      </w:tr>
      <w:tr w:rsidR="008E7846" w:rsidRPr="00487162" w:rsidTr="00BF1190">
        <w:tc>
          <w:tcPr>
            <w:tcW w:w="2907" w:type="dxa"/>
          </w:tcPr>
          <w:p w:rsidR="008E7846" w:rsidRPr="005E23C8" w:rsidRDefault="008E7846" w:rsidP="001B5C90">
            <w:pPr>
              <w:rPr>
                <w:i/>
              </w:rPr>
            </w:pPr>
            <w:r w:rsidRPr="005E23C8">
              <w:rPr>
                <w:i/>
              </w:rPr>
              <w:t xml:space="preserve">Sponsor’s </w:t>
            </w:r>
            <w:r w:rsidR="001B5C90" w:rsidRPr="005E23C8">
              <w:rPr>
                <w:i/>
              </w:rPr>
              <w:t>n</w:t>
            </w:r>
            <w:r w:rsidRPr="005E23C8">
              <w:rPr>
                <w:i/>
              </w:rPr>
              <w:t xml:space="preserve">ame and </w:t>
            </w:r>
            <w:r w:rsidR="001B5C90" w:rsidRPr="005E23C8">
              <w:rPr>
                <w:i/>
              </w:rPr>
              <w:t>a</w:t>
            </w:r>
            <w:r w:rsidRPr="005E23C8">
              <w:rPr>
                <w:i/>
              </w:rPr>
              <w:t>ddress:</w:t>
            </w:r>
          </w:p>
        </w:tc>
        <w:tc>
          <w:tcPr>
            <w:tcW w:w="6307" w:type="dxa"/>
          </w:tcPr>
          <w:p w:rsidR="00EB09E6" w:rsidRPr="00487162" w:rsidRDefault="00EB09E6" w:rsidP="00BB50FE">
            <w:r>
              <w:t>Pfizer Australia Pty Ltd</w:t>
            </w:r>
            <w:r w:rsidR="00BB50FE">
              <w:br/>
            </w:r>
            <w:r>
              <w:t>38-42 Wharf Road</w:t>
            </w:r>
            <w:r w:rsidR="00BB50FE">
              <w:br/>
            </w:r>
            <w:r>
              <w:t>West Ryde</w:t>
            </w:r>
            <w:r w:rsidR="00BB50FE">
              <w:t xml:space="preserve"> </w:t>
            </w:r>
            <w:r>
              <w:t>NSW 2114</w:t>
            </w:r>
          </w:p>
        </w:tc>
      </w:tr>
      <w:tr w:rsidR="008E7846" w:rsidRPr="00487162" w:rsidTr="00BF1190">
        <w:tc>
          <w:tcPr>
            <w:tcW w:w="2907" w:type="dxa"/>
          </w:tcPr>
          <w:p w:rsidR="008E7846" w:rsidRPr="005E23C8" w:rsidRDefault="001B5C90" w:rsidP="00BB50FE">
            <w:pPr>
              <w:rPr>
                <w:i/>
              </w:rPr>
            </w:pPr>
            <w:r w:rsidRPr="005E23C8">
              <w:rPr>
                <w:i/>
              </w:rPr>
              <w:t>Dose forms:</w:t>
            </w:r>
          </w:p>
        </w:tc>
        <w:tc>
          <w:tcPr>
            <w:tcW w:w="6307" w:type="dxa"/>
          </w:tcPr>
          <w:p w:rsidR="008E7846" w:rsidRPr="00487162" w:rsidRDefault="00EB09E6" w:rsidP="00EB09E6">
            <w:r>
              <w:t xml:space="preserve">Powder for injection vial and diluent syringe composite pack, solution for injection prefilled syringe and solution for </w:t>
            </w:r>
            <w:r w:rsidR="00904313">
              <w:t>auto injection</w:t>
            </w:r>
            <w:r w:rsidR="00561270">
              <w:t>.</w:t>
            </w:r>
          </w:p>
        </w:tc>
      </w:tr>
      <w:tr w:rsidR="008E7846" w:rsidRPr="00487162" w:rsidTr="00BF1190">
        <w:tc>
          <w:tcPr>
            <w:tcW w:w="2907" w:type="dxa"/>
          </w:tcPr>
          <w:p w:rsidR="008E7846" w:rsidRPr="005E23C8" w:rsidRDefault="008E7846" w:rsidP="00BB50FE">
            <w:pPr>
              <w:rPr>
                <w:i/>
              </w:rPr>
            </w:pPr>
            <w:r w:rsidRPr="005E23C8">
              <w:rPr>
                <w:i/>
              </w:rPr>
              <w:t>Strengths:</w:t>
            </w:r>
          </w:p>
        </w:tc>
        <w:tc>
          <w:tcPr>
            <w:tcW w:w="6307" w:type="dxa"/>
          </w:tcPr>
          <w:p w:rsidR="008E7846" w:rsidRDefault="006E1B9E" w:rsidP="00E45619">
            <w:r>
              <w:t>25 mg powder for injection vial and diluent syringe composite pack</w:t>
            </w:r>
            <w:r w:rsidR="00561270">
              <w:t>.</w:t>
            </w:r>
          </w:p>
          <w:p w:rsidR="006E1B9E" w:rsidRDefault="006E1B9E" w:rsidP="00E45619">
            <w:r>
              <w:t>50 mg powder for injection vial and diluent syringe composite pack</w:t>
            </w:r>
            <w:r w:rsidR="00561270">
              <w:t>.</w:t>
            </w:r>
          </w:p>
          <w:p w:rsidR="006E1B9E" w:rsidRDefault="006E1B9E" w:rsidP="00E45619">
            <w:r>
              <w:t>25 mg solution for injection prefilled syringe</w:t>
            </w:r>
            <w:r w:rsidR="00561270">
              <w:t>.</w:t>
            </w:r>
          </w:p>
          <w:p w:rsidR="006E1B9E" w:rsidRDefault="006E1B9E" w:rsidP="00E45619">
            <w:r>
              <w:t>50 mg solution for injection prefilled syringe</w:t>
            </w:r>
            <w:r w:rsidR="00561270">
              <w:t>.</w:t>
            </w:r>
          </w:p>
          <w:p w:rsidR="006E1B9E" w:rsidRPr="00487162" w:rsidRDefault="006E1B9E" w:rsidP="00E45619">
            <w:r>
              <w:t xml:space="preserve">50 mg solution for </w:t>
            </w:r>
            <w:r w:rsidR="00904313">
              <w:t>auto injection</w:t>
            </w:r>
            <w:r w:rsidR="00561270">
              <w:t>.</w:t>
            </w:r>
          </w:p>
        </w:tc>
      </w:tr>
      <w:tr w:rsidR="008E7846" w:rsidRPr="00487162" w:rsidTr="00BF1190">
        <w:tc>
          <w:tcPr>
            <w:tcW w:w="2907" w:type="dxa"/>
          </w:tcPr>
          <w:p w:rsidR="008E7846" w:rsidRPr="005E23C8" w:rsidRDefault="008E7846" w:rsidP="00BB50FE">
            <w:pPr>
              <w:rPr>
                <w:i/>
              </w:rPr>
            </w:pPr>
            <w:r w:rsidRPr="005E23C8">
              <w:rPr>
                <w:i/>
              </w:rPr>
              <w:t>Containers:</w:t>
            </w:r>
          </w:p>
        </w:tc>
        <w:tc>
          <w:tcPr>
            <w:tcW w:w="6307" w:type="dxa"/>
          </w:tcPr>
          <w:p w:rsidR="008E7846" w:rsidRPr="00487162" w:rsidRDefault="006E1B9E" w:rsidP="006E1B9E">
            <w:r>
              <w:t>Vial</w:t>
            </w:r>
            <w:r w:rsidR="00D31E62">
              <w:t xml:space="preserve">, Pre-filled syringe and </w:t>
            </w:r>
            <w:proofErr w:type="spellStart"/>
            <w:r w:rsidR="00D31E62">
              <w:t>Autoinjector</w:t>
            </w:r>
            <w:proofErr w:type="spellEnd"/>
          </w:p>
        </w:tc>
      </w:tr>
      <w:tr w:rsidR="008E7846" w:rsidRPr="00487162" w:rsidTr="00BF1190">
        <w:tc>
          <w:tcPr>
            <w:tcW w:w="2907" w:type="dxa"/>
          </w:tcPr>
          <w:p w:rsidR="008E7846" w:rsidRPr="005E23C8" w:rsidRDefault="008E7846" w:rsidP="00BB50FE">
            <w:pPr>
              <w:rPr>
                <w:i/>
              </w:rPr>
            </w:pPr>
            <w:r w:rsidRPr="005E23C8">
              <w:rPr>
                <w:i/>
              </w:rPr>
              <w:t>Pack size:</w:t>
            </w:r>
          </w:p>
        </w:tc>
        <w:tc>
          <w:tcPr>
            <w:tcW w:w="6307" w:type="dxa"/>
          </w:tcPr>
          <w:p w:rsidR="008E7846" w:rsidRPr="00487162" w:rsidRDefault="00BB50FE" w:rsidP="00E45619">
            <w:r>
              <w:t>4</w:t>
            </w:r>
          </w:p>
        </w:tc>
      </w:tr>
      <w:tr w:rsidR="008E7846" w:rsidRPr="00487162" w:rsidTr="00BF1190">
        <w:tc>
          <w:tcPr>
            <w:tcW w:w="2907" w:type="dxa"/>
          </w:tcPr>
          <w:p w:rsidR="008E7846" w:rsidRPr="005E23C8" w:rsidRDefault="008E7846" w:rsidP="001B5C90">
            <w:pPr>
              <w:rPr>
                <w:i/>
              </w:rPr>
            </w:pPr>
            <w:r w:rsidRPr="005E23C8">
              <w:rPr>
                <w:i/>
              </w:rPr>
              <w:t xml:space="preserve">Approved </w:t>
            </w:r>
            <w:r w:rsidR="001B5C90" w:rsidRPr="005E23C8">
              <w:rPr>
                <w:i/>
              </w:rPr>
              <w:t>t</w:t>
            </w:r>
            <w:r w:rsidRPr="005E23C8">
              <w:rPr>
                <w:i/>
              </w:rPr>
              <w:t>herapeutic use:</w:t>
            </w:r>
          </w:p>
        </w:tc>
        <w:tc>
          <w:tcPr>
            <w:tcW w:w="6307" w:type="dxa"/>
          </w:tcPr>
          <w:p w:rsidR="008E7846" w:rsidRDefault="006E1B9E" w:rsidP="00E45619">
            <w:r>
              <w:t>Juvenile Idiopathic Arthritis</w:t>
            </w:r>
          </w:p>
          <w:p w:rsidR="006E1B9E" w:rsidRDefault="006E1B9E" w:rsidP="006E1B9E">
            <w:pPr>
              <w:pStyle w:val="ListBullet"/>
              <w:rPr>
                <w:lang w:eastAsia="ja-JP"/>
              </w:rPr>
            </w:pPr>
            <w:r>
              <w:rPr>
                <w:lang w:eastAsia="ja-JP"/>
              </w:rPr>
              <w:t xml:space="preserve">Active polyarthritis (rheumatoid factor positive or negative) in children and </w:t>
            </w:r>
            <w:proofErr w:type="gramStart"/>
            <w:r>
              <w:rPr>
                <w:lang w:eastAsia="ja-JP"/>
              </w:rPr>
              <w:t>adolescents,</w:t>
            </w:r>
            <w:proofErr w:type="gramEnd"/>
            <w:r>
              <w:rPr>
                <w:lang w:eastAsia="ja-JP"/>
              </w:rPr>
              <w:t xml:space="preserve"> aged 2 to 17 years, who have had an inadequate response to one or more disease modifying </w:t>
            </w:r>
            <w:proofErr w:type="spellStart"/>
            <w:r>
              <w:rPr>
                <w:lang w:eastAsia="ja-JP"/>
              </w:rPr>
              <w:t>antirheumatic</w:t>
            </w:r>
            <w:proofErr w:type="spellEnd"/>
            <w:r>
              <w:rPr>
                <w:lang w:eastAsia="ja-JP"/>
              </w:rPr>
              <w:t xml:space="preserve"> drug (DMARDs).</w:t>
            </w:r>
          </w:p>
          <w:p w:rsidR="006E1B9E" w:rsidRDefault="006E1B9E" w:rsidP="006E1B9E">
            <w:pPr>
              <w:pStyle w:val="ListBullet"/>
              <w:rPr>
                <w:lang w:eastAsia="ja-JP"/>
              </w:rPr>
            </w:pPr>
            <w:r>
              <w:rPr>
                <w:lang w:eastAsia="ja-JP"/>
              </w:rPr>
              <w:t xml:space="preserve">Active extended </w:t>
            </w:r>
            <w:proofErr w:type="spellStart"/>
            <w:r>
              <w:rPr>
                <w:lang w:eastAsia="ja-JP"/>
              </w:rPr>
              <w:t>oligoarthritis</w:t>
            </w:r>
            <w:proofErr w:type="spellEnd"/>
            <w:r>
              <w:rPr>
                <w:lang w:eastAsia="ja-JP"/>
              </w:rPr>
              <w:t xml:space="preserve"> in children and adolescents, aged 2 to 17 years, who have had an inadequate response to, or who have proved intolerant to, methotrexate.</w:t>
            </w:r>
          </w:p>
          <w:p w:rsidR="006E1B9E" w:rsidRDefault="006E1B9E" w:rsidP="006E1B9E">
            <w:pPr>
              <w:pStyle w:val="ListBullet"/>
              <w:rPr>
                <w:lang w:eastAsia="ja-JP"/>
              </w:rPr>
            </w:pPr>
            <w:r>
              <w:rPr>
                <w:lang w:eastAsia="ja-JP"/>
              </w:rPr>
              <w:t xml:space="preserve">Active </w:t>
            </w:r>
            <w:proofErr w:type="spellStart"/>
            <w:r>
              <w:rPr>
                <w:lang w:eastAsia="ja-JP"/>
              </w:rPr>
              <w:t>enthesitis</w:t>
            </w:r>
            <w:proofErr w:type="spellEnd"/>
            <w:r w:rsidR="00D31E62">
              <w:rPr>
                <w:lang w:eastAsia="ja-JP"/>
              </w:rPr>
              <w:t>-</w:t>
            </w:r>
            <w:r>
              <w:rPr>
                <w:lang w:eastAsia="ja-JP"/>
              </w:rPr>
              <w:t>related arthritis in adolescents, aged 12 to 17 years, who have had an inadequate response to, or who have proved intolerant to, conventional therapy.</w:t>
            </w:r>
          </w:p>
          <w:p w:rsidR="006E1B9E" w:rsidRDefault="006E1B9E" w:rsidP="006E1B9E">
            <w:pPr>
              <w:pStyle w:val="ListBullet"/>
              <w:rPr>
                <w:lang w:eastAsia="ja-JP"/>
              </w:rPr>
            </w:pPr>
            <w:r>
              <w:rPr>
                <w:lang w:eastAsia="ja-JP"/>
              </w:rPr>
              <w:t>Active psoriatic arthritis in adolescents, aged 12 to 17 years, who have had an inadequate response to, or who have proved intolerant to, methotrexate</w:t>
            </w:r>
          </w:p>
          <w:p w:rsidR="006E1B9E" w:rsidRPr="00487162" w:rsidRDefault="006E1B9E" w:rsidP="006E1B9E">
            <w:pPr>
              <w:rPr>
                <w:lang w:eastAsia="ja-JP"/>
              </w:rPr>
            </w:pPr>
            <w:r>
              <w:rPr>
                <w:lang w:eastAsia="ja-JP"/>
              </w:rPr>
              <w:t>Enbrel has not been studied in children aged less than 2 years.</w:t>
            </w:r>
          </w:p>
        </w:tc>
      </w:tr>
      <w:tr w:rsidR="008E7846" w:rsidRPr="00487162" w:rsidTr="00BF1190">
        <w:tc>
          <w:tcPr>
            <w:tcW w:w="2907" w:type="dxa"/>
          </w:tcPr>
          <w:p w:rsidR="008E7846" w:rsidRPr="005E23C8" w:rsidRDefault="00673193" w:rsidP="00673193">
            <w:pPr>
              <w:rPr>
                <w:i/>
              </w:rPr>
            </w:pPr>
            <w:r>
              <w:rPr>
                <w:i/>
              </w:rPr>
              <w:t>Route</w:t>
            </w:r>
            <w:r w:rsidR="008E7846" w:rsidRPr="005E23C8">
              <w:rPr>
                <w:i/>
              </w:rPr>
              <w:t xml:space="preserve"> of administration:</w:t>
            </w:r>
          </w:p>
        </w:tc>
        <w:tc>
          <w:tcPr>
            <w:tcW w:w="6307" w:type="dxa"/>
          </w:tcPr>
          <w:p w:rsidR="008E7846" w:rsidRPr="00487162" w:rsidRDefault="00673193" w:rsidP="00673193">
            <w:r>
              <w:t>Injection</w:t>
            </w:r>
          </w:p>
        </w:tc>
      </w:tr>
      <w:tr w:rsidR="008E7846" w:rsidRPr="00487162" w:rsidTr="00BF1190">
        <w:tc>
          <w:tcPr>
            <w:tcW w:w="2907" w:type="dxa"/>
          </w:tcPr>
          <w:p w:rsidR="008E7846" w:rsidRPr="005E23C8" w:rsidRDefault="008E7846" w:rsidP="00BB50FE">
            <w:pPr>
              <w:rPr>
                <w:i/>
              </w:rPr>
            </w:pPr>
            <w:r w:rsidRPr="005E23C8">
              <w:rPr>
                <w:i/>
              </w:rPr>
              <w:t xml:space="preserve">ARTG </w:t>
            </w:r>
            <w:r w:rsidR="001B5C90" w:rsidRPr="005E23C8">
              <w:rPr>
                <w:i/>
              </w:rPr>
              <w:t>n</w:t>
            </w:r>
            <w:r w:rsidR="00BB50FE">
              <w:rPr>
                <w:i/>
              </w:rPr>
              <w:t>umber</w:t>
            </w:r>
            <w:r w:rsidRPr="005E23C8">
              <w:rPr>
                <w:i/>
              </w:rPr>
              <w:t>s</w:t>
            </w:r>
            <w:r w:rsidR="001B5C90" w:rsidRPr="005E23C8">
              <w:rPr>
                <w:i/>
              </w:rPr>
              <w:t>:</w:t>
            </w:r>
          </w:p>
        </w:tc>
        <w:tc>
          <w:tcPr>
            <w:tcW w:w="6307" w:type="dxa"/>
          </w:tcPr>
          <w:p w:rsidR="008E7846" w:rsidRPr="00487162" w:rsidRDefault="00673193" w:rsidP="00E45619">
            <w:r>
              <w:t>90456, 107316, 124421, 124422, 157627</w:t>
            </w:r>
          </w:p>
        </w:tc>
      </w:tr>
    </w:tbl>
    <w:p w:rsidR="008E7846" w:rsidRDefault="008E7846" w:rsidP="008E7846">
      <w:pPr>
        <w:pStyle w:val="Heading3"/>
      </w:pPr>
      <w:bookmarkStart w:id="9" w:name="_Toc247691503"/>
      <w:bookmarkStart w:id="10" w:name="_Toc314842484"/>
      <w:bookmarkStart w:id="11" w:name="_Toc390330056"/>
      <w:r>
        <w:t>Product background</w:t>
      </w:r>
      <w:bookmarkEnd w:id="9"/>
      <w:bookmarkEnd w:id="10"/>
      <w:bookmarkEnd w:id="11"/>
    </w:p>
    <w:p w:rsidR="009952E6" w:rsidRDefault="009952E6" w:rsidP="009952E6">
      <w:r w:rsidRPr="009952E6">
        <w:t xml:space="preserve">This </w:t>
      </w:r>
      <w:proofErr w:type="spellStart"/>
      <w:r w:rsidRPr="009952E6">
        <w:t>AusPAR</w:t>
      </w:r>
      <w:proofErr w:type="spellEnd"/>
      <w:r w:rsidRPr="009952E6">
        <w:t xml:space="preserve"> describes the application by the sponsor to register</w:t>
      </w:r>
      <w:r w:rsidR="00673193">
        <w:t xml:space="preserve"> Enbrel</w:t>
      </w:r>
      <w:r w:rsidR="00D86836">
        <w:t xml:space="preserve"> </w:t>
      </w:r>
      <w:r w:rsidR="00673193">
        <w:t>for the following indication:</w:t>
      </w:r>
    </w:p>
    <w:p w:rsidR="00673193" w:rsidRPr="00673193" w:rsidRDefault="00673193" w:rsidP="00673193">
      <w:pPr>
        <w:ind w:left="567" w:hanging="141"/>
        <w:rPr>
          <w:i/>
        </w:rPr>
      </w:pPr>
      <w:r w:rsidRPr="00673193">
        <w:rPr>
          <w:i/>
        </w:rPr>
        <w:t>Juvenile Idiopathic Arthritis</w:t>
      </w:r>
    </w:p>
    <w:p w:rsidR="00673193" w:rsidRPr="00BB50FE" w:rsidRDefault="00673193" w:rsidP="00BB50FE">
      <w:pPr>
        <w:pStyle w:val="ListBullet"/>
        <w:ind w:left="851"/>
        <w:rPr>
          <w:i/>
        </w:rPr>
      </w:pPr>
      <w:r w:rsidRPr="00BB50FE">
        <w:rPr>
          <w:i/>
        </w:rPr>
        <w:t xml:space="preserve">Active polyarthritis (rheumatoid factor positive or negative) in children and </w:t>
      </w:r>
      <w:proofErr w:type="gramStart"/>
      <w:r w:rsidRPr="00BB50FE">
        <w:rPr>
          <w:i/>
        </w:rPr>
        <w:t>adolescents,</w:t>
      </w:r>
      <w:proofErr w:type="gramEnd"/>
      <w:r w:rsidRPr="00BB50FE">
        <w:rPr>
          <w:i/>
        </w:rPr>
        <w:t xml:space="preserve"> aged 2 to 17 years, who have had an inadequate response to one or more disease modifying </w:t>
      </w:r>
      <w:proofErr w:type="spellStart"/>
      <w:r w:rsidRPr="00BB50FE">
        <w:rPr>
          <w:i/>
        </w:rPr>
        <w:t>antirheumatic</w:t>
      </w:r>
      <w:proofErr w:type="spellEnd"/>
      <w:r w:rsidRPr="00BB50FE">
        <w:rPr>
          <w:i/>
        </w:rPr>
        <w:t xml:space="preserve"> drug (DMARDs).</w:t>
      </w:r>
    </w:p>
    <w:p w:rsidR="00673193" w:rsidRPr="00BB50FE" w:rsidRDefault="00673193" w:rsidP="00BB50FE">
      <w:pPr>
        <w:pStyle w:val="ListBullet"/>
        <w:ind w:left="851"/>
        <w:rPr>
          <w:i/>
        </w:rPr>
      </w:pPr>
      <w:r w:rsidRPr="00BB50FE">
        <w:rPr>
          <w:i/>
        </w:rPr>
        <w:t xml:space="preserve">Active extended </w:t>
      </w:r>
      <w:proofErr w:type="spellStart"/>
      <w:r w:rsidRPr="00BB50FE">
        <w:rPr>
          <w:i/>
        </w:rPr>
        <w:t>oligoarthritis</w:t>
      </w:r>
      <w:proofErr w:type="spellEnd"/>
      <w:r w:rsidRPr="00BB50FE">
        <w:rPr>
          <w:i/>
        </w:rPr>
        <w:t xml:space="preserve"> in children and adolescents, aged 2 to 17 years, who have had an inadequate response to, or who have proved intolerant to, methotrexate.</w:t>
      </w:r>
    </w:p>
    <w:p w:rsidR="00673193" w:rsidRPr="00BB50FE" w:rsidRDefault="00673193" w:rsidP="00BB50FE">
      <w:pPr>
        <w:pStyle w:val="ListBullet"/>
        <w:ind w:left="851"/>
        <w:rPr>
          <w:i/>
        </w:rPr>
      </w:pPr>
      <w:r w:rsidRPr="00BB50FE">
        <w:rPr>
          <w:i/>
        </w:rPr>
        <w:t xml:space="preserve">Active </w:t>
      </w:r>
      <w:proofErr w:type="spellStart"/>
      <w:r w:rsidRPr="00BB50FE">
        <w:rPr>
          <w:i/>
        </w:rPr>
        <w:t>enthesitis</w:t>
      </w:r>
      <w:proofErr w:type="spellEnd"/>
      <w:r w:rsidR="001F68DB" w:rsidRPr="00BB50FE">
        <w:rPr>
          <w:i/>
        </w:rPr>
        <w:t xml:space="preserve"> </w:t>
      </w:r>
      <w:r w:rsidRPr="00BB50FE">
        <w:rPr>
          <w:i/>
        </w:rPr>
        <w:t>related arthritis in adolescents, aged 12 to 17 years, who have had an inadequate response to, or who have proved intolerant to, conventional therapy.</w:t>
      </w:r>
    </w:p>
    <w:p w:rsidR="00673193" w:rsidRPr="00673193" w:rsidRDefault="00673193" w:rsidP="00BB50FE">
      <w:pPr>
        <w:pStyle w:val="ListBullet"/>
        <w:ind w:left="851"/>
      </w:pPr>
      <w:r w:rsidRPr="00BB50FE">
        <w:rPr>
          <w:i/>
        </w:rPr>
        <w:t>Active psoriatic arthritis in adolescents, aged 12 to 17 years, who have had an inadequate response to, or who have proved intolerant</w:t>
      </w:r>
      <w:r w:rsidRPr="00673193">
        <w:t xml:space="preserve"> to, methotrexate</w:t>
      </w:r>
    </w:p>
    <w:p w:rsidR="00673193" w:rsidRPr="00673193" w:rsidRDefault="00673193" w:rsidP="00673193">
      <w:pPr>
        <w:ind w:left="567" w:hanging="141"/>
        <w:rPr>
          <w:i/>
        </w:rPr>
      </w:pPr>
      <w:r w:rsidRPr="00673193">
        <w:rPr>
          <w:i/>
        </w:rPr>
        <w:t>Enbrel has not been studied in children aged less than 2 years.</w:t>
      </w:r>
    </w:p>
    <w:p w:rsidR="00D86836" w:rsidRDefault="00673193" w:rsidP="00673193">
      <w:r w:rsidRPr="00673193">
        <w:t>This application is an abridged</w:t>
      </w:r>
      <w:r>
        <w:t xml:space="preserve"> </w:t>
      </w:r>
      <w:r w:rsidRPr="00673193">
        <w:t xml:space="preserve">submission requesting 3 significant changes to the current approved treatment indication for </w:t>
      </w:r>
      <w:proofErr w:type="spellStart"/>
      <w:r w:rsidRPr="00673193">
        <w:t>etanercept</w:t>
      </w:r>
      <w:proofErr w:type="spellEnd"/>
      <w:r w:rsidRPr="00673193">
        <w:t xml:space="preserve"> (ETN) in patients with Juvenile Idiopathic Arthritis (JIA). Firstly, the sponsor is requesting an extension of indication to include the treatment of additional sub-types of JIA, </w:t>
      </w:r>
      <w:proofErr w:type="spellStart"/>
      <w:r w:rsidRPr="00673193">
        <w:t>Enthesitis</w:t>
      </w:r>
      <w:proofErr w:type="spellEnd"/>
      <w:r w:rsidR="001F68DB">
        <w:t xml:space="preserve"> </w:t>
      </w:r>
      <w:r w:rsidRPr="00673193">
        <w:t>related arthritis (ERA), psoriatic arthritis (</w:t>
      </w:r>
      <w:proofErr w:type="spellStart"/>
      <w:r w:rsidRPr="00673193">
        <w:t>PsJIA</w:t>
      </w:r>
      <w:proofErr w:type="spellEnd"/>
      <w:r w:rsidRPr="00673193">
        <w:t xml:space="preserve">) as well as extended </w:t>
      </w:r>
      <w:proofErr w:type="spellStart"/>
      <w:r w:rsidRPr="00673193">
        <w:t>oligoarticular</w:t>
      </w:r>
      <w:proofErr w:type="spellEnd"/>
      <w:r w:rsidRPr="00673193">
        <w:t xml:space="preserve"> JIA (</w:t>
      </w:r>
      <w:proofErr w:type="spellStart"/>
      <w:r w:rsidRPr="00673193">
        <w:t>eoJIA</w:t>
      </w:r>
      <w:proofErr w:type="spellEnd"/>
      <w:r w:rsidRPr="00673193">
        <w:t>).</w:t>
      </w:r>
      <w:r w:rsidR="002040F3">
        <w:t xml:space="preserve"> </w:t>
      </w:r>
      <w:r w:rsidRPr="00673193">
        <w:t xml:space="preserve">The current JIA indication for ETN is active </w:t>
      </w:r>
      <w:proofErr w:type="spellStart"/>
      <w:r w:rsidRPr="00673193">
        <w:t>polyarticular</w:t>
      </w:r>
      <w:proofErr w:type="spellEnd"/>
      <w:r w:rsidRPr="00673193">
        <w:t xml:space="preserve"> course JIA (</w:t>
      </w:r>
      <w:proofErr w:type="spellStart"/>
      <w:r w:rsidRPr="00673193">
        <w:t>pJIA</w:t>
      </w:r>
      <w:proofErr w:type="spellEnd"/>
      <w:r w:rsidRPr="00673193">
        <w:t xml:space="preserve">), which was approved in Australia on </w:t>
      </w:r>
      <w:r w:rsidR="00D86836">
        <w:t xml:space="preserve">2 </w:t>
      </w:r>
      <w:r w:rsidRPr="00673193">
        <w:t>October</w:t>
      </w:r>
      <w:r w:rsidR="00D86836">
        <w:t xml:space="preserve"> </w:t>
      </w:r>
      <w:r w:rsidRPr="00673193">
        <w:t>2001</w:t>
      </w:r>
      <w:r w:rsidR="00BB50FE">
        <w:t>.</w:t>
      </w:r>
    </w:p>
    <w:p w:rsidR="00D86836" w:rsidRDefault="00D86836" w:rsidP="00673193">
      <w:r>
        <w:t>Secondly, the s</w:t>
      </w:r>
      <w:r w:rsidR="00673193" w:rsidRPr="00673193">
        <w:t xml:space="preserve">ponsor is requesting to lower the age limit of treatment from the currently approved 4 years of age to 2 years of age for those patients with </w:t>
      </w:r>
      <w:proofErr w:type="spellStart"/>
      <w:r w:rsidR="00673193" w:rsidRPr="00673193">
        <w:t>eoJIA</w:t>
      </w:r>
      <w:proofErr w:type="spellEnd"/>
      <w:r w:rsidR="00673193" w:rsidRPr="00673193">
        <w:t xml:space="preserve"> and </w:t>
      </w:r>
      <w:proofErr w:type="spellStart"/>
      <w:r w:rsidR="00673193" w:rsidRPr="00673193">
        <w:t>pJIA</w:t>
      </w:r>
      <w:proofErr w:type="spellEnd"/>
      <w:r w:rsidR="00673193" w:rsidRPr="00673193">
        <w:t xml:space="preserve">. The requested age limit for treatment in the other new JIA sub-types (ERA and </w:t>
      </w:r>
      <w:proofErr w:type="spellStart"/>
      <w:r w:rsidR="00673193" w:rsidRPr="00673193">
        <w:t>PsJIA</w:t>
      </w:r>
      <w:proofErr w:type="spellEnd"/>
      <w:r w:rsidR="00673193" w:rsidRPr="00673193">
        <w:t>) is 12</w:t>
      </w:r>
      <w:r>
        <w:t xml:space="preserve"> to </w:t>
      </w:r>
      <w:r w:rsidR="00673193" w:rsidRPr="00673193">
        <w:t xml:space="preserve">17 years. </w:t>
      </w:r>
      <w:r w:rsidR="00A449FF">
        <w:t>=</w:t>
      </w:r>
    </w:p>
    <w:p w:rsidR="00673193" w:rsidRPr="00673193" w:rsidRDefault="00673193" w:rsidP="00673193">
      <w:r w:rsidRPr="00673193">
        <w:t>Thirdly, the sponsor wishes to add a once weekly dosing regimen (0.8 mg/kg, up to a maximum of 50 mg) as an alternative treatment posology for patients with JIA. The current recommended dose for children 4</w:t>
      </w:r>
      <w:r w:rsidR="00D86836">
        <w:t xml:space="preserve"> to </w:t>
      </w:r>
      <w:r w:rsidRPr="00673193">
        <w:t>17 years of age is 0.4 mg/kg (up to a maximum of 25 mg), given twice weekly as a subcutaneous (SC) injection with an interval of 3</w:t>
      </w:r>
      <w:r w:rsidR="00D86836">
        <w:t xml:space="preserve"> to </w:t>
      </w:r>
      <w:r w:rsidRPr="00673193">
        <w:t>4 days between doses.</w:t>
      </w:r>
      <w:r w:rsidR="002040F3">
        <w:t xml:space="preserve"> </w:t>
      </w:r>
      <w:r w:rsidRPr="00673193">
        <w:t>The sponsor application letter is dated 6 Februa</w:t>
      </w:r>
      <w:r w:rsidR="00A449FF">
        <w:t>ry 2013.</w:t>
      </w:r>
    </w:p>
    <w:p w:rsidR="00673193" w:rsidRPr="00D86836" w:rsidRDefault="00D86836" w:rsidP="00D86836">
      <w:proofErr w:type="spellStart"/>
      <w:r w:rsidRPr="00D86836">
        <w:t>Etanercept</w:t>
      </w:r>
      <w:proofErr w:type="spellEnd"/>
      <w:r w:rsidRPr="00D86836">
        <w:t xml:space="preserve"> (</w:t>
      </w:r>
      <w:r w:rsidR="00673193" w:rsidRPr="00D86836">
        <w:t>ETN</w:t>
      </w:r>
      <w:r w:rsidRPr="00D86836">
        <w:t>)</w:t>
      </w:r>
      <w:r w:rsidR="00673193" w:rsidRPr="00D86836">
        <w:t xml:space="preserve"> is currently approved in Australia for the treatment of </w:t>
      </w:r>
      <w:proofErr w:type="spellStart"/>
      <w:r w:rsidR="00673193" w:rsidRPr="00D86836">
        <w:t>pJIA</w:t>
      </w:r>
      <w:proofErr w:type="spellEnd"/>
      <w:r w:rsidR="00673193" w:rsidRPr="00D86836">
        <w:t>, Rheumatoid Arthritis (RA), Psoriatic Arthritis (</w:t>
      </w:r>
      <w:proofErr w:type="spellStart"/>
      <w:r w:rsidR="00673193" w:rsidRPr="00D86836">
        <w:t>PsA</w:t>
      </w:r>
      <w:proofErr w:type="spellEnd"/>
      <w:r w:rsidR="00673193" w:rsidRPr="00D86836">
        <w:t xml:space="preserve">), </w:t>
      </w:r>
      <w:proofErr w:type="spellStart"/>
      <w:r w:rsidR="00673193" w:rsidRPr="00D86836">
        <w:t>Ankylosing</w:t>
      </w:r>
      <w:proofErr w:type="spellEnd"/>
      <w:r w:rsidR="00673193" w:rsidRPr="00D86836">
        <w:t xml:space="preserve"> Spondylitis (AS) and chronic plaque psoriasis under</w:t>
      </w:r>
      <w:r>
        <w:t xml:space="preserve"> the registered trade name of Enbrel</w:t>
      </w:r>
      <w:r w:rsidR="00673193" w:rsidRPr="00D86836">
        <w:t xml:space="preserve">. The sponsor does not propose </w:t>
      </w:r>
      <w:r w:rsidR="00561270">
        <w:t xml:space="preserve">to use this submission for </w:t>
      </w:r>
      <w:r w:rsidR="00673193" w:rsidRPr="00D86836">
        <w:t>a different registered drug name for this indication</w:t>
      </w:r>
      <w:r w:rsidR="00561270">
        <w:t xml:space="preserve"> and n</w:t>
      </w:r>
      <w:r w:rsidR="00673193" w:rsidRPr="00D86836">
        <w:t>o change in the drug formulation or presentation is proposed.</w:t>
      </w:r>
    </w:p>
    <w:p w:rsidR="00F06DAB" w:rsidRDefault="00F06DAB" w:rsidP="00F06DAB">
      <w:proofErr w:type="spellStart"/>
      <w:r w:rsidRPr="00F06DAB">
        <w:t>Etanercept</w:t>
      </w:r>
      <w:proofErr w:type="spellEnd"/>
      <w:r w:rsidRPr="00F06DAB">
        <w:t xml:space="preserve"> (ETN) is a human tumour necrosis factor</w:t>
      </w:r>
      <w:r w:rsidR="006060C8">
        <w:t xml:space="preserve"> (TNF)</w:t>
      </w:r>
      <w:r w:rsidRPr="00F06DAB">
        <w:t xml:space="preserve"> receptor fusion protein produced by recombinant </w:t>
      </w:r>
      <w:r w:rsidR="00515286">
        <w:t>Deoxyribonucleic acid (</w:t>
      </w:r>
      <w:r w:rsidRPr="00F06DAB">
        <w:t>DNA</w:t>
      </w:r>
      <w:r w:rsidR="00515286">
        <w:t>)</w:t>
      </w:r>
      <w:r w:rsidRPr="00F06DAB">
        <w:t xml:space="preserve"> technology in a Chinese Hamster Ovary (CHO) mammalian expression system.</w:t>
      </w:r>
      <w:r w:rsidR="002040F3">
        <w:t xml:space="preserve"> </w:t>
      </w:r>
      <w:r w:rsidRPr="00F06DAB">
        <w:t>It’s produced by fusing the human tumour necrosis factor receptor 2 (TNFR2/p75) to the Fc domain of human I</w:t>
      </w:r>
      <w:r w:rsidR="006060C8">
        <w:t xml:space="preserve">mmunoglobulin </w:t>
      </w:r>
      <w:r w:rsidRPr="00F06DAB">
        <w:t>G</w:t>
      </w:r>
      <w:r w:rsidR="006060C8">
        <w:t xml:space="preserve"> </w:t>
      </w:r>
      <w:r w:rsidRPr="00F06DAB">
        <w:t>1</w:t>
      </w:r>
      <w:r w:rsidR="006060C8">
        <w:t xml:space="preserve"> (IgG1)</w:t>
      </w:r>
      <w:r w:rsidRPr="00F06DAB">
        <w:t xml:space="preserve"> to competitively inhibit the interaction between TNF and its receptors.</w:t>
      </w:r>
    </w:p>
    <w:p w:rsidR="00D86836" w:rsidRDefault="00673193" w:rsidP="00673193">
      <w:pPr>
        <w:rPr>
          <w:i/>
        </w:rPr>
      </w:pPr>
      <w:r w:rsidRPr="00D86836">
        <w:t>The current approved JIA treatment indication for ETN in Australia is</w:t>
      </w:r>
      <w:r w:rsidRPr="00673193">
        <w:rPr>
          <w:i/>
        </w:rPr>
        <w:t xml:space="preserve"> </w:t>
      </w:r>
    </w:p>
    <w:p w:rsidR="00673193" w:rsidRPr="00673193" w:rsidRDefault="006060C8" w:rsidP="00D86836">
      <w:pPr>
        <w:ind w:left="720"/>
        <w:rPr>
          <w:i/>
        </w:rPr>
      </w:pPr>
      <w:proofErr w:type="gramStart"/>
      <w:r>
        <w:rPr>
          <w:i/>
        </w:rPr>
        <w:t>A</w:t>
      </w:r>
      <w:r w:rsidR="00673193" w:rsidRPr="00673193">
        <w:rPr>
          <w:i/>
        </w:rPr>
        <w:t xml:space="preserve">ctive </w:t>
      </w:r>
      <w:proofErr w:type="spellStart"/>
      <w:r w:rsidR="00673193" w:rsidRPr="00673193">
        <w:rPr>
          <w:i/>
        </w:rPr>
        <w:t>polyarticular</w:t>
      </w:r>
      <w:proofErr w:type="spellEnd"/>
      <w:r w:rsidR="001F68DB">
        <w:rPr>
          <w:i/>
        </w:rPr>
        <w:t xml:space="preserve"> </w:t>
      </w:r>
      <w:r w:rsidR="00673193" w:rsidRPr="00673193">
        <w:rPr>
          <w:i/>
        </w:rPr>
        <w:t>course juvenile idio</w:t>
      </w:r>
      <w:r>
        <w:rPr>
          <w:i/>
        </w:rPr>
        <w:t xml:space="preserve">pathic arthritis in patients (4 to </w:t>
      </w:r>
      <w:r w:rsidR="00673193" w:rsidRPr="00673193">
        <w:rPr>
          <w:i/>
        </w:rPr>
        <w:t>17 years) who have had an inadequate response to one or more disease</w:t>
      </w:r>
      <w:r w:rsidR="001F68DB">
        <w:rPr>
          <w:i/>
        </w:rPr>
        <w:t xml:space="preserve"> </w:t>
      </w:r>
      <w:r w:rsidR="00673193" w:rsidRPr="00673193">
        <w:rPr>
          <w:i/>
        </w:rPr>
        <w:t>modifying anti-rheumatic drugs.</w:t>
      </w:r>
      <w:proofErr w:type="gramEnd"/>
      <w:r w:rsidR="00673193" w:rsidRPr="00673193">
        <w:rPr>
          <w:i/>
        </w:rPr>
        <w:t xml:space="preserve"> E</w:t>
      </w:r>
      <w:r w:rsidR="00D86836">
        <w:rPr>
          <w:i/>
        </w:rPr>
        <w:t>nbrel</w:t>
      </w:r>
      <w:r w:rsidR="00673193" w:rsidRPr="00673193">
        <w:rPr>
          <w:i/>
        </w:rPr>
        <w:t xml:space="preserve"> has not been studie</w:t>
      </w:r>
      <w:r w:rsidR="00D86836">
        <w:rPr>
          <w:i/>
        </w:rPr>
        <w:t>d</w:t>
      </w:r>
      <w:r w:rsidR="00673193" w:rsidRPr="00673193">
        <w:rPr>
          <w:i/>
        </w:rPr>
        <w:t xml:space="preserve"> in childr</w:t>
      </w:r>
      <w:r w:rsidR="00D86836">
        <w:rPr>
          <w:i/>
        </w:rPr>
        <w:t>en less than 4 years of age.</w:t>
      </w:r>
    </w:p>
    <w:p w:rsidR="00673193" w:rsidRPr="00D86836" w:rsidRDefault="00673193" w:rsidP="00D86836">
      <w:r w:rsidRPr="00D86836">
        <w:t xml:space="preserve">ETN also has several other approved treatment indications in Australia such as active RA, </w:t>
      </w:r>
      <w:proofErr w:type="spellStart"/>
      <w:r w:rsidRPr="00D86836">
        <w:t>PsA</w:t>
      </w:r>
      <w:proofErr w:type="spellEnd"/>
      <w:r w:rsidRPr="00D86836">
        <w:t>, and AS in adult patients; as well plaque psoriasis in ch</w:t>
      </w:r>
      <w:r w:rsidR="00A449FF">
        <w:t>ildren, adolescents and adults.</w:t>
      </w:r>
    </w:p>
    <w:p w:rsidR="008E7846" w:rsidRPr="003F31A2" w:rsidRDefault="00386150" w:rsidP="008E7846">
      <w:pPr>
        <w:pStyle w:val="Heading3"/>
      </w:pPr>
      <w:bookmarkStart w:id="12" w:name="_Toc314842485"/>
      <w:bookmarkStart w:id="13" w:name="_Toc247691504"/>
      <w:bookmarkStart w:id="14" w:name="_Toc390330057"/>
      <w:r>
        <w:t>Regulatory s</w:t>
      </w:r>
      <w:r w:rsidR="008E7846">
        <w:t>tatus</w:t>
      </w:r>
      <w:bookmarkEnd w:id="12"/>
      <w:bookmarkEnd w:id="13"/>
      <w:bookmarkEnd w:id="14"/>
    </w:p>
    <w:p w:rsidR="00056BFA" w:rsidRDefault="009F3B59" w:rsidP="008E7846">
      <w:r>
        <w:t>At the time the TGA considered this application ETN was</w:t>
      </w:r>
      <w:r w:rsidR="00F06DAB" w:rsidRPr="00F06DAB">
        <w:t xml:space="preserve"> registered for supply in Australia as a 25 mg powder for injection, and a 50 mg solution (in 1 mL) for injection in either a pre</w:t>
      </w:r>
      <w:r w:rsidR="001F68DB">
        <w:t xml:space="preserve"> </w:t>
      </w:r>
      <w:r w:rsidR="00F06DAB" w:rsidRPr="00F06DAB">
        <w:t>filled syringe or auto</w:t>
      </w:r>
      <w:r w:rsidR="001F68DB">
        <w:t xml:space="preserve"> </w:t>
      </w:r>
      <w:r w:rsidR="00A449FF">
        <w:t>injector device.</w:t>
      </w:r>
    </w:p>
    <w:p w:rsidR="00F06DAB" w:rsidRDefault="00F06DAB" w:rsidP="008E7846">
      <w:r w:rsidRPr="00F06DAB">
        <w:t>No new dosage forms or strengths are proposed in this submission</w:t>
      </w:r>
      <w:r w:rsidR="00A449FF">
        <w:t>.</w:t>
      </w:r>
    </w:p>
    <w:p w:rsidR="00056BFA" w:rsidRDefault="00F06DAB" w:rsidP="00056BFA">
      <w:proofErr w:type="spellStart"/>
      <w:r w:rsidRPr="00056BFA">
        <w:t>Etanercept</w:t>
      </w:r>
      <w:proofErr w:type="spellEnd"/>
      <w:r w:rsidRPr="00056BFA">
        <w:t xml:space="preserve"> has been considered by </w:t>
      </w:r>
      <w:r w:rsidR="00515286">
        <w:t>the Advisory Committee on Prescription Medicines (</w:t>
      </w:r>
      <w:r w:rsidRPr="00056BFA">
        <w:t>ACPM</w:t>
      </w:r>
      <w:r w:rsidR="00515286">
        <w:t>)</w:t>
      </w:r>
      <w:r w:rsidRPr="00056BFA">
        <w:t xml:space="preserve"> or Peer Review previously as follows:</w:t>
      </w:r>
    </w:p>
    <w:p w:rsidR="00056BFA" w:rsidRPr="00A449FF" w:rsidRDefault="00F06DAB" w:rsidP="00A449FF">
      <w:pPr>
        <w:pStyle w:val="ListBullet"/>
      </w:pPr>
      <w:r w:rsidRPr="00A449FF">
        <w:t>Apr</w:t>
      </w:r>
      <w:r w:rsidR="00056BFA" w:rsidRPr="00A449FF">
        <w:t>il</w:t>
      </w:r>
      <w:r w:rsidRPr="00A449FF">
        <w:t xml:space="preserve"> 2000 (209th meeting) recommended for approval for rheumatoid arthritis.</w:t>
      </w:r>
    </w:p>
    <w:p w:rsidR="00056BFA" w:rsidRPr="00A449FF" w:rsidRDefault="00F06DAB" w:rsidP="00A449FF">
      <w:pPr>
        <w:pStyle w:val="ListBullet"/>
      </w:pPr>
      <w:r w:rsidRPr="00A449FF">
        <w:t>Aug</w:t>
      </w:r>
      <w:r w:rsidR="00056BFA" w:rsidRPr="00A449FF">
        <w:t xml:space="preserve">ust </w:t>
      </w:r>
      <w:r w:rsidRPr="00A449FF">
        <w:t>2001 (217</w:t>
      </w:r>
      <w:r w:rsidR="00056BFA" w:rsidRPr="00A449FF">
        <w:t>th</w:t>
      </w:r>
      <w:r w:rsidRPr="00A449FF">
        <w:t xml:space="preserve"> meeting) recommended for approval for juvenile chronic arthritis.</w:t>
      </w:r>
    </w:p>
    <w:p w:rsidR="00056BFA" w:rsidRPr="00A449FF" w:rsidRDefault="00F06DAB" w:rsidP="00A449FF">
      <w:pPr>
        <w:pStyle w:val="ListBullet"/>
      </w:pPr>
      <w:r w:rsidRPr="00A449FF">
        <w:t>Jun</w:t>
      </w:r>
      <w:r w:rsidR="00056BFA" w:rsidRPr="00A449FF">
        <w:t>e</w:t>
      </w:r>
      <w:r w:rsidRPr="00A449FF">
        <w:t xml:space="preserve"> 2003 (228</w:t>
      </w:r>
      <w:r w:rsidR="00056BFA" w:rsidRPr="00A449FF">
        <w:t>th</w:t>
      </w:r>
      <w:r w:rsidRPr="00A449FF">
        <w:t xml:space="preserve"> meeting) recommended for approval for psoriatic arthritis.</w:t>
      </w:r>
    </w:p>
    <w:p w:rsidR="00056BFA" w:rsidRPr="00A449FF" w:rsidRDefault="00F06DAB" w:rsidP="00A449FF">
      <w:pPr>
        <w:pStyle w:val="ListBullet"/>
      </w:pPr>
      <w:r w:rsidRPr="00A449FF">
        <w:t>Feb</w:t>
      </w:r>
      <w:r w:rsidR="00056BFA" w:rsidRPr="00A449FF">
        <w:t>ruary</w:t>
      </w:r>
      <w:r w:rsidRPr="00A449FF">
        <w:t xml:space="preserve"> 2004 (232nd meeting) recommended for appr</w:t>
      </w:r>
      <w:r w:rsidR="00056BFA" w:rsidRPr="00A449FF">
        <w:t xml:space="preserve">oval for </w:t>
      </w:r>
      <w:proofErr w:type="spellStart"/>
      <w:r w:rsidR="00056BFA" w:rsidRPr="00A449FF">
        <w:t>ankylosing</w:t>
      </w:r>
      <w:proofErr w:type="spellEnd"/>
      <w:r w:rsidR="00056BFA" w:rsidRPr="00A449FF">
        <w:t xml:space="preserve"> spondylitis </w:t>
      </w:r>
      <w:r w:rsidRPr="00A449FF">
        <w:t>and slowing progression of structural damage in rheumatoid arthritis.</w:t>
      </w:r>
    </w:p>
    <w:p w:rsidR="00056BFA" w:rsidRPr="00A449FF" w:rsidRDefault="00F06DAB" w:rsidP="00A449FF">
      <w:pPr>
        <w:pStyle w:val="ListBullet"/>
      </w:pPr>
      <w:r w:rsidRPr="00A449FF">
        <w:t>Dec</w:t>
      </w:r>
      <w:r w:rsidR="00056BFA" w:rsidRPr="00A449FF">
        <w:t>ember</w:t>
      </w:r>
      <w:r w:rsidRPr="00A449FF">
        <w:t xml:space="preserve"> 2004 (237</w:t>
      </w:r>
      <w:r w:rsidR="00056BFA" w:rsidRPr="00A449FF">
        <w:t>th</w:t>
      </w:r>
      <w:r w:rsidRPr="00A449FF">
        <w:t xml:space="preserve"> meeting) recommended for approval to change the rheumatoid arthritis indication and approve the 50mg once weekly dose in RA.</w:t>
      </w:r>
    </w:p>
    <w:p w:rsidR="00056BFA" w:rsidRPr="00A449FF" w:rsidRDefault="00F06DAB" w:rsidP="00A449FF">
      <w:pPr>
        <w:pStyle w:val="ListBullet"/>
      </w:pPr>
      <w:r w:rsidRPr="00A449FF">
        <w:t>Feb</w:t>
      </w:r>
      <w:r w:rsidR="00056BFA" w:rsidRPr="00A449FF">
        <w:t>ruary</w:t>
      </w:r>
      <w:r w:rsidRPr="00A449FF">
        <w:t xml:space="preserve"> 2005 (238</w:t>
      </w:r>
      <w:r w:rsidR="00056BFA" w:rsidRPr="00A449FF">
        <w:t>th</w:t>
      </w:r>
      <w:r w:rsidRPr="00A449FF">
        <w:t xml:space="preserve"> meeting) recommended for approval for plaque psoriasis.</w:t>
      </w:r>
    </w:p>
    <w:p w:rsidR="00056BFA" w:rsidRPr="00A449FF" w:rsidRDefault="00F06DAB" w:rsidP="00A449FF">
      <w:pPr>
        <w:pStyle w:val="ListBullet"/>
      </w:pPr>
      <w:r w:rsidRPr="00A449FF">
        <w:t>Dec</w:t>
      </w:r>
      <w:r w:rsidR="00056BFA" w:rsidRPr="00A449FF">
        <w:t>ember</w:t>
      </w:r>
      <w:r w:rsidRPr="00A449FF">
        <w:t xml:space="preserve"> 2006 (Peer Review) recommended for approval for 50mg once weekly.</w:t>
      </w:r>
    </w:p>
    <w:p w:rsidR="00F06DAB" w:rsidRPr="00A449FF" w:rsidRDefault="00F06DAB" w:rsidP="00A449FF">
      <w:pPr>
        <w:pStyle w:val="ListBullet"/>
      </w:pPr>
      <w:r w:rsidRPr="00A449FF">
        <w:t>May 2007 (Peer Review) recommended for approval to extend the psoriatic arthritis indication.</w:t>
      </w:r>
    </w:p>
    <w:p w:rsidR="00F06DAB" w:rsidRDefault="00F06DAB" w:rsidP="00A449FF">
      <w:proofErr w:type="spellStart"/>
      <w:r>
        <w:t>Etanercept</w:t>
      </w:r>
      <w:proofErr w:type="spellEnd"/>
      <w:r>
        <w:t xml:space="preserve"> for the JIA variations has been approved in the </w:t>
      </w:r>
      <w:r w:rsidR="00515286">
        <w:t>European Union (EU)</w:t>
      </w:r>
      <w:r>
        <w:t xml:space="preserve"> (Augus</w:t>
      </w:r>
      <w:r w:rsidR="00056BFA">
        <w:t>t 2011 (</w:t>
      </w:r>
      <w:r>
        <w:t>extension of age range</w:t>
      </w:r>
      <w:r w:rsidR="00056BFA">
        <w:t>), and July 2012 (</w:t>
      </w:r>
      <w:r>
        <w:t>new JIA subtypes and once</w:t>
      </w:r>
      <w:r w:rsidR="001F68DB">
        <w:t xml:space="preserve"> </w:t>
      </w:r>
      <w:r>
        <w:t>weekly dosing regimen for JIA).</w:t>
      </w:r>
      <w:r w:rsidR="002040F3">
        <w:t xml:space="preserve"> </w:t>
      </w:r>
      <w:r w:rsidR="00D31E62">
        <w:t xml:space="preserve">The </w:t>
      </w:r>
      <w:r>
        <w:t>current US label i</w:t>
      </w:r>
      <w:r w:rsidR="00056BFA">
        <w:t xml:space="preserve">ncludes </w:t>
      </w:r>
      <w:proofErr w:type="spellStart"/>
      <w:r w:rsidR="00056BFA">
        <w:t>pJIA</w:t>
      </w:r>
      <w:proofErr w:type="spellEnd"/>
      <w:r w:rsidR="00056BFA">
        <w:t xml:space="preserve"> for patients aged greater than or equal to</w:t>
      </w:r>
      <w:r>
        <w:t xml:space="preserve"> 2 years, and once weekly dosing for all indications, including the JIA indication.</w:t>
      </w:r>
      <w:r w:rsidR="002040F3">
        <w:t xml:space="preserve"> </w:t>
      </w:r>
      <w:r>
        <w:t>The new JIA subtypes and once weekly dosing regimen dossier was submitted to Switzerland in Feb</w:t>
      </w:r>
      <w:r w:rsidR="00056BFA">
        <w:t>ruary</w:t>
      </w:r>
      <w:r>
        <w:t xml:space="preserve"> 2013 (extension of age range for JIA from “age 4 years and older” to “age 2 years and older” was approved March 2012).</w:t>
      </w:r>
      <w:r w:rsidR="002040F3">
        <w:t xml:space="preserve"> </w:t>
      </w:r>
      <w:r>
        <w:t>The approved EU indication is:</w:t>
      </w:r>
    </w:p>
    <w:p w:rsidR="00F06DAB" w:rsidRPr="006C4B56" w:rsidRDefault="00F06DAB" w:rsidP="00F06DAB">
      <w:pPr>
        <w:ind w:left="709"/>
        <w:rPr>
          <w:b/>
          <w:i/>
        </w:rPr>
      </w:pPr>
      <w:r w:rsidRPr="006C4B56">
        <w:rPr>
          <w:b/>
          <w:i/>
        </w:rPr>
        <w:t>Juvenile idiopathic arthritis</w:t>
      </w:r>
    </w:p>
    <w:p w:rsidR="00F06DAB" w:rsidRPr="006C4B56" w:rsidRDefault="00F06DAB" w:rsidP="00F06DAB">
      <w:pPr>
        <w:ind w:left="709"/>
        <w:rPr>
          <w:i/>
        </w:rPr>
      </w:pPr>
      <w:r w:rsidRPr="006C4B56">
        <w:rPr>
          <w:i/>
        </w:rPr>
        <w:t>Treatment of polyarthritis (rheumatoid</w:t>
      </w:r>
      <w:r w:rsidR="001F68DB">
        <w:rPr>
          <w:i/>
        </w:rPr>
        <w:t xml:space="preserve"> </w:t>
      </w:r>
      <w:r w:rsidRPr="006C4B56">
        <w:rPr>
          <w:i/>
        </w:rPr>
        <w:t>factor</w:t>
      </w:r>
      <w:r w:rsidR="001F68DB">
        <w:rPr>
          <w:i/>
        </w:rPr>
        <w:t xml:space="preserve"> </w:t>
      </w:r>
      <w:r w:rsidRPr="006C4B56">
        <w:rPr>
          <w:i/>
        </w:rPr>
        <w:t>positive or</w:t>
      </w:r>
      <w:r w:rsidR="002040F3">
        <w:rPr>
          <w:i/>
        </w:rPr>
        <w:t xml:space="preserve"> </w:t>
      </w:r>
      <w:r w:rsidRPr="006C4B56">
        <w:rPr>
          <w:i/>
        </w:rPr>
        <w:t xml:space="preserve">negative) and extended </w:t>
      </w:r>
      <w:proofErr w:type="spellStart"/>
      <w:r w:rsidRPr="006C4B56">
        <w:rPr>
          <w:i/>
        </w:rPr>
        <w:t>oligoarthritis</w:t>
      </w:r>
      <w:proofErr w:type="spellEnd"/>
      <w:r w:rsidRPr="006C4B56">
        <w:rPr>
          <w:i/>
        </w:rPr>
        <w:t xml:space="preserve"> in children and adolescents from the age of 2 years who have had an inadequate response to, or who have proved intolerant of, methotrexate.</w:t>
      </w:r>
    </w:p>
    <w:p w:rsidR="00F06DAB" w:rsidRPr="006C4B56" w:rsidRDefault="00F06DAB" w:rsidP="00F06DAB">
      <w:pPr>
        <w:ind w:left="709"/>
        <w:rPr>
          <w:i/>
        </w:rPr>
      </w:pPr>
      <w:proofErr w:type="gramStart"/>
      <w:r w:rsidRPr="006C4B56">
        <w:rPr>
          <w:i/>
        </w:rPr>
        <w:t>Treatment of psoriatic arthritis in adolescents from the age of 12 years who have had an inadequate response to, or who have proved intolerant of, methotrexate.</w:t>
      </w:r>
      <w:proofErr w:type="gramEnd"/>
    </w:p>
    <w:p w:rsidR="00F06DAB" w:rsidRPr="006C4B56" w:rsidRDefault="00F06DAB" w:rsidP="00F06DAB">
      <w:pPr>
        <w:ind w:left="709"/>
        <w:rPr>
          <w:i/>
        </w:rPr>
      </w:pPr>
      <w:r w:rsidRPr="006C4B56">
        <w:rPr>
          <w:i/>
        </w:rPr>
        <w:t xml:space="preserve">Treatment of </w:t>
      </w:r>
      <w:proofErr w:type="spellStart"/>
      <w:r w:rsidRPr="006C4B56">
        <w:rPr>
          <w:i/>
        </w:rPr>
        <w:t>enthesitis</w:t>
      </w:r>
      <w:proofErr w:type="spellEnd"/>
      <w:r w:rsidR="001F68DB">
        <w:rPr>
          <w:i/>
        </w:rPr>
        <w:t xml:space="preserve"> </w:t>
      </w:r>
      <w:r w:rsidRPr="006C4B56">
        <w:rPr>
          <w:i/>
        </w:rPr>
        <w:t>related arthritis in adolescents from the age of 12 years who have had an inadequate response to, or who have proved intolerant of, conventional therapy.</w:t>
      </w:r>
    </w:p>
    <w:p w:rsidR="00F06DAB" w:rsidRPr="006C4B56" w:rsidRDefault="00056BFA" w:rsidP="00F06DAB">
      <w:pPr>
        <w:ind w:left="709"/>
        <w:rPr>
          <w:i/>
        </w:rPr>
      </w:pPr>
      <w:r>
        <w:rPr>
          <w:i/>
        </w:rPr>
        <w:t>Enbrel</w:t>
      </w:r>
      <w:r w:rsidR="00F06DAB" w:rsidRPr="006C4B56">
        <w:rPr>
          <w:i/>
        </w:rPr>
        <w:t xml:space="preserve"> has not been studied in children aged less than 2 years.</w:t>
      </w:r>
    </w:p>
    <w:p w:rsidR="008E7846" w:rsidRDefault="008E7846" w:rsidP="008E7846">
      <w:pPr>
        <w:pStyle w:val="Heading3"/>
      </w:pPr>
      <w:bookmarkStart w:id="15" w:name="_Toc247691505"/>
      <w:bookmarkStart w:id="16" w:name="_Toc314842486"/>
      <w:bookmarkStart w:id="17" w:name="_Toc390330058"/>
      <w:r>
        <w:t>Product Information</w:t>
      </w:r>
      <w:bookmarkEnd w:id="15"/>
      <w:bookmarkEnd w:id="16"/>
      <w:bookmarkEnd w:id="17"/>
    </w:p>
    <w:p w:rsidR="008E7846" w:rsidRPr="00D25CF9" w:rsidRDefault="008E7846" w:rsidP="008E7846">
      <w:r>
        <w:t xml:space="preserve">The approved Product Information (PI) </w:t>
      </w:r>
      <w:r w:rsidRPr="00056BFA">
        <w:t xml:space="preserve">current at the time this </w:t>
      </w:r>
      <w:proofErr w:type="spellStart"/>
      <w:r w:rsidRPr="00056BFA">
        <w:t>AusPAR</w:t>
      </w:r>
      <w:proofErr w:type="spellEnd"/>
      <w:r>
        <w:t xml:space="preserve"> was prepared can be found as Attachment 1</w:t>
      </w:r>
      <w:r w:rsidRPr="00D25CF9">
        <w:t>.</w:t>
      </w:r>
      <w:bookmarkStart w:id="18" w:name="_Toc247691506"/>
      <w:bookmarkStart w:id="19" w:name="_Toc314842487"/>
      <w:r w:rsidR="003F0465" w:rsidRPr="00D25CF9">
        <w:t xml:space="preserve"> </w:t>
      </w:r>
      <w:r w:rsidR="003F0465" w:rsidRPr="00C52823">
        <w:t xml:space="preserve">For the most recent Product Information please refer to the TGA website at </w:t>
      </w:r>
      <w:r w:rsidR="00A449FF">
        <w:t>&lt;</w:t>
      </w:r>
      <w:hyperlink r:id="rId14" w:history="1">
        <w:r w:rsidR="003F0465" w:rsidRPr="00A449FF">
          <w:rPr>
            <w:rStyle w:val="Hyperlink"/>
          </w:rPr>
          <w:t>http://www.tga.gov.au/hp/information-medicines-pi.htm</w:t>
        </w:r>
      </w:hyperlink>
      <w:hyperlink w:history="1"/>
      <w:r w:rsidR="003F0465" w:rsidRPr="00C52823">
        <w:rPr>
          <w:lang w:eastAsia="en-AU"/>
        </w:rPr>
        <w:t>&gt;.</w:t>
      </w:r>
    </w:p>
    <w:p w:rsidR="008E7846" w:rsidRDefault="008E7846" w:rsidP="008E7846">
      <w:pPr>
        <w:pStyle w:val="Heading2"/>
        <w:ind w:left="-11"/>
      </w:pPr>
      <w:bookmarkStart w:id="20" w:name="_Toc390330059"/>
      <w:r>
        <w:t>II. Quality</w:t>
      </w:r>
      <w:bookmarkEnd w:id="1"/>
      <w:r>
        <w:t xml:space="preserve"> findings</w:t>
      </w:r>
      <w:bookmarkEnd w:id="18"/>
      <w:bookmarkEnd w:id="19"/>
      <w:bookmarkEnd w:id="20"/>
    </w:p>
    <w:p w:rsidR="003F0465" w:rsidRDefault="003F0465" w:rsidP="003F0465">
      <w:r>
        <w:t>There was no requirement for a quality evaluation in a submission of this type.</w:t>
      </w:r>
    </w:p>
    <w:p w:rsidR="008E7846" w:rsidRDefault="008E7846" w:rsidP="008E7846">
      <w:pPr>
        <w:pStyle w:val="Heading2"/>
      </w:pPr>
      <w:bookmarkStart w:id="21" w:name="_Toc196046439"/>
      <w:bookmarkStart w:id="22" w:name="_Toc247691510"/>
      <w:bookmarkStart w:id="23" w:name="_Toc314842494"/>
      <w:bookmarkStart w:id="24" w:name="_Toc390330060"/>
      <w:r>
        <w:t>III. Nonclinical</w:t>
      </w:r>
      <w:bookmarkEnd w:id="21"/>
      <w:r>
        <w:t xml:space="preserve"> findings</w:t>
      </w:r>
      <w:bookmarkEnd w:id="22"/>
      <w:bookmarkEnd w:id="23"/>
      <w:bookmarkEnd w:id="24"/>
    </w:p>
    <w:p w:rsidR="003F0465" w:rsidRDefault="003F0465" w:rsidP="003F0465">
      <w:r>
        <w:t>There was no requirement for a nonclinical evaluation in a submission of this type.</w:t>
      </w:r>
    </w:p>
    <w:p w:rsidR="008E7846" w:rsidRPr="00254787" w:rsidRDefault="008E7846" w:rsidP="008E7846">
      <w:pPr>
        <w:pStyle w:val="Heading2"/>
      </w:pPr>
      <w:bookmarkStart w:id="25" w:name="_Toc196046462"/>
      <w:bookmarkStart w:id="26" w:name="_Toc247691516"/>
      <w:bookmarkStart w:id="27" w:name="_Toc314842500"/>
      <w:bookmarkStart w:id="28" w:name="_Toc163441353"/>
      <w:bookmarkStart w:id="29" w:name="_Toc163441348"/>
      <w:bookmarkStart w:id="30" w:name="_Toc390330061"/>
      <w:r>
        <w:t xml:space="preserve">IV. </w:t>
      </w:r>
      <w:r w:rsidRPr="00254787">
        <w:t>Clinical</w:t>
      </w:r>
      <w:bookmarkEnd w:id="25"/>
      <w:r>
        <w:t xml:space="preserve"> </w:t>
      </w:r>
      <w:r w:rsidR="003A7F6C">
        <w:t>f</w:t>
      </w:r>
      <w:r>
        <w:t>indings</w:t>
      </w:r>
      <w:bookmarkEnd w:id="26"/>
      <w:bookmarkEnd w:id="27"/>
      <w:bookmarkEnd w:id="30"/>
    </w:p>
    <w:p w:rsidR="00C80137" w:rsidRPr="003F0465" w:rsidRDefault="00C80137" w:rsidP="008E7846">
      <w:bookmarkStart w:id="31" w:name="_Toc196046463"/>
      <w:r w:rsidRPr="003F0465">
        <w:t>A summary of the clinical findings is presented in this section. Further details of these clinical findings can be found in Attachment 2.</w:t>
      </w:r>
    </w:p>
    <w:p w:rsidR="008E7846" w:rsidRDefault="008E7846" w:rsidP="008E7846">
      <w:pPr>
        <w:pStyle w:val="Heading3"/>
      </w:pPr>
      <w:bookmarkStart w:id="32" w:name="_Toc247691517"/>
      <w:bookmarkStart w:id="33" w:name="_Toc314842501"/>
      <w:bookmarkStart w:id="34" w:name="_Toc390330062"/>
      <w:r w:rsidRPr="00254787">
        <w:t>Introduction</w:t>
      </w:r>
      <w:bookmarkEnd w:id="31"/>
      <w:bookmarkEnd w:id="32"/>
      <w:bookmarkEnd w:id="33"/>
      <w:bookmarkEnd w:id="34"/>
    </w:p>
    <w:p w:rsidR="009F3B59" w:rsidRDefault="009F3B59" w:rsidP="009F3B59">
      <w:r w:rsidRPr="003E5462">
        <w:t>ETN is a recombinant, humanized tumour necrosis factor (TNF) receptor fusion protein, which has high affinity binding to TNF and blocks its interaction with cell surface TNF receptors.</w:t>
      </w:r>
    </w:p>
    <w:p w:rsidR="00920C88" w:rsidRDefault="00920C88" w:rsidP="00920C88">
      <w:pPr>
        <w:pStyle w:val="Heading4"/>
      </w:pPr>
      <w:r>
        <w:t xml:space="preserve">Clinical </w:t>
      </w:r>
      <w:r w:rsidR="00A449FF">
        <w:t>r</w:t>
      </w:r>
      <w:r>
        <w:t>ationale</w:t>
      </w:r>
    </w:p>
    <w:p w:rsidR="009F3B59" w:rsidRDefault="009F3B59" w:rsidP="009F3B59">
      <w:pPr>
        <w:rPr>
          <w:lang w:eastAsia="en-AU"/>
        </w:rPr>
      </w:pPr>
      <w:r w:rsidRPr="000062AF">
        <w:rPr>
          <w:lang w:eastAsia="en-AU"/>
        </w:rPr>
        <w:t xml:space="preserve">JIA encompasses a diverse group of arthritic conditions of unknown </w:t>
      </w:r>
      <w:r w:rsidR="00904313" w:rsidRPr="000062AF">
        <w:rPr>
          <w:lang w:eastAsia="en-AU"/>
        </w:rPr>
        <w:t>aetiology</w:t>
      </w:r>
      <w:r w:rsidRPr="000062AF">
        <w:rPr>
          <w:lang w:eastAsia="en-AU"/>
        </w:rPr>
        <w:t xml:space="preserve"> that begin before the sixteenth birthday, and persist for at least 6 weeks. It is one of the most physically disabling conditions of childhood, with </w:t>
      </w:r>
      <w:r w:rsidR="00904313" w:rsidRPr="000062AF">
        <w:rPr>
          <w:lang w:eastAsia="en-AU"/>
        </w:rPr>
        <w:t>prevalence</w:t>
      </w:r>
      <w:r w:rsidRPr="000062AF">
        <w:rPr>
          <w:lang w:eastAsia="en-AU"/>
        </w:rPr>
        <w:t xml:space="preserve"> in Australia of 0.3% according to the Australian Institute of Health and Welfare 2012 report. JIA is a heterogeneous disorder, and the subtypes have varying clinical and laboratory features that may reflect distinct </w:t>
      </w:r>
      <w:proofErr w:type="spellStart"/>
      <w:r w:rsidRPr="000062AF">
        <w:rPr>
          <w:lang w:eastAsia="en-AU"/>
        </w:rPr>
        <w:t>immunopathogenic</w:t>
      </w:r>
      <w:proofErr w:type="spellEnd"/>
      <w:r w:rsidRPr="000062AF">
        <w:rPr>
          <w:lang w:eastAsia="en-AU"/>
        </w:rPr>
        <w:t xml:space="preserve"> processes. The pathogenesis of each subtype is multifactorial and likely to be triggered by environmental stimuli in genetically susceptible individuals. JIA is a WHO endorsed, internationally accepted umbrella term that has replaced all previously used nomenclatures such as juvenile rheumatoid arthritis (JRA) and ju</w:t>
      </w:r>
      <w:r w:rsidR="00A449FF">
        <w:rPr>
          <w:lang w:eastAsia="en-AU"/>
        </w:rPr>
        <w:t>venile chronic arthritis (JCA).</w:t>
      </w:r>
    </w:p>
    <w:p w:rsidR="009F3B59" w:rsidRDefault="009F3B59" w:rsidP="009F3B59">
      <w:pPr>
        <w:rPr>
          <w:lang w:eastAsia="en-AU"/>
        </w:rPr>
      </w:pPr>
      <w:r>
        <w:rPr>
          <w:lang w:eastAsia="en-AU"/>
        </w:rPr>
        <w:t>Further information is contained within the C</w:t>
      </w:r>
      <w:r w:rsidR="006060C8">
        <w:rPr>
          <w:lang w:eastAsia="en-AU"/>
        </w:rPr>
        <w:t xml:space="preserve">linical </w:t>
      </w:r>
      <w:r>
        <w:rPr>
          <w:lang w:eastAsia="en-AU"/>
        </w:rPr>
        <w:t>E</w:t>
      </w:r>
      <w:r w:rsidR="006060C8">
        <w:rPr>
          <w:lang w:eastAsia="en-AU"/>
        </w:rPr>
        <w:t xml:space="preserve">valuation </w:t>
      </w:r>
      <w:r>
        <w:rPr>
          <w:lang w:eastAsia="en-AU"/>
        </w:rPr>
        <w:t>R</w:t>
      </w:r>
      <w:r w:rsidR="006060C8">
        <w:rPr>
          <w:lang w:eastAsia="en-AU"/>
        </w:rPr>
        <w:t>eport (CER) at Attachment 2</w:t>
      </w:r>
      <w:r>
        <w:rPr>
          <w:lang w:eastAsia="en-AU"/>
        </w:rPr>
        <w:t>.</w:t>
      </w:r>
    </w:p>
    <w:p w:rsidR="00920C88" w:rsidRDefault="00920C88" w:rsidP="00920C88">
      <w:pPr>
        <w:pStyle w:val="Heading4"/>
      </w:pPr>
      <w:r>
        <w:t>Guidance</w:t>
      </w:r>
    </w:p>
    <w:p w:rsidR="009F3B59" w:rsidRDefault="009F3B59" w:rsidP="00A449FF">
      <w:pPr>
        <w:rPr>
          <w:lang w:eastAsia="en-AU"/>
        </w:rPr>
      </w:pPr>
      <w:r>
        <w:rPr>
          <w:lang w:eastAsia="en-AU"/>
        </w:rPr>
        <w:t xml:space="preserve">The TGA has recommended review and consideration of </w:t>
      </w:r>
      <w:r w:rsidR="006060C8">
        <w:rPr>
          <w:lang w:eastAsia="en-AU"/>
        </w:rPr>
        <w:t>one</w:t>
      </w:r>
      <w:r>
        <w:rPr>
          <w:lang w:eastAsia="en-AU"/>
        </w:rPr>
        <w:t xml:space="preserve"> specific regulatory guideline pertaining to the requested extension of indication. The TGA has adopted the EU guideline CPMP/EWP/422/04 “Guideline on Clinical Investigation of Medicinal Products for the Treatment of Juvenile Idiopathic Arthr</w:t>
      </w:r>
      <w:r w:rsidR="00A449FF">
        <w:rPr>
          <w:lang w:eastAsia="en-AU"/>
        </w:rPr>
        <w:t>itis” (effective 26 June 2009).</w:t>
      </w:r>
    </w:p>
    <w:p w:rsidR="009F3B59" w:rsidRDefault="009F3B59" w:rsidP="009F3B59">
      <w:pPr>
        <w:rPr>
          <w:lang w:eastAsia="en-AU"/>
        </w:rPr>
      </w:pPr>
      <w:r>
        <w:rPr>
          <w:lang w:eastAsia="en-AU"/>
        </w:rPr>
        <w:t xml:space="preserve">The sponsor has recommended consideration of 2 related guidelines in reviewing this submission: </w:t>
      </w:r>
      <w:r w:rsidR="00515286">
        <w:rPr>
          <w:lang w:eastAsia="en-AU"/>
        </w:rPr>
        <w:t>Committee for Medicinal Products for Human Use (</w:t>
      </w:r>
      <w:r>
        <w:rPr>
          <w:lang w:eastAsia="en-AU"/>
        </w:rPr>
        <w:t>CHMP</w:t>
      </w:r>
      <w:r w:rsidR="00515286">
        <w:rPr>
          <w:lang w:eastAsia="en-AU"/>
        </w:rPr>
        <w:t>)</w:t>
      </w:r>
      <w:r>
        <w:rPr>
          <w:lang w:eastAsia="en-AU"/>
        </w:rPr>
        <w:t xml:space="preserve"> guidelines on Clinical Trials in Small Populations (July 2006) and </w:t>
      </w:r>
      <w:r w:rsidR="00515286">
        <w:rPr>
          <w:lang w:eastAsia="en-AU"/>
        </w:rPr>
        <w:t>the International Conference on Harmonisation of Technical Requirements for Registration of Pharmaceuticals for Human Use (</w:t>
      </w:r>
      <w:r>
        <w:rPr>
          <w:lang w:eastAsia="en-AU"/>
        </w:rPr>
        <w:t>ICH</w:t>
      </w:r>
      <w:r w:rsidR="00515286">
        <w:rPr>
          <w:lang w:eastAsia="en-AU"/>
        </w:rPr>
        <w:t>)</w:t>
      </w:r>
      <w:r>
        <w:rPr>
          <w:lang w:eastAsia="en-AU"/>
        </w:rPr>
        <w:t xml:space="preserve"> guidelines on Choice of Control Group in Clinical Trials (January 2001).</w:t>
      </w:r>
    </w:p>
    <w:p w:rsidR="009F3B59" w:rsidRDefault="009F3B59" w:rsidP="009F3B59">
      <w:pPr>
        <w:rPr>
          <w:lang w:eastAsia="en-AU"/>
        </w:rPr>
      </w:pPr>
      <w:r>
        <w:rPr>
          <w:lang w:eastAsia="en-AU"/>
        </w:rPr>
        <w:t>Other relevant EU guidelines, adopted by the TGA are: CPMP/ICH/2711/99 “Note for Guidance on Clinical Investigation of Medicinal Products in the Paediatric Population” (effective 19 April 2001), EMEA/CHMP/PEG/194810/2005 “Reflection Paper: Formulations of Choice for the Paediatric Population” (effective 29 June 2009) and CHMP/EWP/147013/2004 “Guideline on the role of Pharmacokinetics in the Development of Medicinal Products in the Paediatric Population” (effective 24 August 2009).</w:t>
      </w:r>
    </w:p>
    <w:p w:rsidR="00920C88" w:rsidRDefault="00920C88" w:rsidP="00920C88">
      <w:pPr>
        <w:pStyle w:val="Heading4"/>
      </w:pPr>
      <w:r>
        <w:t>Contents of the clinical dossier</w:t>
      </w:r>
    </w:p>
    <w:p w:rsidR="00C26864" w:rsidRPr="00C26864" w:rsidRDefault="00C26864" w:rsidP="00A449FF">
      <w:pPr>
        <w:rPr>
          <w:lang w:eastAsia="ja-JP"/>
        </w:rPr>
      </w:pPr>
      <w:r w:rsidRPr="00C26864">
        <w:rPr>
          <w:lang w:eastAsia="ja-JP"/>
        </w:rPr>
        <w:t>The submission contained the following clinical information:</w:t>
      </w:r>
    </w:p>
    <w:p w:rsidR="00C26864" w:rsidRPr="00A449FF" w:rsidRDefault="006060C8" w:rsidP="00A449FF">
      <w:pPr>
        <w:pStyle w:val="ListBullet"/>
      </w:pPr>
      <w:r w:rsidRPr="00A449FF">
        <w:t>One</w:t>
      </w:r>
      <w:r w:rsidR="00C26864" w:rsidRPr="00A449FF">
        <w:t xml:space="preserve"> pivotal efficacy/safety trial (Study 0881A1-3338) evaluating the efficacy and safety of ETN in patients with </w:t>
      </w:r>
      <w:proofErr w:type="spellStart"/>
      <w:r w:rsidR="00C26864" w:rsidRPr="00A449FF">
        <w:t>eoJIA</w:t>
      </w:r>
      <w:proofErr w:type="spellEnd"/>
      <w:r w:rsidR="00C26864" w:rsidRPr="00A449FF">
        <w:t xml:space="preserve">, ERA and </w:t>
      </w:r>
      <w:proofErr w:type="spellStart"/>
      <w:r w:rsidR="00C26864" w:rsidRPr="00A449FF">
        <w:t>PsJIA</w:t>
      </w:r>
      <w:proofErr w:type="spellEnd"/>
      <w:r w:rsidR="00C26864" w:rsidRPr="00A449FF">
        <w:t>.</w:t>
      </w:r>
    </w:p>
    <w:p w:rsidR="00C26864" w:rsidRPr="00A449FF" w:rsidRDefault="00C26864" w:rsidP="00A449FF">
      <w:pPr>
        <w:pStyle w:val="ListBullet"/>
      </w:pPr>
      <w:r w:rsidRPr="00A449FF">
        <w:t>No specific dose</w:t>
      </w:r>
      <w:r w:rsidR="001F68DB" w:rsidRPr="00A449FF">
        <w:t xml:space="preserve"> </w:t>
      </w:r>
      <w:r w:rsidRPr="00A449FF">
        <w:t>finding studies.</w:t>
      </w:r>
    </w:p>
    <w:p w:rsidR="00C26864" w:rsidRPr="00A449FF" w:rsidRDefault="006060C8" w:rsidP="00A449FF">
      <w:pPr>
        <w:pStyle w:val="ListBullet"/>
      </w:pPr>
      <w:r w:rsidRPr="00A449FF">
        <w:t>One</w:t>
      </w:r>
      <w:r w:rsidR="00C26864" w:rsidRPr="00A449FF">
        <w:t xml:space="preserve"> supporting, open</w:t>
      </w:r>
      <w:r w:rsidR="001F68DB" w:rsidRPr="00A449FF">
        <w:t xml:space="preserve"> </w:t>
      </w:r>
      <w:r w:rsidR="00C26864" w:rsidRPr="00A449FF">
        <w:t xml:space="preserve">label trial of up to 10 years duration (Study 20021618) providing efficacy/safety data in patients with </w:t>
      </w:r>
      <w:proofErr w:type="spellStart"/>
      <w:r w:rsidR="00C26864" w:rsidRPr="00A449FF">
        <w:t>polyarticular</w:t>
      </w:r>
      <w:proofErr w:type="spellEnd"/>
      <w:r w:rsidR="00C26864" w:rsidRPr="00A449FF">
        <w:t xml:space="preserve"> JIA. This is a long</w:t>
      </w:r>
      <w:r w:rsidR="001F68DB" w:rsidRPr="00A449FF">
        <w:t xml:space="preserve"> </w:t>
      </w:r>
      <w:r w:rsidR="00C26864" w:rsidRPr="00A449FF">
        <w:t xml:space="preserve">term extension trial of the previously submitted pivotal ETN treatment study in patients with active </w:t>
      </w:r>
      <w:proofErr w:type="spellStart"/>
      <w:r w:rsidR="00C26864" w:rsidRPr="00A449FF">
        <w:t>polyarticular</w:t>
      </w:r>
      <w:proofErr w:type="spellEnd"/>
      <w:r w:rsidR="00C26864" w:rsidRPr="00A449FF">
        <w:t xml:space="preserve"> JIA (Study 16.0016).</w:t>
      </w:r>
    </w:p>
    <w:p w:rsidR="00C26864" w:rsidRPr="00A449FF" w:rsidRDefault="006060C8" w:rsidP="00A449FF">
      <w:pPr>
        <w:pStyle w:val="ListBullet"/>
      </w:pPr>
      <w:r w:rsidRPr="00A449FF">
        <w:t>One</w:t>
      </w:r>
      <w:r w:rsidR="00C26864" w:rsidRPr="00A449FF">
        <w:t xml:space="preserve"> </w:t>
      </w:r>
      <w:r w:rsidRPr="00A449FF">
        <w:t>P</w:t>
      </w:r>
      <w:r w:rsidR="00C26864" w:rsidRPr="00A449FF">
        <w:t xml:space="preserve">hase IV registry study of 36 months duration in patients with active </w:t>
      </w:r>
      <w:proofErr w:type="spellStart"/>
      <w:r w:rsidR="00C26864" w:rsidRPr="00A449FF">
        <w:t>polyarticular</w:t>
      </w:r>
      <w:proofErr w:type="spellEnd"/>
      <w:r w:rsidR="00C26864" w:rsidRPr="00A449FF">
        <w:t xml:space="preserve"> or systemic JIA (Study 20021626), which provided supporting safety and efficacy data, particularly in children 2</w:t>
      </w:r>
      <w:r w:rsidRPr="00A449FF">
        <w:t xml:space="preserve"> to </w:t>
      </w:r>
      <w:r w:rsidR="00C26864" w:rsidRPr="00A449FF">
        <w:t>4 years of age at the commencement of ETN treatment.</w:t>
      </w:r>
    </w:p>
    <w:p w:rsidR="00C26864" w:rsidRPr="00A449FF" w:rsidRDefault="00C26864" w:rsidP="00A449FF">
      <w:pPr>
        <w:pStyle w:val="ListBullet"/>
      </w:pPr>
      <w:r w:rsidRPr="00A449FF">
        <w:t>The sponsor’s Clinical Overview, Summary of Clinical Efficacy, Summary of Clinical Safety and literature references.</w:t>
      </w:r>
    </w:p>
    <w:p w:rsidR="00C26864" w:rsidRPr="00A449FF" w:rsidRDefault="00C26864" w:rsidP="00A449FF">
      <w:pPr>
        <w:pStyle w:val="ListBullet"/>
      </w:pPr>
      <w:r w:rsidRPr="00A449FF">
        <w:t>There was no new clinical pharmacology information.</w:t>
      </w:r>
    </w:p>
    <w:p w:rsidR="00920C88" w:rsidRDefault="00920C88" w:rsidP="00920C88">
      <w:pPr>
        <w:pStyle w:val="Heading4"/>
      </w:pPr>
      <w:r>
        <w:t>Paediatric data</w:t>
      </w:r>
    </w:p>
    <w:p w:rsidR="00C26864" w:rsidRPr="00FA084C" w:rsidRDefault="00C26864" w:rsidP="00C26864">
      <w:r w:rsidRPr="00FA084C">
        <w:t>The submission included paediatric efficacy and safety data as the requested extension of treatment indication is for patients aged 2</w:t>
      </w:r>
      <w:r w:rsidR="006060C8">
        <w:t xml:space="preserve"> to </w:t>
      </w:r>
      <w:r w:rsidRPr="00FA084C">
        <w:t>17 years (depending on JIA subtype).</w:t>
      </w:r>
    </w:p>
    <w:p w:rsidR="00920C88" w:rsidRPr="00920C88" w:rsidRDefault="00920C88" w:rsidP="00920C88">
      <w:pPr>
        <w:pStyle w:val="Heading4"/>
      </w:pPr>
      <w:r>
        <w:t>Good clinical practice</w:t>
      </w:r>
    </w:p>
    <w:p w:rsidR="00C26864" w:rsidRPr="00586F98" w:rsidRDefault="00C26864" w:rsidP="00C26864">
      <w:pPr>
        <w:rPr>
          <w:lang w:eastAsia="ja-JP"/>
        </w:rPr>
      </w:pPr>
      <w:bookmarkStart w:id="35" w:name="_Toc196046464"/>
      <w:bookmarkStart w:id="36" w:name="_Toc247691518"/>
      <w:bookmarkStart w:id="37" w:name="_Toc314842502"/>
      <w:r w:rsidRPr="00FA084C">
        <w:rPr>
          <w:lang w:eastAsia="ja-JP"/>
        </w:rPr>
        <w:t>The pivotal clinical trial (Study 0881A1-3338) and the 2 supporting trials (Studies 20021618 and 20021626) evaluating the use of ETN in children and adolescents with active JIA were conducted in accordance with the principles of Good Clinical Practice (GCP) and compliance with ethical requirements was met.</w:t>
      </w:r>
    </w:p>
    <w:p w:rsidR="008E7846" w:rsidRPr="00254787" w:rsidRDefault="008E7846" w:rsidP="008E7846">
      <w:pPr>
        <w:pStyle w:val="Heading3"/>
      </w:pPr>
      <w:bookmarkStart w:id="38" w:name="_Toc390330063"/>
      <w:r w:rsidRPr="00254787">
        <w:t>Pharmacokinetics</w:t>
      </w:r>
      <w:bookmarkEnd w:id="28"/>
      <w:bookmarkEnd w:id="35"/>
      <w:bookmarkEnd w:id="36"/>
      <w:bookmarkEnd w:id="37"/>
      <w:bookmarkEnd w:id="38"/>
    </w:p>
    <w:p w:rsidR="008E7846" w:rsidRPr="006060C8" w:rsidRDefault="00525E14" w:rsidP="00525E14">
      <w:pPr>
        <w:pStyle w:val="Heading4"/>
      </w:pPr>
      <w:r w:rsidRPr="006060C8">
        <w:t>Studies</w:t>
      </w:r>
      <w:r w:rsidR="00A449FF">
        <w:t xml:space="preserve"> providing pharmacokinetic data</w:t>
      </w:r>
    </w:p>
    <w:p w:rsidR="002040F3" w:rsidRDefault="00C26864" w:rsidP="00C26864">
      <w:r>
        <w:t>No new pharmacokinetic (PK) data was provided in this submission.</w:t>
      </w:r>
    </w:p>
    <w:p w:rsidR="00525E14" w:rsidRDefault="00525E14" w:rsidP="00525E14">
      <w:pPr>
        <w:pStyle w:val="Heading4"/>
      </w:pPr>
      <w:r w:rsidRPr="006060C8">
        <w:t>Evaluator’s conclusions on pharmacokinetics</w:t>
      </w:r>
    </w:p>
    <w:p w:rsidR="00525E14" w:rsidRPr="00525E14" w:rsidRDefault="00C26864" w:rsidP="00525E14">
      <w:r>
        <w:t>The PK properties of ETN in patients aged 4</w:t>
      </w:r>
      <w:r w:rsidR="006060C8">
        <w:t xml:space="preserve"> to </w:t>
      </w:r>
      <w:r>
        <w:t xml:space="preserve">17 years with active </w:t>
      </w:r>
      <w:proofErr w:type="spellStart"/>
      <w:r>
        <w:t>polyarticular</w:t>
      </w:r>
      <w:proofErr w:type="spellEnd"/>
      <w:r>
        <w:t xml:space="preserve"> JIA have been previously assessed.</w:t>
      </w:r>
      <w:r w:rsidR="002040F3">
        <w:t xml:space="preserve"> </w:t>
      </w:r>
      <w:r>
        <w:t>No new PK data was provided in this submission and the sponsor is not proposing any changes to the PK section of the current P</w:t>
      </w:r>
      <w:r w:rsidR="006060C8">
        <w:t>roduct Information (P</w:t>
      </w:r>
      <w:r>
        <w:t>I</w:t>
      </w:r>
      <w:r w:rsidR="006060C8">
        <w:t xml:space="preserve">). For subjects aged 2 to less than </w:t>
      </w:r>
      <w:r>
        <w:t xml:space="preserve">4 years of age, no PK data for ETN </w:t>
      </w:r>
      <w:r w:rsidR="00D31E62">
        <w:t xml:space="preserve">have </w:t>
      </w:r>
      <w:r>
        <w:t>ever been presented, or probably investigated.</w:t>
      </w:r>
    </w:p>
    <w:p w:rsidR="008E7846" w:rsidRDefault="008E7846" w:rsidP="008E7846">
      <w:pPr>
        <w:pStyle w:val="Heading3"/>
      </w:pPr>
      <w:bookmarkStart w:id="39" w:name="_Toc196046481"/>
      <w:bookmarkStart w:id="40" w:name="_Toc247691520"/>
      <w:bookmarkStart w:id="41" w:name="_Toc314842503"/>
      <w:bookmarkStart w:id="42" w:name="_Toc390330064"/>
      <w:r w:rsidRPr="00254787">
        <w:t>Pharmacodynamics</w:t>
      </w:r>
      <w:bookmarkEnd w:id="29"/>
      <w:bookmarkEnd w:id="39"/>
      <w:bookmarkEnd w:id="40"/>
      <w:bookmarkEnd w:id="41"/>
      <w:bookmarkEnd w:id="42"/>
    </w:p>
    <w:p w:rsidR="00C26864" w:rsidRPr="009C58E2" w:rsidRDefault="00525E14" w:rsidP="00525E14">
      <w:pPr>
        <w:pStyle w:val="Heading4"/>
      </w:pPr>
      <w:bookmarkStart w:id="43" w:name="_Toc163441372"/>
      <w:bookmarkStart w:id="44" w:name="_Toc196046485"/>
      <w:bookmarkStart w:id="45" w:name="_Toc247691521"/>
      <w:bookmarkStart w:id="46" w:name="_Toc314842504"/>
      <w:r w:rsidRPr="009C58E2">
        <w:t xml:space="preserve">Studies providing </w:t>
      </w:r>
      <w:proofErr w:type="spellStart"/>
      <w:r w:rsidRPr="009C58E2">
        <w:t>pharmacodynamic</w:t>
      </w:r>
      <w:proofErr w:type="spellEnd"/>
      <w:r w:rsidRPr="009C58E2">
        <w:t xml:space="preserve"> data</w:t>
      </w:r>
    </w:p>
    <w:p w:rsidR="00C26864" w:rsidRDefault="00C26864" w:rsidP="00C26864">
      <w:r>
        <w:t xml:space="preserve">No new </w:t>
      </w:r>
      <w:proofErr w:type="spellStart"/>
      <w:r>
        <w:t>pharmacodynamic</w:t>
      </w:r>
      <w:proofErr w:type="spellEnd"/>
      <w:r>
        <w:t xml:space="preserve"> (PD) data was provided in this submission.</w:t>
      </w:r>
    </w:p>
    <w:p w:rsidR="00525E14" w:rsidRDefault="00525E14" w:rsidP="00525E14">
      <w:pPr>
        <w:pStyle w:val="Heading4"/>
      </w:pPr>
      <w:r w:rsidRPr="009C58E2">
        <w:t>Evaluator’s conclusions on pharmacodynamics</w:t>
      </w:r>
    </w:p>
    <w:p w:rsidR="00C26864" w:rsidRDefault="00C26864" w:rsidP="00C26864">
      <w:r>
        <w:t>The PD properties of ETN when used in patients aged 4</w:t>
      </w:r>
      <w:r w:rsidR="009C58E2">
        <w:t xml:space="preserve"> to </w:t>
      </w:r>
      <w:r>
        <w:t xml:space="preserve">17 years with active </w:t>
      </w:r>
      <w:proofErr w:type="spellStart"/>
      <w:r>
        <w:t>polyarticular</w:t>
      </w:r>
      <w:proofErr w:type="spellEnd"/>
      <w:r>
        <w:t xml:space="preserve"> JIA have been previously assessed. No new PD data </w:t>
      </w:r>
      <w:r w:rsidR="00D31E62">
        <w:t xml:space="preserve">were </w:t>
      </w:r>
      <w:r>
        <w:t>presented in this submission and the sponsor is not proposing any changes to th</w:t>
      </w:r>
      <w:r w:rsidR="00A449FF">
        <w:t>e PD section of the current PI.</w:t>
      </w:r>
    </w:p>
    <w:p w:rsidR="005E23C8" w:rsidRDefault="005E23C8" w:rsidP="005E23C8">
      <w:pPr>
        <w:pStyle w:val="Heading3"/>
      </w:pPr>
      <w:bookmarkStart w:id="47" w:name="_Toc390330065"/>
      <w:r w:rsidRPr="005E23C8">
        <w:t>Dosage selection for the pivotal studies</w:t>
      </w:r>
      <w:bookmarkEnd w:id="47"/>
    </w:p>
    <w:p w:rsidR="00C26864" w:rsidRPr="00FA084C" w:rsidRDefault="00C26864" w:rsidP="00C26864">
      <w:r w:rsidRPr="00FA084C">
        <w:t>Although no specific dose</w:t>
      </w:r>
      <w:r w:rsidR="001F68DB">
        <w:t xml:space="preserve"> </w:t>
      </w:r>
      <w:r w:rsidRPr="00FA084C">
        <w:t xml:space="preserve">finding studies have been performed for patients with JIA, the dose and administration frequency of ETN used in the pivotal study (0881A1-3338), and proposed by the sponsor for licensing, </w:t>
      </w:r>
      <w:r w:rsidR="00A449FF">
        <w:t>have been reasonably justified.</w:t>
      </w:r>
    </w:p>
    <w:p w:rsidR="00C26864" w:rsidRPr="00FA084C" w:rsidRDefault="00C26864" w:rsidP="00C26864">
      <w:r w:rsidRPr="00FA084C">
        <w:t>The sponsor is proposing that ETN be administered by SC in</w:t>
      </w:r>
      <w:r w:rsidR="009C58E2">
        <w:t>jection at a weekly dose of 0.8 </w:t>
      </w:r>
      <w:r w:rsidRPr="00FA084C">
        <w:t xml:space="preserve">mg/kg (up to a maximum weekly dose of 50 mg). The therapy can </w:t>
      </w:r>
      <w:r w:rsidR="009C58E2">
        <w:t xml:space="preserve">be given either twice weekly (3 to </w:t>
      </w:r>
      <w:r w:rsidRPr="00FA084C">
        <w:t>4 days apart) at a dose of 0.4 mg/kg (as per the currently approved posology in children with JIA), or once weekly at a dose 0.8 mg/kg. In the pivotal trial (Study 0881A1-3338) patients received ETN at a dose of 0.8 mg/kg once weekly. The once weekly dosing regimen is also approved for children and adolescents with plaque psoriasis; and for adults with RA, psoriasis and AS. Based on PK modelling data, simulation results suggest that ETN 0.8 mg/kg/week given by once weekly injection versus twice weekly 0.4</w:t>
      </w:r>
      <w:r w:rsidR="009C58E2">
        <w:t> </w:t>
      </w:r>
      <w:r w:rsidRPr="00FA084C">
        <w:t xml:space="preserve">mg/kg achieves a comparable drug exposure. The doses of background treatment with </w:t>
      </w:r>
      <w:r w:rsidR="00515286">
        <w:t>Methotrexate (</w:t>
      </w:r>
      <w:r w:rsidRPr="00FA084C">
        <w:t>MTX</w:t>
      </w:r>
      <w:r w:rsidR="00515286">
        <w:t>)</w:t>
      </w:r>
      <w:r w:rsidRPr="00FA084C">
        <w:t xml:space="preserve">, corticosteroids and </w:t>
      </w:r>
      <w:r w:rsidR="00904313">
        <w:t>non-steroidal</w:t>
      </w:r>
      <w:r w:rsidR="00515286">
        <w:t xml:space="preserve"> anti-inflammatory (</w:t>
      </w:r>
      <w:r w:rsidRPr="00FA084C">
        <w:t>NSAID</w:t>
      </w:r>
      <w:r w:rsidR="00515286">
        <w:t>)</w:t>
      </w:r>
      <w:r w:rsidRPr="00FA084C">
        <w:t xml:space="preserve"> when used by patients in the pivotal study (0881A1-3338) were appropriate, and consistent with contemporary clinical practice in Australia.</w:t>
      </w:r>
    </w:p>
    <w:p w:rsidR="008E7846" w:rsidRDefault="008E7846" w:rsidP="008E7846">
      <w:pPr>
        <w:pStyle w:val="Heading3"/>
      </w:pPr>
      <w:bookmarkStart w:id="48" w:name="_Toc390330066"/>
      <w:r w:rsidRPr="005E23C8">
        <w:t>Efficacy</w:t>
      </w:r>
      <w:bookmarkEnd w:id="43"/>
      <w:bookmarkEnd w:id="44"/>
      <w:bookmarkEnd w:id="45"/>
      <w:bookmarkEnd w:id="46"/>
      <w:bookmarkEnd w:id="48"/>
    </w:p>
    <w:p w:rsidR="008E7846" w:rsidRDefault="00525E14" w:rsidP="00525E14">
      <w:pPr>
        <w:pStyle w:val="Heading4"/>
      </w:pPr>
      <w:bookmarkStart w:id="49" w:name="_Toc184439992"/>
      <w:bookmarkStart w:id="50" w:name="_Toc184440279"/>
      <w:bookmarkStart w:id="51" w:name="_Toc184444657"/>
      <w:bookmarkStart w:id="52" w:name="_Toc196046487"/>
      <w:r w:rsidRPr="008E58AF">
        <w:t>Studies providing efficacy data</w:t>
      </w:r>
    </w:p>
    <w:p w:rsidR="00C26864" w:rsidRDefault="00C26864" w:rsidP="00C26864">
      <w:pPr>
        <w:rPr>
          <w:lang w:eastAsia="ja-JP"/>
        </w:rPr>
      </w:pPr>
      <w:r>
        <w:rPr>
          <w:lang w:eastAsia="ja-JP"/>
        </w:rPr>
        <w:t>The pivotal efficacy s</w:t>
      </w:r>
      <w:r w:rsidR="00561270">
        <w:rPr>
          <w:lang w:eastAsia="ja-JP"/>
        </w:rPr>
        <w:t xml:space="preserve">tudy (0881A1-3338) was a Phase </w:t>
      </w:r>
      <w:proofErr w:type="spellStart"/>
      <w:r w:rsidR="00561270">
        <w:rPr>
          <w:lang w:eastAsia="ja-JP"/>
        </w:rPr>
        <w:t>III</w:t>
      </w:r>
      <w:r>
        <w:rPr>
          <w:lang w:eastAsia="ja-JP"/>
        </w:rPr>
        <w:t>b</w:t>
      </w:r>
      <w:proofErr w:type="spellEnd"/>
      <w:r>
        <w:rPr>
          <w:lang w:eastAsia="ja-JP"/>
        </w:rPr>
        <w:t>, single treatment, open</w:t>
      </w:r>
      <w:r w:rsidR="001F68DB">
        <w:rPr>
          <w:lang w:eastAsia="ja-JP"/>
        </w:rPr>
        <w:t xml:space="preserve"> </w:t>
      </w:r>
      <w:r>
        <w:rPr>
          <w:lang w:eastAsia="ja-JP"/>
        </w:rPr>
        <w:t xml:space="preserve">label trial conducted in 2 parts to evaluate the efficacy and safety of ETN in children and adolescents with </w:t>
      </w:r>
      <w:proofErr w:type="spellStart"/>
      <w:r>
        <w:rPr>
          <w:lang w:eastAsia="ja-JP"/>
        </w:rPr>
        <w:t>eoJIA</w:t>
      </w:r>
      <w:proofErr w:type="spellEnd"/>
      <w:r>
        <w:rPr>
          <w:lang w:eastAsia="ja-JP"/>
        </w:rPr>
        <w:t xml:space="preserve">, ERA or </w:t>
      </w:r>
      <w:proofErr w:type="spellStart"/>
      <w:r>
        <w:rPr>
          <w:lang w:eastAsia="ja-JP"/>
        </w:rPr>
        <w:t>PsJIA</w:t>
      </w:r>
      <w:proofErr w:type="spellEnd"/>
      <w:r>
        <w:rPr>
          <w:lang w:eastAsia="ja-JP"/>
        </w:rPr>
        <w:t>.</w:t>
      </w:r>
    </w:p>
    <w:p w:rsidR="00C26864" w:rsidRDefault="00C26864" w:rsidP="00C26864">
      <w:pPr>
        <w:rPr>
          <w:lang w:eastAsia="ja-JP"/>
        </w:rPr>
      </w:pPr>
      <w:r>
        <w:rPr>
          <w:lang w:eastAsia="ja-JP"/>
        </w:rPr>
        <w:t>Study 20021618 was a long</w:t>
      </w:r>
      <w:r w:rsidR="001F68DB">
        <w:rPr>
          <w:lang w:eastAsia="ja-JP"/>
        </w:rPr>
        <w:t xml:space="preserve"> </w:t>
      </w:r>
      <w:r>
        <w:rPr>
          <w:lang w:eastAsia="ja-JP"/>
        </w:rPr>
        <w:t>term (up to 10 years), open</w:t>
      </w:r>
      <w:r w:rsidR="001F68DB">
        <w:rPr>
          <w:lang w:eastAsia="ja-JP"/>
        </w:rPr>
        <w:t xml:space="preserve"> </w:t>
      </w:r>
      <w:r>
        <w:rPr>
          <w:lang w:eastAsia="ja-JP"/>
        </w:rPr>
        <w:t xml:space="preserve">label, extension study for paediatric subjects with active </w:t>
      </w:r>
      <w:r w:rsidR="00515286" w:rsidRPr="00515286">
        <w:rPr>
          <w:lang w:eastAsia="ja-JP"/>
        </w:rPr>
        <w:t>Disea</w:t>
      </w:r>
      <w:r w:rsidR="00515286">
        <w:rPr>
          <w:lang w:eastAsia="ja-JP"/>
        </w:rPr>
        <w:t>se</w:t>
      </w:r>
      <w:r w:rsidR="001F68DB">
        <w:rPr>
          <w:lang w:eastAsia="ja-JP"/>
        </w:rPr>
        <w:t xml:space="preserve"> </w:t>
      </w:r>
      <w:r w:rsidR="00515286">
        <w:rPr>
          <w:lang w:eastAsia="ja-JP"/>
        </w:rPr>
        <w:t xml:space="preserve">modifying </w:t>
      </w:r>
      <w:proofErr w:type="spellStart"/>
      <w:r w:rsidR="00515286">
        <w:rPr>
          <w:lang w:eastAsia="ja-JP"/>
        </w:rPr>
        <w:t>antirheumatic</w:t>
      </w:r>
      <w:proofErr w:type="spellEnd"/>
      <w:r w:rsidR="00515286">
        <w:rPr>
          <w:lang w:eastAsia="ja-JP"/>
        </w:rPr>
        <w:t xml:space="preserve"> drug</w:t>
      </w:r>
      <w:r w:rsidR="00515286" w:rsidRPr="00515286">
        <w:rPr>
          <w:lang w:eastAsia="ja-JP"/>
        </w:rPr>
        <w:t xml:space="preserve"> </w:t>
      </w:r>
      <w:r w:rsidR="00515286">
        <w:rPr>
          <w:lang w:eastAsia="ja-JP"/>
        </w:rPr>
        <w:t>(</w:t>
      </w:r>
      <w:r>
        <w:rPr>
          <w:lang w:eastAsia="ja-JP"/>
        </w:rPr>
        <w:t>DMARD</w:t>
      </w:r>
      <w:r w:rsidR="00515286">
        <w:rPr>
          <w:lang w:eastAsia="ja-JP"/>
        </w:rPr>
        <w:t>) r</w:t>
      </w:r>
      <w:r>
        <w:rPr>
          <w:lang w:eastAsia="ja-JP"/>
        </w:rPr>
        <w:t>efractory JIA who previously participated in the initial ETN JIA treatment study (16.0016).</w:t>
      </w:r>
    </w:p>
    <w:p w:rsidR="00C26864" w:rsidRDefault="00C26864" w:rsidP="00C26864">
      <w:pPr>
        <w:rPr>
          <w:lang w:eastAsia="ja-JP"/>
        </w:rPr>
      </w:pPr>
      <w:r>
        <w:rPr>
          <w:lang w:eastAsia="ja-JP"/>
        </w:rPr>
        <w:t>Study 20021626 was an open</w:t>
      </w:r>
      <w:r w:rsidR="001F68DB">
        <w:rPr>
          <w:lang w:eastAsia="ja-JP"/>
        </w:rPr>
        <w:t xml:space="preserve"> </w:t>
      </w:r>
      <w:r>
        <w:rPr>
          <w:lang w:eastAsia="ja-JP"/>
        </w:rPr>
        <w:t xml:space="preserve">label, </w:t>
      </w:r>
      <w:r w:rsidR="00904313">
        <w:rPr>
          <w:lang w:eastAsia="ja-JP"/>
        </w:rPr>
        <w:t>non-randomized</w:t>
      </w:r>
      <w:r>
        <w:rPr>
          <w:lang w:eastAsia="ja-JP"/>
        </w:rPr>
        <w:t xml:space="preserve">, </w:t>
      </w:r>
      <w:r w:rsidR="00515286">
        <w:rPr>
          <w:lang w:eastAsia="ja-JP"/>
        </w:rPr>
        <w:t>Phase</w:t>
      </w:r>
      <w:r>
        <w:rPr>
          <w:lang w:eastAsia="ja-JP"/>
        </w:rPr>
        <w:t xml:space="preserve"> IV registry study for children aged 2</w:t>
      </w:r>
      <w:r w:rsidR="008E58AF">
        <w:rPr>
          <w:lang w:eastAsia="ja-JP"/>
        </w:rPr>
        <w:t xml:space="preserve"> to </w:t>
      </w:r>
      <w:r>
        <w:rPr>
          <w:lang w:eastAsia="ja-JP"/>
        </w:rPr>
        <w:t xml:space="preserve">18 years with a diagnosis of </w:t>
      </w:r>
      <w:proofErr w:type="spellStart"/>
      <w:r>
        <w:rPr>
          <w:lang w:eastAsia="ja-JP"/>
        </w:rPr>
        <w:t>polyarticular</w:t>
      </w:r>
      <w:proofErr w:type="spellEnd"/>
      <w:r>
        <w:rPr>
          <w:lang w:eastAsia="ja-JP"/>
        </w:rPr>
        <w:t xml:space="preserve"> or systemic JIA who were recently commenced upon or currently receiving ETN alo</w:t>
      </w:r>
      <w:r w:rsidR="008E58AF">
        <w:rPr>
          <w:lang w:eastAsia="ja-JP"/>
        </w:rPr>
        <w:t>ne, or in combination with MTX, with or without</w:t>
      </w:r>
      <w:r w:rsidR="002040F3">
        <w:rPr>
          <w:lang w:eastAsia="ja-JP"/>
        </w:rPr>
        <w:t xml:space="preserve"> </w:t>
      </w:r>
      <w:r>
        <w:rPr>
          <w:lang w:eastAsia="ja-JP"/>
        </w:rPr>
        <w:t xml:space="preserve">other </w:t>
      </w:r>
      <w:r w:rsidR="00904313">
        <w:rPr>
          <w:lang w:eastAsia="ja-JP"/>
        </w:rPr>
        <w:t>non-biological</w:t>
      </w:r>
      <w:r>
        <w:rPr>
          <w:lang w:eastAsia="ja-JP"/>
        </w:rPr>
        <w:t xml:space="preserve"> DMARDs.</w:t>
      </w:r>
    </w:p>
    <w:p w:rsidR="00C26864" w:rsidRPr="00C26864" w:rsidRDefault="00C26864" w:rsidP="00C26864">
      <w:r>
        <w:rPr>
          <w:lang w:eastAsia="ja-JP"/>
        </w:rPr>
        <w:t>Further information can be found in the CER.</w:t>
      </w:r>
    </w:p>
    <w:p w:rsidR="00525E14" w:rsidRDefault="00525E14" w:rsidP="00A449FF">
      <w:pPr>
        <w:pStyle w:val="Heading4"/>
      </w:pPr>
      <w:r w:rsidRPr="008E58AF">
        <w:t xml:space="preserve">Evaluator’s </w:t>
      </w:r>
      <w:r w:rsidRPr="00A449FF">
        <w:t>conclusions</w:t>
      </w:r>
      <w:r w:rsidRPr="008E58AF">
        <w:t xml:space="preserve"> on efficacy</w:t>
      </w:r>
    </w:p>
    <w:p w:rsidR="00C26864" w:rsidRPr="00C26864" w:rsidRDefault="00C26864" w:rsidP="00A449FF">
      <w:pPr>
        <w:pStyle w:val="Heading5"/>
      </w:pPr>
      <w:proofErr w:type="gramStart"/>
      <w:r w:rsidRPr="00C26864">
        <w:t xml:space="preserve">For </w:t>
      </w:r>
      <w:proofErr w:type="spellStart"/>
      <w:r w:rsidRPr="00C26864">
        <w:t>etanercept</w:t>
      </w:r>
      <w:proofErr w:type="spellEnd"/>
      <w:r w:rsidRPr="00C26864">
        <w:t xml:space="preserve"> for the treatment of active juvenile idiopathic arthritis in patients aged 2 years and older.</w:t>
      </w:r>
      <w:proofErr w:type="gramEnd"/>
    </w:p>
    <w:p w:rsidR="002075AF" w:rsidRDefault="00C26864" w:rsidP="00C26864">
      <w:pPr>
        <w:rPr>
          <w:lang w:eastAsia="ja-JP"/>
        </w:rPr>
      </w:pPr>
      <w:r w:rsidRPr="00C26864">
        <w:rPr>
          <w:lang w:eastAsia="ja-JP"/>
        </w:rPr>
        <w:t>Juvenile idiopathic arthritis affects approximately 1 in 1000 children in Australia, and the majority of cases are one of the 5 subtypes included in this submission. There is significant unmet need for additional effective therapies as response to current treatment options is variable.</w:t>
      </w:r>
    </w:p>
    <w:p w:rsidR="002075AF" w:rsidRDefault="00C26864" w:rsidP="00C26864">
      <w:pPr>
        <w:rPr>
          <w:lang w:eastAsia="ja-JP"/>
        </w:rPr>
      </w:pPr>
      <w:r w:rsidRPr="00C26864">
        <w:rPr>
          <w:lang w:eastAsia="ja-JP"/>
        </w:rPr>
        <w:t xml:space="preserve">In support of the extension of indication of ETN to include the treatment of active extended </w:t>
      </w:r>
      <w:proofErr w:type="spellStart"/>
      <w:r w:rsidRPr="00C26864">
        <w:rPr>
          <w:lang w:eastAsia="ja-JP"/>
        </w:rPr>
        <w:t>oligarticular</w:t>
      </w:r>
      <w:proofErr w:type="spellEnd"/>
      <w:r w:rsidRPr="00C26864">
        <w:rPr>
          <w:lang w:eastAsia="ja-JP"/>
        </w:rPr>
        <w:t xml:space="preserve"> juvenile idiopathic arthritis in patients 2 years of age and older; and active </w:t>
      </w:r>
      <w:proofErr w:type="spellStart"/>
      <w:r w:rsidRPr="00C26864">
        <w:rPr>
          <w:lang w:eastAsia="ja-JP"/>
        </w:rPr>
        <w:t>enthesitis</w:t>
      </w:r>
      <w:proofErr w:type="spellEnd"/>
      <w:r w:rsidR="001F68DB">
        <w:rPr>
          <w:lang w:eastAsia="ja-JP"/>
        </w:rPr>
        <w:t xml:space="preserve"> </w:t>
      </w:r>
      <w:r w:rsidRPr="00C26864">
        <w:rPr>
          <w:lang w:eastAsia="ja-JP"/>
        </w:rPr>
        <w:t xml:space="preserve">related arthritis and psoriatic arthritis in patients 12 years of age and older, the sponsor has provided data from a single pivotal </w:t>
      </w:r>
      <w:r w:rsidR="008E58AF">
        <w:rPr>
          <w:lang w:eastAsia="ja-JP"/>
        </w:rPr>
        <w:t>Phase III</w:t>
      </w:r>
      <w:r w:rsidRPr="00C26864">
        <w:rPr>
          <w:lang w:eastAsia="ja-JP"/>
        </w:rPr>
        <w:t xml:space="preserve"> trial (Study 0881A1-3338) which had a 12</w:t>
      </w:r>
      <w:r w:rsidR="001F68DB">
        <w:rPr>
          <w:lang w:eastAsia="ja-JP"/>
        </w:rPr>
        <w:t xml:space="preserve"> </w:t>
      </w:r>
      <w:r w:rsidRPr="00C26864">
        <w:rPr>
          <w:lang w:eastAsia="ja-JP"/>
        </w:rPr>
        <w:t>week, open</w:t>
      </w:r>
      <w:r w:rsidR="001F68DB">
        <w:rPr>
          <w:lang w:eastAsia="ja-JP"/>
        </w:rPr>
        <w:t xml:space="preserve"> </w:t>
      </w:r>
      <w:r w:rsidRPr="00C26864">
        <w:rPr>
          <w:lang w:eastAsia="ja-JP"/>
        </w:rPr>
        <w:t>label, active treatment period; followed by a long</w:t>
      </w:r>
      <w:r w:rsidR="001F68DB">
        <w:rPr>
          <w:lang w:eastAsia="ja-JP"/>
        </w:rPr>
        <w:t xml:space="preserve"> </w:t>
      </w:r>
      <w:r w:rsidRPr="00C26864">
        <w:rPr>
          <w:lang w:eastAsia="ja-JP"/>
        </w:rPr>
        <w:t>term extension phase which was not included in this submission. The study recruited 127 patients who had demonstrated an inadequate response to conventional DMARD treatment (typically MTX</w:t>
      </w:r>
      <w:r w:rsidR="0039405C">
        <w:rPr>
          <w:lang w:eastAsia="ja-JP"/>
        </w:rPr>
        <w:t>)</w:t>
      </w:r>
      <w:r w:rsidRPr="00C26864">
        <w:rPr>
          <w:lang w:eastAsia="ja-JP"/>
        </w:rPr>
        <w:t>, or appropriate prior therapy f</w:t>
      </w:r>
      <w:r w:rsidR="00A449FF">
        <w:rPr>
          <w:lang w:eastAsia="ja-JP"/>
        </w:rPr>
        <w:t>or study participants with ERA.</w:t>
      </w:r>
    </w:p>
    <w:p w:rsidR="002075AF" w:rsidRDefault="00C26864" w:rsidP="00C26864">
      <w:pPr>
        <w:rPr>
          <w:lang w:eastAsia="ja-JP"/>
        </w:rPr>
      </w:pPr>
      <w:r w:rsidRPr="00C26864">
        <w:rPr>
          <w:lang w:eastAsia="ja-JP"/>
        </w:rPr>
        <w:t>Supportive evidence of efficacy was provided by a 10 year, open</w:t>
      </w:r>
      <w:r w:rsidR="001F68DB">
        <w:rPr>
          <w:lang w:eastAsia="ja-JP"/>
        </w:rPr>
        <w:t xml:space="preserve"> </w:t>
      </w:r>
      <w:r w:rsidRPr="00C26864">
        <w:rPr>
          <w:lang w:eastAsia="ja-JP"/>
        </w:rPr>
        <w:t xml:space="preserve">label study (Study 20021618) which enrolled 58 paediatric subjects with </w:t>
      </w:r>
      <w:proofErr w:type="spellStart"/>
      <w:r w:rsidRPr="00C26864">
        <w:rPr>
          <w:lang w:eastAsia="ja-JP"/>
        </w:rPr>
        <w:t>polyarticular</w:t>
      </w:r>
      <w:proofErr w:type="spellEnd"/>
      <w:r w:rsidRPr="00C26864">
        <w:rPr>
          <w:lang w:eastAsia="ja-JP"/>
        </w:rPr>
        <w:t xml:space="preserve"> JIA; and a 36 month registry trial (Study 20021626) whereby 397 paediatric patients received ETN, either alone or in combination with MTX. The registry study included 47 subjects aged between 2</w:t>
      </w:r>
      <w:r w:rsidR="000C6353">
        <w:rPr>
          <w:lang w:eastAsia="ja-JP"/>
        </w:rPr>
        <w:t xml:space="preserve"> to </w:t>
      </w:r>
      <w:r w:rsidRPr="00C26864">
        <w:rPr>
          <w:lang w:eastAsia="ja-JP"/>
        </w:rPr>
        <w:t xml:space="preserve">4 years with </w:t>
      </w:r>
      <w:proofErr w:type="spellStart"/>
      <w:r w:rsidRPr="00C26864">
        <w:rPr>
          <w:lang w:eastAsia="ja-JP"/>
        </w:rPr>
        <w:t>polyarticular</w:t>
      </w:r>
      <w:proofErr w:type="spellEnd"/>
      <w:r w:rsidRPr="00C26864">
        <w:rPr>
          <w:lang w:eastAsia="ja-JP"/>
        </w:rPr>
        <w:t xml:space="preserve"> JIA.</w:t>
      </w:r>
    </w:p>
    <w:p w:rsidR="00C26864" w:rsidRPr="00C26864" w:rsidRDefault="00C26864" w:rsidP="00C26864">
      <w:pPr>
        <w:rPr>
          <w:lang w:eastAsia="ja-JP"/>
        </w:rPr>
      </w:pPr>
      <w:r w:rsidRPr="00C26864">
        <w:rPr>
          <w:lang w:eastAsia="ja-JP"/>
        </w:rPr>
        <w:t xml:space="preserve">The submission has gained approval in the European Union </w:t>
      </w:r>
      <w:r w:rsidR="000C6353">
        <w:rPr>
          <w:lang w:eastAsia="ja-JP"/>
        </w:rPr>
        <w:t xml:space="preserve">(EU) </w:t>
      </w:r>
      <w:r w:rsidRPr="00C26864">
        <w:rPr>
          <w:lang w:eastAsia="ja-JP"/>
        </w:rPr>
        <w:t>and is consistent with the sponsor recom</w:t>
      </w:r>
      <w:r w:rsidR="000C6353">
        <w:rPr>
          <w:lang w:eastAsia="ja-JP"/>
        </w:rPr>
        <w:t>mended guidelines of interest (that is,</w:t>
      </w:r>
      <w:r w:rsidRPr="00C26864">
        <w:rPr>
          <w:lang w:eastAsia="ja-JP"/>
        </w:rPr>
        <w:t xml:space="preserve"> CHMP guidelines on Clinical Trials in Small Populations </w:t>
      </w:r>
      <w:r w:rsidR="000C6353">
        <w:rPr>
          <w:lang w:eastAsia="ja-JP"/>
        </w:rPr>
        <w:t>(</w:t>
      </w:r>
      <w:r w:rsidRPr="00C26864">
        <w:rPr>
          <w:lang w:eastAsia="ja-JP"/>
        </w:rPr>
        <w:t>July 2006</w:t>
      </w:r>
      <w:r w:rsidR="000C6353">
        <w:rPr>
          <w:lang w:eastAsia="ja-JP"/>
        </w:rPr>
        <w:t>)</w:t>
      </w:r>
      <w:r w:rsidRPr="00C26864">
        <w:rPr>
          <w:lang w:eastAsia="ja-JP"/>
        </w:rPr>
        <w:t xml:space="preserve"> ICH guidelines on Choice of Control Group in Clinical Trials </w:t>
      </w:r>
      <w:r w:rsidR="000C6353">
        <w:rPr>
          <w:lang w:eastAsia="ja-JP"/>
        </w:rPr>
        <w:t>(</w:t>
      </w:r>
      <w:r w:rsidRPr="00C26864">
        <w:rPr>
          <w:lang w:eastAsia="ja-JP"/>
        </w:rPr>
        <w:t>January 2001</w:t>
      </w:r>
      <w:r w:rsidR="000C6353">
        <w:rPr>
          <w:lang w:eastAsia="ja-JP"/>
        </w:rPr>
        <w:t>)</w:t>
      </w:r>
      <w:r w:rsidRPr="00C26864">
        <w:rPr>
          <w:lang w:eastAsia="ja-JP"/>
        </w:rPr>
        <w:t>). However, the submission is not entirely consistent with the TGA adopted regulatory guideline pertaining to the requested extension of indication: EU guideline CPMP/EWP/422/04 “Guideline on Clinical Investigation of Medicinal Products for the Treatment of Juvenile Idiopathic Arthritis” (effective 26 June 2009). In particular the lack of an active treatment then randomised treatment withdrawal design is not evident in the pivotal study. Otherwise, the 3 trials collectively provide a sufficient exposure for evaluation of efficacy that is appropriate for the claimed indications. Furthermore, a sufficient number of patients have been studied for an acceptable duration of therapy. For Study 0881A1-3338, the choice of efficacy endpoints and statistical analysis were appropriately performed. Because all the trials were open</w:t>
      </w:r>
      <w:r w:rsidR="001F68DB">
        <w:rPr>
          <w:lang w:eastAsia="ja-JP"/>
        </w:rPr>
        <w:t xml:space="preserve"> </w:t>
      </w:r>
      <w:r w:rsidRPr="00C26864">
        <w:rPr>
          <w:lang w:eastAsia="ja-JP"/>
        </w:rPr>
        <w:t>label, strategies to maintain blinding and randomisation procedures were not con</w:t>
      </w:r>
      <w:r w:rsidR="00A449FF">
        <w:rPr>
          <w:lang w:eastAsia="ja-JP"/>
        </w:rPr>
        <w:t>sidered.</w:t>
      </w:r>
    </w:p>
    <w:p w:rsidR="00C26864" w:rsidRPr="00C26864" w:rsidRDefault="00C26864" w:rsidP="00C26864">
      <w:pPr>
        <w:rPr>
          <w:lang w:eastAsia="ja-JP"/>
        </w:rPr>
      </w:pPr>
      <w:r w:rsidRPr="00C26864">
        <w:rPr>
          <w:lang w:eastAsia="ja-JP"/>
        </w:rPr>
        <w:t>The baseline demographic and disease related characteristics of patients in the JIA ETN treatment studies are similar to those in the anticipated Australian patient cohort, and therefore generalisation of these results to the Australian context is expected. The majority of patients were female, of Caucasian ethnicity with a broad age range between 2 and 17 years. However, there are some caveats to the generalizability of the treatment population. For example, Study 0881A1-3338 excluded patients who were at a significant risk of infection, or who had various abnormal laboratory results at baseline (</w:t>
      </w:r>
      <w:r w:rsidR="000C6353">
        <w:rPr>
          <w:lang w:eastAsia="ja-JP"/>
        </w:rPr>
        <w:t>for example,</w:t>
      </w:r>
      <w:r w:rsidRPr="00C26864">
        <w:rPr>
          <w:lang w:eastAsia="ja-JP"/>
        </w:rPr>
        <w:t xml:space="preserve"> abnormal haematology or liver function tests).</w:t>
      </w:r>
    </w:p>
    <w:p w:rsidR="00B35F99" w:rsidRDefault="00C26864" w:rsidP="00C26864">
      <w:pPr>
        <w:rPr>
          <w:lang w:eastAsia="ja-JP"/>
        </w:rPr>
      </w:pPr>
      <w:r w:rsidRPr="00C26864">
        <w:rPr>
          <w:lang w:eastAsia="ja-JP"/>
        </w:rPr>
        <w:t xml:space="preserve">The pivotal trial (Study 0881A1-3338) enrolled patients with moderately active JIA (of 3 different subtypes), and demonstrated that ETN is an effective treatment in those who have either failed to respond to conventional treatment options, such as </w:t>
      </w:r>
      <w:r w:rsidR="0039405C">
        <w:rPr>
          <w:lang w:eastAsia="ja-JP"/>
        </w:rPr>
        <w:t xml:space="preserve">Disease modifying </w:t>
      </w:r>
      <w:proofErr w:type="spellStart"/>
      <w:r w:rsidR="0039405C">
        <w:rPr>
          <w:lang w:eastAsia="ja-JP"/>
        </w:rPr>
        <w:t>antirheumatic</w:t>
      </w:r>
      <w:proofErr w:type="spellEnd"/>
      <w:r w:rsidR="0039405C">
        <w:rPr>
          <w:lang w:eastAsia="ja-JP"/>
        </w:rPr>
        <w:t xml:space="preserve"> drugs (</w:t>
      </w:r>
      <w:r w:rsidRPr="00C26864">
        <w:rPr>
          <w:lang w:eastAsia="ja-JP"/>
        </w:rPr>
        <w:t>DMARDs</w:t>
      </w:r>
      <w:r w:rsidR="0039405C">
        <w:rPr>
          <w:lang w:eastAsia="ja-JP"/>
        </w:rPr>
        <w:t>),</w:t>
      </w:r>
      <w:r w:rsidRPr="00C26864">
        <w:rPr>
          <w:lang w:eastAsia="ja-JP"/>
        </w:rPr>
        <w:t xml:space="preserve"> (often MTX) and/or </w:t>
      </w:r>
      <w:r w:rsidR="00904313">
        <w:rPr>
          <w:lang w:eastAsia="ja-JP"/>
        </w:rPr>
        <w:t>non-steroidal</w:t>
      </w:r>
      <w:r w:rsidR="0039405C">
        <w:rPr>
          <w:lang w:eastAsia="ja-JP"/>
        </w:rPr>
        <w:t xml:space="preserve"> anti-inflammatory drugs (</w:t>
      </w:r>
      <w:r w:rsidRPr="00C26864">
        <w:rPr>
          <w:lang w:eastAsia="ja-JP"/>
        </w:rPr>
        <w:t>NSAIDs</w:t>
      </w:r>
      <w:r w:rsidR="0039405C">
        <w:rPr>
          <w:lang w:eastAsia="ja-JP"/>
        </w:rPr>
        <w:t>)</w:t>
      </w:r>
      <w:r w:rsidRPr="00C26864">
        <w:rPr>
          <w:lang w:eastAsia="ja-JP"/>
        </w:rPr>
        <w:t>.</w:t>
      </w:r>
      <w:r w:rsidR="002040F3">
        <w:rPr>
          <w:lang w:eastAsia="ja-JP"/>
        </w:rPr>
        <w:t xml:space="preserve"> </w:t>
      </w:r>
      <w:r w:rsidRPr="00C26864">
        <w:rPr>
          <w:lang w:eastAsia="ja-JP"/>
        </w:rPr>
        <w:t xml:space="preserve">The primary efficacy endpoint of Study 0881A1-3338 was the proportion of subjects who achieved an </w:t>
      </w:r>
      <w:r w:rsidR="000C6353">
        <w:rPr>
          <w:lang w:eastAsia="ja-JP"/>
        </w:rPr>
        <w:t>American College of Rheumatology Paediatric 30 Criteria (</w:t>
      </w:r>
      <w:r w:rsidRPr="00C26864">
        <w:rPr>
          <w:lang w:eastAsia="ja-JP"/>
        </w:rPr>
        <w:t>ACR Pedi 30</w:t>
      </w:r>
      <w:r w:rsidR="000C6353">
        <w:rPr>
          <w:lang w:eastAsia="ja-JP"/>
        </w:rPr>
        <w:t>)</w:t>
      </w:r>
      <w:r w:rsidRPr="00C26864">
        <w:rPr>
          <w:lang w:eastAsia="ja-JP"/>
        </w:rPr>
        <w:t xml:space="preserve"> response at 12 weeks of open</w:t>
      </w:r>
      <w:r w:rsidR="001F68DB">
        <w:rPr>
          <w:lang w:eastAsia="ja-JP"/>
        </w:rPr>
        <w:t xml:space="preserve"> </w:t>
      </w:r>
      <w:r w:rsidRPr="00C26864">
        <w:rPr>
          <w:lang w:eastAsia="ja-JP"/>
        </w:rPr>
        <w:t>label ETN treatment. Overall, 88</w:t>
      </w:r>
      <w:r w:rsidR="00515286">
        <w:rPr>
          <w:lang w:eastAsia="ja-JP"/>
        </w:rPr>
        <w:t>.6% of patients (109</w:t>
      </w:r>
      <w:r w:rsidR="001F68DB">
        <w:rPr>
          <w:lang w:eastAsia="ja-JP"/>
        </w:rPr>
        <w:t xml:space="preserve"> out of </w:t>
      </w:r>
      <w:r w:rsidR="00515286">
        <w:rPr>
          <w:lang w:eastAsia="ja-JP"/>
        </w:rPr>
        <w:t>127; 95% Confidence Interval (CI)</w:t>
      </w:r>
      <w:r w:rsidRPr="00C26864">
        <w:rPr>
          <w:lang w:eastAsia="ja-JP"/>
        </w:rPr>
        <w:t xml:space="preserve"> 81.6%, 93.6%) achieved this outcome. The rate of ACR Pedi 30 response for each of the 3 examined JIA subtypes was 89.7% (52</w:t>
      </w:r>
      <w:r w:rsidR="001F68DB">
        <w:rPr>
          <w:lang w:eastAsia="ja-JP"/>
        </w:rPr>
        <w:t xml:space="preserve"> out of </w:t>
      </w:r>
      <w:r w:rsidRPr="00C26864">
        <w:rPr>
          <w:lang w:eastAsia="ja-JP"/>
        </w:rPr>
        <w:t xml:space="preserve">58; 95% CI 78.8%, 96.1%) for </w:t>
      </w:r>
      <w:proofErr w:type="spellStart"/>
      <w:r w:rsidRPr="00C26864">
        <w:rPr>
          <w:lang w:eastAsia="ja-JP"/>
        </w:rPr>
        <w:t>eoJIA</w:t>
      </w:r>
      <w:proofErr w:type="spellEnd"/>
      <w:r w:rsidRPr="00C26864">
        <w:rPr>
          <w:lang w:eastAsia="ja-JP"/>
        </w:rPr>
        <w:t>, 83.3% (30</w:t>
      </w:r>
      <w:r w:rsidR="001F68DB">
        <w:rPr>
          <w:lang w:eastAsia="ja-JP"/>
        </w:rPr>
        <w:t xml:space="preserve"> out of </w:t>
      </w:r>
      <w:r w:rsidRPr="00C26864">
        <w:rPr>
          <w:lang w:eastAsia="ja-JP"/>
        </w:rPr>
        <w:t>36; 95% CI 67.2%, 93.6%) for ERA and 93.1% (27</w:t>
      </w:r>
      <w:r w:rsidR="001F68DB">
        <w:rPr>
          <w:lang w:eastAsia="ja-JP"/>
        </w:rPr>
        <w:t xml:space="preserve"> out of </w:t>
      </w:r>
      <w:r w:rsidRPr="00C26864">
        <w:rPr>
          <w:lang w:eastAsia="ja-JP"/>
        </w:rPr>
        <w:t xml:space="preserve">29; 95% CI 77.2%, 99.2%) for </w:t>
      </w:r>
      <w:proofErr w:type="spellStart"/>
      <w:r w:rsidRPr="00C26864">
        <w:rPr>
          <w:lang w:eastAsia="ja-JP"/>
        </w:rPr>
        <w:t>PsJIA</w:t>
      </w:r>
      <w:proofErr w:type="spellEnd"/>
      <w:r w:rsidRPr="00C26864">
        <w:rPr>
          <w:lang w:eastAsia="ja-JP"/>
        </w:rPr>
        <w:t xml:space="preserve"> indicating a similar treatment r</w:t>
      </w:r>
      <w:r w:rsidR="00A449FF">
        <w:rPr>
          <w:lang w:eastAsia="ja-JP"/>
        </w:rPr>
        <w:t>esponse among the JIA subtypes.</w:t>
      </w:r>
    </w:p>
    <w:p w:rsidR="00B35F99" w:rsidRDefault="00C26864" w:rsidP="00C26864">
      <w:pPr>
        <w:rPr>
          <w:lang w:eastAsia="ja-JP"/>
        </w:rPr>
      </w:pPr>
      <w:r w:rsidRPr="00C26864">
        <w:rPr>
          <w:lang w:eastAsia="ja-JP"/>
        </w:rPr>
        <w:t>The results of Study 0881A1-3338 (overall, and for each of the 3 JIA subtypes) compared favourably to historical placebo control data (</w:t>
      </w:r>
      <w:r w:rsidR="00904313" w:rsidRPr="00C26864">
        <w:rPr>
          <w:lang w:eastAsia="ja-JP"/>
        </w:rPr>
        <w:t>meta</w:t>
      </w:r>
      <w:r w:rsidR="00904313">
        <w:rPr>
          <w:lang w:eastAsia="ja-JP"/>
        </w:rPr>
        <w:t>-</w:t>
      </w:r>
      <w:r w:rsidR="00904313" w:rsidRPr="00C26864">
        <w:rPr>
          <w:lang w:eastAsia="ja-JP"/>
        </w:rPr>
        <w:t>analysis</w:t>
      </w:r>
      <w:r w:rsidRPr="00C26864">
        <w:rPr>
          <w:lang w:eastAsia="ja-JP"/>
        </w:rPr>
        <w:t xml:space="preserve"> of 6 studies</w:t>
      </w:r>
      <w:r w:rsidR="00985216">
        <w:rPr>
          <w:rStyle w:val="FootnoteReference"/>
          <w:lang w:eastAsia="ja-JP"/>
        </w:rPr>
        <w:footnoteReference w:id="1"/>
      </w:r>
      <w:r w:rsidRPr="00C26864">
        <w:rPr>
          <w:lang w:eastAsia="ja-JP"/>
        </w:rPr>
        <w:t>), as well as an active historical control (Study 16.0016;</w:t>
      </w:r>
      <w:r w:rsidR="00985216">
        <w:rPr>
          <w:rStyle w:val="FootnoteReference"/>
          <w:lang w:eastAsia="ja-JP"/>
        </w:rPr>
        <w:footnoteReference w:id="2"/>
      </w:r>
      <w:r w:rsidRPr="00C26864">
        <w:rPr>
          <w:lang w:eastAsia="ja-JP"/>
        </w:rPr>
        <w:t>). The odds ratios and 95% CIs for both comparisons (Study 0881A1-3338 versus placebo, and then active historical control data) showed a statistically significant difference in the rate of ACR Pedi 30 response at week 12 compared with historical placebo; and a comparable treatment effect with ETN therapy when Study 0881A1-3338 was compared to an historical control group. These results represent a clinically meaning</w:t>
      </w:r>
      <w:r w:rsidR="00A449FF">
        <w:rPr>
          <w:lang w:eastAsia="ja-JP"/>
        </w:rPr>
        <w:t>ful, treatment related outcome.</w:t>
      </w:r>
    </w:p>
    <w:p w:rsidR="00B35F99" w:rsidRDefault="00C26864" w:rsidP="00C26864">
      <w:pPr>
        <w:rPr>
          <w:lang w:eastAsia="ja-JP"/>
        </w:rPr>
      </w:pPr>
      <w:r w:rsidRPr="00C26864">
        <w:rPr>
          <w:lang w:eastAsia="ja-JP"/>
        </w:rPr>
        <w:t xml:space="preserve">Results for the secondary efficacy endpoint analyses in Study 0881A1-3338 also showed a consistent and significant treatment with ETN. The rates of achieving an ACR Pedi 50 response at </w:t>
      </w:r>
      <w:r w:rsidR="00985216">
        <w:rPr>
          <w:lang w:eastAsia="ja-JP"/>
        </w:rPr>
        <w:t>W</w:t>
      </w:r>
      <w:r w:rsidRPr="00C26864">
        <w:rPr>
          <w:lang w:eastAsia="ja-JP"/>
        </w:rPr>
        <w:t>eek 12 were high at 81.1% (99</w:t>
      </w:r>
      <w:r w:rsidR="001F68DB">
        <w:rPr>
          <w:lang w:eastAsia="ja-JP"/>
        </w:rPr>
        <w:t xml:space="preserve"> out of </w:t>
      </w:r>
      <w:r w:rsidRPr="00C26864">
        <w:rPr>
          <w:lang w:eastAsia="ja-JP"/>
        </w:rPr>
        <w:t xml:space="preserve">122), and the majority of patients were observed to achieve an even higher level of clinical response (ACR Pedi 70 response was 61.5% </w:t>
      </w:r>
      <w:r w:rsidR="00985216">
        <w:rPr>
          <w:lang w:eastAsia="ja-JP"/>
        </w:rPr>
        <w:t>(</w:t>
      </w:r>
      <w:r w:rsidRPr="00C26864">
        <w:rPr>
          <w:lang w:eastAsia="ja-JP"/>
        </w:rPr>
        <w:t>75</w:t>
      </w:r>
      <w:r w:rsidR="00985216">
        <w:rPr>
          <w:lang w:eastAsia="ja-JP"/>
        </w:rPr>
        <w:t xml:space="preserve"> out of </w:t>
      </w:r>
      <w:r w:rsidRPr="00C26864">
        <w:rPr>
          <w:lang w:eastAsia="ja-JP"/>
        </w:rPr>
        <w:t>122</w:t>
      </w:r>
      <w:r w:rsidR="00985216">
        <w:rPr>
          <w:lang w:eastAsia="ja-JP"/>
        </w:rPr>
        <w:t>)</w:t>
      </w:r>
      <w:r w:rsidR="00A449FF">
        <w:rPr>
          <w:lang w:eastAsia="ja-JP"/>
        </w:rPr>
        <w:t xml:space="preserve"> at 12 weeks).</w:t>
      </w:r>
    </w:p>
    <w:p w:rsidR="00C26864" w:rsidRPr="00C26864" w:rsidRDefault="00C26864" w:rsidP="00C26864">
      <w:pPr>
        <w:rPr>
          <w:lang w:eastAsia="ja-JP"/>
        </w:rPr>
      </w:pPr>
      <w:r w:rsidRPr="00C26864">
        <w:rPr>
          <w:lang w:eastAsia="ja-JP"/>
        </w:rPr>
        <w:t xml:space="preserve">Response to ETN treatment was also seen using different efficacy measures such as each of the 6 core components comprising the ACR Pedi criteria, duration of morning stiffness and pain </w:t>
      </w:r>
      <w:r w:rsidR="00515286">
        <w:rPr>
          <w:lang w:eastAsia="ja-JP"/>
        </w:rPr>
        <w:t>visual analogue scale (VAS)</w:t>
      </w:r>
      <w:r w:rsidRPr="00C26864">
        <w:rPr>
          <w:lang w:eastAsia="ja-JP"/>
        </w:rPr>
        <w:t xml:space="preserve"> scores. Moreover, a proportion of patients (12.1% </w:t>
      </w:r>
      <w:r w:rsidR="00985216">
        <w:rPr>
          <w:lang w:eastAsia="ja-JP"/>
        </w:rPr>
        <w:t xml:space="preserve">(15 out of </w:t>
      </w:r>
      <w:r w:rsidRPr="00C26864">
        <w:rPr>
          <w:lang w:eastAsia="ja-JP"/>
        </w:rPr>
        <w:t>124</w:t>
      </w:r>
      <w:r w:rsidR="00985216">
        <w:rPr>
          <w:lang w:eastAsia="ja-JP"/>
        </w:rPr>
        <w:t>)</w:t>
      </w:r>
      <w:r w:rsidRPr="00C26864">
        <w:rPr>
          <w:lang w:eastAsia="ja-JP"/>
        </w:rPr>
        <w:t xml:space="preserve">) achieved inactive disease status at </w:t>
      </w:r>
      <w:r w:rsidR="00985216">
        <w:rPr>
          <w:lang w:eastAsia="ja-JP"/>
        </w:rPr>
        <w:t>W</w:t>
      </w:r>
      <w:r w:rsidRPr="00C26864">
        <w:rPr>
          <w:lang w:eastAsia="ja-JP"/>
        </w:rPr>
        <w:t>eek 12.</w:t>
      </w:r>
      <w:r w:rsidR="002040F3">
        <w:rPr>
          <w:lang w:eastAsia="ja-JP"/>
        </w:rPr>
        <w:t xml:space="preserve"> </w:t>
      </w:r>
      <w:r w:rsidRPr="00C26864">
        <w:rPr>
          <w:lang w:eastAsia="ja-JP"/>
        </w:rPr>
        <w:t>The pivotal study also did a subgroup analysis of treatment response to ETN in 3 different age b</w:t>
      </w:r>
      <w:r w:rsidR="00985216">
        <w:rPr>
          <w:lang w:eastAsia="ja-JP"/>
        </w:rPr>
        <w:t xml:space="preserve">rackets (2 to </w:t>
      </w:r>
      <w:r w:rsidRPr="00C26864">
        <w:rPr>
          <w:lang w:eastAsia="ja-JP"/>
        </w:rPr>
        <w:t>4 years, 5</w:t>
      </w:r>
      <w:r w:rsidR="00985216">
        <w:rPr>
          <w:lang w:eastAsia="ja-JP"/>
        </w:rPr>
        <w:t xml:space="preserve"> to 11 years, and 12 to </w:t>
      </w:r>
      <w:r w:rsidRPr="00C26864">
        <w:rPr>
          <w:lang w:eastAsia="ja-JP"/>
        </w:rPr>
        <w:t xml:space="preserve">17 years) of patients with </w:t>
      </w:r>
      <w:proofErr w:type="spellStart"/>
      <w:r w:rsidRPr="00C26864">
        <w:rPr>
          <w:lang w:eastAsia="ja-JP"/>
        </w:rPr>
        <w:t>eoJIA</w:t>
      </w:r>
      <w:proofErr w:type="spellEnd"/>
      <w:r w:rsidRPr="00C26864">
        <w:rPr>
          <w:lang w:eastAsia="ja-JP"/>
        </w:rPr>
        <w:t>. No difference in the rate of ACR Pedi 30 response was observed in patients according to age a</w:t>
      </w:r>
      <w:r w:rsidR="00A449FF">
        <w:rPr>
          <w:lang w:eastAsia="ja-JP"/>
        </w:rPr>
        <w:t>t enrolment.</w:t>
      </w:r>
    </w:p>
    <w:p w:rsidR="00C26864" w:rsidRPr="00C26864" w:rsidRDefault="00C26864" w:rsidP="00C26864">
      <w:pPr>
        <w:rPr>
          <w:lang w:eastAsia="ja-JP"/>
        </w:rPr>
      </w:pPr>
      <w:r w:rsidRPr="00C26864">
        <w:rPr>
          <w:lang w:eastAsia="ja-JP"/>
        </w:rPr>
        <w:t>Studies 20021618 (10 year, open</w:t>
      </w:r>
      <w:r w:rsidR="001F68DB">
        <w:rPr>
          <w:lang w:eastAsia="ja-JP"/>
        </w:rPr>
        <w:t xml:space="preserve"> </w:t>
      </w:r>
      <w:r w:rsidRPr="00C26864">
        <w:rPr>
          <w:lang w:eastAsia="ja-JP"/>
        </w:rPr>
        <w:t>label extension trial) and 20021626 (registry data) are supportive of the key efficacy findings of the pivotal trial by demonstrating:</w:t>
      </w:r>
    </w:p>
    <w:p w:rsidR="00C26864" w:rsidRPr="00C26864" w:rsidRDefault="00C26864" w:rsidP="00A449FF">
      <w:pPr>
        <w:pStyle w:val="ListBullet"/>
        <w:rPr>
          <w:lang w:eastAsia="ja-JP"/>
        </w:rPr>
      </w:pPr>
      <w:r w:rsidRPr="00C26864">
        <w:rPr>
          <w:lang w:eastAsia="ja-JP"/>
        </w:rPr>
        <w:t xml:space="preserve">Persistence of efficacy response for up to 10 years with continued ETN therapy in Study 20021618. </w:t>
      </w:r>
      <w:r w:rsidRPr="00A449FF">
        <w:t>For</w:t>
      </w:r>
      <w:r w:rsidRPr="00C26864">
        <w:rPr>
          <w:lang w:eastAsia="ja-JP"/>
        </w:rPr>
        <w:t xml:space="preserve"> example, the rate of ACR Ped</w:t>
      </w:r>
      <w:r w:rsidR="00985216">
        <w:rPr>
          <w:lang w:eastAsia="ja-JP"/>
        </w:rPr>
        <w:t xml:space="preserve">i 30 response was consistently greater than </w:t>
      </w:r>
      <w:r w:rsidRPr="00C26864">
        <w:rPr>
          <w:lang w:eastAsia="ja-JP"/>
        </w:rPr>
        <w:t>50% at all yearly intervals up until 7 years, which is the last year whereby the number of o</w:t>
      </w:r>
      <w:r w:rsidR="00985216">
        <w:rPr>
          <w:lang w:eastAsia="ja-JP"/>
        </w:rPr>
        <w:t xml:space="preserve">ngoing assessable patients was greater than </w:t>
      </w:r>
      <w:r w:rsidRPr="00C26864">
        <w:rPr>
          <w:lang w:eastAsia="ja-JP"/>
        </w:rPr>
        <w:t>20.</w:t>
      </w:r>
    </w:p>
    <w:p w:rsidR="00C26864" w:rsidRPr="00C26864" w:rsidRDefault="00C26864" w:rsidP="00515286">
      <w:pPr>
        <w:pStyle w:val="ListBullet"/>
        <w:rPr>
          <w:lang w:eastAsia="ja-JP"/>
        </w:rPr>
      </w:pPr>
      <w:r w:rsidRPr="00C26864">
        <w:rPr>
          <w:lang w:eastAsia="ja-JP"/>
        </w:rPr>
        <w:t xml:space="preserve">The mean improvements from baseline in all 6 of the JIA ACR core set variables showed a relatively stable and sustained pattern of improvement over time (94.7%) in Study 20021618, apart from some fluctuation in </w:t>
      </w:r>
      <w:r w:rsidR="00515286" w:rsidRPr="00515286">
        <w:rPr>
          <w:lang w:eastAsia="ja-JP"/>
        </w:rPr>
        <w:t>C</w:t>
      </w:r>
      <w:r w:rsidR="001F68DB">
        <w:rPr>
          <w:lang w:eastAsia="ja-JP"/>
        </w:rPr>
        <w:t xml:space="preserve"> </w:t>
      </w:r>
      <w:r w:rsidR="00515286" w:rsidRPr="00515286">
        <w:rPr>
          <w:lang w:eastAsia="ja-JP"/>
        </w:rPr>
        <w:t xml:space="preserve">Reactive Protein </w:t>
      </w:r>
      <w:r w:rsidR="00515286">
        <w:rPr>
          <w:lang w:eastAsia="ja-JP"/>
        </w:rPr>
        <w:t>(</w:t>
      </w:r>
      <w:r w:rsidRPr="00C26864">
        <w:rPr>
          <w:lang w:eastAsia="ja-JP"/>
        </w:rPr>
        <w:t>CRP</w:t>
      </w:r>
      <w:r w:rsidR="00515286">
        <w:rPr>
          <w:lang w:eastAsia="ja-JP"/>
        </w:rPr>
        <w:t>)</w:t>
      </w:r>
      <w:r w:rsidRPr="00C26864">
        <w:rPr>
          <w:lang w:eastAsia="ja-JP"/>
        </w:rPr>
        <w:t xml:space="preserve"> values between years 7</w:t>
      </w:r>
      <w:r w:rsidR="00985216">
        <w:rPr>
          <w:lang w:eastAsia="ja-JP"/>
        </w:rPr>
        <w:t xml:space="preserve"> to </w:t>
      </w:r>
      <w:r w:rsidR="00A449FF">
        <w:rPr>
          <w:lang w:eastAsia="ja-JP"/>
        </w:rPr>
        <w:t>10.</w:t>
      </w:r>
    </w:p>
    <w:p w:rsidR="00C26864" w:rsidRPr="00C26864" w:rsidRDefault="00C26864" w:rsidP="00C26864">
      <w:pPr>
        <w:pStyle w:val="ListBullet"/>
        <w:rPr>
          <w:lang w:eastAsia="ja-JP"/>
        </w:rPr>
      </w:pPr>
      <w:r w:rsidRPr="00C26864">
        <w:rPr>
          <w:lang w:eastAsia="ja-JP"/>
        </w:rPr>
        <w:t>At 3 years of follow</w:t>
      </w:r>
      <w:r w:rsidR="001F68DB">
        <w:rPr>
          <w:lang w:eastAsia="ja-JP"/>
        </w:rPr>
        <w:t xml:space="preserve"> </w:t>
      </w:r>
      <w:r w:rsidRPr="00C26864">
        <w:rPr>
          <w:lang w:eastAsia="ja-JP"/>
        </w:rPr>
        <w:t xml:space="preserve">up in Study 20021626, the mean percentage improvement in </w:t>
      </w:r>
      <w:r w:rsidR="00985216">
        <w:rPr>
          <w:lang w:eastAsia="ja-JP"/>
        </w:rPr>
        <w:t>Physician Global Assessment (</w:t>
      </w:r>
      <w:r w:rsidRPr="00C26864">
        <w:rPr>
          <w:lang w:eastAsia="ja-JP"/>
        </w:rPr>
        <w:t>PGA</w:t>
      </w:r>
      <w:r w:rsidR="00985216">
        <w:rPr>
          <w:lang w:eastAsia="ja-JP"/>
        </w:rPr>
        <w:t>)</w:t>
      </w:r>
      <w:r w:rsidRPr="00C26864">
        <w:rPr>
          <w:lang w:eastAsia="ja-JP"/>
        </w:rPr>
        <w:t xml:space="preserve"> of disease activity, number of active joints, and paediatric quality of life was significant in those who received ETN, either alone or in combination with MTX.</w:t>
      </w:r>
    </w:p>
    <w:p w:rsidR="00C26864" w:rsidRPr="00C26864" w:rsidRDefault="00C26864" w:rsidP="00C26864">
      <w:pPr>
        <w:pStyle w:val="ListBullet"/>
        <w:rPr>
          <w:lang w:eastAsia="ja-JP"/>
        </w:rPr>
      </w:pPr>
      <w:r w:rsidRPr="00C26864">
        <w:rPr>
          <w:lang w:eastAsia="ja-JP"/>
        </w:rPr>
        <w:t xml:space="preserve">Study 20021626 also showed that in a subgroup analysis of patients aged 2 to </w:t>
      </w:r>
      <w:r w:rsidR="002040F3">
        <w:rPr>
          <w:lang w:eastAsia="ja-JP"/>
        </w:rPr>
        <w:t xml:space="preserve">less than </w:t>
      </w:r>
      <w:r w:rsidRPr="00C26864">
        <w:rPr>
          <w:lang w:eastAsia="ja-JP"/>
        </w:rPr>
        <w:t xml:space="preserve">4 </w:t>
      </w:r>
      <w:r w:rsidR="00904313" w:rsidRPr="00C26864">
        <w:rPr>
          <w:lang w:eastAsia="ja-JP"/>
        </w:rPr>
        <w:t>years;</w:t>
      </w:r>
      <w:r w:rsidRPr="00C26864">
        <w:rPr>
          <w:lang w:eastAsia="ja-JP"/>
        </w:rPr>
        <w:t xml:space="preserve"> the treatment effect of ETN was comparable to older aged subjects.</w:t>
      </w:r>
    </w:p>
    <w:p w:rsidR="00C26864" w:rsidRPr="00C26864" w:rsidRDefault="00C26864" w:rsidP="00C26864">
      <w:pPr>
        <w:rPr>
          <w:lang w:eastAsia="ja-JP"/>
        </w:rPr>
      </w:pPr>
      <w:r w:rsidRPr="00C26864">
        <w:rPr>
          <w:lang w:eastAsia="ja-JP"/>
        </w:rPr>
        <w:t xml:space="preserve">Overall the efficacy data in this submission supports the efficacy of ETN in the treatment of 5 subtypes of juvenile idiopathic arthritis (as per the </w:t>
      </w:r>
      <w:r w:rsidR="00985216" w:rsidRPr="000062AF">
        <w:rPr>
          <w:lang w:eastAsia="en-AU"/>
        </w:rPr>
        <w:t>International League of Associations for Rheumatology</w:t>
      </w:r>
      <w:r w:rsidR="00985216" w:rsidRPr="00C26864">
        <w:rPr>
          <w:lang w:eastAsia="ja-JP"/>
        </w:rPr>
        <w:t xml:space="preserve"> </w:t>
      </w:r>
      <w:r w:rsidR="00985216">
        <w:rPr>
          <w:lang w:eastAsia="ja-JP"/>
        </w:rPr>
        <w:t>(</w:t>
      </w:r>
      <w:r w:rsidRPr="00C26864">
        <w:rPr>
          <w:lang w:eastAsia="ja-JP"/>
        </w:rPr>
        <w:t>ILAR</w:t>
      </w:r>
      <w:r w:rsidR="00985216">
        <w:rPr>
          <w:lang w:eastAsia="ja-JP"/>
        </w:rPr>
        <w:t>)</w:t>
      </w:r>
      <w:r w:rsidRPr="00C26864">
        <w:rPr>
          <w:lang w:eastAsia="ja-JP"/>
        </w:rPr>
        <w:t xml:space="preserve"> criteria), with moderate</w:t>
      </w:r>
      <w:r w:rsidR="001F68DB">
        <w:rPr>
          <w:lang w:eastAsia="ja-JP"/>
        </w:rPr>
        <w:t xml:space="preserve"> to </w:t>
      </w:r>
      <w:r w:rsidRPr="00C26864">
        <w:rPr>
          <w:lang w:eastAsia="ja-JP"/>
        </w:rPr>
        <w:t>severe disease active at baseline, with or without concurrent DMARD (often MTX), in patients aged 2 years to 17 years.</w:t>
      </w:r>
      <w:r w:rsidR="002040F3">
        <w:rPr>
          <w:lang w:eastAsia="ja-JP"/>
        </w:rPr>
        <w:t xml:space="preserve"> </w:t>
      </w:r>
      <w:r w:rsidRPr="00C26864">
        <w:rPr>
          <w:lang w:eastAsia="ja-JP"/>
        </w:rPr>
        <w:t>In addition to the current approved ETN dosing regimen of 0.4 mg/kg twice weekly, many patients in the trial program received 0.8 mg/kg once weekly with no significant variability in treatment response being observed. The program also included a significant number of patients 2</w:t>
      </w:r>
      <w:r w:rsidR="001F68DB">
        <w:rPr>
          <w:lang w:eastAsia="ja-JP"/>
        </w:rPr>
        <w:t xml:space="preserve"> to </w:t>
      </w:r>
      <w:r w:rsidRPr="00C26864">
        <w:rPr>
          <w:lang w:eastAsia="ja-JP"/>
        </w:rPr>
        <w:t>4 years of age at the commencement of ETN (</w:t>
      </w:r>
      <w:r w:rsidR="00985216">
        <w:rPr>
          <w:lang w:eastAsia="ja-JP"/>
        </w:rPr>
        <w:t>that is,</w:t>
      </w:r>
      <w:r w:rsidRPr="00C26864">
        <w:rPr>
          <w:lang w:eastAsia="ja-JP"/>
        </w:rPr>
        <w:t xml:space="preserve"> younger than the cu</w:t>
      </w:r>
      <w:r w:rsidR="00985216">
        <w:rPr>
          <w:lang w:eastAsia="ja-JP"/>
        </w:rPr>
        <w:t>rrently approved 4 years of age</w:t>
      </w:r>
      <w:r w:rsidRPr="00C26864">
        <w:rPr>
          <w:lang w:eastAsia="ja-JP"/>
        </w:rPr>
        <w:t>) and no difference in treatment response has been identified.</w:t>
      </w:r>
    </w:p>
    <w:p w:rsidR="008E7846" w:rsidRPr="002E238E" w:rsidRDefault="008E7846" w:rsidP="008E7846">
      <w:pPr>
        <w:pStyle w:val="Heading3"/>
      </w:pPr>
      <w:bookmarkStart w:id="53" w:name="_Toc163441378"/>
      <w:bookmarkStart w:id="54" w:name="_Toc196046495"/>
      <w:bookmarkStart w:id="55" w:name="_Toc247691522"/>
      <w:bookmarkStart w:id="56" w:name="_Toc314842505"/>
      <w:bookmarkStart w:id="57" w:name="_Toc390330067"/>
      <w:bookmarkEnd w:id="49"/>
      <w:bookmarkEnd w:id="50"/>
      <w:bookmarkEnd w:id="51"/>
      <w:bookmarkEnd w:id="52"/>
      <w:r w:rsidRPr="002E238E">
        <w:t>Safety</w:t>
      </w:r>
      <w:bookmarkEnd w:id="53"/>
      <w:bookmarkEnd w:id="54"/>
      <w:bookmarkEnd w:id="55"/>
      <w:bookmarkEnd w:id="56"/>
      <w:bookmarkEnd w:id="57"/>
    </w:p>
    <w:p w:rsidR="008E7846" w:rsidRDefault="00525E14" w:rsidP="00525E14">
      <w:pPr>
        <w:pStyle w:val="Heading4"/>
      </w:pPr>
      <w:bookmarkStart w:id="58" w:name="_Toc163441387"/>
      <w:r w:rsidRPr="00985216">
        <w:t>Studies providing safety data</w:t>
      </w:r>
    </w:p>
    <w:p w:rsidR="00C26864" w:rsidRDefault="00C26864" w:rsidP="00C26864">
      <w:pPr>
        <w:rPr>
          <w:lang w:eastAsia="ja-JP"/>
        </w:rPr>
      </w:pPr>
      <w:r>
        <w:rPr>
          <w:lang w:eastAsia="ja-JP"/>
        </w:rPr>
        <w:t>There were no studies that assessed safety as the primary outcome.</w:t>
      </w:r>
    </w:p>
    <w:p w:rsidR="00C26864" w:rsidRDefault="00C26864" w:rsidP="00C26864">
      <w:pPr>
        <w:rPr>
          <w:lang w:eastAsia="ja-JP"/>
        </w:rPr>
      </w:pPr>
      <w:r>
        <w:rPr>
          <w:lang w:eastAsia="ja-JP"/>
        </w:rPr>
        <w:t>No specific dose</w:t>
      </w:r>
      <w:r w:rsidR="001F68DB">
        <w:rPr>
          <w:lang w:eastAsia="ja-JP"/>
        </w:rPr>
        <w:t xml:space="preserve"> </w:t>
      </w:r>
      <w:r>
        <w:rPr>
          <w:lang w:eastAsia="ja-JP"/>
        </w:rPr>
        <w:t>response studies have been conducted but additional safety data was provided by 2 non</w:t>
      </w:r>
      <w:r w:rsidR="001F68DB">
        <w:rPr>
          <w:lang w:eastAsia="ja-JP"/>
        </w:rPr>
        <w:t xml:space="preserve"> </w:t>
      </w:r>
      <w:r>
        <w:rPr>
          <w:lang w:eastAsia="ja-JP"/>
        </w:rPr>
        <w:t>pivotal, efficacy trials. Study 20021618 is an open</w:t>
      </w:r>
      <w:r w:rsidR="001F68DB">
        <w:rPr>
          <w:lang w:eastAsia="ja-JP"/>
        </w:rPr>
        <w:t xml:space="preserve"> </w:t>
      </w:r>
      <w:r>
        <w:rPr>
          <w:lang w:eastAsia="ja-JP"/>
        </w:rPr>
        <w:t>label, long</w:t>
      </w:r>
      <w:r w:rsidR="001F68DB">
        <w:rPr>
          <w:lang w:eastAsia="ja-JP"/>
        </w:rPr>
        <w:t xml:space="preserve"> </w:t>
      </w:r>
      <w:r>
        <w:rPr>
          <w:lang w:eastAsia="ja-JP"/>
        </w:rPr>
        <w:t xml:space="preserve">term extension study for paediatric patients with active DMARD refractory JIA, who previously participated in the initial ETN JIA Study (16.0016). Throughout the first year of Study 20021618, all </w:t>
      </w:r>
      <w:r w:rsidR="00044D97">
        <w:rPr>
          <w:lang w:eastAsia="ja-JP"/>
        </w:rPr>
        <w:t>adverse events (</w:t>
      </w:r>
      <w:r>
        <w:rPr>
          <w:lang w:eastAsia="ja-JP"/>
        </w:rPr>
        <w:t>AEs</w:t>
      </w:r>
      <w:r w:rsidR="00044D97">
        <w:rPr>
          <w:lang w:eastAsia="ja-JP"/>
        </w:rPr>
        <w:t xml:space="preserve">), both serious and </w:t>
      </w:r>
      <w:r w:rsidR="00904313">
        <w:rPr>
          <w:lang w:eastAsia="ja-JP"/>
        </w:rPr>
        <w:t>non-serious</w:t>
      </w:r>
      <w:r w:rsidR="00044D97">
        <w:rPr>
          <w:lang w:eastAsia="ja-JP"/>
        </w:rPr>
        <w:t>,</w:t>
      </w:r>
      <w:r>
        <w:rPr>
          <w:lang w:eastAsia="ja-JP"/>
        </w:rPr>
        <w:t xml:space="preserve"> were collected. However, after 12 months, only AEs that met the serious criteria (SAEs) were collected along with predefined events of interest (hospitalizations, deaths, serious infections, malignancy, and new signs or symptoms of other connective tissue disease). In this trial, AEs were classified according to a modified version of the Coding Symbols for a Thesaurus of Adverse Events Terms (COSTART) dictionary. Anti</w:t>
      </w:r>
      <w:r w:rsidR="001F68DB">
        <w:rPr>
          <w:lang w:eastAsia="ja-JP"/>
        </w:rPr>
        <w:t xml:space="preserve"> </w:t>
      </w:r>
      <w:r>
        <w:rPr>
          <w:lang w:eastAsia="ja-JP"/>
        </w:rPr>
        <w:t>ETN antibodies were a pre</w:t>
      </w:r>
      <w:r w:rsidR="001F68DB">
        <w:rPr>
          <w:lang w:eastAsia="ja-JP"/>
        </w:rPr>
        <w:t xml:space="preserve"> </w:t>
      </w:r>
      <w:r>
        <w:rPr>
          <w:lang w:eastAsia="ja-JP"/>
        </w:rPr>
        <w:t xml:space="preserve">specified safety endpoint in the protocol, but </w:t>
      </w:r>
      <w:r w:rsidR="00783828">
        <w:rPr>
          <w:lang w:eastAsia="ja-JP"/>
        </w:rPr>
        <w:t>the analysis was not conducted.</w:t>
      </w:r>
    </w:p>
    <w:p w:rsidR="00C26864" w:rsidRDefault="00C26864" w:rsidP="00C26864">
      <w:pPr>
        <w:rPr>
          <w:lang w:eastAsia="ja-JP"/>
        </w:rPr>
      </w:pPr>
      <w:r>
        <w:rPr>
          <w:lang w:eastAsia="ja-JP"/>
        </w:rPr>
        <w:t>Supporting safety data collected as part of a single registry study (20021626) was also presented in this submission. Study 20021626 is an open</w:t>
      </w:r>
      <w:r w:rsidR="001F68DB">
        <w:rPr>
          <w:lang w:eastAsia="ja-JP"/>
        </w:rPr>
        <w:t xml:space="preserve"> </w:t>
      </w:r>
      <w:r>
        <w:rPr>
          <w:lang w:eastAsia="ja-JP"/>
        </w:rPr>
        <w:t>label, multicentre registry study examining the long</w:t>
      </w:r>
      <w:r w:rsidR="001F68DB">
        <w:rPr>
          <w:lang w:eastAsia="ja-JP"/>
        </w:rPr>
        <w:t xml:space="preserve"> </w:t>
      </w:r>
      <w:r>
        <w:rPr>
          <w:lang w:eastAsia="ja-JP"/>
        </w:rPr>
        <w:t>term safety of ETN compared to MTX in subjects with JIA.</w:t>
      </w:r>
    </w:p>
    <w:p w:rsidR="00044D97" w:rsidRDefault="00525E14" w:rsidP="00044D97">
      <w:pPr>
        <w:pStyle w:val="Heading4"/>
        <w:rPr>
          <w:lang w:eastAsia="ja-JP"/>
        </w:rPr>
      </w:pPr>
      <w:r w:rsidRPr="00985216">
        <w:t>Patient exposure</w:t>
      </w:r>
    </w:p>
    <w:p w:rsidR="00120F84" w:rsidRDefault="00120F84" w:rsidP="00044D97">
      <w:pPr>
        <w:rPr>
          <w:lang w:eastAsia="ja-JP"/>
        </w:rPr>
      </w:pPr>
      <w:r>
        <w:rPr>
          <w:lang w:eastAsia="ja-JP"/>
        </w:rPr>
        <w:t>In the pivotal Study 0881A1-3338, 127 subjects received at least 1 dose of</w:t>
      </w:r>
      <w:r w:rsidR="00044D97">
        <w:rPr>
          <w:lang w:eastAsia="ja-JP"/>
        </w:rPr>
        <w:t xml:space="preserve"> ETN in Part 1 (first 12 weeks). Sixty of these</w:t>
      </w:r>
      <w:r>
        <w:rPr>
          <w:lang w:eastAsia="ja-JP"/>
        </w:rPr>
        <w:t xml:space="preserve"> patients </w:t>
      </w:r>
      <w:r w:rsidR="00044D97">
        <w:rPr>
          <w:lang w:eastAsia="ja-JP"/>
        </w:rPr>
        <w:t>had</w:t>
      </w:r>
      <w:r>
        <w:rPr>
          <w:lang w:eastAsia="ja-JP"/>
        </w:rPr>
        <w:t xml:space="preserve"> </w:t>
      </w:r>
      <w:proofErr w:type="spellStart"/>
      <w:r>
        <w:rPr>
          <w:lang w:eastAsia="ja-JP"/>
        </w:rPr>
        <w:t>eoJIA</w:t>
      </w:r>
      <w:proofErr w:type="spellEnd"/>
      <w:r>
        <w:rPr>
          <w:lang w:eastAsia="ja-JP"/>
        </w:rPr>
        <w:t xml:space="preserve">, 38 subjects with ERA, and 29 patients with </w:t>
      </w:r>
      <w:proofErr w:type="spellStart"/>
      <w:r>
        <w:rPr>
          <w:lang w:eastAsia="ja-JP"/>
        </w:rPr>
        <w:t>PsJIA</w:t>
      </w:r>
      <w:proofErr w:type="spellEnd"/>
      <w:r>
        <w:rPr>
          <w:lang w:eastAsia="ja-JP"/>
        </w:rPr>
        <w:t>.</w:t>
      </w:r>
      <w:r w:rsidR="002040F3">
        <w:rPr>
          <w:lang w:eastAsia="ja-JP"/>
        </w:rPr>
        <w:t xml:space="preserve"> </w:t>
      </w:r>
      <w:r>
        <w:rPr>
          <w:lang w:eastAsia="ja-JP"/>
        </w:rPr>
        <w:t xml:space="preserve">The 60 subjects with </w:t>
      </w:r>
      <w:proofErr w:type="spellStart"/>
      <w:r>
        <w:rPr>
          <w:lang w:eastAsia="ja-JP"/>
        </w:rPr>
        <w:t>eoJIA</w:t>
      </w:r>
      <w:proofErr w:type="spellEnd"/>
      <w:r>
        <w:rPr>
          <w:lang w:eastAsia="ja-JP"/>
        </w:rPr>
        <w:t xml:space="preserve"> co</w:t>
      </w:r>
      <w:r w:rsidR="00985216">
        <w:rPr>
          <w:lang w:eastAsia="ja-JP"/>
        </w:rPr>
        <w:t xml:space="preserve">nsisted of 15 subjects in the 2 to </w:t>
      </w:r>
      <w:r>
        <w:rPr>
          <w:lang w:eastAsia="ja-JP"/>
        </w:rPr>
        <w:t>4 year age grou</w:t>
      </w:r>
      <w:r w:rsidR="00985216">
        <w:rPr>
          <w:lang w:eastAsia="ja-JP"/>
        </w:rPr>
        <w:t xml:space="preserve">p, 23 subjects in the 5 to </w:t>
      </w:r>
      <w:r>
        <w:rPr>
          <w:lang w:eastAsia="ja-JP"/>
        </w:rPr>
        <w:t>11 years age group, and 22 subjects in the 12</w:t>
      </w:r>
      <w:r w:rsidR="00985216">
        <w:rPr>
          <w:lang w:eastAsia="ja-JP"/>
        </w:rPr>
        <w:t xml:space="preserve"> to </w:t>
      </w:r>
      <w:r>
        <w:rPr>
          <w:lang w:eastAsia="ja-JP"/>
        </w:rPr>
        <w:t>17 year age group.</w:t>
      </w:r>
      <w:r w:rsidR="002040F3">
        <w:rPr>
          <w:lang w:eastAsia="ja-JP"/>
        </w:rPr>
        <w:t xml:space="preserve"> </w:t>
      </w:r>
      <w:r>
        <w:rPr>
          <w:lang w:eastAsia="ja-JP"/>
        </w:rPr>
        <w:t>The mean duration (SD) of ETN treatment in Part 1 of Study 0881A1-3338 was 12.61 weeks (1.61 weeks), with a range of 1 to 15 weeks (median 13.0 weeks). Overall ETN exposure in the pivotal trial population was 29.16 subject</w:t>
      </w:r>
      <w:r w:rsidR="001F68DB">
        <w:rPr>
          <w:lang w:eastAsia="ja-JP"/>
        </w:rPr>
        <w:t xml:space="preserve"> </w:t>
      </w:r>
      <w:r>
        <w:rPr>
          <w:lang w:eastAsia="ja-JP"/>
        </w:rPr>
        <w:t>years.</w:t>
      </w:r>
      <w:r w:rsidR="002040F3">
        <w:rPr>
          <w:lang w:eastAsia="ja-JP"/>
        </w:rPr>
        <w:t xml:space="preserve"> </w:t>
      </w:r>
      <w:r>
        <w:rPr>
          <w:lang w:eastAsia="ja-JP"/>
        </w:rPr>
        <w:t>The mean (SD) weekly ETN dose was 34.97 mg (13.12 mg), and ranged from 8.0 to 56.0 mg.</w:t>
      </w:r>
      <w:r w:rsidR="002040F3">
        <w:rPr>
          <w:lang w:eastAsia="ja-JP"/>
        </w:rPr>
        <w:t xml:space="preserve"> </w:t>
      </w:r>
      <w:r>
        <w:rPr>
          <w:lang w:eastAsia="ja-JP"/>
        </w:rPr>
        <w:t xml:space="preserve">Consistent with the lower mean baseline age and weight for the subjects with </w:t>
      </w:r>
      <w:proofErr w:type="spellStart"/>
      <w:r>
        <w:rPr>
          <w:lang w:eastAsia="ja-JP"/>
        </w:rPr>
        <w:t>eoJIA</w:t>
      </w:r>
      <w:proofErr w:type="spellEnd"/>
      <w:r>
        <w:rPr>
          <w:lang w:eastAsia="ja-JP"/>
        </w:rPr>
        <w:t xml:space="preserve">, the mean weekly ETN dose was lower for this JIA subtype (26.5 mg) compared with the ERA (42.6 mg) and </w:t>
      </w:r>
      <w:proofErr w:type="spellStart"/>
      <w:r>
        <w:rPr>
          <w:lang w:eastAsia="ja-JP"/>
        </w:rPr>
        <w:t>PsJIA</w:t>
      </w:r>
      <w:proofErr w:type="spellEnd"/>
      <w:r>
        <w:rPr>
          <w:lang w:eastAsia="ja-JP"/>
        </w:rPr>
        <w:t xml:space="preserve"> </w:t>
      </w:r>
      <w:r w:rsidR="00783828">
        <w:rPr>
          <w:lang w:eastAsia="ja-JP"/>
        </w:rPr>
        <w:t>(42.5 mg) subtypes.</w:t>
      </w:r>
    </w:p>
    <w:p w:rsidR="00120F84" w:rsidRDefault="00120F84" w:rsidP="00120F84">
      <w:pPr>
        <w:rPr>
          <w:lang w:eastAsia="ja-JP"/>
        </w:rPr>
      </w:pPr>
      <w:r>
        <w:rPr>
          <w:lang w:eastAsia="ja-JP"/>
        </w:rPr>
        <w:t>Of the 69 paediatric subjects who pa</w:t>
      </w:r>
      <w:r w:rsidR="00985216">
        <w:rPr>
          <w:lang w:eastAsia="ja-JP"/>
        </w:rPr>
        <w:t>rticipated in the double</w:t>
      </w:r>
      <w:r w:rsidR="001F68DB">
        <w:rPr>
          <w:lang w:eastAsia="ja-JP"/>
        </w:rPr>
        <w:t xml:space="preserve"> </w:t>
      </w:r>
      <w:r w:rsidR="00985216">
        <w:rPr>
          <w:lang w:eastAsia="ja-JP"/>
        </w:rPr>
        <w:t>blind S</w:t>
      </w:r>
      <w:r>
        <w:rPr>
          <w:lang w:eastAsia="ja-JP"/>
        </w:rPr>
        <w:t>tudy 16.0016, 58 subjects received at least 1 dose of ETN in the long</w:t>
      </w:r>
      <w:r w:rsidR="001F68DB">
        <w:rPr>
          <w:lang w:eastAsia="ja-JP"/>
        </w:rPr>
        <w:t xml:space="preserve"> </w:t>
      </w:r>
      <w:r>
        <w:rPr>
          <w:lang w:eastAsia="ja-JP"/>
        </w:rPr>
        <w:t>term, open</w:t>
      </w:r>
      <w:r w:rsidR="001F68DB">
        <w:rPr>
          <w:lang w:eastAsia="ja-JP"/>
        </w:rPr>
        <w:t xml:space="preserve"> </w:t>
      </w:r>
      <w:r>
        <w:rPr>
          <w:lang w:eastAsia="ja-JP"/>
        </w:rPr>
        <w:t>label, extension trial 20021618 (up to 10 years of follow</w:t>
      </w:r>
      <w:r w:rsidR="001F68DB">
        <w:rPr>
          <w:lang w:eastAsia="ja-JP"/>
        </w:rPr>
        <w:t xml:space="preserve"> </w:t>
      </w:r>
      <w:r>
        <w:rPr>
          <w:lang w:eastAsia="ja-JP"/>
        </w:rPr>
        <w:t>up). Patients in this s</w:t>
      </w:r>
      <w:r w:rsidR="00044D97">
        <w:rPr>
          <w:lang w:eastAsia="ja-JP"/>
        </w:rPr>
        <w:t>tudy received ETN as either 0.4 </w:t>
      </w:r>
      <w:r>
        <w:rPr>
          <w:lang w:eastAsia="ja-JP"/>
        </w:rPr>
        <w:t>mg/kg twice weekly or 0.8 mg/kg once weekly, up</w:t>
      </w:r>
      <w:r w:rsidR="00044D97">
        <w:rPr>
          <w:lang w:eastAsia="ja-JP"/>
        </w:rPr>
        <w:t xml:space="preserve"> to a maximum weekly dose of 50 </w:t>
      </w:r>
      <w:r>
        <w:rPr>
          <w:lang w:eastAsia="ja-JP"/>
        </w:rPr>
        <w:t>mg. The overall ETN exposure for the 58 subjects in Study 20021618 was 341.98 subject</w:t>
      </w:r>
      <w:r w:rsidR="001F68DB">
        <w:rPr>
          <w:lang w:eastAsia="ja-JP"/>
        </w:rPr>
        <w:t xml:space="preserve"> </w:t>
      </w:r>
      <w:r>
        <w:rPr>
          <w:lang w:eastAsia="ja-JP"/>
        </w:rPr>
        <w:t>years.</w:t>
      </w:r>
      <w:r w:rsidR="002040F3">
        <w:rPr>
          <w:lang w:eastAsia="ja-JP"/>
        </w:rPr>
        <w:t xml:space="preserve"> </w:t>
      </w:r>
      <w:r>
        <w:rPr>
          <w:lang w:eastAsia="ja-JP"/>
        </w:rPr>
        <w:t>The mean exposure to ETN was 614 doses administered over a mean period of 2153 days.</w:t>
      </w:r>
    </w:p>
    <w:p w:rsidR="00120F84" w:rsidRDefault="00120F84" w:rsidP="00120F84">
      <w:pPr>
        <w:rPr>
          <w:lang w:eastAsia="ja-JP"/>
        </w:rPr>
      </w:pPr>
      <w:r>
        <w:rPr>
          <w:lang w:eastAsia="ja-JP"/>
        </w:rPr>
        <w:t xml:space="preserve">In the registry trial (Study 20021626), a total of 594 subjects were included in the safety analysis: 197 received MTX alone, 103 received ETN monotherapy, and 294 were given ETN </w:t>
      </w:r>
      <w:r w:rsidR="00044D97">
        <w:rPr>
          <w:lang w:eastAsia="ja-JP"/>
        </w:rPr>
        <w:t>with</w:t>
      </w:r>
      <w:r>
        <w:rPr>
          <w:lang w:eastAsia="ja-JP"/>
        </w:rPr>
        <w:t xml:space="preserve"> MTX.</w:t>
      </w:r>
      <w:r w:rsidR="002040F3">
        <w:rPr>
          <w:lang w:eastAsia="ja-JP"/>
        </w:rPr>
        <w:t xml:space="preserve"> </w:t>
      </w:r>
      <w:r>
        <w:rPr>
          <w:lang w:eastAsia="ja-JP"/>
        </w:rPr>
        <w:t>Drug administration information was not collected in the study and therefore exposure of ETN and MTX were estimated from the reported drug start date and end date, assuming the subject took the drug as prescribed.</w:t>
      </w:r>
      <w:r w:rsidR="002040F3">
        <w:rPr>
          <w:lang w:eastAsia="ja-JP"/>
        </w:rPr>
        <w:t xml:space="preserve"> </w:t>
      </w:r>
      <w:r>
        <w:rPr>
          <w:lang w:eastAsia="ja-JP"/>
        </w:rPr>
        <w:t>The mean (and SD) years of exposure for each arm in the registry program was as follows:</w:t>
      </w:r>
      <w:r w:rsidR="002040F3">
        <w:rPr>
          <w:lang w:eastAsia="ja-JP"/>
        </w:rPr>
        <w:t xml:space="preserve"> </w:t>
      </w:r>
      <w:r>
        <w:rPr>
          <w:lang w:eastAsia="ja-JP"/>
        </w:rPr>
        <w:t>1.97 years (1.09) for the MTX only arm, 2.17 years (1.04) for the ETN alone group, and 2.16 years (1.02) for the ETN + MTX arm.</w:t>
      </w:r>
      <w:r w:rsidR="002040F3">
        <w:rPr>
          <w:lang w:eastAsia="ja-JP"/>
        </w:rPr>
        <w:t xml:space="preserve"> </w:t>
      </w:r>
      <w:r>
        <w:rPr>
          <w:lang w:eastAsia="ja-JP"/>
        </w:rPr>
        <w:t xml:space="preserve">The median (and range) number of years exposed was 2.18 years (0.1 to 3.7) for the MTX only arm, 2.84 years (0.2 to 3.8 years) for the ETN alone group, and 2.79 </w:t>
      </w:r>
      <w:r w:rsidR="00044D97">
        <w:rPr>
          <w:lang w:eastAsia="ja-JP"/>
        </w:rPr>
        <w:t>years (0.1 to 3.5) for the ETN with</w:t>
      </w:r>
      <w:r>
        <w:rPr>
          <w:lang w:eastAsia="ja-JP"/>
        </w:rPr>
        <w:t xml:space="preserve"> MTX arm. The overall patient exposure in Study 20021626 to MTX was estimated to be 387.8 patient</w:t>
      </w:r>
      <w:r w:rsidR="001F68DB">
        <w:rPr>
          <w:lang w:eastAsia="ja-JP"/>
        </w:rPr>
        <w:t xml:space="preserve"> </w:t>
      </w:r>
      <w:r>
        <w:rPr>
          <w:lang w:eastAsia="ja-JP"/>
        </w:rPr>
        <w:t>years and 859.3 patient</w:t>
      </w:r>
      <w:r w:rsidR="001F68DB">
        <w:rPr>
          <w:lang w:eastAsia="ja-JP"/>
        </w:rPr>
        <w:t xml:space="preserve"> </w:t>
      </w:r>
      <w:r>
        <w:rPr>
          <w:lang w:eastAsia="ja-JP"/>
        </w:rPr>
        <w:t>years for ETN (alone, and in combination with MTX).</w:t>
      </w:r>
    </w:p>
    <w:p w:rsidR="00525E14" w:rsidRDefault="00525E14" w:rsidP="00525E14">
      <w:pPr>
        <w:pStyle w:val="Heading4"/>
      </w:pPr>
      <w:r w:rsidRPr="00044D97">
        <w:t>Safety issues with the potential for major regulatory impact</w:t>
      </w:r>
    </w:p>
    <w:p w:rsidR="00120F84" w:rsidRPr="00044D97" w:rsidRDefault="00120F84" w:rsidP="00044D97">
      <w:pPr>
        <w:pStyle w:val="Heading5"/>
      </w:pPr>
      <w:bookmarkStart w:id="59" w:name="_Toc272414681"/>
      <w:bookmarkStart w:id="60" w:name="_Toc290846319"/>
      <w:bookmarkStart w:id="61" w:name="_Toc369603236"/>
      <w:r w:rsidRPr="00044D97">
        <w:t>Liver toxicity</w:t>
      </w:r>
      <w:bookmarkEnd w:id="59"/>
      <w:bookmarkEnd w:id="60"/>
      <w:bookmarkEnd w:id="61"/>
    </w:p>
    <w:p w:rsidR="00120F84" w:rsidRDefault="00120F84" w:rsidP="00120F84">
      <w:pPr>
        <w:autoSpaceDE w:val="0"/>
        <w:autoSpaceDN w:val="0"/>
        <w:adjustRightInd w:val="0"/>
      </w:pPr>
      <w:r>
        <w:t xml:space="preserve">This has been addressed in </w:t>
      </w:r>
      <w:r w:rsidR="00044D97">
        <w:t>the CER.</w:t>
      </w:r>
    </w:p>
    <w:p w:rsidR="00120F84" w:rsidRPr="00804C8C" w:rsidRDefault="00120F84" w:rsidP="00044D97">
      <w:pPr>
        <w:pStyle w:val="Heading5"/>
      </w:pPr>
      <w:bookmarkStart w:id="62" w:name="_Toc272414682"/>
      <w:bookmarkStart w:id="63" w:name="_Toc290846320"/>
      <w:bookmarkStart w:id="64" w:name="_Toc369603237"/>
      <w:r>
        <w:t>M</w:t>
      </w:r>
      <w:r w:rsidRPr="00804C8C">
        <w:t>al</w:t>
      </w:r>
      <w:r>
        <w:t>ignancy po</w:t>
      </w:r>
      <w:r w:rsidRPr="00804C8C">
        <w:t>t</w:t>
      </w:r>
      <w:bookmarkEnd w:id="62"/>
      <w:bookmarkEnd w:id="63"/>
      <w:r>
        <w:t>ential</w:t>
      </w:r>
      <w:bookmarkEnd w:id="64"/>
    </w:p>
    <w:p w:rsidR="00120F84" w:rsidRDefault="00120F84" w:rsidP="00120F84">
      <w:pPr>
        <w:autoSpaceDE w:val="0"/>
        <w:autoSpaceDN w:val="0"/>
        <w:adjustRightInd w:val="0"/>
      </w:pPr>
      <w:r>
        <w:t xml:space="preserve">This has been </w:t>
      </w:r>
      <w:r w:rsidR="00561270">
        <w:t>addressed</w:t>
      </w:r>
      <w:r>
        <w:t xml:space="preserve"> in </w:t>
      </w:r>
      <w:r w:rsidR="00044D97">
        <w:t>the CER</w:t>
      </w:r>
      <w:r>
        <w:t>.</w:t>
      </w:r>
    </w:p>
    <w:p w:rsidR="00120F84" w:rsidRPr="00804C8C" w:rsidRDefault="00120F84" w:rsidP="00044D97">
      <w:pPr>
        <w:pStyle w:val="Heading5"/>
      </w:pPr>
      <w:bookmarkStart w:id="65" w:name="_Toc272414684"/>
      <w:bookmarkStart w:id="66" w:name="_Toc290846322"/>
      <w:bookmarkStart w:id="67" w:name="_Toc369603238"/>
      <w:r w:rsidRPr="00804C8C">
        <w:t>In</w:t>
      </w:r>
      <w:r>
        <w:t>ject</w:t>
      </w:r>
      <w:r w:rsidRPr="00804C8C">
        <w:t xml:space="preserve">ion </w:t>
      </w:r>
      <w:r w:rsidR="00783828">
        <w:t>s</w:t>
      </w:r>
      <w:r>
        <w:t>it</w:t>
      </w:r>
      <w:r w:rsidRPr="00804C8C">
        <w:t xml:space="preserve">e </w:t>
      </w:r>
      <w:r w:rsidR="00783828">
        <w:t>r</w:t>
      </w:r>
      <w:r w:rsidRPr="00804C8C">
        <w:t>eactions</w:t>
      </w:r>
      <w:bookmarkEnd w:id="65"/>
      <w:bookmarkEnd w:id="66"/>
      <w:bookmarkEnd w:id="67"/>
    </w:p>
    <w:p w:rsidR="00120F84" w:rsidRDefault="00044D97" w:rsidP="00120F84">
      <w:pPr>
        <w:autoSpaceDE w:val="0"/>
        <w:autoSpaceDN w:val="0"/>
        <w:adjustRightInd w:val="0"/>
      </w:pPr>
      <w:r>
        <w:t xml:space="preserve">This has </w:t>
      </w:r>
      <w:r w:rsidR="00561270">
        <w:t xml:space="preserve">already </w:t>
      </w:r>
      <w:r w:rsidR="00120F84">
        <w:t xml:space="preserve">been addressed in </w:t>
      </w:r>
      <w:r>
        <w:t>this report</w:t>
      </w:r>
      <w:r w:rsidR="00120F84">
        <w:t>.</w:t>
      </w:r>
    </w:p>
    <w:p w:rsidR="00120F84" w:rsidRPr="00804C8C" w:rsidRDefault="00120F84" w:rsidP="00044D97">
      <w:pPr>
        <w:pStyle w:val="Heading5"/>
      </w:pPr>
      <w:bookmarkStart w:id="68" w:name="_Toc241374323"/>
      <w:bookmarkStart w:id="69" w:name="_Toc272414685"/>
      <w:bookmarkStart w:id="70" w:name="_Toc290846323"/>
      <w:bookmarkStart w:id="71" w:name="_Toc369603239"/>
      <w:r w:rsidRPr="00804C8C">
        <w:t xml:space="preserve">Risk of </w:t>
      </w:r>
      <w:r w:rsidR="00783828">
        <w:t>o</w:t>
      </w:r>
      <w:r>
        <w:t>pportunistic</w:t>
      </w:r>
      <w:r w:rsidRPr="00804C8C">
        <w:t xml:space="preserve"> </w:t>
      </w:r>
      <w:bookmarkEnd w:id="68"/>
      <w:bookmarkEnd w:id="69"/>
      <w:bookmarkEnd w:id="70"/>
      <w:r w:rsidR="00783828">
        <w:t>i</w:t>
      </w:r>
      <w:r w:rsidRPr="00804C8C">
        <w:t>nfection</w:t>
      </w:r>
      <w:bookmarkEnd w:id="71"/>
    </w:p>
    <w:p w:rsidR="00120F84" w:rsidRDefault="00120F84" w:rsidP="00120F84">
      <w:pPr>
        <w:autoSpaceDE w:val="0"/>
        <w:autoSpaceDN w:val="0"/>
        <w:adjustRightInd w:val="0"/>
      </w:pPr>
      <w:r>
        <w:t>In Part 1 of Study 0881A1-3338, no patient who had a history of appropriate vaccination developed a preventable infection. However, 2 subjects with no history of vaccination experienced varicella</w:t>
      </w:r>
      <w:r w:rsidR="001F68DB">
        <w:t xml:space="preserve"> </w:t>
      </w:r>
      <w:r>
        <w:t>zoster infection and met the pre</w:t>
      </w:r>
      <w:r w:rsidR="001F68DB">
        <w:t xml:space="preserve"> </w:t>
      </w:r>
      <w:r>
        <w:t xml:space="preserve">specified study protocol criteria for opportunistic infection. A 13 year old female with ERA developed herpes zoster infection affecting 2 dermatomes on </w:t>
      </w:r>
      <w:r w:rsidR="002040F3">
        <w:t>Day</w:t>
      </w:r>
      <w:r>
        <w:t xml:space="preserve"> 16. No specific treatment was given and ETN was continued. The </w:t>
      </w:r>
      <w:r w:rsidR="00515286">
        <w:t>adverse event (</w:t>
      </w:r>
      <w:r>
        <w:t>AE</w:t>
      </w:r>
      <w:r w:rsidR="00515286">
        <w:t>)</w:t>
      </w:r>
      <w:r>
        <w:t xml:space="preserve"> resolved after 12 days without complications. A 6 year old female with </w:t>
      </w:r>
      <w:proofErr w:type="spellStart"/>
      <w:r>
        <w:t>eoJIA</w:t>
      </w:r>
      <w:proofErr w:type="spellEnd"/>
      <w:r>
        <w:t xml:space="preserve"> experienced varicella infection 1 day prior to being hospitalized with bronchopneumonia (</w:t>
      </w:r>
      <w:r w:rsidR="00044D97">
        <w:t>S</w:t>
      </w:r>
      <w:r>
        <w:t xml:space="preserve">tudy </w:t>
      </w:r>
      <w:r w:rsidR="00044D97">
        <w:t>D</w:t>
      </w:r>
      <w:r>
        <w:t>ay 38). Both infections resolved with treatment, and it is unclear whether the 2 infectious episodes were linked.</w:t>
      </w:r>
    </w:p>
    <w:p w:rsidR="00120F84" w:rsidRDefault="00120F84" w:rsidP="00120F84">
      <w:pPr>
        <w:autoSpaceDE w:val="0"/>
        <w:autoSpaceDN w:val="0"/>
        <w:adjustRightInd w:val="0"/>
      </w:pPr>
      <w:r>
        <w:t>A total of 4 subjects experienced varicella</w:t>
      </w:r>
      <w:r w:rsidR="001F68DB">
        <w:t xml:space="preserve"> </w:t>
      </w:r>
      <w:r>
        <w:t>zoster infection in Study 20021618. Two of the 4 cases were recorded as SAEs, and 2 of the cases occurred during the first year of the trial. At least 3 of the 4 affected subjects had not been vaccinated against varicella.</w:t>
      </w:r>
    </w:p>
    <w:p w:rsidR="00120F84" w:rsidRDefault="00120F84" w:rsidP="00120F84">
      <w:pPr>
        <w:autoSpaceDE w:val="0"/>
        <w:autoSpaceDN w:val="0"/>
        <w:adjustRightInd w:val="0"/>
      </w:pPr>
      <w:r>
        <w:t>Screening for tuberculosis was a requirement of screening at baseline in both studies. No patients experienced tu</w:t>
      </w:r>
      <w:r w:rsidR="00731591">
        <w:t>berculosis during either study.</w:t>
      </w:r>
    </w:p>
    <w:p w:rsidR="00120F84" w:rsidRPr="00044D97" w:rsidRDefault="00904313" w:rsidP="00525E14">
      <w:pPr>
        <w:pStyle w:val="Heading4"/>
      </w:pPr>
      <w:r w:rsidRPr="00044D97">
        <w:t>Post marketing</w:t>
      </w:r>
      <w:r w:rsidR="009952E6" w:rsidRPr="00044D97">
        <w:t xml:space="preserve"> data</w:t>
      </w:r>
    </w:p>
    <w:p w:rsidR="00120F84" w:rsidRPr="00AC501A" w:rsidRDefault="00120F84" w:rsidP="00044D97">
      <w:pPr>
        <w:pStyle w:val="Heading5"/>
      </w:pPr>
      <w:r w:rsidRPr="00AC501A">
        <w:t xml:space="preserve">Overall </w:t>
      </w:r>
      <w:r w:rsidR="00731591">
        <w:t>e</w:t>
      </w:r>
      <w:r w:rsidRPr="00AC501A">
        <w:t xml:space="preserve">xperience in those </w:t>
      </w:r>
      <w:r w:rsidR="00731591">
        <w:t>u</w:t>
      </w:r>
      <w:r w:rsidRPr="00AC501A">
        <w:t xml:space="preserve">nder 18 </w:t>
      </w:r>
      <w:r w:rsidR="00731591">
        <w:t>y</w:t>
      </w:r>
      <w:r w:rsidRPr="00AC501A">
        <w:t xml:space="preserve">ears of </w:t>
      </w:r>
      <w:r w:rsidR="00731591">
        <w:t>age</w:t>
      </w:r>
    </w:p>
    <w:p w:rsidR="00120F84" w:rsidRDefault="00120F84" w:rsidP="00120F84">
      <w:pPr>
        <w:autoSpaceDE w:val="0"/>
        <w:autoSpaceDN w:val="0"/>
        <w:adjustRightInd w:val="0"/>
      </w:pPr>
      <w:r>
        <w:t>Among patients under the age of 18 years treated with ETN for any indication, a total of 23 deaths and 11 malignancies have been recorded.</w:t>
      </w:r>
      <w:r w:rsidR="002040F3">
        <w:t xml:space="preserve"> </w:t>
      </w:r>
      <w:r>
        <w:t>The malignancies included Hodgkin’s disease (4 cases), Acute Lymphocytic Leukaemia (2 cases), Acute Myeloid Leukaemia (1 patient), Leukaemia – not otherwise specified (1 subject), Lymphoma (1 case), renal cancer (1 patient), and colon cancer (1 case).</w:t>
      </w:r>
      <w:r w:rsidR="002040F3">
        <w:t xml:space="preserve"> </w:t>
      </w:r>
      <w:r>
        <w:t>Malignancies were reported in 7 patients with JIA.</w:t>
      </w:r>
      <w:r w:rsidR="002040F3">
        <w:t xml:space="preserve"> </w:t>
      </w:r>
      <w:r>
        <w:t xml:space="preserve">These included cases of Hodgkin’s disease (4), Acute Lymphocytic Leukaemia (2) and Leukaemia – not otherwise categorized (1). In June 2008, the </w:t>
      </w:r>
      <w:r w:rsidR="00515286">
        <w:t>Food and Drug Administration (</w:t>
      </w:r>
      <w:r>
        <w:t>FDA</w:t>
      </w:r>
      <w:r w:rsidR="00515286">
        <w:t>)</w:t>
      </w:r>
      <w:r>
        <w:t xml:space="preserve"> issued an early communication regarding a possible association between use of TNF inhibitors in children and young adults, and the subsequent development of malignancies.</w:t>
      </w:r>
      <w:r w:rsidR="002040F3">
        <w:t xml:space="preserve"> </w:t>
      </w:r>
      <w:r>
        <w:t>Further analysis of the background rates of malignancy in paediatric/juvenile patients with inflammatory arthritis suggested that there is a potential increased risk of malignancy in paediatric patients with JIA.</w:t>
      </w:r>
      <w:r w:rsidR="002040F3">
        <w:t xml:space="preserve"> </w:t>
      </w:r>
      <w:r>
        <w:t>The sponsor regards the issue of paediatric malignancy as an identified safety concern for ETN, and has added information to the warnings and precautions section of the PI to include a specific precaution.</w:t>
      </w:r>
    </w:p>
    <w:p w:rsidR="00120F84" w:rsidRDefault="00120F84" w:rsidP="00120F84">
      <w:pPr>
        <w:autoSpaceDE w:val="0"/>
        <w:autoSpaceDN w:val="0"/>
        <w:adjustRightInd w:val="0"/>
      </w:pPr>
      <w:r>
        <w:t>The types and reporting proportion of infections in JIA patients were generally similar to those reported for all ETN users.</w:t>
      </w:r>
      <w:r w:rsidR="002040F3">
        <w:t xml:space="preserve"> </w:t>
      </w:r>
      <w:r>
        <w:t>Many of the viral infections that were reported in juvenile patients treated with ETN are common in children in the general population.</w:t>
      </w:r>
      <w:r w:rsidR="002040F3">
        <w:t xml:space="preserve"> </w:t>
      </w:r>
      <w:r>
        <w:t>The comparison of the distribution of adult RA and juvenile JIA infections revealed no unexpected findings.</w:t>
      </w:r>
    </w:p>
    <w:p w:rsidR="00120F84" w:rsidRDefault="00120F84" w:rsidP="00120F84">
      <w:pPr>
        <w:autoSpaceDE w:val="0"/>
        <w:autoSpaceDN w:val="0"/>
        <w:adjustRightInd w:val="0"/>
      </w:pPr>
      <w:r>
        <w:t>There have been reports of inflammatory bowel disease occurring in JIA patients and other paediatric patients who received ETN. The PI contains a precaution regarding reports of inflammatory bowel disease occurring in JIA patients being treated with ETN. The PI also states that ETN is not an effective treatment for inflammatory bowel disease, and that a causal relationship with ETN is unclear because clinical manifestations of bowel inflammation have been observed in untreated JIA patients.</w:t>
      </w:r>
    </w:p>
    <w:p w:rsidR="00120F84" w:rsidRDefault="00120F84" w:rsidP="00120F84">
      <w:pPr>
        <w:autoSpaceDE w:val="0"/>
        <w:autoSpaceDN w:val="0"/>
        <w:adjustRightInd w:val="0"/>
      </w:pPr>
      <w:r>
        <w:t xml:space="preserve">To identify the potential effects of TNF inhibition upon the vaccination response in juveniles, the sponsor’s </w:t>
      </w:r>
      <w:proofErr w:type="spellStart"/>
      <w:r>
        <w:t>pharmacovigilance</w:t>
      </w:r>
      <w:proofErr w:type="spellEnd"/>
      <w:r>
        <w:t xml:space="preserve"> database was searched for any reports up until 2 February 2011 in patients less than 17 years of age for reports of vaccination failure, vaccine complication, vaccine breakthrough infection (using the standardized </w:t>
      </w:r>
      <w:proofErr w:type="spellStart"/>
      <w:r>
        <w:t>MedDRA</w:t>
      </w:r>
      <w:proofErr w:type="spellEnd"/>
      <w:r>
        <w:t xml:space="preserve"> query (SMQ) terms for lack of efficacy or effect).</w:t>
      </w:r>
      <w:r w:rsidR="002040F3">
        <w:t xml:space="preserve"> </w:t>
      </w:r>
      <w:r>
        <w:t>Two reports with a vaccine as a co-suspect medication were identified; but neither case involved a lack of efficacy or reduced efficacy of the vaccine.</w:t>
      </w:r>
      <w:r w:rsidR="002040F3">
        <w:t xml:space="preserve"> </w:t>
      </w:r>
      <w:r>
        <w:t xml:space="preserve">The current ETN PI addresses the issue of paediatric immunization in the “Precautions” section, stating, </w:t>
      </w:r>
      <w:r w:rsidR="00561270">
        <w:t>‘</w:t>
      </w:r>
      <w:r w:rsidR="00561270" w:rsidRPr="00561270">
        <w:rPr>
          <w:i/>
        </w:rPr>
        <w:t>i</w:t>
      </w:r>
      <w:r w:rsidRPr="00561270">
        <w:rPr>
          <w:i/>
        </w:rPr>
        <w:t>f possible, bring paediatric patients up to date with immuni</w:t>
      </w:r>
      <w:r w:rsidR="00D31E62">
        <w:rPr>
          <w:i/>
        </w:rPr>
        <w:t>s</w:t>
      </w:r>
      <w:r w:rsidRPr="00561270">
        <w:rPr>
          <w:i/>
        </w:rPr>
        <w:t xml:space="preserve">ations according to current local guidelines before beginning </w:t>
      </w:r>
      <w:proofErr w:type="spellStart"/>
      <w:r w:rsidRPr="00561270">
        <w:rPr>
          <w:i/>
        </w:rPr>
        <w:t>etanercept</w:t>
      </w:r>
      <w:proofErr w:type="spellEnd"/>
      <w:r w:rsidRPr="00561270">
        <w:rPr>
          <w:i/>
        </w:rPr>
        <w:t xml:space="preserve"> therapy</w:t>
      </w:r>
      <w:r w:rsidR="00561270">
        <w:t>.’</w:t>
      </w:r>
    </w:p>
    <w:p w:rsidR="00120F84" w:rsidRDefault="00120F84" w:rsidP="00120F84">
      <w:pPr>
        <w:autoSpaceDE w:val="0"/>
        <w:autoSpaceDN w:val="0"/>
        <w:adjustRightInd w:val="0"/>
      </w:pPr>
      <w:r>
        <w:t>Other safety concerns identified in the post</w:t>
      </w:r>
      <w:r w:rsidR="001F68DB">
        <w:t xml:space="preserve"> </w:t>
      </w:r>
      <w:r>
        <w:t>marketing period which have resulted in modifications to the current PI include:</w:t>
      </w:r>
    </w:p>
    <w:p w:rsidR="00120F84" w:rsidRPr="00731591" w:rsidRDefault="00120F84" w:rsidP="00731591">
      <w:pPr>
        <w:pStyle w:val="ListBullet"/>
      </w:pPr>
      <w:r w:rsidRPr="00277CC3">
        <w:t xml:space="preserve">Enhancement of special warnings and/or precautions regarding infections including fatal </w:t>
      </w:r>
      <w:r w:rsidRPr="00731591">
        <w:t>infections, tuberculosis (with recommendations for testing, prophylaxis and monitoring), sepsis and opportunistic infections (including invasive fungal infections, and the possibility of unrecognized fungal infection resulting in death).</w:t>
      </w:r>
    </w:p>
    <w:p w:rsidR="00120F84" w:rsidRPr="00731591" w:rsidRDefault="00120F84" w:rsidP="00731591">
      <w:pPr>
        <w:pStyle w:val="ListBullet"/>
      </w:pPr>
      <w:r w:rsidRPr="00731591">
        <w:t>Information regarding hepatitis B reactivatio</w:t>
      </w:r>
      <w:r w:rsidR="00731591">
        <w:t>n and worsening of hepatitis C.</w:t>
      </w:r>
    </w:p>
    <w:p w:rsidR="00277CC3" w:rsidRDefault="00120F84" w:rsidP="00731591">
      <w:pPr>
        <w:pStyle w:val="ListBullet"/>
      </w:pPr>
      <w:r w:rsidRPr="00731591">
        <w:t xml:space="preserve">Additional warnings and precautions regarding several </w:t>
      </w:r>
      <w:proofErr w:type="spellStart"/>
      <w:r w:rsidRPr="00731591">
        <w:t>haematologic</w:t>
      </w:r>
      <w:proofErr w:type="spellEnd"/>
      <w:r w:rsidRPr="00731591">
        <w:t xml:space="preserve"> reactions</w:t>
      </w:r>
      <w:r w:rsidRPr="00277CC3">
        <w:t xml:space="preserve"> (including sometimes fatal aplastic anaemia and pancytopenia), neurologic events (central demyelination disorders and peripheral demyelinating polyneuropathies (including </w:t>
      </w:r>
      <w:proofErr w:type="spellStart"/>
      <w:r w:rsidRPr="00277CC3">
        <w:t>Guillain</w:t>
      </w:r>
      <w:proofErr w:type="spellEnd"/>
      <w:r w:rsidR="001F68DB">
        <w:t xml:space="preserve"> </w:t>
      </w:r>
      <w:proofErr w:type="spellStart"/>
      <w:r w:rsidRPr="00277CC3">
        <w:t>Barre</w:t>
      </w:r>
      <w:proofErr w:type="spellEnd"/>
      <w:r w:rsidRPr="00277CC3">
        <w:t xml:space="preserve"> syndrome), autoantibody formation, cardiac disorders (worsening congestive heart failure), and the possibility of hypoglycaemia in diabetic </w:t>
      </w:r>
      <w:proofErr w:type="spellStart"/>
      <w:r w:rsidRPr="00277CC3">
        <w:t>eta</w:t>
      </w:r>
      <w:r w:rsidR="00277CC3">
        <w:t>nercept</w:t>
      </w:r>
      <w:proofErr w:type="spellEnd"/>
      <w:r w:rsidR="00277CC3">
        <w:t xml:space="preserve"> users.</w:t>
      </w:r>
    </w:p>
    <w:p w:rsidR="00120F84" w:rsidRPr="00277CC3" w:rsidRDefault="00120F84" w:rsidP="00277CC3">
      <w:pPr>
        <w:pStyle w:val="ListBullet"/>
      </w:pPr>
      <w:r w:rsidRPr="00277CC3">
        <w:t>Additional adverse reactions have been added: autoimmune events (such as development of autoantibodies, lupus</w:t>
      </w:r>
      <w:r w:rsidR="001F68DB">
        <w:t xml:space="preserve"> </w:t>
      </w:r>
      <w:r w:rsidRPr="00277CC3">
        <w:t>like syndrome, autoimmune hepatitis, systemic vasculitis including anti</w:t>
      </w:r>
      <w:r w:rsidR="001F68DB">
        <w:t xml:space="preserve"> </w:t>
      </w:r>
      <w:r w:rsidRPr="00277CC3">
        <w:t>n</w:t>
      </w:r>
      <w:r w:rsidR="00277CC3">
        <w:t>eutrophil cytoplasmic antibody (</w:t>
      </w:r>
      <w:r w:rsidRPr="00277CC3">
        <w:t>ANCA</w:t>
      </w:r>
      <w:r w:rsidR="00277CC3">
        <w:t>)</w:t>
      </w:r>
      <w:r w:rsidRPr="00277CC3">
        <w:t xml:space="preserve"> positive vasculitis, cutaneous vasculitis </w:t>
      </w:r>
      <w:r w:rsidR="00277CC3">
        <w:t>(</w:t>
      </w:r>
      <w:r w:rsidRPr="00277CC3">
        <w:t xml:space="preserve">including </w:t>
      </w:r>
      <w:proofErr w:type="spellStart"/>
      <w:r w:rsidRPr="00277CC3">
        <w:t>leucocytoclastic</w:t>
      </w:r>
      <w:proofErr w:type="spellEnd"/>
      <w:r w:rsidRPr="00277CC3">
        <w:t xml:space="preserve"> vasculitis</w:t>
      </w:r>
      <w:r w:rsidR="00277CC3">
        <w:t>)</w:t>
      </w:r>
      <w:r w:rsidRPr="00277CC3">
        <w:t xml:space="preserve">), elevated liver enzymes, interstitial lung disease (including pulmonary fibrosis and pneumonitis), macrophage activation syndrome (MAS), erythema </w:t>
      </w:r>
      <w:proofErr w:type="spellStart"/>
      <w:r w:rsidRPr="00277CC3">
        <w:t>multiforme</w:t>
      </w:r>
      <w:proofErr w:type="spellEnd"/>
      <w:r w:rsidRPr="00277CC3">
        <w:t xml:space="preserve">, psoriasis (all types; new onset, and exacerbations including all subtypes) and </w:t>
      </w:r>
      <w:proofErr w:type="spellStart"/>
      <w:r w:rsidRPr="00277CC3">
        <w:t>psoriasiform</w:t>
      </w:r>
      <w:proofErr w:type="spellEnd"/>
      <w:r w:rsidRPr="00277CC3">
        <w:t xml:space="preserve"> rash, pruritus, rash, seizures, Stevens</w:t>
      </w:r>
      <w:r w:rsidR="001F68DB">
        <w:t xml:space="preserve"> </w:t>
      </w:r>
      <w:r w:rsidRPr="00277CC3">
        <w:t xml:space="preserve">Johnson syndrome, toxic epidermal </w:t>
      </w:r>
      <w:proofErr w:type="spellStart"/>
      <w:r w:rsidRPr="00277CC3">
        <w:t>necrolysis</w:t>
      </w:r>
      <w:proofErr w:type="spellEnd"/>
      <w:r w:rsidRPr="00277CC3">
        <w:t>, and uveitis.</w:t>
      </w:r>
    </w:p>
    <w:p w:rsidR="00120F84" w:rsidRPr="00AC501A" w:rsidRDefault="00731591" w:rsidP="00277CC3">
      <w:pPr>
        <w:pStyle w:val="Heading5"/>
      </w:pPr>
      <w:r>
        <w:t>Literature r</w:t>
      </w:r>
      <w:r w:rsidR="00904313" w:rsidRPr="00AC501A">
        <w:t>eports of E</w:t>
      </w:r>
      <w:r w:rsidR="00904313">
        <w:t>TN</w:t>
      </w:r>
      <w:r w:rsidR="00904313" w:rsidRPr="00AC501A">
        <w:t xml:space="preserve"> </w:t>
      </w:r>
      <w:r w:rsidR="00904313">
        <w:t>u</w:t>
      </w:r>
      <w:r w:rsidR="00904313" w:rsidRPr="00AC501A">
        <w:t xml:space="preserve">se in </w:t>
      </w:r>
      <w:r>
        <w:t>p</w:t>
      </w:r>
      <w:r w:rsidR="00904313" w:rsidRPr="00AC501A">
        <w:t xml:space="preserve">atients </w:t>
      </w:r>
      <w:r>
        <w:t>a</w:t>
      </w:r>
      <w:r w:rsidR="00904313" w:rsidRPr="00AC501A">
        <w:t xml:space="preserve">ged 17 </w:t>
      </w:r>
      <w:r>
        <w:t>y</w:t>
      </w:r>
      <w:r w:rsidR="00904313" w:rsidRPr="00AC501A">
        <w:t xml:space="preserve">ears or </w:t>
      </w:r>
      <w:r w:rsidR="00904313">
        <w:t>b</w:t>
      </w:r>
      <w:r w:rsidR="00904313" w:rsidRPr="00AC501A">
        <w:t>elow</w:t>
      </w:r>
    </w:p>
    <w:p w:rsidR="00120F84" w:rsidRDefault="00120F84" w:rsidP="00120F84">
      <w:pPr>
        <w:autoSpaceDE w:val="0"/>
        <w:autoSpaceDN w:val="0"/>
        <w:adjustRightInd w:val="0"/>
      </w:pPr>
      <w:r>
        <w:t>Literature database publications were searched and support the good tolerability, as well as effective control and remission of JIA with ETN. There have been reports of improved growth in patients with JIA treated with ETN. Other safety information has included a 6</w:t>
      </w:r>
      <w:r w:rsidR="001F68DB">
        <w:t xml:space="preserve"> </w:t>
      </w:r>
      <w:r>
        <w:t>year study in which 127 patients (mean age 13.7 years) with JIA received ETN for a mean duration of 24.1 months.</w:t>
      </w:r>
      <w:r w:rsidR="002040F3">
        <w:t xml:space="preserve"> </w:t>
      </w:r>
      <w:r>
        <w:t>Several types of AEs rarely described previously were noted.</w:t>
      </w:r>
      <w:r w:rsidR="002040F3">
        <w:t xml:space="preserve"> </w:t>
      </w:r>
      <w:r>
        <w:t xml:space="preserve">Neuropsychiatric AEs (30 cases in total) </w:t>
      </w:r>
      <w:r w:rsidR="00B35F99">
        <w:t xml:space="preserve">which </w:t>
      </w:r>
      <w:r>
        <w:t>includ</w:t>
      </w:r>
      <w:r w:rsidR="00B35F99">
        <w:t>es</w:t>
      </w:r>
      <w:r>
        <w:t xml:space="preserve"> </w:t>
      </w:r>
      <w:r w:rsidR="00904313">
        <w:t>non-specific</w:t>
      </w:r>
      <w:r>
        <w:t xml:space="preserve"> signs (headaches, vertigo, fatigue, hyperactivity, nervousness, and anxiety), behavioural alterations (aggressiveness), neuropsychiatric syndromes (pain amplification, panic attacks, depression, anorexia nervosa) and rare organic signs (hypoglossal paralysis).</w:t>
      </w:r>
      <w:r w:rsidR="002040F3">
        <w:t xml:space="preserve"> </w:t>
      </w:r>
      <w:r>
        <w:t>In many cases, the patients were non</w:t>
      </w:r>
      <w:r w:rsidR="001F68DB">
        <w:t xml:space="preserve"> </w:t>
      </w:r>
      <w:r>
        <w:t>responders and the dose had been increased.</w:t>
      </w:r>
      <w:r w:rsidR="002040F3">
        <w:t xml:space="preserve"> </w:t>
      </w:r>
      <w:r>
        <w:t xml:space="preserve">All of the AEs resolved with dose reduction, and less frequently with discontinuation of ETN or </w:t>
      </w:r>
      <w:proofErr w:type="spellStart"/>
      <w:r>
        <w:t>neuropharmacological</w:t>
      </w:r>
      <w:proofErr w:type="spellEnd"/>
      <w:r>
        <w:t xml:space="preserve"> therapy.</w:t>
      </w:r>
      <w:r w:rsidR="002040F3">
        <w:t xml:space="preserve">  </w:t>
      </w:r>
      <w:r>
        <w:t xml:space="preserve">Five cases of inflammatory bowel disease were observed in the above trial including 2 cases diagnosed as </w:t>
      </w:r>
      <w:proofErr w:type="spellStart"/>
      <w:r>
        <w:t>Crohn’s</w:t>
      </w:r>
      <w:proofErr w:type="spellEnd"/>
      <w:r>
        <w:t xml:space="preserve"> disease. All cases resolved with discontinuation of ETN.</w:t>
      </w:r>
      <w:r w:rsidR="002040F3">
        <w:t xml:space="preserve"> </w:t>
      </w:r>
      <w:r>
        <w:t xml:space="preserve">Thrombocytopenia and/or </w:t>
      </w:r>
      <w:proofErr w:type="spellStart"/>
      <w:r>
        <w:t>leucopenia</w:t>
      </w:r>
      <w:proofErr w:type="spellEnd"/>
      <w:r>
        <w:t xml:space="preserve"> (2 patients) resulted in 1 patient discontinuing ETN treatment, although both cases were considered to be drug</w:t>
      </w:r>
      <w:r w:rsidR="001F68DB">
        <w:t xml:space="preserve"> </w:t>
      </w:r>
      <w:r>
        <w:t>related.</w:t>
      </w:r>
      <w:r w:rsidR="002040F3">
        <w:t xml:space="preserve"> </w:t>
      </w:r>
      <w:r>
        <w:t xml:space="preserve">Relapses of chronic </w:t>
      </w:r>
      <w:proofErr w:type="spellStart"/>
      <w:r>
        <w:t>iridocyclitis</w:t>
      </w:r>
      <w:proofErr w:type="spellEnd"/>
      <w:r>
        <w:t xml:space="preserve"> (4 cases) were also observed in this study and 1 patient discontinued ETN because of this AE.</w:t>
      </w:r>
    </w:p>
    <w:p w:rsidR="00120F84" w:rsidRDefault="00120F84" w:rsidP="00120F84">
      <w:pPr>
        <w:autoSpaceDE w:val="0"/>
        <w:autoSpaceDN w:val="0"/>
        <w:adjustRightInd w:val="0"/>
      </w:pPr>
      <w:r>
        <w:t>Other AEs reported in the literature include the development of extra</w:t>
      </w:r>
      <w:r w:rsidR="001F68DB">
        <w:t xml:space="preserve"> </w:t>
      </w:r>
      <w:r>
        <w:t>capillary glomerulonephritis in a 15 year old girl. The AE resolved after discontinuation of ETN and treatment with prednisone. Other case reports in the literature include:</w:t>
      </w:r>
    </w:p>
    <w:p w:rsidR="00120F84" w:rsidRDefault="00120F84" w:rsidP="00561270">
      <w:pPr>
        <w:pStyle w:val="ListBullet"/>
      </w:pPr>
      <w:proofErr w:type="spellStart"/>
      <w:r>
        <w:t>Crohn’s</w:t>
      </w:r>
      <w:proofErr w:type="spellEnd"/>
      <w:r>
        <w:t xml:space="preserve"> disease developing in an 11 year old female. This resolved after discontinuation of ETN,</w:t>
      </w:r>
    </w:p>
    <w:p w:rsidR="00120F84" w:rsidRDefault="00120F84" w:rsidP="00561270">
      <w:pPr>
        <w:pStyle w:val="ListBullet"/>
      </w:pPr>
      <w:proofErr w:type="spellStart"/>
      <w:r>
        <w:t>Urachal</w:t>
      </w:r>
      <w:proofErr w:type="spellEnd"/>
      <w:r>
        <w:t xml:space="preserve"> cyst requiring sur</w:t>
      </w:r>
      <w:r w:rsidR="009B21C1">
        <w:t>gery in a 17 year old male, and</w:t>
      </w:r>
    </w:p>
    <w:p w:rsidR="00120F84" w:rsidRDefault="00120F84" w:rsidP="00561270">
      <w:pPr>
        <w:pStyle w:val="ListBullet"/>
      </w:pPr>
      <w:r>
        <w:t>Macrophage Activation Syndrome developing in a 10 year old male. This resolved after discontinuation of ETN and treatment with prednisone and cyclosporine A.</w:t>
      </w:r>
    </w:p>
    <w:p w:rsidR="00120F84" w:rsidRPr="00AC501A" w:rsidRDefault="009B21C1" w:rsidP="00277CC3">
      <w:pPr>
        <w:pStyle w:val="Heading5"/>
      </w:pPr>
      <w:r>
        <w:t>Spontaneous r</w:t>
      </w:r>
      <w:r w:rsidR="00120F84" w:rsidRPr="00AC501A">
        <w:t xml:space="preserve">eports in JIA </w:t>
      </w:r>
      <w:r>
        <w:t>patients</w:t>
      </w:r>
    </w:p>
    <w:p w:rsidR="00120F84" w:rsidRDefault="00120F84" w:rsidP="00120F84">
      <w:pPr>
        <w:autoSpaceDE w:val="0"/>
        <w:autoSpaceDN w:val="0"/>
        <w:adjustRightInd w:val="0"/>
      </w:pPr>
      <w:r>
        <w:t>Up until 2 February 2011, a total of 1937 spontaneous, medically confirmed events (occurring in 671 cases) were reported in patients under the age of 18 who received ETN for the treatment of JIA.</w:t>
      </w:r>
      <w:r w:rsidR="002040F3">
        <w:t xml:space="preserve"> </w:t>
      </w:r>
      <w:r>
        <w:t xml:space="preserve">The patients varied in age from </w:t>
      </w:r>
      <w:r w:rsidR="00277CC3">
        <w:t xml:space="preserve">less than </w:t>
      </w:r>
      <w:r>
        <w:t>1 year to 17 years (mean 10.66 years, median 11.0 years).</w:t>
      </w:r>
      <w:r w:rsidR="002040F3">
        <w:t xml:space="preserve"> </w:t>
      </w:r>
      <w:r>
        <w:t>The type of AEs reported in JIA subjects were similar to those received for the overall ETN</w:t>
      </w:r>
      <w:r w:rsidR="001F68DB">
        <w:t xml:space="preserve"> </w:t>
      </w:r>
      <w:r>
        <w:t>treated paediatric population.</w:t>
      </w:r>
      <w:r w:rsidR="002040F3">
        <w:t xml:space="preserve"> </w:t>
      </w:r>
      <w:r>
        <w:t>The most frequently reported AEs were aggravation of arthritis, injection site reactions, and pyrexia.</w:t>
      </w:r>
      <w:r w:rsidR="002040F3">
        <w:t xml:space="preserve"> </w:t>
      </w:r>
      <w:r>
        <w:t>The most frequently reported SAEs were aggravation of underlying medical condition and pyrexia (20 events each); and uveitis and injection site reactions (16 events each).</w:t>
      </w:r>
      <w:r w:rsidR="002040F3">
        <w:t xml:space="preserve"> </w:t>
      </w:r>
      <w:r>
        <w:t>The cases of uveitis would frequently resolve with discontinuation of ETN, however, uveitis is often associated with JIA itself, and therefore these events probably represent a form of treatment failure rather than a drug</w:t>
      </w:r>
      <w:r w:rsidR="001F68DB">
        <w:t xml:space="preserve"> </w:t>
      </w:r>
      <w:r>
        <w:t>related AE. Similarly, fever often accompanies common childhood illnesses, including active JIA, and as such these reports are confounded by alternative aetiological explanations versus drug</w:t>
      </w:r>
      <w:r w:rsidR="001F68DB">
        <w:t xml:space="preserve"> </w:t>
      </w:r>
      <w:r>
        <w:t>related.</w:t>
      </w:r>
    </w:p>
    <w:p w:rsidR="00120F84" w:rsidRPr="00AC501A" w:rsidRDefault="00120F84" w:rsidP="00277CC3">
      <w:pPr>
        <w:pStyle w:val="Heading5"/>
      </w:pPr>
      <w:r w:rsidRPr="00AC501A">
        <w:t>Experi</w:t>
      </w:r>
      <w:r w:rsidR="009B21C1">
        <w:t>ence in p</w:t>
      </w:r>
      <w:r w:rsidRPr="00AC501A">
        <w:t xml:space="preserve">atients </w:t>
      </w:r>
      <w:r w:rsidR="009B21C1">
        <w:t>a</w:t>
      </w:r>
      <w:r w:rsidRPr="00AC501A">
        <w:t xml:space="preserve">ged less than 4 </w:t>
      </w:r>
      <w:r w:rsidR="009B21C1">
        <w:t>y</w:t>
      </w:r>
      <w:r w:rsidRPr="00AC501A">
        <w:t>ears</w:t>
      </w:r>
    </w:p>
    <w:p w:rsidR="00120F84" w:rsidRDefault="00120F84" w:rsidP="00120F84">
      <w:pPr>
        <w:autoSpaceDE w:val="0"/>
        <w:autoSpaceDN w:val="0"/>
        <w:adjustRightInd w:val="0"/>
      </w:pPr>
      <w:r>
        <w:t>ETN was not approved anywhere in the world for children younger than 4 years of age until 2008 in US. Up until 2 February 2009, a total of 121 AEs have been identified from 38 reports in children below 4 years of age who had received ETN. The type of AEs recorded was similar to that seen in juvenile patients, apart from accidental overdose in 4 patients (including 2 errors in dosing by healthcare professionals). As the recommended dosing of ETN in children is weight based, there is the potential for incorrect dose calculations. The sponsor proposes a communication plan to healthc</w:t>
      </w:r>
      <w:r w:rsidR="009B21C1">
        <w:t>are professionals about dosing.</w:t>
      </w:r>
    </w:p>
    <w:p w:rsidR="00120F84" w:rsidRDefault="00120F84" w:rsidP="00120F84">
      <w:pPr>
        <w:autoSpaceDE w:val="0"/>
        <w:autoSpaceDN w:val="0"/>
        <w:adjustRightInd w:val="0"/>
      </w:pPr>
      <w:r>
        <w:t xml:space="preserve">Two deaths have been reported in children under the age of 4 years with JIA. One fatality occurred in a 2 year old female with interstitial lung disease who died of sepsis 3 months after receiving their last treatment with ETN. The other death occurred in a 3 year old female. </w:t>
      </w:r>
      <w:r w:rsidR="002040F3">
        <w:t>The patient</w:t>
      </w:r>
      <w:r>
        <w:t xml:space="preserve"> died of a subarachnoid haemorrhage in the setting of seizures and respiratory tract infection. In addition, there is 1 report of malignancy in the </w:t>
      </w:r>
      <w:r w:rsidR="00277CC3">
        <w:t xml:space="preserve">less than </w:t>
      </w:r>
      <w:r>
        <w:t>4 year old age category. A 3.5 year old male developed Acute Lymphocytic Leukaemia after receiving less than 12 doses of ETN (exact duration of therapy unclear). The outcome o</w:t>
      </w:r>
      <w:r w:rsidR="009B21C1">
        <w:t>f the malignancy is unknown.</w:t>
      </w:r>
    </w:p>
    <w:p w:rsidR="002040F3" w:rsidRDefault="00120F84" w:rsidP="00120F84">
      <w:pPr>
        <w:autoSpaceDE w:val="0"/>
        <w:autoSpaceDN w:val="0"/>
        <w:adjustRightInd w:val="0"/>
      </w:pPr>
      <w:r>
        <w:t>The German JIA registry has recorded data on 25 JIA patients below the age of 4 years, 10 of whom had non</w:t>
      </w:r>
      <w:r w:rsidR="001F68DB">
        <w:t xml:space="preserve"> </w:t>
      </w:r>
      <w:r>
        <w:t>systemic subtypes of JIA. This cohort has received ETN for a mean duration of 19 months. Two AEs (varicella zoster infection and fever) have been reported. No SAEs or treatment discontinuations due to medication intolerance have been recorded.</w:t>
      </w:r>
    </w:p>
    <w:p w:rsidR="00525E14" w:rsidRDefault="00525E14" w:rsidP="009B21C1">
      <w:pPr>
        <w:pStyle w:val="Heading4"/>
      </w:pPr>
      <w:r w:rsidRPr="00277CC3">
        <w:t>Evaluator’s conclusions on safety</w:t>
      </w:r>
    </w:p>
    <w:p w:rsidR="00B35F99" w:rsidRDefault="00120F84" w:rsidP="00120F84">
      <w:pPr>
        <w:autoSpaceDE w:val="0"/>
        <w:autoSpaceDN w:val="0"/>
        <w:adjustRightInd w:val="0"/>
      </w:pPr>
      <w:r>
        <w:t>In this submission, the total clinical safety dataset for the use of ETN in patients aged 2</w:t>
      </w:r>
      <w:r w:rsidR="00277CC3">
        <w:t xml:space="preserve"> to </w:t>
      </w:r>
      <w:r>
        <w:t>18 years with active JIA consists of 582 patients in 3 studies, all of whom received ETN 0.8</w:t>
      </w:r>
      <w:r w:rsidR="00277CC3">
        <w:t> </w:t>
      </w:r>
      <w:r>
        <w:t xml:space="preserve">mg/kg/week (either once weekly by SC injection, or 0.4 mg/kg twice weekly). Most of the patients in the dataset received concurrent MTX and/or NSAID, and just over 10% were taking concurrent low dose oral </w:t>
      </w:r>
      <w:r w:rsidR="00277CC3">
        <w:t>corticosteroid (</w:t>
      </w:r>
      <w:r>
        <w:t>CS</w:t>
      </w:r>
      <w:r w:rsidR="00277CC3">
        <w:t>)</w:t>
      </w:r>
      <w:r>
        <w:t xml:space="preserve">. A total of 62 patients aged between 2 and 4 years of age at the commencement of ETN therapy are included within to the total JIA </w:t>
      </w:r>
      <w:r w:rsidR="009B21C1">
        <w:t>paediatric exposure population.</w:t>
      </w:r>
    </w:p>
    <w:p w:rsidR="00120F84" w:rsidRDefault="00120F84" w:rsidP="00120F84">
      <w:pPr>
        <w:autoSpaceDE w:val="0"/>
        <w:autoSpaceDN w:val="0"/>
        <w:adjustRightInd w:val="0"/>
      </w:pPr>
      <w:r>
        <w:t>In the pivotal Study 0881A1-3338, the overall exposure to ETN was 29.16 patient</w:t>
      </w:r>
      <w:r w:rsidR="001F68DB">
        <w:t xml:space="preserve"> </w:t>
      </w:r>
      <w:r>
        <w:t>years, and the total exposure to ETN in the long</w:t>
      </w:r>
      <w:r w:rsidR="001F68DB">
        <w:t xml:space="preserve"> </w:t>
      </w:r>
      <w:r>
        <w:t>term, open</w:t>
      </w:r>
      <w:r w:rsidR="001F68DB">
        <w:t xml:space="preserve"> </w:t>
      </w:r>
      <w:r>
        <w:t>label extension trial (Study 20021618) was 342 patient</w:t>
      </w:r>
      <w:r w:rsidR="001F68DB">
        <w:t xml:space="preserve"> </w:t>
      </w:r>
      <w:r>
        <w:t xml:space="preserve">years. In the supporting registry trial (Study 20021626) the total exposure to ETN cannot be accurately determined because drug administration information was not collected. Nonetheless, there is sufficient data to make a meaningful assessment of safety at least for up to 3 years of treatment in the paediatric population with </w:t>
      </w:r>
      <w:proofErr w:type="spellStart"/>
      <w:r>
        <w:t>polyarticular</w:t>
      </w:r>
      <w:proofErr w:type="spellEnd"/>
      <w:r>
        <w:t xml:space="preserve"> JIA.</w:t>
      </w:r>
    </w:p>
    <w:p w:rsidR="002040F3" w:rsidRDefault="00120F84" w:rsidP="00120F84">
      <w:pPr>
        <w:autoSpaceDE w:val="0"/>
        <w:autoSpaceDN w:val="0"/>
        <w:adjustRightInd w:val="0"/>
      </w:pPr>
      <w:r>
        <w:t>Infection was the most common AE recognised in the ETN JIA studies with 45.7% of patients (58</w:t>
      </w:r>
      <w:r w:rsidR="001F68DB">
        <w:t xml:space="preserve"> out of </w:t>
      </w:r>
      <w:r>
        <w:t>127) in the pivotal study experiencing an infection related AE.</w:t>
      </w:r>
      <w:r w:rsidR="002040F3">
        <w:t xml:space="preserve"> </w:t>
      </w:r>
      <w:r>
        <w:t xml:space="preserve">The majority of infections were mild in severity, </w:t>
      </w:r>
      <w:r w:rsidR="00904313">
        <w:t>self-limiting</w:t>
      </w:r>
      <w:r>
        <w:t>, and predominately involved either the upper respiratory tract or gastrointestinal system.</w:t>
      </w:r>
      <w:r w:rsidR="002040F3">
        <w:t xml:space="preserve"> </w:t>
      </w:r>
      <w:r>
        <w:t>However, 3 infectious SAEs at a rate of 0.103 per 100 patient</w:t>
      </w:r>
      <w:r w:rsidR="001F68DB">
        <w:t xml:space="preserve"> </w:t>
      </w:r>
      <w:r>
        <w:t>years in Study 0881A1-3338 were reported. Four patients in the pivotal study developed varicella</w:t>
      </w:r>
      <w:r w:rsidR="001F68DB">
        <w:t xml:space="preserve"> </w:t>
      </w:r>
      <w:r>
        <w:t xml:space="preserve">zoster infections. It is unclear if the use of concurrent MTX and/or CS increases the risk of infection associated with ETN. Subject age did not appear to be a determinant of the risk of infection (as evidenced by the subgroup analysis of younger patients </w:t>
      </w:r>
      <w:r w:rsidR="00277CC3">
        <w:t>(</w:t>
      </w:r>
      <w:r>
        <w:t>2</w:t>
      </w:r>
      <w:r w:rsidR="001F68DB">
        <w:t xml:space="preserve"> to </w:t>
      </w:r>
      <w:r>
        <w:t>4 years of age</w:t>
      </w:r>
      <w:r w:rsidR="00277CC3">
        <w:t>)</w:t>
      </w:r>
      <w:r>
        <w:t xml:space="preserve"> in Study 20021626. The rate of serious infection appears to be highest in the first 2 years of ETN treatment, and becomes less frequent in extended periods of treatment (as observed in the 10 year Study 20021618).</w:t>
      </w:r>
    </w:p>
    <w:p w:rsidR="002040F3" w:rsidRDefault="00120F84" w:rsidP="00120F84">
      <w:pPr>
        <w:autoSpaceDE w:val="0"/>
        <w:autoSpaceDN w:val="0"/>
        <w:adjustRightInd w:val="0"/>
      </w:pPr>
      <w:r>
        <w:t xml:space="preserve">Injection site reactions were common type of AE occurring in patients given ETN. In Study 0881A1-3338, 10 subjects (7.9% of 127) experienced an </w:t>
      </w:r>
      <w:r w:rsidR="00515286" w:rsidRPr="00515286">
        <w:t xml:space="preserve">Injection Site Reaction </w:t>
      </w:r>
      <w:r w:rsidR="00515286">
        <w:t>(</w:t>
      </w:r>
      <w:r>
        <w:t>ISR</w:t>
      </w:r>
      <w:r w:rsidR="00515286">
        <w:t>)</w:t>
      </w:r>
      <w:r>
        <w:t>, and 11 patients (19.0% of 58) reported this type of AE in Study 20021618. The majority of injection site reactions were mild, resolved without specific intervention and did not result in discontinuation from ETN treatment.</w:t>
      </w:r>
    </w:p>
    <w:p w:rsidR="002040F3" w:rsidRDefault="00120F84" w:rsidP="00120F84">
      <w:pPr>
        <w:autoSpaceDE w:val="0"/>
        <w:autoSpaceDN w:val="0"/>
        <w:adjustRightInd w:val="0"/>
      </w:pPr>
      <w:r>
        <w:t>No deaths were reported in the pivotal or supporting studies. However, a few paediatric deaths were identified in the post</w:t>
      </w:r>
      <w:r w:rsidR="001F68DB">
        <w:t xml:space="preserve"> </w:t>
      </w:r>
      <w:r>
        <w:t>marketing surveillance, of which infection was contributory in at least 2 of these cases.</w:t>
      </w:r>
    </w:p>
    <w:p w:rsidR="002040F3" w:rsidRDefault="00120F84" w:rsidP="00120F84">
      <w:pPr>
        <w:autoSpaceDE w:val="0"/>
        <w:autoSpaceDN w:val="0"/>
        <w:adjustRightInd w:val="0"/>
      </w:pPr>
      <w:r>
        <w:t>Elevations in hepatic transaminases (</w:t>
      </w:r>
      <w:r w:rsidR="00515286">
        <w:t>Aspartate transaminase (</w:t>
      </w:r>
      <w:r>
        <w:t>AST</w:t>
      </w:r>
      <w:r w:rsidR="00515286">
        <w:t>)</w:t>
      </w:r>
      <w:r>
        <w:t xml:space="preserve"> and </w:t>
      </w:r>
      <w:r w:rsidR="00515286">
        <w:t>Alanine transaminase (</w:t>
      </w:r>
      <w:r>
        <w:t>ALT)</w:t>
      </w:r>
      <w:r w:rsidR="00515286">
        <w:t>)</w:t>
      </w:r>
      <w:r>
        <w:t xml:space="preserve"> were recorded in up to 9.5% of patients treated with ETN in the pivotal study (0881A1-3338). The majority of these changes in liver function tests were mild and without as</w:t>
      </w:r>
      <w:r w:rsidR="009B21C1">
        <w:t>sociated clinical implications.</w:t>
      </w:r>
    </w:p>
    <w:p w:rsidR="002040F3" w:rsidRDefault="00120F84" w:rsidP="00120F84">
      <w:pPr>
        <w:autoSpaceDE w:val="0"/>
        <w:autoSpaceDN w:val="0"/>
        <w:adjustRightInd w:val="0"/>
      </w:pPr>
      <w:r>
        <w:t>The incidence of JIA subjects developing anti</w:t>
      </w:r>
      <w:r w:rsidR="001F68DB">
        <w:t xml:space="preserve"> </w:t>
      </w:r>
      <w:r>
        <w:t>ETN antibodies is low (4.8%</w:t>
      </w:r>
      <w:r w:rsidR="002040F3">
        <w:t xml:space="preserve"> </w:t>
      </w:r>
      <w:r>
        <w:t>using the combined incidence observed in Studies 0881A1-3338 and 16.0016) and their clinical relevance is yet to be defined with no discernible link to the risk of infection, infusion related reactions or loss of efficacy.</w:t>
      </w:r>
    </w:p>
    <w:p w:rsidR="002040F3" w:rsidRDefault="00120F84" w:rsidP="00120F84">
      <w:pPr>
        <w:autoSpaceDE w:val="0"/>
        <w:autoSpaceDN w:val="0"/>
        <w:adjustRightInd w:val="0"/>
      </w:pPr>
      <w:r>
        <w:t>In summary, the safety data indicates that ETN has an acceptable overall short</w:t>
      </w:r>
      <w:r w:rsidR="001F68DB">
        <w:t xml:space="preserve"> </w:t>
      </w:r>
      <w:r>
        <w:t xml:space="preserve">term safety profile in the treatment of 5 subtypes of JIA in patients aged 2 to 18 years with moderately to severely active disease. In </w:t>
      </w:r>
      <w:proofErr w:type="spellStart"/>
      <w:r>
        <w:t>polyarticular</w:t>
      </w:r>
      <w:proofErr w:type="spellEnd"/>
      <w:r>
        <w:t xml:space="preserve"> JIA (</w:t>
      </w:r>
      <w:r w:rsidR="00515286" w:rsidRPr="00515286">
        <w:t xml:space="preserve">Rheumatoid Factor </w:t>
      </w:r>
      <w:r w:rsidR="00515286">
        <w:t>(</w:t>
      </w:r>
      <w:r>
        <w:t>RF</w:t>
      </w:r>
      <w:r w:rsidR="00515286">
        <w:t>)</w:t>
      </w:r>
      <w:r>
        <w:t xml:space="preserve"> positive or negative) there is sufficient long</w:t>
      </w:r>
      <w:r w:rsidR="001F68DB">
        <w:t xml:space="preserve"> </w:t>
      </w:r>
      <w:r>
        <w:t>term safety data in the current submission but for the newly requested JIA subtypes (</w:t>
      </w:r>
      <w:proofErr w:type="spellStart"/>
      <w:r>
        <w:t>eoJIA</w:t>
      </w:r>
      <w:proofErr w:type="spellEnd"/>
      <w:r>
        <w:t xml:space="preserve">, ERA and </w:t>
      </w:r>
      <w:proofErr w:type="spellStart"/>
      <w:r>
        <w:t>PsJIA</w:t>
      </w:r>
      <w:proofErr w:type="spellEnd"/>
      <w:r>
        <w:t>) there is limited longitudinal safety follow</w:t>
      </w:r>
      <w:r w:rsidR="001F68DB">
        <w:t xml:space="preserve"> </w:t>
      </w:r>
      <w:r>
        <w:t xml:space="preserve">up. There are some significant safety concerns including the risk of serious infection, opportunistic infection, injection site reactions, and abnormal liver function tests. Significant </w:t>
      </w:r>
      <w:proofErr w:type="spellStart"/>
      <w:r>
        <w:t>pharmacovigilance</w:t>
      </w:r>
      <w:proofErr w:type="spellEnd"/>
      <w:r>
        <w:t xml:space="preserve"> would be required if approval is granted for extension of indication in JIA. This would include vigilance for opportuni</w:t>
      </w:r>
      <w:r w:rsidR="009B21C1">
        <w:t>stic infections and malignancy.</w:t>
      </w:r>
    </w:p>
    <w:p w:rsidR="003F0465" w:rsidRPr="00DC309B" w:rsidRDefault="009B21C1" w:rsidP="003F0465">
      <w:pPr>
        <w:pStyle w:val="Heading3"/>
      </w:pPr>
      <w:bookmarkStart w:id="72" w:name="_Toc184440295"/>
      <w:bookmarkStart w:id="73" w:name="_Toc184444673"/>
      <w:bookmarkStart w:id="74" w:name="_Toc196046503"/>
      <w:bookmarkStart w:id="75" w:name="_Toc255919423"/>
      <w:bookmarkStart w:id="76" w:name="_Toc241374329"/>
      <w:bookmarkStart w:id="77" w:name="_Toc270320087"/>
      <w:bookmarkStart w:id="78" w:name="_Toc314842506"/>
      <w:bookmarkStart w:id="79" w:name="_Toc390330068"/>
      <w:r>
        <w:t>First r</w:t>
      </w:r>
      <w:r w:rsidR="00525E14" w:rsidRPr="00DC309B">
        <w:t xml:space="preserve">ound </w:t>
      </w:r>
      <w:r>
        <w:t>b</w:t>
      </w:r>
      <w:r w:rsidR="00525E14" w:rsidRPr="00DC309B">
        <w:t>enefit-</w:t>
      </w:r>
      <w:r>
        <w:t>r</w:t>
      </w:r>
      <w:r w:rsidR="00525E14" w:rsidRPr="00DC309B">
        <w:t xml:space="preserve">isk </w:t>
      </w:r>
      <w:r>
        <w:t>a</w:t>
      </w:r>
      <w:r w:rsidR="00525E14" w:rsidRPr="00DC309B">
        <w:t>ssessment</w:t>
      </w:r>
      <w:bookmarkEnd w:id="79"/>
    </w:p>
    <w:p w:rsidR="00920C88" w:rsidRPr="00DC309B" w:rsidRDefault="00920C88" w:rsidP="00990922">
      <w:pPr>
        <w:pStyle w:val="Heading4"/>
      </w:pPr>
      <w:r w:rsidRPr="00DC309B">
        <w:t xml:space="preserve">First </w:t>
      </w:r>
      <w:r w:rsidR="00990922" w:rsidRPr="00DC309B">
        <w:t>r</w:t>
      </w:r>
      <w:r w:rsidRPr="00DC309B">
        <w:t>ound assessment of benefits</w:t>
      </w:r>
    </w:p>
    <w:p w:rsidR="00120F84" w:rsidRDefault="00120F84" w:rsidP="00120F84">
      <w:r>
        <w:t>The benefits of ETN in the proposed usage are:</w:t>
      </w:r>
    </w:p>
    <w:p w:rsidR="00120F84" w:rsidRPr="00DC309B" w:rsidRDefault="00120F84" w:rsidP="00DC309B">
      <w:pPr>
        <w:pStyle w:val="ListBullet"/>
      </w:pPr>
      <w:r w:rsidRPr="00DC309B">
        <w:t>Significant rates of clinically meaningful JIA ACR responses (ACR Pedi 30, 50, 70 and 90) were seen in the first 12 weeks of treatment with ETN in Study 0881A1-3338, as well as for extended periods of treatment in Studies 20021618 (up to 10 years) and 20021626 (up to 36 months).</w:t>
      </w:r>
    </w:p>
    <w:p w:rsidR="00120F84" w:rsidRPr="00DC309B" w:rsidRDefault="00120F84" w:rsidP="00DC309B">
      <w:pPr>
        <w:pStyle w:val="ListBullet"/>
      </w:pPr>
      <w:r w:rsidRPr="00DC309B">
        <w:t>Pivotal study (0881A1-3338) showed a responder rate of 88.6% (109</w:t>
      </w:r>
      <w:r w:rsidR="001F68DB" w:rsidRPr="00DC309B">
        <w:t xml:space="preserve"> out of </w:t>
      </w:r>
      <w:r w:rsidRPr="00DC309B">
        <w:t>127) at 12 weeks in the ACR Pedi 30 response (primary efficacy endpoint) which was a statistically significant and clinically meaningful higher rate of ACR Pedi 30 response compared to historical placebo control data, and an equivalent efficacy response to an act</w:t>
      </w:r>
      <w:r w:rsidR="009B21C1">
        <w:t>ive historical control dataset.</w:t>
      </w:r>
    </w:p>
    <w:p w:rsidR="00120F84" w:rsidRPr="00DC309B" w:rsidRDefault="00120F84" w:rsidP="00DC309B">
      <w:pPr>
        <w:pStyle w:val="ListBullet"/>
      </w:pPr>
      <w:r w:rsidRPr="00DC309B">
        <w:t>An alternative SC dosing strategy of 0.8 mg/kg once weekly versus 0.4 mg/kg twice weekly is clinically comparable and offers flexibility in posol</w:t>
      </w:r>
      <w:r w:rsidR="009B21C1">
        <w:t>ogy for patients receiving ETN.</w:t>
      </w:r>
    </w:p>
    <w:p w:rsidR="00120F84" w:rsidRPr="00DC309B" w:rsidRDefault="00120F84" w:rsidP="00DC309B">
      <w:pPr>
        <w:pStyle w:val="ListBullet"/>
      </w:pPr>
      <w:r w:rsidRPr="00DC309B">
        <w:t>Younger patients (2</w:t>
      </w:r>
      <w:r w:rsidR="001F68DB" w:rsidRPr="00DC309B">
        <w:t xml:space="preserve"> to </w:t>
      </w:r>
      <w:r w:rsidRPr="00DC309B">
        <w:t>4 years of age) who are not within the current approved treatment indication appear to have ETN treatment responses comparable to older paediatric patients affected by JIA.</w:t>
      </w:r>
    </w:p>
    <w:p w:rsidR="002040F3" w:rsidRPr="00DC309B" w:rsidRDefault="00120F84" w:rsidP="00DC309B">
      <w:pPr>
        <w:pStyle w:val="ListBullet"/>
      </w:pPr>
      <w:r w:rsidRPr="00DC309B">
        <w:t>ETN offers an alternative treatment strategy for patients with moderately</w:t>
      </w:r>
      <w:r w:rsidR="001F68DB" w:rsidRPr="00DC309B">
        <w:t xml:space="preserve"> </w:t>
      </w:r>
      <w:r w:rsidRPr="00DC309B">
        <w:t>severely active JIA (5 of the 8 subtypes), which currently have limited treatment options and a sign</w:t>
      </w:r>
      <w:r w:rsidR="009B21C1">
        <w:t>ificant unmet therapeutic need.</w:t>
      </w:r>
    </w:p>
    <w:p w:rsidR="00990922" w:rsidRPr="00DC309B" w:rsidRDefault="00990922" w:rsidP="00120F84">
      <w:pPr>
        <w:pStyle w:val="Heading4"/>
        <w:tabs>
          <w:tab w:val="center" w:pos="4252"/>
        </w:tabs>
      </w:pPr>
      <w:r w:rsidRPr="00DC309B">
        <w:t>First round assessment of risks</w:t>
      </w:r>
    </w:p>
    <w:p w:rsidR="00120F84" w:rsidRDefault="00120F84" w:rsidP="00120F84">
      <w:r>
        <w:t>The risks of ETN in the proposed usage are:</w:t>
      </w:r>
    </w:p>
    <w:p w:rsidR="00120F84" w:rsidRPr="00DC309B" w:rsidRDefault="00120F84" w:rsidP="00DC309B">
      <w:pPr>
        <w:pStyle w:val="ListBullet"/>
      </w:pPr>
      <w:r w:rsidRPr="00DC309B">
        <w:t>ETN treatment carries an increased risk of infection, and serious infection.</w:t>
      </w:r>
      <w:r w:rsidR="002040F3" w:rsidRPr="00DC309B">
        <w:t xml:space="preserve"> </w:t>
      </w:r>
      <w:r w:rsidRPr="00DC309B">
        <w:t xml:space="preserve">While most infections are mild and </w:t>
      </w:r>
      <w:r w:rsidR="00904313" w:rsidRPr="00DC309B">
        <w:t>self-limiting</w:t>
      </w:r>
      <w:r w:rsidRPr="00DC309B">
        <w:t xml:space="preserve">, it is likely </w:t>
      </w:r>
      <w:r w:rsidR="00D31E62">
        <w:t xml:space="preserve">that </w:t>
      </w:r>
      <w:r w:rsidRPr="00DC309B">
        <w:t>ETN therapy will lead to cases of serious infection and potentially death.</w:t>
      </w:r>
      <w:r w:rsidR="002040F3" w:rsidRPr="00DC309B">
        <w:t xml:space="preserve"> </w:t>
      </w:r>
      <w:r w:rsidRPr="00DC309B">
        <w:t>No deaths were reported in the clinical studies, however post</w:t>
      </w:r>
      <w:r w:rsidR="001F68DB" w:rsidRPr="00DC309B">
        <w:t xml:space="preserve"> </w:t>
      </w:r>
      <w:r w:rsidRPr="00DC309B">
        <w:t>marketing experience has identified deaths with infection as a contributing factor.</w:t>
      </w:r>
    </w:p>
    <w:p w:rsidR="00120F84" w:rsidRPr="00DC309B" w:rsidRDefault="00120F84" w:rsidP="00DC309B">
      <w:pPr>
        <w:pStyle w:val="ListBullet"/>
      </w:pPr>
      <w:r w:rsidRPr="00DC309B">
        <w:t>Increased risk of opportunistic infections, in particular varicella</w:t>
      </w:r>
      <w:r w:rsidR="001F68DB" w:rsidRPr="00DC309B">
        <w:t xml:space="preserve"> </w:t>
      </w:r>
      <w:r w:rsidRPr="00DC309B">
        <w:t>zoster infection, was observed in the pivotal study (0881A1-3338).</w:t>
      </w:r>
    </w:p>
    <w:p w:rsidR="00120F84" w:rsidRPr="00DC309B" w:rsidRDefault="00120F84" w:rsidP="00DC309B">
      <w:pPr>
        <w:pStyle w:val="ListBullet"/>
      </w:pPr>
      <w:r w:rsidRPr="00DC309B">
        <w:t>ETN carries a risk of injection site reactions (7.9% of 127 patients in Study 0881A1-3338).</w:t>
      </w:r>
    </w:p>
    <w:p w:rsidR="00120F84" w:rsidRPr="00DC309B" w:rsidRDefault="00120F84" w:rsidP="00DC309B">
      <w:pPr>
        <w:pStyle w:val="ListBullet"/>
      </w:pPr>
      <w:r w:rsidRPr="00DC309B">
        <w:t>Changes in laboratory parameters, in particular abnormal liver function tests, were seen in the studies involving JIA patients.</w:t>
      </w:r>
      <w:r w:rsidR="002040F3" w:rsidRPr="00DC309B">
        <w:t xml:space="preserve"> </w:t>
      </w:r>
      <w:r w:rsidRPr="00DC309B">
        <w:t>These were of no clinical significance to the majority of subjects in the studies, but some individual patients develop clinically significant laboratory abnormalities.</w:t>
      </w:r>
    </w:p>
    <w:p w:rsidR="002040F3" w:rsidRPr="00DC309B" w:rsidRDefault="00120F84" w:rsidP="00DC309B">
      <w:pPr>
        <w:pStyle w:val="ListBullet"/>
      </w:pPr>
      <w:r w:rsidRPr="00DC309B">
        <w:t>Limited numbers of paediatric patients with certain subtypes of JIA (</w:t>
      </w:r>
      <w:proofErr w:type="spellStart"/>
      <w:r w:rsidRPr="00DC309B">
        <w:t>eoJIA</w:t>
      </w:r>
      <w:proofErr w:type="spellEnd"/>
      <w:r w:rsidRPr="00DC309B">
        <w:t xml:space="preserve">, ERA and </w:t>
      </w:r>
      <w:proofErr w:type="spellStart"/>
      <w:r w:rsidRPr="00DC309B">
        <w:t>PsJIA</w:t>
      </w:r>
      <w:proofErr w:type="spellEnd"/>
      <w:r w:rsidRPr="00DC309B">
        <w:t>) have received long</w:t>
      </w:r>
      <w:r w:rsidR="001F68DB" w:rsidRPr="00DC309B">
        <w:t xml:space="preserve"> </w:t>
      </w:r>
      <w:r w:rsidRPr="00DC309B">
        <w:t>term (</w:t>
      </w:r>
      <w:r w:rsidR="00904313" w:rsidRPr="00DC309B">
        <w:t>multiyear</w:t>
      </w:r>
      <w:r w:rsidRPr="00DC309B">
        <w:t>) treatment with ETN. This may be important for safety issues such as development of malignancy and autoimmune disorders.</w:t>
      </w:r>
    </w:p>
    <w:p w:rsidR="00990922" w:rsidRDefault="00990922" w:rsidP="00990922">
      <w:pPr>
        <w:pStyle w:val="Heading4"/>
      </w:pPr>
      <w:r w:rsidRPr="00DC309B">
        <w:t>First round assessment of benefit-risk balance</w:t>
      </w:r>
    </w:p>
    <w:p w:rsidR="002040F3" w:rsidRDefault="00120F84" w:rsidP="00120F84">
      <w:r>
        <w:t>The short</w:t>
      </w:r>
      <w:r w:rsidR="001F68DB">
        <w:t xml:space="preserve"> </w:t>
      </w:r>
      <w:r>
        <w:t>term, benefit</w:t>
      </w:r>
      <w:r w:rsidR="001F68DB">
        <w:t xml:space="preserve"> </w:t>
      </w:r>
      <w:r>
        <w:t>risk balance of ETN in the target population of subjects aged 2</w:t>
      </w:r>
      <w:r w:rsidR="001F68DB">
        <w:t xml:space="preserve"> to </w:t>
      </w:r>
      <w:r>
        <w:t>17 years with active JIA (covering 5 of the 8 subtypes) is favourable. ETN is administered by subcutaneous injection, either weekly or every 3</w:t>
      </w:r>
      <w:r w:rsidR="001F68DB">
        <w:t xml:space="preserve"> to </w:t>
      </w:r>
      <w:r>
        <w:t>4 days, and the sponsor has proposed a weekly dose of 0.8 mg/kg (up to maximum weekly dose of 50 mg). This dosing regimen has been justified in this submission, based primarily on the results of the single pivotal trial (Study 0881A1-3338). In addition, the sponsor request to extend the use of ETN as a therapy option in younger children (aged 2</w:t>
      </w:r>
      <w:r w:rsidR="001F68DB">
        <w:t xml:space="preserve"> to </w:t>
      </w:r>
      <w:r>
        <w:t xml:space="preserve">4 years) has been justified in this submission by </w:t>
      </w:r>
      <w:r w:rsidR="00904313">
        <w:t>non-randomized</w:t>
      </w:r>
      <w:r>
        <w:t xml:space="preserve"> data collectio</w:t>
      </w:r>
      <w:r w:rsidR="009B21C1">
        <w:t>n in this subgroup of patients.</w:t>
      </w:r>
    </w:p>
    <w:p w:rsidR="003F0465" w:rsidRDefault="00525E14" w:rsidP="00525E14">
      <w:pPr>
        <w:pStyle w:val="Heading3"/>
      </w:pPr>
      <w:bookmarkStart w:id="80" w:name="_Toc390330069"/>
      <w:bookmarkEnd w:id="72"/>
      <w:bookmarkEnd w:id="73"/>
      <w:bookmarkEnd w:id="74"/>
      <w:r w:rsidRPr="00DC309B">
        <w:t xml:space="preserve">First </w:t>
      </w:r>
      <w:r w:rsidR="009B21C1">
        <w:t>r</w:t>
      </w:r>
      <w:r w:rsidRPr="00DC309B">
        <w:t xml:space="preserve">ound </w:t>
      </w:r>
      <w:r w:rsidR="009B21C1">
        <w:t>r</w:t>
      </w:r>
      <w:r w:rsidRPr="00DC309B">
        <w:t xml:space="preserve">ecommendation </w:t>
      </w:r>
      <w:r w:rsidR="009B21C1">
        <w:t>r</w:t>
      </w:r>
      <w:r w:rsidRPr="00DC309B">
        <w:t xml:space="preserve">egarding </w:t>
      </w:r>
      <w:r w:rsidR="009B21C1">
        <w:t>a</w:t>
      </w:r>
      <w:r w:rsidRPr="00DC309B">
        <w:t>uthorisation</w:t>
      </w:r>
      <w:bookmarkEnd w:id="80"/>
    </w:p>
    <w:p w:rsidR="00120F84" w:rsidRDefault="00120F84" w:rsidP="00120F84">
      <w:r>
        <w:t xml:space="preserve">This evaluator recommends acceptance of the sponsor’s proposed areas of extension of indication for ETN to include the treatment of additional subtypes of JIA (in accordance with the contemporary ILAR classification of JIA), lowering the age limit of treatment from the currently approved 4 years of age to 2 years of age for those patients with extended </w:t>
      </w:r>
      <w:proofErr w:type="spellStart"/>
      <w:r>
        <w:t>oligoarticular</w:t>
      </w:r>
      <w:proofErr w:type="spellEnd"/>
      <w:r>
        <w:t xml:space="preserve"> and </w:t>
      </w:r>
      <w:proofErr w:type="spellStart"/>
      <w:r>
        <w:t>polyarticular</w:t>
      </w:r>
      <w:proofErr w:type="spellEnd"/>
      <w:r>
        <w:t xml:space="preserve"> JIA, and the addition of a </w:t>
      </w:r>
      <w:r w:rsidR="001F68DB">
        <w:t>once weekly dosing regimen (0.8 </w:t>
      </w:r>
      <w:r>
        <w:t>mg/kg, up to a maximum of 50 mg) as an alternative treatment posology for patients with JIA, subject to:</w:t>
      </w:r>
    </w:p>
    <w:p w:rsidR="00120F84" w:rsidRDefault="00120F84" w:rsidP="00561270">
      <w:pPr>
        <w:pStyle w:val="ListBullet"/>
      </w:pPr>
      <w:r>
        <w:t>Satisfactory response t</w:t>
      </w:r>
      <w:r w:rsidR="009B21C1">
        <w:t>o the questions in this report,</w:t>
      </w:r>
    </w:p>
    <w:p w:rsidR="00120F84" w:rsidRDefault="00120F84" w:rsidP="00561270">
      <w:pPr>
        <w:pStyle w:val="ListBullet"/>
      </w:pPr>
      <w:r>
        <w:t>Regular periodic safety update reports, and</w:t>
      </w:r>
    </w:p>
    <w:p w:rsidR="002040F3" w:rsidRDefault="00120F84" w:rsidP="009B21C1">
      <w:pPr>
        <w:pStyle w:val="ListBullet"/>
      </w:pPr>
      <w:r>
        <w:t>The sponsor providing the TGA with an interim clinical study report of the safety data for Part 2 of Study 0881A1-3338.</w:t>
      </w:r>
    </w:p>
    <w:p w:rsidR="008E7846" w:rsidRDefault="009B21C1" w:rsidP="008E7846">
      <w:pPr>
        <w:pStyle w:val="Heading3"/>
      </w:pPr>
      <w:bookmarkStart w:id="81" w:name="_Toc390330070"/>
      <w:bookmarkEnd w:id="75"/>
      <w:bookmarkEnd w:id="76"/>
      <w:bookmarkEnd w:id="77"/>
      <w:bookmarkEnd w:id="78"/>
      <w:r>
        <w:t>Clinical q</w:t>
      </w:r>
      <w:r w:rsidR="00525E14" w:rsidRPr="00DC309B">
        <w:t>uestions</w:t>
      </w:r>
      <w:bookmarkEnd w:id="81"/>
    </w:p>
    <w:p w:rsidR="00120F84" w:rsidRPr="00120F84" w:rsidRDefault="00120F84" w:rsidP="00DC309B">
      <w:pPr>
        <w:pStyle w:val="Heading4"/>
        <w:rPr>
          <w:lang w:eastAsia="ja-JP"/>
        </w:rPr>
      </w:pPr>
      <w:bookmarkStart w:id="82" w:name="_Toc272414702"/>
      <w:bookmarkStart w:id="83" w:name="_Toc290846342"/>
      <w:bookmarkStart w:id="84" w:name="_Toc369603251"/>
      <w:bookmarkStart w:id="85" w:name="_Toc383181595"/>
      <w:bookmarkStart w:id="86" w:name="_Toc383428810"/>
      <w:r w:rsidRPr="00120F84">
        <w:rPr>
          <w:lang w:eastAsia="ja-JP"/>
        </w:rPr>
        <w:t>Pharmacokinetics</w:t>
      </w:r>
      <w:bookmarkEnd w:id="82"/>
      <w:bookmarkEnd w:id="83"/>
      <w:bookmarkEnd w:id="84"/>
      <w:bookmarkEnd w:id="85"/>
      <w:bookmarkEnd w:id="86"/>
    </w:p>
    <w:p w:rsidR="00120F84" w:rsidRPr="00120F84" w:rsidRDefault="00120F84" w:rsidP="009B21C1">
      <w:pPr>
        <w:pStyle w:val="ListBullet"/>
      </w:pPr>
      <w:r w:rsidRPr="00120F84">
        <w:t>The sponsor is requested to provide any PK data available in younger subjects (aged 2</w:t>
      </w:r>
      <w:r w:rsidR="001F68DB">
        <w:t xml:space="preserve"> to </w:t>
      </w:r>
      <w:r w:rsidRPr="00120F84">
        <w:t>4 years of age) to support the hypotheses for ETN dosing in this younger subgroup of patients?</w:t>
      </w:r>
    </w:p>
    <w:p w:rsidR="00120F84" w:rsidRPr="00120F84" w:rsidRDefault="00120F84" w:rsidP="00DC309B">
      <w:pPr>
        <w:pStyle w:val="Heading4"/>
        <w:rPr>
          <w:lang w:eastAsia="ja-JP"/>
        </w:rPr>
      </w:pPr>
      <w:bookmarkStart w:id="87" w:name="_Toc272414703"/>
      <w:bookmarkStart w:id="88" w:name="_Toc290846343"/>
      <w:bookmarkStart w:id="89" w:name="_Toc369603252"/>
      <w:bookmarkStart w:id="90" w:name="_Toc383181596"/>
      <w:bookmarkStart w:id="91" w:name="_Toc383428811"/>
      <w:r w:rsidRPr="00120F84">
        <w:rPr>
          <w:lang w:eastAsia="ja-JP"/>
        </w:rPr>
        <w:t>Pharmacodynamics</w:t>
      </w:r>
      <w:bookmarkEnd w:id="87"/>
      <w:bookmarkEnd w:id="88"/>
      <w:bookmarkEnd w:id="89"/>
      <w:bookmarkEnd w:id="90"/>
      <w:bookmarkEnd w:id="91"/>
    </w:p>
    <w:p w:rsidR="00120F84" w:rsidRPr="00120F84" w:rsidRDefault="00120F84" w:rsidP="00120F84">
      <w:proofErr w:type="gramStart"/>
      <w:r w:rsidRPr="00120F84">
        <w:t>Nil</w:t>
      </w:r>
      <w:r w:rsidR="00561270">
        <w:t>.</w:t>
      </w:r>
      <w:proofErr w:type="gramEnd"/>
    </w:p>
    <w:p w:rsidR="00120F84" w:rsidRPr="00120F84" w:rsidRDefault="00120F84" w:rsidP="00DC309B">
      <w:pPr>
        <w:pStyle w:val="Heading4"/>
        <w:rPr>
          <w:lang w:eastAsia="ja-JP"/>
        </w:rPr>
      </w:pPr>
      <w:bookmarkStart w:id="92" w:name="_Toc272414704"/>
      <w:bookmarkStart w:id="93" w:name="_Toc290846344"/>
      <w:bookmarkStart w:id="94" w:name="_Toc369603253"/>
      <w:bookmarkStart w:id="95" w:name="_Toc383181597"/>
      <w:bookmarkStart w:id="96" w:name="_Toc383428812"/>
      <w:r w:rsidRPr="00120F84">
        <w:rPr>
          <w:lang w:eastAsia="ja-JP"/>
        </w:rPr>
        <w:t>Efficacy</w:t>
      </w:r>
      <w:bookmarkEnd w:id="92"/>
      <w:bookmarkEnd w:id="93"/>
      <w:bookmarkEnd w:id="94"/>
      <w:bookmarkEnd w:id="95"/>
      <w:bookmarkEnd w:id="96"/>
    </w:p>
    <w:p w:rsidR="00120F84" w:rsidRPr="00120F84" w:rsidRDefault="00120F84" w:rsidP="00DC309B">
      <w:pPr>
        <w:pStyle w:val="ListBullet"/>
      </w:pPr>
      <w:r w:rsidRPr="00120F84">
        <w:t>The sponsor is requested to provide an update (if available) on the efficacy data collected in Part 2 of Study 0881A1-3338?</w:t>
      </w:r>
    </w:p>
    <w:p w:rsidR="00120F84" w:rsidRPr="00120F84" w:rsidRDefault="00120F84" w:rsidP="00DC309B">
      <w:pPr>
        <w:pStyle w:val="Heading4"/>
        <w:rPr>
          <w:lang w:eastAsia="ja-JP"/>
        </w:rPr>
      </w:pPr>
      <w:bookmarkStart w:id="97" w:name="_Toc272414705"/>
      <w:bookmarkStart w:id="98" w:name="_Toc290846345"/>
      <w:bookmarkStart w:id="99" w:name="_Toc369603254"/>
      <w:bookmarkStart w:id="100" w:name="_Toc383181598"/>
      <w:bookmarkStart w:id="101" w:name="_Toc383428813"/>
      <w:r w:rsidRPr="00120F84">
        <w:rPr>
          <w:lang w:eastAsia="ja-JP"/>
        </w:rPr>
        <w:t>Safety</w:t>
      </w:r>
      <w:bookmarkEnd w:id="97"/>
      <w:bookmarkEnd w:id="98"/>
      <w:bookmarkEnd w:id="99"/>
      <w:bookmarkEnd w:id="100"/>
      <w:bookmarkEnd w:id="101"/>
    </w:p>
    <w:p w:rsidR="00120F84" w:rsidRPr="00120F84" w:rsidRDefault="00120F84" w:rsidP="00DC309B">
      <w:pPr>
        <w:pStyle w:val="ListBullet"/>
      </w:pPr>
      <w:r w:rsidRPr="00120F84">
        <w:t>The submission did not present any safety data (including any interim data) collected in Part 2 of Study 0881A1-3338, which is the pivotal trial supporting the extension of JIA indication to 3 additional subtypes. The sponsor is requested to provide an update on the availability of the safety data in Part 2, and if this data is unavailable then provide comment as to why provision of the information should not be a specific condition of approval of this submission?</w:t>
      </w:r>
    </w:p>
    <w:p w:rsidR="00120F84" w:rsidRPr="00120F84" w:rsidRDefault="00120F84" w:rsidP="00DC309B">
      <w:pPr>
        <w:pStyle w:val="ListBullet"/>
      </w:pPr>
      <w:r w:rsidRPr="00120F84">
        <w:t>The sponsor is requested to present the safety data fo</w:t>
      </w:r>
      <w:r w:rsidR="00DC309B">
        <w:t>r Parts 1 and 2 of Study 0881A1</w:t>
      </w:r>
      <w:r w:rsidR="00DC309B">
        <w:noBreakHyphen/>
      </w:r>
      <w:r w:rsidRPr="00120F84">
        <w:t>3338 in a tabular format, which identifies those adverse events that were considered to be related to study treatment?</w:t>
      </w:r>
    </w:p>
    <w:p w:rsidR="00120F84" w:rsidRPr="00120F84" w:rsidRDefault="00120F84" w:rsidP="00DC309B">
      <w:pPr>
        <w:pStyle w:val="ListBullet"/>
      </w:pPr>
      <w:r w:rsidRPr="00120F84">
        <w:t xml:space="preserve">In Part 1 of Study 0881A1-3338, 2 subjects (a 6 year old female with </w:t>
      </w:r>
      <w:proofErr w:type="spellStart"/>
      <w:r w:rsidRPr="00120F84">
        <w:t>eoJIA</w:t>
      </w:r>
      <w:proofErr w:type="spellEnd"/>
      <w:r w:rsidRPr="00120F84">
        <w:t xml:space="preserve"> experiencing bronchopneumonia, and a 17 year old female with </w:t>
      </w:r>
      <w:proofErr w:type="spellStart"/>
      <w:r w:rsidRPr="00120F84">
        <w:t>PsJIA</w:t>
      </w:r>
      <w:proofErr w:type="spellEnd"/>
      <w:r w:rsidRPr="00120F84">
        <w:t xml:space="preserve"> suffering </w:t>
      </w:r>
      <w:proofErr w:type="spellStart"/>
      <w:r w:rsidRPr="00120F84">
        <w:t>pyelocystitis</w:t>
      </w:r>
      <w:proofErr w:type="spellEnd"/>
      <w:r w:rsidRPr="00120F84">
        <w:t xml:space="preserve">) developed serious infections requiring hospitalization, treatment with </w:t>
      </w:r>
      <w:r w:rsidR="00515286">
        <w:t>intravenous (</w:t>
      </w:r>
      <w:r w:rsidRPr="00120F84">
        <w:t>IV</w:t>
      </w:r>
      <w:r w:rsidR="00515286">
        <w:t>)</w:t>
      </w:r>
      <w:r w:rsidRPr="00120F84">
        <w:t xml:space="preserve"> antibiotics, and discontinuation from study medication. Both events were considered by the site investigators to be mild in severity, and unrelated to study drug. The sponsor is requested to provide comment on the justification for the severity grading, and the assessment of causal re</w:t>
      </w:r>
      <w:r w:rsidR="009B21C1">
        <w:t>lationship to study medication?</w:t>
      </w:r>
    </w:p>
    <w:p w:rsidR="00525E14" w:rsidRDefault="00120F84" w:rsidP="00DC309B">
      <w:pPr>
        <w:pStyle w:val="ListBullet"/>
      </w:pPr>
      <w:r w:rsidRPr="00120F84">
        <w:t xml:space="preserve">In Study 20021618, 2 paediatric patients with systemic JIA developed macrophage activation syndrome. The sponsor is requested to provide comment on whether </w:t>
      </w:r>
      <w:proofErr w:type="spellStart"/>
      <w:r w:rsidRPr="00120F84">
        <w:t>etanercept</w:t>
      </w:r>
      <w:proofErr w:type="spellEnd"/>
      <w:r w:rsidRPr="00120F84">
        <w:t xml:space="preserve"> was continued or not in these patients, and were the adverse events considered to be drug related?</w:t>
      </w:r>
    </w:p>
    <w:p w:rsidR="00525E14" w:rsidRDefault="009B21C1" w:rsidP="00525E14">
      <w:pPr>
        <w:pStyle w:val="Heading3"/>
      </w:pPr>
      <w:bookmarkStart w:id="102" w:name="_Toc247691524"/>
      <w:bookmarkStart w:id="103" w:name="_Toc314842508"/>
      <w:bookmarkStart w:id="104" w:name="_Toc196046504"/>
      <w:bookmarkStart w:id="105" w:name="_Toc163441390"/>
      <w:bookmarkStart w:id="106" w:name="_Toc390330071"/>
      <w:bookmarkEnd w:id="58"/>
      <w:r>
        <w:t>Second r</w:t>
      </w:r>
      <w:r w:rsidR="00525E14">
        <w:t xml:space="preserve">ound </w:t>
      </w:r>
      <w:r>
        <w:t>e</w:t>
      </w:r>
      <w:r w:rsidR="00525E14">
        <w:t>valuation of clinical data submitted in response to questions</w:t>
      </w:r>
      <w:bookmarkEnd w:id="106"/>
    </w:p>
    <w:p w:rsidR="00120F84" w:rsidRPr="00120F84" w:rsidRDefault="00120F84" w:rsidP="00120F84">
      <w:bookmarkStart w:id="107" w:name="_Toc383181604"/>
      <w:r w:rsidRPr="00120F84">
        <w:t>The sponsor’s response dated 28 August 2013 addresses 6 questions that were raised in the first round clinical assessment. Each of these responses will be assessed in order.</w:t>
      </w:r>
      <w:bookmarkEnd w:id="107"/>
    </w:p>
    <w:p w:rsidR="00120F84" w:rsidRPr="00DC309B" w:rsidRDefault="00120F84" w:rsidP="00DC309B">
      <w:pPr>
        <w:pStyle w:val="Heading4"/>
      </w:pPr>
      <w:bookmarkStart w:id="108" w:name="_Toc383181605"/>
      <w:bookmarkStart w:id="109" w:name="_Toc383428815"/>
      <w:r w:rsidRPr="00DC309B">
        <w:t>Please provide any PK data available in younger subjects (aged 2</w:t>
      </w:r>
      <w:r w:rsidR="001F68DB" w:rsidRPr="00DC309B">
        <w:t xml:space="preserve"> to </w:t>
      </w:r>
      <w:r w:rsidRPr="00DC309B">
        <w:t>4 years of age) to support the hypotheses for ETN dosing in this younger subgroup of patients?</w:t>
      </w:r>
      <w:bookmarkEnd w:id="108"/>
      <w:bookmarkEnd w:id="109"/>
    </w:p>
    <w:p w:rsidR="00120F84" w:rsidRPr="00120F84" w:rsidRDefault="00120F84" w:rsidP="00120F84">
      <w:bookmarkStart w:id="110" w:name="_Toc383181606"/>
      <w:r w:rsidRPr="00120F84">
        <w:t>The sponsor concurs that no direct PK data has been obtained in children aged 2</w:t>
      </w:r>
      <w:r w:rsidR="001F68DB">
        <w:t xml:space="preserve"> to </w:t>
      </w:r>
      <w:r w:rsidRPr="00120F84">
        <w:t>4 years. In the initial pivotal licensing study (16.0016), PK data was collected from 69 children with JIA aged between 4 and 17 years. The sponsor states that a modest extrapolation of the PK data (that is the relationship between age or body weight, and ETN clearance) would seem to be a reasonable assumption for children aged 2</w:t>
      </w:r>
      <w:r w:rsidR="001F68DB">
        <w:t xml:space="preserve"> to </w:t>
      </w:r>
      <w:r w:rsidRPr="00120F84">
        <w:t>4 years. THE EVALUATOR does not concur with this assumption as the PK of drugs in this younger age cohort (2</w:t>
      </w:r>
      <w:r w:rsidR="001F68DB">
        <w:t xml:space="preserve"> to </w:t>
      </w:r>
      <w:r w:rsidRPr="00120F84">
        <w:t>4 years) is highly variable and can be significantly different to older children. This opinion is expressed in the EMA guideline CHMP/EWP/147013/2004 “Guideline on the role of Pharmacokinetics in the Development of Medicinal Products in the Paediatric Population” (effective 24 August 2009).</w:t>
      </w:r>
      <w:bookmarkEnd w:id="110"/>
    </w:p>
    <w:p w:rsidR="00120F84" w:rsidRPr="00120F84" w:rsidRDefault="00120F84" w:rsidP="00120F84">
      <w:bookmarkStart w:id="111" w:name="_Toc383181607"/>
      <w:r w:rsidRPr="00120F84">
        <w:t xml:space="preserve">In addition, the sponsor asserts that the PK reasoning supporting posology appears to be supported by the efficacy and safety observations in these younger children. </w:t>
      </w:r>
      <w:proofErr w:type="spellStart"/>
      <w:r w:rsidRPr="00120F84">
        <w:t>Polyarticular</w:t>
      </w:r>
      <w:proofErr w:type="spellEnd"/>
      <w:r w:rsidRPr="00120F84">
        <w:t xml:space="preserve"> JIA subjects aged 2 to </w:t>
      </w:r>
      <w:r w:rsidR="002040F3">
        <w:t xml:space="preserve">less than </w:t>
      </w:r>
      <w:r w:rsidRPr="00120F84">
        <w:t>4 years, were observed to have a similar incidence and type of AEs as older children, and demonstrated similar mean improvements in various efficacy outcomes as older subjects. This observation is valid to some degree but the overall extent of ETN exposure in the youngest age group (2</w:t>
      </w:r>
      <w:r w:rsidR="001F68DB">
        <w:t xml:space="preserve"> to </w:t>
      </w:r>
      <w:r w:rsidRPr="00120F84">
        <w:t>4 years) is limited in experience thus far.</w:t>
      </w:r>
      <w:bookmarkEnd w:id="111"/>
    </w:p>
    <w:p w:rsidR="00120F84" w:rsidRPr="00120F84" w:rsidRDefault="00120F84" w:rsidP="00DC309B">
      <w:pPr>
        <w:pStyle w:val="Heading4"/>
        <w:rPr>
          <w:lang w:eastAsia="ja-JP"/>
        </w:rPr>
      </w:pPr>
      <w:bookmarkStart w:id="112" w:name="_Toc383181608"/>
      <w:bookmarkStart w:id="113" w:name="_Toc383428816"/>
      <w:r w:rsidRPr="00120F84">
        <w:rPr>
          <w:lang w:eastAsia="ja-JP"/>
        </w:rPr>
        <w:t>Please provide an update (if available) on the efficacy data collected in Part 2 of Study 0881A1-3338?</w:t>
      </w:r>
      <w:bookmarkEnd w:id="112"/>
      <w:bookmarkEnd w:id="113"/>
    </w:p>
    <w:p w:rsidR="00120F84" w:rsidRPr="00120F84" w:rsidRDefault="009B21C1" w:rsidP="00DC309B">
      <w:pPr>
        <w:pStyle w:val="Heading5"/>
        <w:rPr>
          <w:rFonts w:eastAsia="MS Mincho"/>
          <w:lang w:eastAsia="ja-JP"/>
        </w:rPr>
      </w:pPr>
      <w:bookmarkStart w:id="114" w:name="_Toc383181609"/>
      <w:r>
        <w:rPr>
          <w:rFonts w:eastAsia="MS Mincho"/>
          <w:lang w:eastAsia="ja-JP"/>
        </w:rPr>
        <w:t>Study d</w:t>
      </w:r>
      <w:r w:rsidR="00120F84" w:rsidRPr="00120F84">
        <w:rPr>
          <w:rFonts w:eastAsia="MS Mincho"/>
          <w:lang w:eastAsia="ja-JP"/>
        </w:rPr>
        <w:t>esign,</w:t>
      </w:r>
      <w:r>
        <w:rPr>
          <w:rFonts w:eastAsia="MS Mincho"/>
          <w:lang w:eastAsia="ja-JP"/>
        </w:rPr>
        <w:t xml:space="preserve"> e</w:t>
      </w:r>
      <w:r w:rsidR="00120F84" w:rsidRPr="00120F84">
        <w:rPr>
          <w:rFonts w:eastAsia="MS Mincho"/>
          <w:lang w:eastAsia="ja-JP"/>
        </w:rPr>
        <w:t xml:space="preserve">ndpoints and </w:t>
      </w:r>
      <w:r>
        <w:rPr>
          <w:rFonts w:eastAsia="MS Mincho"/>
          <w:lang w:eastAsia="ja-JP"/>
        </w:rPr>
        <w:t>d</w:t>
      </w:r>
      <w:r w:rsidR="00120F84" w:rsidRPr="00120F84">
        <w:rPr>
          <w:rFonts w:eastAsia="MS Mincho"/>
          <w:lang w:eastAsia="ja-JP"/>
        </w:rPr>
        <w:t>isposition</w:t>
      </w:r>
      <w:bookmarkEnd w:id="114"/>
    </w:p>
    <w:p w:rsidR="00120F84" w:rsidRPr="00120F84" w:rsidRDefault="00561270" w:rsidP="00120F84">
      <w:bookmarkStart w:id="115" w:name="_Toc383181610"/>
      <w:r>
        <w:t>Study 0881A1-3338 was a Phase III</w:t>
      </w:r>
      <w:r w:rsidR="00120F84" w:rsidRPr="00120F84">
        <w:t>, single treatment, open</w:t>
      </w:r>
      <w:r w:rsidR="001F68DB">
        <w:t xml:space="preserve"> </w:t>
      </w:r>
      <w:r w:rsidR="00120F84" w:rsidRPr="00120F84">
        <w:t xml:space="preserve">label trial conducted in 2 parts in children and adolescents with </w:t>
      </w:r>
      <w:proofErr w:type="spellStart"/>
      <w:r w:rsidR="00120F84" w:rsidRPr="00120F84">
        <w:t>eoJIA</w:t>
      </w:r>
      <w:proofErr w:type="spellEnd"/>
      <w:r w:rsidR="00120F84" w:rsidRPr="00120F84">
        <w:t xml:space="preserve">, ERA or </w:t>
      </w:r>
      <w:proofErr w:type="spellStart"/>
      <w:r w:rsidR="00120F84" w:rsidRPr="00120F84">
        <w:t>PsJIA</w:t>
      </w:r>
      <w:proofErr w:type="spellEnd"/>
      <w:r w:rsidR="00120F84" w:rsidRPr="00120F84">
        <w:t>. Part 1 was primarily designed to assess the efficacy of ETN over 12 weeks. At Week 12, patients who completed treatment with ETN were eligible to enter into Part 2 (another 84 weeks of follow</w:t>
      </w:r>
      <w:r w:rsidR="001F68DB">
        <w:t xml:space="preserve"> </w:t>
      </w:r>
      <w:r w:rsidR="00120F84" w:rsidRPr="00120F84">
        <w:t>up). In Part 2 of the study, patients continued to receive SC ETN 0.8 mg/kg (to a maximum dose of 50 mg) once weekly. The inclusion/exclusion criteria and study centres involved in Part 2 were identical to those of Part 1. Once patients completed 96 weeks of treatment and follow</w:t>
      </w:r>
      <w:r w:rsidR="001F68DB">
        <w:t xml:space="preserve"> </w:t>
      </w:r>
      <w:r w:rsidR="00120F84" w:rsidRPr="00120F84">
        <w:t>up (that is Parts 1 and 2), they could participate in an 8</w:t>
      </w:r>
      <w:r w:rsidR="001F68DB">
        <w:t xml:space="preserve"> </w:t>
      </w:r>
      <w:r w:rsidR="00120F84" w:rsidRPr="00120F84">
        <w:t>year extension trial (Study B1801023).</w:t>
      </w:r>
      <w:bookmarkEnd w:id="115"/>
    </w:p>
    <w:p w:rsidR="00120F84" w:rsidRPr="00120F84" w:rsidRDefault="00120F84" w:rsidP="00120F84">
      <w:bookmarkStart w:id="116" w:name="_Toc383181611"/>
      <w:r w:rsidRPr="00120F84">
        <w:t xml:space="preserve">Efficacy endpoints were a secondary outcome in Part 2 of the trial with assessments of clinical benefit being performed every 12 weeks between weeks 12 and 96. The efficacy endpoints included rates of ACR Pedi response (30/50/70/90/100), each of the individual components comprising the ACR Pedi criteria, inactive disease status, pain assessment, duration of morning stiffness, and variables relating specifically to the ERA (tender </w:t>
      </w:r>
      <w:proofErr w:type="spellStart"/>
      <w:r w:rsidRPr="00120F84">
        <w:t>entheseal</w:t>
      </w:r>
      <w:proofErr w:type="spellEnd"/>
      <w:r w:rsidRPr="00120F84">
        <w:t xml:space="preserve"> score, overall back pain, nocturnal back pain, and modified </w:t>
      </w:r>
      <w:proofErr w:type="spellStart"/>
      <w:r w:rsidRPr="00120F84">
        <w:t>Schober’s</w:t>
      </w:r>
      <w:proofErr w:type="spellEnd"/>
      <w:r w:rsidRPr="00120F84">
        <w:t xml:space="preserve"> test) and </w:t>
      </w:r>
      <w:proofErr w:type="spellStart"/>
      <w:r w:rsidRPr="00120F84">
        <w:t>PsJIA</w:t>
      </w:r>
      <w:proofErr w:type="spellEnd"/>
      <w:r w:rsidRPr="00120F84">
        <w:t xml:space="preserve"> subtypes (percentage of </w:t>
      </w:r>
      <w:r w:rsidR="00515286" w:rsidRPr="00515286">
        <w:t xml:space="preserve">Body Surface Area </w:t>
      </w:r>
      <w:r w:rsidR="00515286">
        <w:t>(</w:t>
      </w:r>
      <w:r w:rsidRPr="00120F84">
        <w:t>BSA</w:t>
      </w:r>
      <w:r w:rsidR="00515286">
        <w:t>)</w:t>
      </w:r>
      <w:r w:rsidRPr="00120F84">
        <w:t xml:space="preserve"> affected by psoriasis, and PGA of psoriasis).</w:t>
      </w:r>
      <w:bookmarkEnd w:id="116"/>
    </w:p>
    <w:p w:rsidR="00120F84" w:rsidRPr="00120F84" w:rsidRDefault="00120F84" w:rsidP="00120F84">
      <w:bookmarkStart w:id="117" w:name="_Toc383181612"/>
      <w:r w:rsidRPr="00120F84">
        <w:t>The baseline demographic and disease related characteristics of the population who continued into Part 2 of the study were identical to those reported at entry into Part 1 of the trial.</w:t>
      </w:r>
      <w:bookmarkEnd w:id="117"/>
    </w:p>
    <w:p w:rsidR="00120F84" w:rsidRPr="00120F84" w:rsidRDefault="00120F84" w:rsidP="00120F84">
      <w:bookmarkStart w:id="118" w:name="_Toc383181613"/>
      <w:r w:rsidRPr="00120F84">
        <w:t xml:space="preserve">The final clinical study report (dated 28 June 2013) for Parts 1 and 2 of Study 0881A1-3338 was included in the sponsor response. The last patient observation was completed on 30 January 2013. All 127 patients who received at least 1 dose of ETN during the trial were included in the </w:t>
      </w:r>
      <w:proofErr w:type="spellStart"/>
      <w:r w:rsidRPr="00120F84">
        <w:t>mITT</w:t>
      </w:r>
      <w:proofErr w:type="spellEnd"/>
      <w:r w:rsidRPr="00120F84">
        <w:t xml:space="preserve"> population for the primary efficacy analysis. A total of 18 of 127 (14.2%) subjects discontinued from ETN before Week 96 of the trial – 5 in Part 1 (4 because of AEs and 1 due to protocol violation), and 13 in Part 2. Of the 13 patients who discontinued in Part 2, 5 did so because of insufficient efficacy (2 subjects in each in the </w:t>
      </w:r>
      <w:proofErr w:type="spellStart"/>
      <w:r w:rsidRPr="00120F84">
        <w:t>eoJIA</w:t>
      </w:r>
      <w:proofErr w:type="spellEnd"/>
      <w:r w:rsidRPr="00120F84">
        <w:t xml:space="preserve"> and ERA subgroups, and 1 subject with </w:t>
      </w:r>
      <w:proofErr w:type="spellStart"/>
      <w:r w:rsidRPr="00120F84">
        <w:t>PsJIA</w:t>
      </w:r>
      <w:proofErr w:type="spellEnd"/>
      <w:r w:rsidRPr="00120F84">
        <w:t xml:space="preserve">). In addition, 2 patients (1 in the ERA subgroup, and the other in the </w:t>
      </w:r>
      <w:proofErr w:type="spellStart"/>
      <w:r w:rsidRPr="00120F84">
        <w:t>PsJIA</w:t>
      </w:r>
      <w:proofErr w:type="spellEnd"/>
      <w:r w:rsidRPr="00120F84">
        <w:t xml:space="preserve"> cohort) experienced significant protocol violations and were excluded from the efficacy analysis of Part 2.</w:t>
      </w:r>
      <w:bookmarkEnd w:id="118"/>
    </w:p>
    <w:p w:rsidR="00120F84" w:rsidRPr="00120F84" w:rsidRDefault="00480747" w:rsidP="00DC309B">
      <w:pPr>
        <w:pStyle w:val="Heading5"/>
        <w:rPr>
          <w:rFonts w:eastAsia="MS Mincho"/>
          <w:lang w:eastAsia="ja-JP"/>
        </w:rPr>
      </w:pPr>
      <w:bookmarkStart w:id="119" w:name="_Toc383181614"/>
      <w:r>
        <w:rPr>
          <w:rFonts w:eastAsia="MS Mincho"/>
          <w:lang w:eastAsia="ja-JP"/>
        </w:rPr>
        <w:t>Statistical c</w:t>
      </w:r>
      <w:r w:rsidR="00120F84" w:rsidRPr="00120F84">
        <w:rPr>
          <w:rFonts w:eastAsia="MS Mincho"/>
          <w:lang w:eastAsia="ja-JP"/>
        </w:rPr>
        <w:t>onsiderations</w:t>
      </w:r>
      <w:bookmarkEnd w:id="119"/>
    </w:p>
    <w:p w:rsidR="00120F84" w:rsidRPr="00120F84" w:rsidRDefault="00120F84" w:rsidP="00120F84">
      <w:bookmarkStart w:id="120" w:name="_Toc383181615"/>
      <w:r w:rsidRPr="00120F84">
        <w:t xml:space="preserve">For the combined population as well as each of the 3 JIA subtypes, the efficacy analyses in Part 2 were based on the observed data recorded in the </w:t>
      </w:r>
      <w:proofErr w:type="spellStart"/>
      <w:r w:rsidRPr="00120F84">
        <w:t>mITT</w:t>
      </w:r>
      <w:proofErr w:type="spellEnd"/>
      <w:r w:rsidRPr="00120F84">
        <w:t xml:space="preserve"> cohort. </w:t>
      </w:r>
      <w:r w:rsidR="00904313" w:rsidRPr="00120F84">
        <w:t>Descriptive summary statistics were provided for each efficacy endpoint analysed at all time</w:t>
      </w:r>
      <w:r w:rsidR="00904313">
        <w:t>-</w:t>
      </w:r>
      <w:r w:rsidR="00904313" w:rsidRPr="00120F84">
        <w:t>points in the study (</w:t>
      </w:r>
      <w:r w:rsidR="00904313">
        <w:t>that is every 12 weeks between W</w:t>
      </w:r>
      <w:r w:rsidR="00904313" w:rsidRPr="00120F84">
        <w:t xml:space="preserve">eeks 12 and 96). </w:t>
      </w:r>
      <w:r w:rsidRPr="00120F84">
        <w:t>For the ACR Pedi responses, sensitivity analyses were also performed using alternative methods for handling missing data such as a Last Observation Carried Forward (LOCF) approach as well as a Non</w:t>
      </w:r>
      <w:r w:rsidR="001F68DB">
        <w:t xml:space="preserve"> </w:t>
      </w:r>
      <w:r w:rsidRPr="00120F84">
        <w:t>Responder Imputation (NRI) strategy. No sample size calculation was undertaken.</w:t>
      </w:r>
      <w:bookmarkEnd w:id="120"/>
    </w:p>
    <w:p w:rsidR="00120F84" w:rsidRPr="00120F84" w:rsidRDefault="00480747" w:rsidP="00DC309B">
      <w:pPr>
        <w:pStyle w:val="Heading5"/>
        <w:rPr>
          <w:rFonts w:eastAsia="MS Mincho"/>
          <w:lang w:eastAsia="ja-JP"/>
        </w:rPr>
      </w:pPr>
      <w:bookmarkStart w:id="121" w:name="_Toc383181616"/>
      <w:r>
        <w:rPr>
          <w:rFonts w:eastAsia="MS Mincho"/>
          <w:lang w:eastAsia="ja-JP"/>
        </w:rPr>
        <w:t>Efficacy r</w:t>
      </w:r>
      <w:r w:rsidR="00120F84" w:rsidRPr="00120F84">
        <w:rPr>
          <w:rFonts w:eastAsia="MS Mincho"/>
          <w:lang w:eastAsia="ja-JP"/>
        </w:rPr>
        <w:t>esults</w:t>
      </w:r>
      <w:bookmarkEnd w:id="121"/>
    </w:p>
    <w:p w:rsidR="00120F84" w:rsidRPr="00120F84" w:rsidRDefault="00120F84" w:rsidP="00120F84">
      <w:bookmarkStart w:id="122" w:name="_Toc383181617"/>
      <w:r w:rsidRPr="00120F84">
        <w:t xml:space="preserve">The primary efficacy endpoint in Part 1 was the ACR Pedi 30 response at Week 12 in the overall cohort. At weeks 24, 48 and 96, the rate of ACR Pedi 30 responses were at least maintained or slightly better in the continuing treatment cohort (94.3% </w:t>
      </w:r>
      <w:r w:rsidR="00277CC3">
        <w:t>(</w:t>
      </w:r>
      <w:r w:rsidRPr="00120F84">
        <w:t>115</w:t>
      </w:r>
      <w:r w:rsidR="001F68DB">
        <w:t xml:space="preserve"> out of </w:t>
      </w:r>
      <w:r w:rsidRPr="00120F84">
        <w:t>122</w:t>
      </w:r>
      <w:r w:rsidR="00277CC3">
        <w:t>)</w:t>
      </w:r>
      <w:r w:rsidRPr="00120F84">
        <w:t xml:space="preserve"> at Week 24, 94.1% </w:t>
      </w:r>
      <w:r w:rsidR="00277CC3">
        <w:t>(</w:t>
      </w:r>
      <w:r w:rsidRPr="00120F84">
        <w:t>112</w:t>
      </w:r>
      <w:r w:rsidR="001F68DB">
        <w:t xml:space="preserve"> out of </w:t>
      </w:r>
      <w:r w:rsidRPr="00120F84">
        <w:t>119</w:t>
      </w:r>
      <w:r w:rsidR="00277CC3">
        <w:t>)</w:t>
      </w:r>
      <w:r w:rsidRPr="00120F84">
        <w:t xml:space="preserve"> at Week 48, and 99.1% </w:t>
      </w:r>
      <w:r w:rsidR="00277CC3">
        <w:t>(</w:t>
      </w:r>
      <w:r w:rsidRPr="00120F84">
        <w:t>107</w:t>
      </w:r>
      <w:r w:rsidR="001F68DB">
        <w:t xml:space="preserve"> out of </w:t>
      </w:r>
      <w:r w:rsidRPr="00120F84">
        <w:t>108</w:t>
      </w:r>
      <w:r w:rsidR="00277CC3">
        <w:t>)</w:t>
      </w:r>
      <w:r w:rsidRPr="00120F84">
        <w:t xml:space="preserve"> at Week 96) than that observed at Week 12 (88.6%; 109</w:t>
      </w:r>
      <w:r w:rsidR="001F68DB">
        <w:t xml:space="preserve"> out of </w:t>
      </w:r>
      <w:r w:rsidRPr="00120F84">
        <w:t>123. Moreover, ACR Pedi 30 response rates were similar in each of the 3 JIA subtypes.</w:t>
      </w:r>
      <w:bookmarkEnd w:id="122"/>
    </w:p>
    <w:p w:rsidR="00120F84" w:rsidRPr="00120F84" w:rsidRDefault="00120F84" w:rsidP="00120F84">
      <w:r w:rsidRPr="00120F84">
        <w:t>For the higher levels of ACR Pedi response (50, 70, 90 and 100), the proportion of subjects in the overall population who achieved these endpoints was consistently higher with each visit between weeks 12 and 96. For example, approximately twice as many subjects achieved an ACR Pedi 90 response at Week 96 (65.4%; 70</w:t>
      </w:r>
      <w:r w:rsidR="001F68DB">
        <w:t xml:space="preserve"> out of </w:t>
      </w:r>
      <w:r w:rsidRPr="00120F84">
        <w:t>107) compared to Week 12 (29.8%; 36</w:t>
      </w:r>
      <w:r w:rsidR="001F68DB">
        <w:t xml:space="preserve"> out of </w:t>
      </w:r>
      <w:r w:rsidRPr="00120F84">
        <w:t xml:space="preserve">121). When considering only the subjects with </w:t>
      </w:r>
      <w:proofErr w:type="spellStart"/>
      <w:r w:rsidRPr="00120F84">
        <w:t>eoJIA</w:t>
      </w:r>
      <w:proofErr w:type="spellEnd"/>
      <w:r w:rsidRPr="00120F84">
        <w:t>, the percentages of subjects in each age group (n</w:t>
      </w:r>
      <w:r w:rsidR="00DC309B">
        <w:t xml:space="preserve"> = </w:t>
      </w:r>
      <w:r w:rsidRPr="00120F84">
        <w:t>15 for 2</w:t>
      </w:r>
      <w:r w:rsidR="001F68DB">
        <w:t xml:space="preserve"> to </w:t>
      </w:r>
      <w:r w:rsidRPr="00120F84">
        <w:t>4 years, n</w:t>
      </w:r>
      <w:r w:rsidR="00DC309B">
        <w:t xml:space="preserve"> = </w:t>
      </w:r>
      <w:r w:rsidRPr="00120F84">
        <w:t>23 for 5</w:t>
      </w:r>
      <w:r w:rsidR="001F68DB">
        <w:t xml:space="preserve"> to </w:t>
      </w:r>
      <w:r w:rsidRPr="00120F84">
        <w:t>11 years, and n</w:t>
      </w:r>
      <w:r w:rsidR="00DC309B">
        <w:t xml:space="preserve"> = </w:t>
      </w:r>
      <w:r w:rsidRPr="00120F84">
        <w:t>22 for 12</w:t>
      </w:r>
      <w:r w:rsidR="001F68DB">
        <w:t xml:space="preserve"> to </w:t>
      </w:r>
      <w:r w:rsidRPr="00120F84">
        <w:t xml:space="preserve">17 years) who achieved ACR Pedi 30 response at weeks 12, 24, 48 and 96 were similar. In addition, each of the individual components comprising the ACR Pedi variable showed sustained mean improvements from baseline in all JIA subtypes up to Week 96. For example, the mean </w:t>
      </w:r>
      <w:r w:rsidR="00515286" w:rsidRPr="00515286">
        <w:t xml:space="preserve">Childhood Health Assessment Questionnaire </w:t>
      </w:r>
      <w:r w:rsidR="00515286">
        <w:t>(</w:t>
      </w:r>
      <w:r w:rsidRPr="00120F84">
        <w:t>CHAQ</w:t>
      </w:r>
      <w:r w:rsidR="00515286">
        <w:t>)</w:t>
      </w:r>
      <w:r w:rsidRPr="00120F84">
        <w:t xml:space="preserve"> score at Week 96 reduced by 74.2% (absolute reduction of 0.61 from a mean baseline score of 0.80; n</w:t>
      </w:r>
      <w:r w:rsidR="00DC309B">
        <w:t> = </w:t>
      </w:r>
      <w:r w:rsidR="00480747">
        <w:t>109 subjects).</w:t>
      </w:r>
    </w:p>
    <w:p w:rsidR="00120F84" w:rsidRPr="00120F84" w:rsidRDefault="00120F84" w:rsidP="00120F84">
      <w:r w:rsidRPr="00120F84">
        <w:t>At Week 12, 15 subjects (12.1% of 124) fulfilled the criteria for inactive disease. This outcome improved to 24.8% (30</w:t>
      </w:r>
      <w:r w:rsidR="001F68DB">
        <w:t xml:space="preserve"> out of </w:t>
      </w:r>
      <w:r w:rsidRPr="00120F84">
        <w:t>121) at Week 24, 29.7% (35</w:t>
      </w:r>
      <w:r w:rsidR="001F68DB">
        <w:t xml:space="preserve"> out of </w:t>
      </w:r>
      <w:r w:rsidRPr="00120F84">
        <w:t>118) at Week 48, and 34.0% (36</w:t>
      </w:r>
      <w:r w:rsidR="001F68DB">
        <w:t xml:space="preserve"> out of </w:t>
      </w:r>
      <w:r w:rsidRPr="00120F84">
        <w:t>106) at Week 96. The mean pain assessment scores and duration of early morning stiffness also improved from baseline in all JIA subtypes at sequential visits up to Week 96. The mean pain VAS score at baseline was 5.06 (range: 0</w:t>
      </w:r>
      <w:r w:rsidR="001F68DB">
        <w:t xml:space="preserve"> to </w:t>
      </w:r>
      <w:r w:rsidRPr="00120F84">
        <w:t xml:space="preserve">10), and for patients in each of the 3 JIA subgroups, pain reduced significantly by Week 96 (-3.80 for subjects in the </w:t>
      </w:r>
      <w:proofErr w:type="spellStart"/>
      <w:r w:rsidRPr="00120F84">
        <w:t>eoJIA</w:t>
      </w:r>
      <w:proofErr w:type="spellEnd"/>
      <w:r w:rsidRPr="00120F84">
        <w:t xml:space="preserve"> group </w:t>
      </w:r>
      <w:r w:rsidR="00277CC3">
        <w:t>(</w:t>
      </w:r>
      <w:r w:rsidRPr="00120F84">
        <w:t>n</w:t>
      </w:r>
      <w:r w:rsidR="00DC309B">
        <w:t xml:space="preserve"> = </w:t>
      </w:r>
      <w:r w:rsidRPr="00120F84">
        <w:t>53</w:t>
      </w:r>
      <w:r w:rsidR="00277CC3">
        <w:t>)</w:t>
      </w:r>
      <w:r w:rsidRPr="00120F84">
        <w:t xml:space="preserve">, -4.72 for patients in the ERA arm </w:t>
      </w:r>
      <w:r w:rsidR="00277CC3">
        <w:t>(</w:t>
      </w:r>
      <w:r w:rsidRPr="00120F84">
        <w:t>n</w:t>
      </w:r>
      <w:r w:rsidR="00DC309B">
        <w:t xml:space="preserve"> = </w:t>
      </w:r>
      <w:r w:rsidRPr="00120F84">
        <w:t>30</w:t>
      </w:r>
      <w:r w:rsidR="00277CC3">
        <w:t>)</w:t>
      </w:r>
      <w:r w:rsidRPr="00120F84">
        <w:t xml:space="preserve">, and -3.58 for subjects in the </w:t>
      </w:r>
      <w:proofErr w:type="spellStart"/>
      <w:r w:rsidRPr="00120F84">
        <w:t>PsJIA</w:t>
      </w:r>
      <w:proofErr w:type="spellEnd"/>
      <w:r w:rsidRPr="00120F84">
        <w:t xml:space="preserve"> subtype </w:t>
      </w:r>
      <w:r w:rsidR="00277CC3">
        <w:t>(</w:t>
      </w:r>
      <w:r w:rsidRPr="00120F84">
        <w:t>n</w:t>
      </w:r>
      <w:r w:rsidR="00DC309B">
        <w:t xml:space="preserve"> = </w:t>
      </w:r>
      <w:r w:rsidRPr="00120F84">
        <w:t>25</w:t>
      </w:r>
      <w:r w:rsidR="00277CC3">
        <w:t>)</w:t>
      </w:r>
      <w:r w:rsidRPr="00120F84">
        <w:t xml:space="preserve">). The mean percentage decrease in morning stiffness from baseline to Week 96 in </w:t>
      </w:r>
      <w:proofErr w:type="spellStart"/>
      <w:r w:rsidRPr="00120F84">
        <w:t>eoJIA</w:t>
      </w:r>
      <w:proofErr w:type="spellEnd"/>
      <w:r w:rsidRPr="00120F84">
        <w:t xml:space="preserve"> (n</w:t>
      </w:r>
      <w:r w:rsidR="00DC309B">
        <w:t xml:space="preserve"> = </w:t>
      </w:r>
      <w:r w:rsidRPr="00120F84">
        <w:t>54) was 64.15% (baseline 72.8 minutes), in patients with ERA (n</w:t>
      </w:r>
      <w:r w:rsidR="00DC309B">
        <w:t xml:space="preserve"> = </w:t>
      </w:r>
      <w:r w:rsidRPr="00120F84">
        <w:t xml:space="preserve">30) was 86.9% (baseline 89.3 minutes), and in subjects with </w:t>
      </w:r>
      <w:proofErr w:type="spellStart"/>
      <w:r w:rsidRPr="00120F84">
        <w:t>PsJIA</w:t>
      </w:r>
      <w:proofErr w:type="spellEnd"/>
      <w:r w:rsidRPr="00120F84">
        <w:t xml:space="preserve"> (n</w:t>
      </w:r>
      <w:r w:rsidR="00DC309B">
        <w:t xml:space="preserve"> = </w:t>
      </w:r>
      <w:r w:rsidRPr="00120F84">
        <w:t>25) was 45.0% (baseline 54.3 minutes).</w:t>
      </w:r>
    </w:p>
    <w:p w:rsidR="00120F84" w:rsidRPr="00120F84" w:rsidRDefault="00120F84" w:rsidP="00120F84">
      <w:r w:rsidRPr="00120F84">
        <w:t xml:space="preserve"> </w:t>
      </w:r>
      <w:r w:rsidR="00904313" w:rsidRPr="00120F84">
        <w:t xml:space="preserve">The secondary efficacy variables relating specifically to the ERA (tender </w:t>
      </w:r>
      <w:proofErr w:type="spellStart"/>
      <w:r w:rsidR="00904313" w:rsidRPr="00120F84">
        <w:t>entheseal</w:t>
      </w:r>
      <w:proofErr w:type="spellEnd"/>
      <w:r w:rsidR="00904313" w:rsidRPr="00120F84">
        <w:t xml:space="preserve"> score, overall back pain, nocturnal back pain, and modified </w:t>
      </w:r>
      <w:proofErr w:type="spellStart"/>
      <w:r w:rsidR="00904313" w:rsidRPr="00120F84">
        <w:t>Schober’s</w:t>
      </w:r>
      <w:proofErr w:type="spellEnd"/>
      <w:r w:rsidR="00904313" w:rsidRPr="00120F84">
        <w:t xml:space="preserve"> test</w:t>
      </w:r>
      <w:r w:rsidR="00904313">
        <w:rPr>
          <w:rStyle w:val="FootnoteReference"/>
        </w:rPr>
        <w:footnoteReference w:id="3"/>
      </w:r>
      <w:r w:rsidR="00904313" w:rsidRPr="00120F84">
        <w:t xml:space="preserve">) and </w:t>
      </w:r>
      <w:proofErr w:type="spellStart"/>
      <w:r w:rsidR="00904313" w:rsidRPr="00120F84">
        <w:t>PsJIA</w:t>
      </w:r>
      <w:proofErr w:type="spellEnd"/>
      <w:r w:rsidR="00904313" w:rsidRPr="00120F84">
        <w:t xml:space="preserve"> subtypes (percentage of BSA affected by psoriasis, and PGA of psoriasis) improved from baseline at all time</w:t>
      </w:r>
      <w:r w:rsidR="00904313">
        <w:t>-</w:t>
      </w:r>
      <w:r w:rsidR="00904313" w:rsidRPr="00120F84">
        <w:t>points up to Week 96.</w:t>
      </w:r>
    </w:p>
    <w:p w:rsidR="00120F84" w:rsidRPr="00120F84" w:rsidRDefault="00120F84" w:rsidP="00120F84">
      <w:r w:rsidRPr="00120F84">
        <w:t xml:space="preserve">In subjects with ERA, the mean change from baseline to Week 96 in 4 additional secondary efficacy endpoints </w:t>
      </w:r>
      <w:r w:rsidR="00B35F99">
        <w:t xml:space="preserve">was </w:t>
      </w:r>
      <w:r w:rsidRPr="00120F84">
        <w:t xml:space="preserve">assessed in 30 of 38 potential subjects. After 96 weeks of ETN treatment, the mean reduction in the tender </w:t>
      </w:r>
      <w:proofErr w:type="spellStart"/>
      <w:r w:rsidRPr="00120F84">
        <w:t>entheseal</w:t>
      </w:r>
      <w:proofErr w:type="spellEnd"/>
      <w:r w:rsidRPr="00120F84">
        <w:t xml:space="preserve"> score was 5.03 (baseline mean 5.87), overall back pain reduced by 14.1 mm (baseline mean of 25.9 mm), nocturnal back pain reduced by 6.74 mm (baseline mean 16.4 mm), and the modified </w:t>
      </w:r>
      <w:proofErr w:type="spellStart"/>
      <w:r w:rsidRPr="00120F84">
        <w:t>Schober’s</w:t>
      </w:r>
      <w:proofErr w:type="spellEnd"/>
      <w:r w:rsidRPr="00120F84">
        <w:t xml:space="preserve"> test improved by 0.27 cm (baseline mean 15.0 cm). In subjects with </w:t>
      </w:r>
      <w:proofErr w:type="spellStart"/>
      <w:r w:rsidRPr="00120F84">
        <w:t>PsJIA</w:t>
      </w:r>
      <w:proofErr w:type="spellEnd"/>
      <w:r w:rsidRPr="00120F84">
        <w:t xml:space="preserve">, the mean change from baseline to Week 96 in 2 additional secondary efficacy endpoints </w:t>
      </w:r>
      <w:r w:rsidR="00B35F99">
        <w:t>was</w:t>
      </w:r>
      <w:r w:rsidR="00B35F99" w:rsidRPr="00120F84">
        <w:t xml:space="preserve"> </w:t>
      </w:r>
      <w:r w:rsidRPr="00120F84">
        <w:t>assessed in 25 subjects. After 96 weeks of ETN treatment, the mean percentage of BSA affected by psoriasis reduced by 7.88% (baseline mean 10.41%), and the PGA of psoriasis improved by 1.28 (baseline mean 1.83).</w:t>
      </w:r>
    </w:p>
    <w:p w:rsidR="00120F84" w:rsidRPr="00120F84" w:rsidRDefault="00120F84" w:rsidP="00DC309B">
      <w:pPr>
        <w:pStyle w:val="Heading5"/>
        <w:rPr>
          <w:rFonts w:eastAsia="MS Mincho"/>
          <w:lang w:eastAsia="ja-JP"/>
        </w:rPr>
      </w:pPr>
      <w:r w:rsidRPr="00120F84">
        <w:rPr>
          <w:rFonts w:eastAsia="MS Mincho"/>
          <w:lang w:eastAsia="ja-JP"/>
        </w:rPr>
        <w:t xml:space="preserve">Evaluator </w:t>
      </w:r>
      <w:r w:rsidR="00480747">
        <w:rPr>
          <w:rFonts w:eastAsia="MS Mincho"/>
          <w:lang w:eastAsia="ja-JP"/>
        </w:rPr>
        <w:t>a</w:t>
      </w:r>
      <w:r w:rsidRPr="00120F84">
        <w:rPr>
          <w:rFonts w:eastAsia="MS Mincho"/>
          <w:lang w:eastAsia="ja-JP"/>
        </w:rPr>
        <w:t>ssessment</w:t>
      </w:r>
    </w:p>
    <w:p w:rsidR="00120F84" w:rsidRPr="00120F84" w:rsidRDefault="00120F84" w:rsidP="00120F84">
      <w:r w:rsidRPr="00120F84">
        <w:t>The Part 2 efficacy results of Study 0881A1-3338 indicate that ETN can produce sustained responses (up to 96 weeks of follow</w:t>
      </w:r>
      <w:r w:rsidR="001F68DB">
        <w:t xml:space="preserve"> </w:t>
      </w:r>
      <w:r w:rsidRPr="00120F84">
        <w:t xml:space="preserve">up) in the majority of subjects, which are clinically significant. All 3 JIA subtypes demonstrated response to ETN, which was also similar across a broad age range in the </w:t>
      </w:r>
      <w:proofErr w:type="spellStart"/>
      <w:r w:rsidRPr="00120F84">
        <w:t>eoJIA</w:t>
      </w:r>
      <w:proofErr w:type="spellEnd"/>
      <w:r w:rsidRPr="00120F84">
        <w:t xml:space="preserve"> subset. The inclusion of the Part 2 efficacy data supports the sponsor application for extension of indication for ETN in JIA by providing data on the maintenance of response over 96 weeks of follow</w:t>
      </w:r>
      <w:r w:rsidR="001F68DB">
        <w:t xml:space="preserve"> </w:t>
      </w:r>
      <w:r w:rsidR="00480747">
        <w:t>up.</w:t>
      </w:r>
    </w:p>
    <w:p w:rsidR="00120F84" w:rsidRPr="00120F84" w:rsidRDefault="00120F84" w:rsidP="00DC309B">
      <w:pPr>
        <w:pStyle w:val="Heading4"/>
        <w:rPr>
          <w:lang w:eastAsia="ja-JP"/>
        </w:rPr>
      </w:pPr>
      <w:bookmarkStart w:id="123" w:name="_Toc383428817"/>
      <w:r w:rsidRPr="00120F84">
        <w:rPr>
          <w:lang w:eastAsia="ja-JP"/>
        </w:rPr>
        <w:t>Please provide an update on the safety data collected in Part 2 of Study 0881A1-3338, and if not available, comment as to why provision of the information should not be a specific condition of approval of this submission?</w:t>
      </w:r>
      <w:bookmarkEnd w:id="123"/>
    </w:p>
    <w:p w:rsidR="00120F84" w:rsidRPr="00120F84" w:rsidRDefault="00480747" w:rsidP="00DC309B">
      <w:pPr>
        <w:pStyle w:val="Heading5"/>
        <w:rPr>
          <w:rFonts w:eastAsia="MS Mincho"/>
          <w:lang w:eastAsia="ja-JP"/>
        </w:rPr>
      </w:pPr>
      <w:r>
        <w:rPr>
          <w:rFonts w:eastAsia="MS Mincho"/>
          <w:lang w:eastAsia="ja-JP"/>
        </w:rPr>
        <w:t>Dataset and e</w:t>
      </w:r>
      <w:r w:rsidR="00120F84" w:rsidRPr="00120F84">
        <w:rPr>
          <w:rFonts w:eastAsia="MS Mincho"/>
          <w:lang w:eastAsia="ja-JP"/>
        </w:rPr>
        <w:t>xposure</w:t>
      </w:r>
    </w:p>
    <w:p w:rsidR="00120F84" w:rsidRPr="00120F84" w:rsidRDefault="00120F84" w:rsidP="00120F84">
      <w:r w:rsidRPr="00120F84">
        <w:t>The sponsor has submitted the final clinical study report for Parts 1 and 2 of Study 0881A1-3338 which includes the safety data for patients who continued to receive ETN for up to 96 weeks. The mean duration of ETN treatment in Parts 1 and 2 of Study 0881A1-3338 was 89.1 weeks, with a range of 1 to 100 weeks (median 96.0 weeks). Overall ETN exposure in the pivotal trial population was 215.1 patient</w:t>
      </w:r>
      <w:r w:rsidR="001F68DB">
        <w:t xml:space="preserve"> </w:t>
      </w:r>
      <w:r w:rsidRPr="00120F84">
        <w:t xml:space="preserve">years – 103.6 in the </w:t>
      </w:r>
      <w:proofErr w:type="spellStart"/>
      <w:r w:rsidRPr="00120F84">
        <w:t>eoJIA</w:t>
      </w:r>
      <w:proofErr w:type="spellEnd"/>
      <w:r w:rsidRPr="00120F84">
        <w:t xml:space="preserve"> group, 61.3 in the ERA subtype, and 50.2 in the </w:t>
      </w:r>
      <w:proofErr w:type="spellStart"/>
      <w:r w:rsidRPr="00120F84">
        <w:t>PsJIA</w:t>
      </w:r>
      <w:proofErr w:type="spellEnd"/>
      <w:r w:rsidRPr="00120F84">
        <w:t xml:space="preserve"> cohort. The mean weekly dose of ETN was 37.85 mg, with a range of 10.0</w:t>
      </w:r>
      <w:r w:rsidR="001F68DB">
        <w:t xml:space="preserve"> to </w:t>
      </w:r>
      <w:r w:rsidRPr="00120F84">
        <w:t xml:space="preserve">50.0 mg (median 44.0 mg). Consistent with the Part 1 data, subjects with </w:t>
      </w:r>
      <w:proofErr w:type="spellStart"/>
      <w:r w:rsidRPr="00120F84">
        <w:t>eoJIA</w:t>
      </w:r>
      <w:proofErr w:type="spellEnd"/>
      <w:r w:rsidRPr="00120F84">
        <w:t xml:space="preserve"> had a lower mean baseline age and weight, and therefore received a lower mean weekly dose of ETN (29.5 mg) compared to the other 2 JIA subtypes (46.5 mg for the ERA group, </w:t>
      </w:r>
      <w:r w:rsidR="00480747">
        <w:t xml:space="preserve">and 46.0 mg for the </w:t>
      </w:r>
      <w:proofErr w:type="spellStart"/>
      <w:r w:rsidR="00480747">
        <w:t>PsJIA</w:t>
      </w:r>
      <w:proofErr w:type="spellEnd"/>
      <w:r w:rsidR="00480747">
        <w:t xml:space="preserve"> arm).</w:t>
      </w:r>
    </w:p>
    <w:p w:rsidR="00120F84" w:rsidRPr="00120F84" w:rsidRDefault="00480747" w:rsidP="00DC309B">
      <w:pPr>
        <w:pStyle w:val="Heading5"/>
        <w:rPr>
          <w:rFonts w:eastAsia="MS Mincho"/>
          <w:lang w:eastAsia="ja-JP"/>
        </w:rPr>
      </w:pPr>
      <w:r>
        <w:rPr>
          <w:rFonts w:eastAsia="MS Mincho"/>
          <w:lang w:eastAsia="ja-JP"/>
        </w:rPr>
        <w:t>Overview of a</w:t>
      </w:r>
      <w:r w:rsidR="00120F84" w:rsidRPr="00120F84">
        <w:rPr>
          <w:rFonts w:eastAsia="MS Mincho"/>
          <w:lang w:eastAsia="ja-JP"/>
        </w:rPr>
        <w:t xml:space="preserve">dverse </w:t>
      </w:r>
      <w:r>
        <w:rPr>
          <w:rFonts w:eastAsia="MS Mincho"/>
          <w:lang w:eastAsia="ja-JP"/>
        </w:rPr>
        <w:t>e</w:t>
      </w:r>
      <w:r w:rsidR="00120F84" w:rsidRPr="00120F84">
        <w:rPr>
          <w:rFonts w:eastAsia="MS Mincho"/>
          <w:lang w:eastAsia="ja-JP"/>
        </w:rPr>
        <w:t>vents (including Common AEs)</w:t>
      </w:r>
    </w:p>
    <w:p w:rsidR="00120F84" w:rsidRPr="00120F84" w:rsidRDefault="00120F84" w:rsidP="00120F84">
      <w:r w:rsidRPr="00120F84">
        <w:t>Overall, 300 AEs (excluding infections and ISRs) were experienced by 73.2% (93</w:t>
      </w:r>
      <w:r w:rsidR="001F68DB">
        <w:t xml:space="preserve"> out of </w:t>
      </w:r>
      <w:r w:rsidRPr="00120F84">
        <w:t>127) of subjects at an event rate of 1.395 AEs per patient year (total exposure of 215.1 patient</w:t>
      </w:r>
      <w:r w:rsidR="001F68DB">
        <w:t xml:space="preserve"> </w:t>
      </w:r>
      <w:r w:rsidRPr="00120F84">
        <w:t xml:space="preserve">years). The most common types of AE were headache (0.107 per patient year), followed by pyrexia (0.056 per patient year), and diarrhoea (0.046 per patient year). No significant differences for the incidence and type of AEs were observed across the JIA subtypes. In the </w:t>
      </w:r>
      <w:proofErr w:type="spellStart"/>
      <w:r w:rsidRPr="00120F84">
        <w:t>eoJIA</w:t>
      </w:r>
      <w:proofErr w:type="spellEnd"/>
      <w:r w:rsidRPr="00120F84">
        <w:t xml:space="preserve"> population which included children across a broad age range (2</w:t>
      </w:r>
      <w:r w:rsidR="001F68DB">
        <w:t xml:space="preserve"> to </w:t>
      </w:r>
      <w:r w:rsidRPr="00120F84">
        <w:t>17 years), AEs occurred at a higher frequency in the 2 younger cohorts (1.54 per patient year for 2</w:t>
      </w:r>
      <w:r w:rsidR="001F68DB">
        <w:t xml:space="preserve"> to </w:t>
      </w:r>
      <w:r w:rsidRPr="00120F84">
        <w:t>4 year old subjects, and 1.45 per patient year for 5</w:t>
      </w:r>
      <w:r w:rsidR="001F68DB">
        <w:t xml:space="preserve"> to </w:t>
      </w:r>
      <w:r w:rsidRPr="00120F84">
        <w:t>11 year old children) compared to older patients (1.01 per patient year for 12</w:t>
      </w:r>
      <w:r w:rsidR="001F68DB">
        <w:t xml:space="preserve"> to </w:t>
      </w:r>
      <w:r w:rsidR="00480747">
        <w:t>17 year old subjects).</w:t>
      </w:r>
    </w:p>
    <w:p w:rsidR="00120F84" w:rsidRPr="00120F84" w:rsidRDefault="00120F84" w:rsidP="00DC309B">
      <w:pPr>
        <w:pStyle w:val="Heading5"/>
        <w:rPr>
          <w:rFonts w:eastAsia="MS Mincho"/>
          <w:lang w:eastAsia="ja-JP"/>
        </w:rPr>
      </w:pPr>
      <w:r w:rsidRPr="00120F84">
        <w:rPr>
          <w:rFonts w:eastAsia="MS Mincho"/>
          <w:lang w:eastAsia="ja-JP"/>
        </w:rPr>
        <w:t>Infections</w:t>
      </w:r>
    </w:p>
    <w:p w:rsidR="00120F84" w:rsidRPr="00120F84" w:rsidRDefault="00120F84" w:rsidP="00120F84">
      <w:r w:rsidRPr="00120F84">
        <w:t>Overall, 355 treatment</w:t>
      </w:r>
      <w:r w:rsidR="001F68DB">
        <w:t xml:space="preserve"> </w:t>
      </w:r>
      <w:r w:rsidRPr="00120F84">
        <w:t>emergent infections were recorded in 73.2% (93</w:t>
      </w:r>
      <w:r w:rsidR="001F68DB">
        <w:t xml:space="preserve"> out of </w:t>
      </w:r>
      <w:r w:rsidRPr="00120F84">
        <w:t>127) of subjects at an event rate of 1.65 infections per patient year during the 96</w:t>
      </w:r>
      <w:r w:rsidR="001F68DB">
        <w:t xml:space="preserve"> </w:t>
      </w:r>
      <w:r w:rsidRPr="00120F84">
        <w:t xml:space="preserve">week study. The most common types of infection were upper respiratory tract infection (0.386 per patient year), followed by pharyngitis (0.232 per patient year), and gastroenteritis (0.102 per patient year). No significant differences for the incidence and type of AEs were observed across the JIA subtypes. In the </w:t>
      </w:r>
      <w:proofErr w:type="spellStart"/>
      <w:r w:rsidRPr="00120F84">
        <w:t>eoJIA</w:t>
      </w:r>
      <w:proofErr w:type="spellEnd"/>
      <w:r w:rsidRPr="00120F84">
        <w:t xml:space="preserve"> population which included children across a broad age range, infections occurred at a higher frequency in the 2 youngest cohorts (3.31 per patient year for 2</w:t>
      </w:r>
      <w:r w:rsidR="001F68DB">
        <w:t xml:space="preserve"> to </w:t>
      </w:r>
      <w:r w:rsidRPr="00120F84">
        <w:t>4 year old subjects, and 2.25 per patient year for 5</w:t>
      </w:r>
      <w:r w:rsidR="001F68DB">
        <w:t xml:space="preserve"> to </w:t>
      </w:r>
      <w:r w:rsidRPr="00120F84">
        <w:t>11 year old children) compared to older patients (1.14 per patient year for 12</w:t>
      </w:r>
      <w:r w:rsidR="001F68DB">
        <w:t xml:space="preserve"> to </w:t>
      </w:r>
      <w:r w:rsidRPr="00120F84">
        <w:t>17 year old sub</w:t>
      </w:r>
      <w:r w:rsidR="00480747">
        <w:t>jects).</w:t>
      </w:r>
    </w:p>
    <w:p w:rsidR="00120F84" w:rsidRPr="00120F84" w:rsidRDefault="00120F84" w:rsidP="00DC309B">
      <w:pPr>
        <w:pStyle w:val="Heading5"/>
        <w:rPr>
          <w:rFonts w:eastAsia="MS Mincho"/>
          <w:lang w:eastAsia="ja-JP"/>
        </w:rPr>
      </w:pPr>
      <w:r w:rsidRPr="00120F84">
        <w:rPr>
          <w:rFonts w:eastAsia="MS Mincho"/>
          <w:lang w:eastAsia="ja-JP"/>
        </w:rPr>
        <w:t xml:space="preserve">Injection </w:t>
      </w:r>
      <w:r w:rsidR="00480747">
        <w:rPr>
          <w:rFonts w:eastAsia="MS Mincho"/>
          <w:lang w:eastAsia="ja-JP"/>
        </w:rPr>
        <w:t>s</w:t>
      </w:r>
      <w:r w:rsidRPr="00120F84">
        <w:rPr>
          <w:rFonts w:eastAsia="MS Mincho"/>
          <w:lang w:eastAsia="ja-JP"/>
        </w:rPr>
        <w:t xml:space="preserve">ite </w:t>
      </w:r>
      <w:r w:rsidR="00480747">
        <w:rPr>
          <w:rFonts w:eastAsia="MS Mincho"/>
          <w:lang w:eastAsia="ja-JP"/>
        </w:rPr>
        <w:t>r</w:t>
      </w:r>
      <w:r w:rsidRPr="00120F84">
        <w:rPr>
          <w:rFonts w:eastAsia="MS Mincho"/>
          <w:lang w:eastAsia="ja-JP"/>
        </w:rPr>
        <w:t xml:space="preserve">eactions </w:t>
      </w:r>
    </w:p>
    <w:p w:rsidR="00120F84" w:rsidRPr="00120F84" w:rsidRDefault="00120F84" w:rsidP="00120F84">
      <w:r w:rsidRPr="00120F84">
        <w:t xml:space="preserve">In total, 63 ISRs were recorded in 16 (12.6% of 127) subjects at an event rate of 0.293 ISRs per patient year during Parts 1 and 2 of the study. The incidence and severity of ISRs was similar between the 3 JIA subtypes. Most ISRs were rated as mild or moderate in severity, and none resulted in </w:t>
      </w:r>
      <w:r w:rsidR="00480747">
        <w:t>a subject withdrawing from ETN.</w:t>
      </w:r>
    </w:p>
    <w:p w:rsidR="00120F84" w:rsidRPr="00120F84" w:rsidRDefault="00120F84" w:rsidP="00DC309B">
      <w:pPr>
        <w:pStyle w:val="Heading5"/>
        <w:rPr>
          <w:rFonts w:eastAsia="MS Mincho"/>
          <w:lang w:eastAsia="ja-JP"/>
        </w:rPr>
      </w:pPr>
      <w:r w:rsidRPr="00120F84">
        <w:rPr>
          <w:rFonts w:eastAsia="MS Mincho"/>
          <w:lang w:eastAsia="ja-JP"/>
        </w:rPr>
        <w:t xml:space="preserve">Discontinuations due to </w:t>
      </w:r>
      <w:r w:rsidR="00480747">
        <w:rPr>
          <w:rFonts w:eastAsia="MS Mincho"/>
          <w:lang w:eastAsia="ja-JP"/>
        </w:rPr>
        <w:t>a</w:t>
      </w:r>
      <w:r w:rsidRPr="00120F84">
        <w:rPr>
          <w:rFonts w:eastAsia="MS Mincho"/>
          <w:lang w:eastAsia="ja-JP"/>
        </w:rPr>
        <w:t xml:space="preserve">dverse </w:t>
      </w:r>
      <w:r w:rsidR="00480747">
        <w:rPr>
          <w:rFonts w:eastAsia="MS Mincho"/>
          <w:lang w:eastAsia="ja-JP"/>
        </w:rPr>
        <w:t>e</w:t>
      </w:r>
      <w:r w:rsidRPr="00120F84">
        <w:rPr>
          <w:rFonts w:eastAsia="MS Mincho"/>
          <w:lang w:eastAsia="ja-JP"/>
        </w:rPr>
        <w:t>vents</w:t>
      </w:r>
    </w:p>
    <w:p w:rsidR="00120F84" w:rsidRPr="00120F84" w:rsidRDefault="00120F84" w:rsidP="00120F84">
      <w:r w:rsidRPr="00120F84">
        <w:t>Three subjects (2.4% of 127) withdrew due to AEs in the 96</w:t>
      </w:r>
      <w:r w:rsidR="001F68DB">
        <w:t xml:space="preserve"> </w:t>
      </w:r>
      <w:r w:rsidRPr="00120F84">
        <w:t xml:space="preserve">week trial, 2 of which were due to significant infections (bronchopneumonia and </w:t>
      </w:r>
      <w:proofErr w:type="spellStart"/>
      <w:r w:rsidRPr="00120F84">
        <w:t>pyelocystitis</w:t>
      </w:r>
      <w:proofErr w:type="spellEnd"/>
      <w:r w:rsidRPr="00120F84">
        <w:t>). Both of the infection</w:t>
      </w:r>
      <w:r w:rsidR="001F68DB">
        <w:t xml:space="preserve"> </w:t>
      </w:r>
      <w:r w:rsidRPr="00120F84">
        <w:t xml:space="preserve">related withdrawals occurred in Part 1 of the study. The third subject who permanently discontinued ETN on Day 29 was a 13 year old male who developed fever, asthenia and weight loss on Day 16. A diagnosis of </w:t>
      </w:r>
      <w:proofErr w:type="spellStart"/>
      <w:r w:rsidRPr="00120F84">
        <w:t>Crohn’s</w:t>
      </w:r>
      <w:proofErr w:type="spellEnd"/>
      <w:r w:rsidRPr="00120F84">
        <w:t xml:space="preserve"> disease was confirmed by endoscopy on Day 66.</w:t>
      </w:r>
    </w:p>
    <w:p w:rsidR="00120F84" w:rsidRPr="00120F84" w:rsidRDefault="00480747" w:rsidP="00DC309B">
      <w:pPr>
        <w:pStyle w:val="Heading5"/>
        <w:rPr>
          <w:rFonts w:eastAsia="MS Mincho"/>
          <w:lang w:eastAsia="ja-JP"/>
        </w:rPr>
      </w:pPr>
      <w:r>
        <w:rPr>
          <w:rFonts w:eastAsia="MS Mincho"/>
          <w:lang w:eastAsia="ja-JP"/>
        </w:rPr>
        <w:t>Serious a</w:t>
      </w:r>
      <w:r w:rsidR="00120F84" w:rsidRPr="00120F84">
        <w:rPr>
          <w:rFonts w:eastAsia="MS Mincho"/>
          <w:lang w:eastAsia="ja-JP"/>
        </w:rPr>
        <w:t xml:space="preserve">dverse </w:t>
      </w:r>
      <w:r>
        <w:rPr>
          <w:rFonts w:eastAsia="MS Mincho"/>
          <w:lang w:eastAsia="ja-JP"/>
        </w:rPr>
        <w:t>events (including s</w:t>
      </w:r>
      <w:r w:rsidR="00120F84" w:rsidRPr="00120F84">
        <w:rPr>
          <w:rFonts w:eastAsia="MS Mincho"/>
          <w:lang w:eastAsia="ja-JP"/>
        </w:rPr>
        <w:t xml:space="preserve">erious and </w:t>
      </w:r>
      <w:r>
        <w:rPr>
          <w:rFonts w:eastAsia="MS Mincho"/>
          <w:lang w:eastAsia="ja-JP"/>
        </w:rPr>
        <w:t>o</w:t>
      </w:r>
      <w:r w:rsidR="00120F84" w:rsidRPr="00120F84">
        <w:rPr>
          <w:rFonts w:eastAsia="MS Mincho"/>
          <w:lang w:eastAsia="ja-JP"/>
        </w:rPr>
        <w:t xml:space="preserve">pportunistic </w:t>
      </w:r>
      <w:r>
        <w:rPr>
          <w:rFonts w:eastAsia="MS Mincho"/>
          <w:lang w:eastAsia="ja-JP"/>
        </w:rPr>
        <w:t>i</w:t>
      </w:r>
      <w:r w:rsidR="00120F84" w:rsidRPr="00120F84">
        <w:rPr>
          <w:rFonts w:eastAsia="MS Mincho"/>
          <w:lang w:eastAsia="ja-JP"/>
        </w:rPr>
        <w:t>nfections)</w:t>
      </w:r>
    </w:p>
    <w:p w:rsidR="00120F84" w:rsidRPr="00120F84" w:rsidRDefault="00120F84" w:rsidP="00120F84">
      <w:r w:rsidRPr="00120F84">
        <w:t xml:space="preserve">A total of 15 subjects (11.8% of 127) reported 16 SAEs (excluding infections) during the study. All were single types of SAEs except for 2 cases of JIA flare. In addition, 11 subjects (8.7% of 127) experienced 11 serious infections. All were single types of serious infection apart from 3 cases of gastrointestinal infection. In addition, 8 subjects suffered infections considered preventable by vaccination, 7 of whom were not vaccinated. These preventable infections included 4 cases of varicella (all in young subjects with </w:t>
      </w:r>
      <w:proofErr w:type="spellStart"/>
      <w:r w:rsidRPr="00120F84">
        <w:t>eoJIA</w:t>
      </w:r>
      <w:proofErr w:type="spellEnd"/>
      <w:r w:rsidRPr="00120F84">
        <w:t xml:space="preserve">), 2 cases of herpes zoster (1 each in the ERA and </w:t>
      </w:r>
      <w:proofErr w:type="spellStart"/>
      <w:r w:rsidRPr="00120F84">
        <w:t>PsJIA</w:t>
      </w:r>
      <w:proofErr w:type="spellEnd"/>
      <w:r w:rsidRPr="00120F84">
        <w:t xml:space="preserve"> groups), and single reports of influenza and rubella (both in the </w:t>
      </w:r>
      <w:proofErr w:type="spellStart"/>
      <w:r w:rsidRPr="00120F84">
        <w:t>eoJIA</w:t>
      </w:r>
      <w:proofErr w:type="spellEnd"/>
      <w:r w:rsidRPr="00120F84">
        <w:t xml:space="preserve"> cohort). One of herpes zoster cases affected 2 dermatomes. One patient with ERA developed latent tuberculosis during the trial, which was detected by a routine follow</w:t>
      </w:r>
      <w:r w:rsidR="001F68DB">
        <w:t xml:space="preserve"> </w:t>
      </w:r>
      <w:r w:rsidRPr="00120F84">
        <w:t xml:space="preserve">up </w:t>
      </w:r>
      <w:r w:rsidR="00C35A3A">
        <w:t>tuberculosis skin test (</w:t>
      </w:r>
      <w:r w:rsidRPr="00120F84">
        <w:t>PPD test</w:t>
      </w:r>
      <w:r w:rsidR="00C35A3A">
        <w:t>)</w:t>
      </w:r>
      <w:r w:rsidRPr="00120F84">
        <w:t xml:space="preserve"> becoming posi</w:t>
      </w:r>
      <w:r w:rsidR="00480747">
        <w:t>tive (negative at baseline).</w:t>
      </w:r>
    </w:p>
    <w:p w:rsidR="00120F84" w:rsidRPr="00120F84" w:rsidRDefault="00480747" w:rsidP="00DC309B">
      <w:pPr>
        <w:pStyle w:val="Heading5"/>
        <w:rPr>
          <w:rFonts w:eastAsia="MS Mincho"/>
          <w:lang w:eastAsia="ja-JP"/>
        </w:rPr>
      </w:pPr>
      <w:r>
        <w:rPr>
          <w:rFonts w:eastAsia="MS Mincho"/>
          <w:lang w:eastAsia="ja-JP"/>
        </w:rPr>
        <w:t>Death and m</w:t>
      </w:r>
      <w:r w:rsidR="00120F84" w:rsidRPr="00120F84">
        <w:rPr>
          <w:rFonts w:eastAsia="MS Mincho"/>
          <w:lang w:eastAsia="ja-JP"/>
        </w:rPr>
        <w:t>alignancy</w:t>
      </w:r>
    </w:p>
    <w:p w:rsidR="00120F84" w:rsidRPr="00120F84" w:rsidRDefault="00120F84" w:rsidP="00120F84">
      <w:r w:rsidRPr="00120F84">
        <w:t>No fatalities or cancers were observed in Parts 1 and 2 of Study 0881A1-3338.</w:t>
      </w:r>
    </w:p>
    <w:p w:rsidR="00120F84" w:rsidRPr="00120F84" w:rsidRDefault="00120F84" w:rsidP="00DC309B">
      <w:pPr>
        <w:pStyle w:val="Heading5"/>
        <w:rPr>
          <w:rFonts w:eastAsia="MS Mincho"/>
          <w:lang w:eastAsia="ja-JP"/>
        </w:rPr>
      </w:pPr>
      <w:r w:rsidRPr="00120F84">
        <w:rPr>
          <w:rFonts w:eastAsia="MS Mincho"/>
          <w:lang w:eastAsia="ja-JP"/>
        </w:rPr>
        <w:t xml:space="preserve">Autoimmune </w:t>
      </w:r>
      <w:r w:rsidR="00EF3DC8">
        <w:rPr>
          <w:rFonts w:eastAsia="MS Mincho"/>
          <w:lang w:eastAsia="ja-JP"/>
        </w:rPr>
        <w:t>d</w:t>
      </w:r>
      <w:r w:rsidRPr="00120F84">
        <w:rPr>
          <w:rFonts w:eastAsia="MS Mincho"/>
          <w:lang w:eastAsia="ja-JP"/>
        </w:rPr>
        <w:t>isorders</w:t>
      </w:r>
    </w:p>
    <w:p w:rsidR="00120F84" w:rsidRPr="00120F84" w:rsidRDefault="00120F84" w:rsidP="00120F84">
      <w:r w:rsidRPr="00120F84">
        <w:t>Four patients (3.1% of 127) developed autoimmune disorders</w:t>
      </w:r>
      <w:r w:rsidR="002040F3">
        <w:t xml:space="preserve"> </w:t>
      </w:r>
      <w:r w:rsidRPr="00120F84">
        <w:t xml:space="preserve">2 cases of uveitis, and single cases of </w:t>
      </w:r>
      <w:proofErr w:type="spellStart"/>
      <w:r w:rsidRPr="00120F84">
        <w:t>iridocyclitis</w:t>
      </w:r>
      <w:proofErr w:type="spellEnd"/>
      <w:r w:rsidRPr="00120F84">
        <w:t xml:space="preserve"> and </w:t>
      </w:r>
      <w:proofErr w:type="spellStart"/>
      <w:r w:rsidRPr="00120F84">
        <w:t>Crohn’s</w:t>
      </w:r>
      <w:proofErr w:type="spellEnd"/>
      <w:r w:rsidRPr="00120F84">
        <w:t xml:space="preserve"> disease. All of these events are likely to represent disease associated manifestation</w:t>
      </w:r>
      <w:r w:rsidR="00EF3DC8">
        <w:t>s rather than drug related AEs.</w:t>
      </w:r>
    </w:p>
    <w:p w:rsidR="00120F84" w:rsidRPr="00120F84" w:rsidRDefault="00120F84" w:rsidP="00120F84">
      <w:r w:rsidRPr="00120F84">
        <w:t xml:space="preserve">In addition, 3 subjects were recorded as developing </w:t>
      </w:r>
      <w:proofErr w:type="spellStart"/>
      <w:r w:rsidRPr="00120F84">
        <w:t>Crohn’s</w:t>
      </w:r>
      <w:proofErr w:type="spellEnd"/>
      <w:r w:rsidRPr="00120F84">
        <w:t xml:space="preserve"> disease during the trial (including 1 case which was diagnosed 3 months after ceasing ETN). The relationship between ETN and the development of </w:t>
      </w:r>
      <w:proofErr w:type="spellStart"/>
      <w:r w:rsidRPr="00120F84">
        <w:t>Crohn’s</w:t>
      </w:r>
      <w:proofErr w:type="spellEnd"/>
      <w:r w:rsidRPr="00120F84">
        <w:t xml:space="preserve"> disease is unclear as adolescent patients with JIA are at risk of developing the condition as part of t</w:t>
      </w:r>
      <w:r w:rsidR="00EF3DC8">
        <w:t>he associated disease spectrum.</w:t>
      </w:r>
    </w:p>
    <w:p w:rsidR="00120F84" w:rsidRPr="00120F84" w:rsidRDefault="00EF3DC8" w:rsidP="00DC309B">
      <w:pPr>
        <w:pStyle w:val="Heading5"/>
        <w:rPr>
          <w:rFonts w:eastAsia="MS Mincho"/>
          <w:lang w:eastAsia="ja-JP"/>
        </w:rPr>
      </w:pPr>
      <w:r>
        <w:rPr>
          <w:rFonts w:eastAsia="MS Mincho"/>
          <w:lang w:eastAsia="ja-JP"/>
        </w:rPr>
        <w:t>Laboratory a</w:t>
      </w:r>
      <w:r w:rsidR="00120F84" w:rsidRPr="00120F84">
        <w:rPr>
          <w:rFonts w:eastAsia="MS Mincho"/>
          <w:lang w:eastAsia="ja-JP"/>
        </w:rPr>
        <w:t>bnormalities</w:t>
      </w:r>
    </w:p>
    <w:p w:rsidR="00120F84" w:rsidRPr="00120F84" w:rsidRDefault="00120F84" w:rsidP="00120F84">
      <w:r w:rsidRPr="00120F84">
        <w:t xml:space="preserve">Overall, 10 subjects (7.9% of 127) recorded Grade 3 or 4 abnormalities of laboratory tests during the trial. This included 4 subjects with </w:t>
      </w:r>
      <w:proofErr w:type="spellStart"/>
      <w:r w:rsidRPr="00120F84">
        <w:t>leucopenia</w:t>
      </w:r>
      <w:proofErr w:type="spellEnd"/>
      <w:r w:rsidRPr="00120F84">
        <w:t xml:space="preserve"> (3 </w:t>
      </w:r>
      <w:proofErr w:type="spellStart"/>
      <w:r w:rsidRPr="00120F84">
        <w:t>eoJIA</w:t>
      </w:r>
      <w:proofErr w:type="spellEnd"/>
      <w:r w:rsidRPr="00120F84">
        <w:t xml:space="preserve">, and 1 </w:t>
      </w:r>
      <w:proofErr w:type="spellStart"/>
      <w:r w:rsidRPr="00120F84">
        <w:t>PsJIA</w:t>
      </w:r>
      <w:proofErr w:type="spellEnd"/>
      <w:r w:rsidRPr="00120F84">
        <w:t xml:space="preserve"> patient), and 6 subjects had abnormalities of liver function tests (3 </w:t>
      </w:r>
      <w:proofErr w:type="spellStart"/>
      <w:r w:rsidRPr="00120F84">
        <w:t>eoJIA</w:t>
      </w:r>
      <w:proofErr w:type="spellEnd"/>
      <w:r w:rsidRPr="00120F84">
        <w:t xml:space="preserve">, 2 ERA and 1 </w:t>
      </w:r>
      <w:proofErr w:type="spellStart"/>
      <w:r w:rsidRPr="00120F84">
        <w:t>PsJIA</w:t>
      </w:r>
      <w:proofErr w:type="spellEnd"/>
      <w:r w:rsidRPr="00120F84">
        <w:t xml:space="preserve"> patients). However, over the course of the 96</w:t>
      </w:r>
      <w:r w:rsidR="001F68DB">
        <w:t xml:space="preserve"> </w:t>
      </w:r>
      <w:r w:rsidRPr="00120F84">
        <w:t>week study, a total of 26 subjects (20.6% of 127) developed liver function test abnormalities – 14 patients had increases of serum transami</w:t>
      </w:r>
      <w:r w:rsidR="002040F3">
        <w:t xml:space="preserve">nases and/or bilirubin between </w:t>
      </w:r>
      <w:r w:rsidRPr="00120F84">
        <w:t>2</w:t>
      </w:r>
      <w:r w:rsidR="001F68DB">
        <w:t xml:space="preserve"> </w:t>
      </w:r>
      <w:r w:rsidR="002040F3">
        <w:t>and</w:t>
      </w:r>
      <w:r w:rsidR="001F68DB">
        <w:t xml:space="preserve"> </w:t>
      </w:r>
      <w:r w:rsidRPr="00120F84">
        <w:t xml:space="preserve">3 </w:t>
      </w:r>
      <w:r w:rsidR="002040F3">
        <w:t>times</w:t>
      </w:r>
      <w:r w:rsidRPr="00120F84">
        <w:t xml:space="preserve"> </w:t>
      </w:r>
      <w:r w:rsidR="00C35A3A" w:rsidRPr="00DA4F9B">
        <w:t>Upper Limit of Normal</w:t>
      </w:r>
      <w:r w:rsidR="00C35A3A" w:rsidRPr="00120F84">
        <w:t xml:space="preserve"> </w:t>
      </w:r>
      <w:r w:rsidR="00C35A3A">
        <w:t>(</w:t>
      </w:r>
      <w:r w:rsidRPr="00120F84">
        <w:t>ULN</w:t>
      </w:r>
      <w:r w:rsidR="00C35A3A">
        <w:t>)</w:t>
      </w:r>
      <w:r w:rsidRPr="00120F84">
        <w:t xml:space="preserve">, and 12 subjects had abnormalities of liver function </w:t>
      </w:r>
      <w:r w:rsidR="002040F3">
        <w:t xml:space="preserve">greater than </w:t>
      </w:r>
      <w:r w:rsidRPr="00120F84">
        <w:t xml:space="preserve">3 </w:t>
      </w:r>
      <w:r w:rsidR="002040F3">
        <w:t xml:space="preserve">times </w:t>
      </w:r>
      <w:r w:rsidRPr="00120F84">
        <w:t xml:space="preserve">ULN. All 26 subjects with abnormalities of liver function tests were taking concurrent DMARD therapy – 21 were taking MTX and 5 were receiving sulfasalazine. In addition, 13 of the 26 patients were taking concurrent NSAID. The frequency of abnormal function tests was higher in the </w:t>
      </w:r>
      <w:proofErr w:type="spellStart"/>
      <w:r w:rsidRPr="00120F84">
        <w:t>eoJIA</w:t>
      </w:r>
      <w:proofErr w:type="spellEnd"/>
      <w:r w:rsidRPr="00120F84">
        <w:t xml:space="preserve"> group (27.1%; 16</w:t>
      </w:r>
      <w:r w:rsidR="001F68DB">
        <w:t xml:space="preserve"> out of </w:t>
      </w:r>
      <w:r w:rsidRPr="00120F84">
        <w:t xml:space="preserve">59) compared to the 2 other JIA subtypes (15.8% </w:t>
      </w:r>
      <w:r w:rsidR="00277CC3">
        <w:t>(</w:t>
      </w:r>
      <w:r w:rsidRPr="00120F84">
        <w:t>6</w:t>
      </w:r>
      <w:r w:rsidR="001F68DB">
        <w:t xml:space="preserve"> out of </w:t>
      </w:r>
      <w:r w:rsidRPr="00120F84">
        <w:t>38</w:t>
      </w:r>
      <w:r w:rsidR="00277CC3">
        <w:t>)</w:t>
      </w:r>
      <w:r w:rsidRPr="00120F84">
        <w:t xml:space="preserve"> for ERA, and 13.8% </w:t>
      </w:r>
      <w:r w:rsidR="00277CC3">
        <w:t>(</w:t>
      </w:r>
      <w:r w:rsidRPr="00120F84">
        <w:t>4</w:t>
      </w:r>
      <w:r w:rsidR="001F68DB">
        <w:t xml:space="preserve"> out of </w:t>
      </w:r>
      <w:r w:rsidRPr="00120F84">
        <w:t>29</w:t>
      </w:r>
      <w:r w:rsidR="00277CC3">
        <w:t>)</w:t>
      </w:r>
      <w:r w:rsidR="00EF3DC8">
        <w:t xml:space="preserve"> for </w:t>
      </w:r>
      <w:proofErr w:type="spellStart"/>
      <w:r w:rsidR="00EF3DC8">
        <w:t>PsJIA</w:t>
      </w:r>
      <w:proofErr w:type="spellEnd"/>
      <w:r w:rsidR="00EF3DC8">
        <w:t>).</w:t>
      </w:r>
    </w:p>
    <w:p w:rsidR="00120F84" w:rsidRPr="00120F84" w:rsidRDefault="00120F84" w:rsidP="00DC309B">
      <w:pPr>
        <w:pStyle w:val="Heading5"/>
        <w:rPr>
          <w:rFonts w:eastAsia="MS Mincho"/>
          <w:lang w:eastAsia="ja-JP"/>
        </w:rPr>
      </w:pPr>
      <w:r w:rsidRPr="00120F84">
        <w:rPr>
          <w:rFonts w:eastAsia="MS Mincho"/>
          <w:lang w:eastAsia="ja-JP"/>
        </w:rPr>
        <w:t>Immunogenicity</w:t>
      </w:r>
    </w:p>
    <w:p w:rsidR="00120F84" w:rsidRPr="00120F84" w:rsidRDefault="00120F84" w:rsidP="00120F84">
      <w:r w:rsidRPr="00120F84">
        <w:t>Serum for anti</w:t>
      </w:r>
      <w:r w:rsidR="001F68DB">
        <w:t xml:space="preserve"> to </w:t>
      </w:r>
      <w:r w:rsidRPr="00120F84">
        <w:t>ETN antibodies was collected at baseline; weeks 12, 48 and 96; or upon early withdrawal in Study 881A1-3338. In total, 26 subjects (20.5% of 127) tested positive for anti</w:t>
      </w:r>
      <w:r w:rsidR="001F68DB">
        <w:t xml:space="preserve"> to </w:t>
      </w:r>
      <w:r w:rsidRPr="00120F84">
        <w:t>ETN antibodies on at least 1 occasion during the trial, of which 10 subjects (7.9% of 127) tested positive on at least 2 occasions. None of the subjects with positive anti</w:t>
      </w:r>
      <w:r w:rsidR="001F68DB">
        <w:t xml:space="preserve"> to </w:t>
      </w:r>
      <w:r w:rsidRPr="00120F84">
        <w:t>ETN antibody results tested positive for neutralizing antibodies. Fourteen of the patients developed positive anti</w:t>
      </w:r>
      <w:r w:rsidR="001F68DB">
        <w:t xml:space="preserve"> to </w:t>
      </w:r>
      <w:r w:rsidRPr="00120F84">
        <w:t>ETN antibodies for the first time at Week 48, and 6 did so at Week 12. There was no clear correlation between the occurrence of anti</w:t>
      </w:r>
      <w:r w:rsidR="001F68DB">
        <w:t xml:space="preserve"> to </w:t>
      </w:r>
      <w:r w:rsidRPr="00120F84">
        <w:t>ETN antibod</w:t>
      </w:r>
      <w:r w:rsidR="00EF3DC8">
        <w:t>ies and the development of AEs.</w:t>
      </w:r>
    </w:p>
    <w:p w:rsidR="00120F84" w:rsidRPr="00120F84" w:rsidRDefault="00EF3DC8" w:rsidP="00DC309B">
      <w:pPr>
        <w:pStyle w:val="Heading5"/>
        <w:rPr>
          <w:rFonts w:eastAsia="MS Mincho"/>
          <w:lang w:eastAsia="ja-JP"/>
        </w:rPr>
      </w:pPr>
      <w:r>
        <w:rPr>
          <w:rFonts w:eastAsia="MS Mincho"/>
          <w:lang w:eastAsia="ja-JP"/>
        </w:rPr>
        <w:t>Vital s</w:t>
      </w:r>
      <w:r w:rsidR="00120F84" w:rsidRPr="00120F84">
        <w:rPr>
          <w:rFonts w:eastAsia="MS Mincho"/>
          <w:lang w:eastAsia="ja-JP"/>
        </w:rPr>
        <w:t xml:space="preserve">igns and </w:t>
      </w:r>
      <w:r>
        <w:rPr>
          <w:rFonts w:eastAsia="MS Mincho"/>
          <w:lang w:eastAsia="ja-JP"/>
        </w:rPr>
        <w:t>g</w:t>
      </w:r>
      <w:r w:rsidR="00120F84" w:rsidRPr="00120F84">
        <w:rPr>
          <w:rFonts w:eastAsia="MS Mincho"/>
          <w:lang w:eastAsia="ja-JP"/>
        </w:rPr>
        <w:t xml:space="preserve">rowth </w:t>
      </w:r>
      <w:r>
        <w:rPr>
          <w:rFonts w:eastAsia="MS Mincho"/>
          <w:lang w:eastAsia="ja-JP"/>
        </w:rPr>
        <w:t>p</w:t>
      </w:r>
      <w:r w:rsidR="00120F84" w:rsidRPr="00120F84">
        <w:rPr>
          <w:rFonts w:eastAsia="MS Mincho"/>
          <w:lang w:eastAsia="ja-JP"/>
        </w:rPr>
        <w:t>arameters</w:t>
      </w:r>
    </w:p>
    <w:p w:rsidR="00120F84" w:rsidRPr="00120F84" w:rsidRDefault="00120F84" w:rsidP="00120F84">
      <w:r w:rsidRPr="00120F84">
        <w:t>Overall, 12 subjects (9.5%) developed changes in blood pressure readings over the course of the study. This included 3 cases of reduced blood pressure (systolic or diastolic) and 9 reports of increased blood pressure, most of which were transient in nature. There was no evidence of a decline in expected growth as measured by changes in height, weight or B</w:t>
      </w:r>
      <w:r w:rsidR="00C35A3A">
        <w:t>ody Mass Index (BMI)</w:t>
      </w:r>
      <w:r w:rsidRPr="00120F84">
        <w:t xml:space="preserve"> from baseline to Week 96.</w:t>
      </w:r>
    </w:p>
    <w:p w:rsidR="00120F84" w:rsidRPr="00120F84" w:rsidRDefault="00EF3DC8" w:rsidP="00DC309B">
      <w:pPr>
        <w:pStyle w:val="Heading5"/>
        <w:rPr>
          <w:rFonts w:eastAsia="MS Mincho"/>
          <w:lang w:eastAsia="ja-JP"/>
        </w:rPr>
      </w:pPr>
      <w:r>
        <w:rPr>
          <w:rFonts w:eastAsia="MS Mincho"/>
          <w:lang w:eastAsia="ja-JP"/>
        </w:rPr>
        <w:t>Evaluator assessment</w:t>
      </w:r>
    </w:p>
    <w:p w:rsidR="00120F84" w:rsidRPr="00120F84" w:rsidRDefault="00120F84" w:rsidP="00120F84">
      <w:r w:rsidRPr="00120F84">
        <w:t>The safety of ETN in children and adolescents over 96 weeks of treatment follow</w:t>
      </w:r>
      <w:r w:rsidR="001F68DB">
        <w:t xml:space="preserve"> to </w:t>
      </w:r>
      <w:r w:rsidRPr="00120F84">
        <w:t>up in Study 0881A1-3338 demonstrates an acceptable profile with no new safety signals becoming evident. In addition, the incidence of expected AEs (for example risk of infection and injection site reactions) did not differ from the known frequency and pattern. The submission of the Part 2 safety data supports the sponsor application for extension of indication for ETN in JIA, and exceeds the recommendations of the relevant regulatory guidelines in terms of providing sufficient patient experience in a</w:t>
      </w:r>
      <w:r w:rsidR="00EF3DC8">
        <w:t xml:space="preserve"> juvenile treatment population.</w:t>
      </w:r>
    </w:p>
    <w:p w:rsidR="00120F84" w:rsidRPr="00120F84" w:rsidRDefault="00120F84" w:rsidP="00DC309B">
      <w:pPr>
        <w:pStyle w:val="Heading4"/>
        <w:rPr>
          <w:lang w:eastAsia="ja-JP"/>
        </w:rPr>
      </w:pPr>
      <w:bookmarkStart w:id="124" w:name="_Toc383428818"/>
      <w:r w:rsidRPr="00120F84">
        <w:rPr>
          <w:lang w:eastAsia="ja-JP"/>
        </w:rPr>
        <w:t>Please present the safety data for Parts 1 and 2 of Study 0881A1-3338 in a tabular format, which identified those adverse events that were considered to be related to study treatment?</w:t>
      </w:r>
      <w:bookmarkEnd w:id="124"/>
    </w:p>
    <w:p w:rsidR="00120F84" w:rsidRPr="00120F84" w:rsidRDefault="00120F84" w:rsidP="00120F84">
      <w:r w:rsidRPr="00120F84">
        <w:t xml:space="preserve">The sponsor response has referred to 2 tables in the final clinical study report for Study 0881A1-3338, which present the incidence and </w:t>
      </w:r>
      <w:r w:rsidR="00C35A3A" w:rsidRPr="00DA4F9B">
        <w:t>System Organ Class</w:t>
      </w:r>
      <w:r w:rsidR="00C35A3A" w:rsidRPr="00120F84">
        <w:t xml:space="preserve"> </w:t>
      </w:r>
      <w:r w:rsidR="00C35A3A">
        <w:t>(</w:t>
      </w:r>
      <w:r w:rsidRPr="00120F84">
        <w:t>SOC</w:t>
      </w:r>
      <w:r w:rsidR="00C35A3A">
        <w:t>)</w:t>
      </w:r>
      <w:r w:rsidRPr="00120F84">
        <w:t xml:space="preserve"> type of treatment emergent AEs by severity and relationship to ETN for the all exposure safety population (n</w:t>
      </w:r>
      <w:r w:rsidR="00DC309B">
        <w:t xml:space="preserve"> = </w:t>
      </w:r>
      <w:r w:rsidRPr="00120F84">
        <w:t>127), as well as each of the 3 JIA subtypes involved in Study 0881A1-3338. The site investigator assessed the determination of r</w:t>
      </w:r>
      <w:r w:rsidR="00EF3DC8">
        <w:t>elationship between ETN and AE.</w:t>
      </w:r>
    </w:p>
    <w:p w:rsidR="00120F84" w:rsidRPr="00120F84" w:rsidRDefault="00120F84" w:rsidP="00120F84">
      <w:r w:rsidRPr="00120F84">
        <w:t>In Parts 1 and 2 (combined) of Study 0881A1-3338, 96 subjects (75.6% of 127) recorded infections, of which 16.5% (21</w:t>
      </w:r>
      <w:r w:rsidR="001F68DB">
        <w:t xml:space="preserve"> out of </w:t>
      </w:r>
      <w:r w:rsidRPr="00120F84">
        <w:t>127) were considered to be treatment related. Most of the treatment related infections were mild (13 subjects, 10.2%) or moderate in severity (7 subjects, 5.5%). Similar to the Part 1 data, the most common sites of treatment related infections involved the upper respiratory tract (n</w:t>
      </w:r>
      <w:r w:rsidR="00DC309B">
        <w:t xml:space="preserve"> = </w:t>
      </w:r>
      <w:r w:rsidRPr="00120F84">
        <w:t>11), ear (n</w:t>
      </w:r>
      <w:r w:rsidR="00DC309B">
        <w:t xml:space="preserve"> = </w:t>
      </w:r>
      <w:r w:rsidRPr="00120F84">
        <w:t>5), gastrointestinal system (n</w:t>
      </w:r>
      <w:r w:rsidR="00DC309B">
        <w:t xml:space="preserve"> = </w:t>
      </w:r>
      <w:r w:rsidRPr="00120F84">
        <w:t>3) and skin and soft tissues (n</w:t>
      </w:r>
      <w:r w:rsidR="00DC309B">
        <w:t xml:space="preserve"> = </w:t>
      </w:r>
      <w:r w:rsidRPr="00120F84">
        <w:t>2). No significant differences in the incidence or severity of infection were observed across the 3 JIA subtypes.</w:t>
      </w:r>
    </w:p>
    <w:p w:rsidR="00120F84" w:rsidRPr="00120F84" w:rsidRDefault="00120F84" w:rsidP="00120F84">
      <w:r w:rsidRPr="00120F84">
        <w:t>Excluding infections, the combined safety data in Parts 1 and 2 of Study 0881A1-3338, observed 93 subjects (73.2% of 127) experiencing treatment emergent AEs, of which 14.2% (18</w:t>
      </w:r>
      <w:r w:rsidR="001F68DB">
        <w:t xml:space="preserve"> out of </w:t>
      </w:r>
      <w:r w:rsidRPr="00120F84">
        <w:t>127) were considered to be treatment related. Most of the treatment related non</w:t>
      </w:r>
      <w:r w:rsidR="001F68DB">
        <w:t xml:space="preserve"> to </w:t>
      </w:r>
      <w:r w:rsidRPr="00120F84">
        <w:t>infectious AEs were mild (12 subjects, 9.4%) or moderate in severity (6 subjects, 4.7%). The incidence and type of treatment related AEs showed a similar pattern to that observed in the overall AE assessment (irrespective of relationship to study medication). The most common individual types of AEs that were assessed as being treatment related included investigation abnormalities (n</w:t>
      </w:r>
      <w:r w:rsidR="00DC309B">
        <w:t xml:space="preserve"> = </w:t>
      </w:r>
      <w:r w:rsidRPr="00120F84">
        <w:t>5; mainly abnormal liver function tests), nervous system disorders (n</w:t>
      </w:r>
      <w:r w:rsidR="00DC309B">
        <w:t xml:space="preserve"> = </w:t>
      </w:r>
      <w:r w:rsidRPr="00120F84">
        <w:t>5; headache and dizziness), general disorders (n</w:t>
      </w:r>
      <w:r w:rsidR="00DC309B">
        <w:t xml:space="preserve"> = </w:t>
      </w:r>
      <w:r w:rsidRPr="00120F84">
        <w:t>3; fatigue and asthenia), and ear complaints (n</w:t>
      </w:r>
      <w:r w:rsidR="00DC309B">
        <w:t xml:space="preserve"> = </w:t>
      </w:r>
      <w:r w:rsidRPr="00120F84">
        <w:t>3; vertigo and tinnitus). No significant differences in incidence or severity of infection were observed across the 3 JIA subtypes.</w:t>
      </w:r>
    </w:p>
    <w:p w:rsidR="00120F84" w:rsidRPr="00120F84" w:rsidRDefault="00120F84" w:rsidP="00DC309B">
      <w:pPr>
        <w:pStyle w:val="Heading4"/>
        <w:rPr>
          <w:lang w:eastAsia="ja-JP"/>
        </w:rPr>
      </w:pPr>
      <w:bookmarkStart w:id="125" w:name="_Toc383428819"/>
      <w:r w:rsidRPr="00120F84">
        <w:rPr>
          <w:lang w:eastAsia="ja-JP"/>
        </w:rPr>
        <w:t xml:space="preserve">In Part 1 of Study 0881A1-3338, 2 subjects (a 6 year old female with </w:t>
      </w:r>
      <w:proofErr w:type="spellStart"/>
      <w:r w:rsidRPr="00120F84">
        <w:rPr>
          <w:lang w:eastAsia="ja-JP"/>
        </w:rPr>
        <w:t>eoJIA</w:t>
      </w:r>
      <w:proofErr w:type="spellEnd"/>
      <w:r w:rsidRPr="00120F84">
        <w:rPr>
          <w:lang w:eastAsia="ja-JP"/>
        </w:rPr>
        <w:t xml:space="preserve"> experiencing bronchopneumonia, and a 17 year old female with </w:t>
      </w:r>
      <w:proofErr w:type="spellStart"/>
      <w:r w:rsidRPr="00120F84">
        <w:rPr>
          <w:lang w:eastAsia="ja-JP"/>
        </w:rPr>
        <w:t>PsJIA</w:t>
      </w:r>
      <w:proofErr w:type="spellEnd"/>
      <w:r w:rsidRPr="00120F84">
        <w:rPr>
          <w:lang w:eastAsia="ja-JP"/>
        </w:rPr>
        <w:t xml:space="preserve"> suffering </w:t>
      </w:r>
      <w:proofErr w:type="spellStart"/>
      <w:r w:rsidRPr="00120F84">
        <w:rPr>
          <w:lang w:eastAsia="ja-JP"/>
        </w:rPr>
        <w:t>pyelocystitis</w:t>
      </w:r>
      <w:proofErr w:type="spellEnd"/>
      <w:r w:rsidRPr="00120F84">
        <w:rPr>
          <w:lang w:eastAsia="ja-JP"/>
        </w:rPr>
        <w:t>) developed serious infections requiring hospitalization, treatment with IV antibiotics, and discontinuation from study medication. Both events were considered by the site investigators to be mild in severity, and unrelated to study drug. The sponsor is requested to provide comment on the justification for the severity grading, and the assessment of causal relationship to study medication?</w:t>
      </w:r>
      <w:bookmarkEnd w:id="125"/>
    </w:p>
    <w:p w:rsidR="00120F84" w:rsidRPr="00120F84" w:rsidRDefault="00120F84" w:rsidP="00120F84">
      <w:r w:rsidRPr="00120F84">
        <w:t xml:space="preserve">The sponsor concurs that the site investigators rated both of these serious infections as being mild in severity, and unrelated to study medication. However, the sponsor states that it assessed the bronchopneumonia SAE as being medication related. The sponsor has made no specific comment about its assessment of a causal relationship between ETN therapy and the SAE of </w:t>
      </w:r>
      <w:proofErr w:type="spellStart"/>
      <w:r w:rsidRPr="00120F84">
        <w:t>pyelocystitis</w:t>
      </w:r>
      <w:proofErr w:type="spellEnd"/>
      <w:r w:rsidRPr="00120F84">
        <w:t>. The sponsor also states that it does not assess the severity of AEs, and infections represent a known risk associated with ETN, which is included in the current PI. In my opinion, both infectious SAEs have an association with ETN, and this is a known risk with anti</w:t>
      </w:r>
      <w:r w:rsidR="001F68DB">
        <w:t xml:space="preserve"> </w:t>
      </w:r>
      <w:r w:rsidR="00EF3DC8">
        <w:t>TNF therapy.</w:t>
      </w:r>
    </w:p>
    <w:p w:rsidR="00120F84" w:rsidRPr="00120F84" w:rsidRDefault="00120F84" w:rsidP="00DC309B">
      <w:pPr>
        <w:pStyle w:val="Heading4"/>
        <w:rPr>
          <w:lang w:eastAsia="ja-JP"/>
        </w:rPr>
      </w:pPr>
      <w:bookmarkStart w:id="126" w:name="_Toc383428820"/>
      <w:r w:rsidRPr="00120F84">
        <w:rPr>
          <w:lang w:eastAsia="ja-JP"/>
        </w:rPr>
        <w:t xml:space="preserve">In Study 20021618, 2 paediatric subjects with systemic JIA developed macrophage activation syndrome. Please provide comment on whether </w:t>
      </w:r>
      <w:proofErr w:type="spellStart"/>
      <w:r w:rsidRPr="00120F84">
        <w:rPr>
          <w:lang w:eastAsia="ja-JP"/>
        </w:rPr>
        <w:t>etanercept</w:t>
      </w:r>
      <w:proofErr w:type="spellEnd"/>
      <w:r w:rsidRPr="00120F84">
        <w:rPr>
          <w:lang w:eastAsia="ja-JP"/>
        </w:rPr>
        <w:t xml:space="preserve"> was continued or not in these patients, and were the adverse events considered to be drug related?</w:t>
      </w:r>
      <w:bookmarkEnd w:id="126"/>
    </w:p>
    <w:p w:rsidR="002040F3" w:rsidRDefault="00120F84" w:rsidP="00120F84">
      <w:r w:rsidRPr="00120F84">
        <w:t xml:space="preserve">The sponsor has provided additional case details for both cases (8 year old </w:t>
      </w:r>
      <w:proofErr w:type="gramStart"/>
      <w:r w:rsidRPr="00120F84">
        <w:t>female,</w:t>
      </w:r>
      <w:proofErr w:type="gramEnd"/>
      <w:r w:rsidRPr="00120F84">
        <w:t xml:space="preserve"> and 11 year old male) that experienced macrophage activation syndrome in Study 20021618. Neither event was considered to be drug related by the investigator. ETN was temporarily ceased in both subjects, and the AE resolved after 6</w:t>
      </w:r>
      <w:r w:rsidR="001F68DB">
        <w:t xml:space="preserve"> to </w:t>
      </w:r>
      <w:r w:rsidRPr="00120F84">
        <w:t>17 days following hospitalization and additional supportive treatment. Macrophage activation syndrome may occur as a disease related complication of systemic JIA, and is included in the PI for ETN. The evaluator concurs with the sponsor response on this question, in that macrophage activation syndrome is most likely to be a disease related manifestati</w:t>
      </w:r>
      <w:r w:rsidR="00EF3DC8">
        <w:t>on of JIA than be drug related.</w:t>
      </w:r>
    </w:p>
    <w:p w:rsidR="00525E14" w:rsidRDefault="00EF3DC8" w:rsidP="00525E14">
      <w:pPr>
        <w:pStyle w:val="Heading3"/>
      </w:pPr>
      <w:bookmarkStart w:id="127" w:name="_Toc390330072"/>
      <w:r>
        <w:t>Second r</w:t>
      </w:r>
      <w:r w:rsidR="00525E14">
        <w:t xml:space="preserve">ound </w:t>
      </w:r>
      <w:r>
        <w:t>b</w:t>
      </w:r>
      <w:r w:rsidR="00525E14">
        <w:t>enefit-</w:t>
      </w:r>
      <w:r>
        <w:t>r</w:t>
      </w:r>
      <w:r w:rsidR="00525E14">
        <w:t xml:space="preserve">isk </w:t>
      </w:r>
      <w:r>
        <w:t>a</w:t>
      </w:r>
      <w:r w:rsidR="00525E14">
        <w:t>ssessment</w:t>
      </w:r>
      <w:bookmarkEnd w:id="127"/>
    </w:p>
    <w:p w:rsidR="00120F84" w:rsidRPr="00120F84" w:rsidRDefault="00120F84" w:rsidP="00DC309B">
      <w:pPr>
        <w:pStyle w:val="Heading4"/>
        <w:rPr>
          <w:lang w:eastAsia="ja-JP"/>
        </w:rPr>
      </w:pPr>
      <w:bookmarkStart w:id="128" w:name="_Toc272414709"/>
      <w:bookmarkStart w:id="129" w:name="_Toc290846349"/>
      <w:bookmarkStart w:id="130" w:name="_Toc369603258"/>
      <w:bookmarkStart w:id="131" w:name="_Toc383181620"/>
      <w:bookmarkStart w:id="132" w:name="_Toc383428822"/>
      <w:r w:rsidRPr="00120F84">
        <w:rPr>
          <w:lang w:eastAsia="ja-JP"/>
        </w:rPr>
        <w:t>Second round assessment of benefits</w:t>
      </w:r>
      <w:bookmarkEnd w:id="128"/>
      <w:bookmarkEnd w:id="129"/>
      <w:bookmarkEnd w:id="130"/>
      <w:bookmarkEnd w:id="131"/>
      <w:bookmarkEnd w:id="132"/>
    </w:p>
    <w:p w:rsidR="00120F84" w:rsidRPr="00120F84" w:rsidRDefault="00120F84" w:rsidP="00120F84">
      <w:r w:rsidRPr="00120F84">
        <w:t>After consideration of the responses to clinical questions, the benefits of ETN in the proposed usage are unchanged from those identified.</w:t>
      </w:r>
    </w:p>
    <w:p w:rsidR="00120F84" w:rsidRPr="00120F84" w:rsidRDefault="00120F84" w:rsidP="00DC309B">
      <w:pPr>
        <w:pStyle w:val="Heading4"/>
        <w:rPr>
          <w:lang w:eastAsia="ja-JP"/>
        </w:rPr>
      </w:pPr>
      <w:bookmarkStart w:id="133" w:name="_Toc272414710"/>
      <w:bookmarkStart w:id="134" w:name="_Toc290846350"/>
      <w:bookmarkStart w:id="135" w:name="_Toc369603259"/>
      <w:bookmarkStart w:id="136" w:name="_Toc383181621"/>
      <w:bookmarkStart w:id="137" w:name="_Toc383428823"/>
      <w:r w:rsidRPr="00120F84">
        <w:rPr>
          <w:lang w:eastAsia="ja-JP"/>
        </w:rPr>
        <w:t>Second round assessment of risks</w:t>
      </w:r>
      <w:bookmarkEnd w:id="133"/>
      <w:bookmarkEnd w:id="134"/>
      <w:bookmarkEnd w:id="135"/>
      <w:bookmarkEnd w:id="136"/>
      <w:bookmarkEnd w:id="137"/>
    </w:p>
    <w:p w:rsidR="00120F84" w:rsidRPr="00120F84" w:rsidRDefault="00120F84" w:rsidP="00120F84">
      <w:r w:rsidRPr="00120F84">
        <w:t>After consideration of the responses to clinical questions, the benefits of ETN in the proposed usage are unchanged from those identified.</w:t>
      </w:r>
    </w:p>
    <w:p w:rsidR="00120F84" w:rsidRPr="00120F84" w:rsidRDefault="00120F84" w:rsidP="00DC309B">
      <w:pPr>
        <w:pStyle w:val="Heading4"/>
        <w:rPr>
          <w:lang w:eastAsia="ja-JP"/>
        </w:rPr>
      </w:pPr>
      <w:bookmarkStart w:id="138" w:name="_Toc272414711"/>
      <w:bookmarkStart w:id="139" w:name="_Toc290846351"/>
      <w:bookmarkStart w:id="140" w:name="_Toc369603260"/>
      <w:bookmarkStart w:id="141" w:name="_Toc383181622"/>
      <w:bookmarkStart w:id="142" w:name="_Toc383428824"/>
      <w:r w:rsidRPr="00120F84">
        <w:rPr>
          <w:lang w:eastAsia="ja-JP"/>
        </w:rPr>
        <w:t>Second round assessment of benefit-risk balance</w:t>
      </w:r>
      <w:bookmarkEnd w:id="138"/>
      <w:bookmarkEnd w:id="139"/>
      <w:bookmarkEnd w:id="140"/>
      <w:bookmarkEnd w:id="141"/>
      <w:bookmarkEnd w:id="142"/>
    </w:p>
    <w:p w:rsidR="002040F3" w:rsidRDefault="00120F84" w:rsidP="00120F84">
      <w:r w:rsidRPr="00120F84">
        <w:t>The benefit-risk balance of ETN, given the proposed usage, is favourable.</w:t>
      </w:r>
    </w:p>
    <w:p w:rsidR="00525E14" w:rsidRDefault="00EF3DC8" w:rsidP="00DC309B">
      <w:pPr>
        <w:pStyle w:val="Heading4"/>
      </w:pPr>
      <w:r>
        <w:t>Second r</w:t>
      </w:r>
      <w:r w:rsidR="00525E14">
        <w:t xml:space="preserve">ound </w:t>
      </w:r>
      <w:r>
        <w:t>r</w:t>
      </w:r>
      <w:r w:rsidR="00525E14">
        <w:t xml:space="preserve">ecommendation </w:t>
      </w:r>
      <w:r>
        <w:t>r</w:t>
      </w:r>
      <w:r w:rsidR="00525E14">
        <w:t xml:space="preserve">egarding </w:t>
      </w:r>
      <w:r>
        <w:t>a</w:t>
      </w:r>
      <w:r w:rsidR="00525E14">
        <w:t>uthorisation</w:t>
      </w:r>
    </w:p>
    <w:p w:rsidR="00BC6F0F" w:rsidRDefault="00120F84" w:rsidP="00120F84">
      <w:r w:rsidRPr="007B261C">
        <w:t>The submitted data indicates a favourable, short and medium</w:t>
      </w:r>
      <w:r w:rsidR="001F68DB">
        <w:t xml:space="preserve"> </w:t>
      </w:r>
      <w:r w:rsidRPr="007B261C">
        <w:t>term benefit</w:t>
      </w:r>
      <w:r w:rsidR="001F68DB">
        <w:t xml:space="preserve"> </w:t>
      </w:r>
      <w:r w:rsidRPr="007B261C">
        <w:t xml:space="preserve">risk assessment for ETN in the proposed usage, and this evaluator would recommend acceptance of the sponsor’s proposed extension of indication for ETN to include the treatment of additional subtypes of JIA. In addition, this evaluator would recommend accepting the proposal to lower the age limit of treatment from the currently approved 4 years of age to 2 years of age for those patients with extended </w:t>
      </w:r>
      <w:proofErr w:type="spellStart"/>
      <w:r w:rsidRPr="007B261C">
        <w:t>oligoarticular</w:t>
      </w:r>
      <w:proofErr w:type="spellEnd"/>
      <w:r w:rsidRPr="007B261C">
        <w:t xml:space="preserve"> and </w:t>
      </w:r>
      <w:proofErr w:type="spellStart"/>
      <w:r w:rsidRPr="007B261C">
        <w:t>polyarticular</w:t>
      </w:r>
      <w:proofErr w:type="spellEnd"/>
      <w:r w:rsidRPr="007B261C">
        <w:t xml:space="preserve"> JIA, as well as the addition of a once weekly dosing regimen (0.8 mg/kg, up to a maximum of 50 mg) as an</w:t>
      </w:r>
      <w:r w:rsidR="00EF3DC8">
        <w:t xml:space="preserve"> alternative treatment regimen.</w:t>
      </w:r>
    </w:p>
    <w:p w:rsidR="00120F84" w:rsidRPr="007B261C" w:rsidRDefault="00120F84" w:rsidP="00120F84">
      <w:r w:rsidRPr="007B261C">
        <w:t>The current ETN product information (PI) does not classify JIA according to the ILAR criteria as the pivotal JIA licensing study (16.0016) commenced in 1997, that is prior to the development of the ILAR classification. However, the evaluator concurs with the sponsor’s proposal to amend the current PI to incorporate the internationally accepted contemporary classification of JIA by the ILAR criteria. The submitted data in this application is consistent with adopting this proposal.</w:t>
      </w:r>
    </w:p>
    <w:p w:rsidR="002040F3" w:rsidRDefault="00120F84" w:rsidP="00120F84">
      <w:r w:rsidRPr="007B261C">
        <w:t>If this submission is approved, a recommended condition of registration is the provision of regular periodic safety update reports by the sponsor.</w:t>
      </w:r>
    </w:p>
    <w:p w:rsidR="008E7846" w:rsidRDefault="008E7846" w:rsidP="008E7846">
      <w:pPr>
        <w:pStyle w:val="Heading2"/>
      </w:pPr>
      <w:bookmarkStart w:id="143" w:name="_Toc390330073"/>
      <w:r w:rsidRPr="00E41208">
        <w:t xml:space="preserve">V. </w:t>
      </w:r>
      <w:proofErr w:type="spellStart"/>
      <w:r w:rsidRPr="00E41208">
        <w:t>Pharmacovigilance</w:t>
      </w:r>
      <w:proofErr w:type="spellEnd"/>
      <w:r w:rsidRPr="00E41208">
        <w:t xml:space="preserve"> </w:t>
      </w:r>
      <w:r>
        <w:t>f</w:t>
      </w:r>
      <w:r w:rsidRPr="00E41208">
        <w:t>indings</w:t>
      </w:r>
      <w:bookmarkEnd w:id="102"/>
      <w:bookmarkEnd w:id="103"/>
      <w:bookmarkEnd w:id="143"/>
    </w:p>
    <w:p w:rsidR="008E7846" w:rsidRDefault="00386150" w:rsidP="008E7846">
      <w:pPr>
        <w:pStyle w:val="Heading3"/>
        <w:rPr>
          <w:lang w:eastAsia="en-AU"/>
        </w:rPr>
      </w:pPr>
      <w:bookmarkStart w:id="144" w:name="_Toc247691526"/>
      <w:bookmarkStart w:id="145" w:name="_Toc314842509"/>
      <w:bookmarkStart w:id="146" w:name="_Toc390330074"/>
      <w:r>
        <w:rPr>
          <w:lang w:eastAsia="en-AU"/>
        </w:rPr>
        <w:t>Risk m</w:t>
      </w:r>
      <w:r w:rsidR="008E7846">
        <w:rPr>
          <w:lang w:eastAsia="en-AU"/>
        </w:rPr>
        <w:t xml:space="preserve">anagement </w:t>
      </w:r>
      <w:r>
        <w:rPr>
          <w:lang w:eastAsia="en-AU"/>
        </w:rPr>
        <w:t>p</w:t>
      </w:r>
      <w:r w:rsidR="008E7846">
        <w:rPr>
          <w:lang w:eastAsia="en-AU"/>
        </w:rPr>
        <w:t>lan</w:t>
      </w:r>
      <w:bookmarkEnd w:id="144"/>
      <w:bookmarkEnd w:id="145"/>
      <w:bookmarkEnd w:id="146"/>
    </w:p>
    <w:p w:rsidR="008E7846" w:rsidRDefault="008E7846" w:rsidP="008E7846">
      <w:pPr>
        <w:rPr>
          <w:lang w:eastAsia="en-AU"/>
        </w:rPr>
      </w:pPr>
      <w:r>
        <w:rPr>
          <w:lang w:eastAsia="en-AU"/>
        </w:rPr>
        <w:t xml:space="preserve">The sponsor submitted a Risk Management Plan </w:t>
      </w:r>
      <w:r w:rsidR="00120F84">
        <w:rPr>
          <w:lang w:eastAsia="en-AU"/>
        </w:rPr>
        <w:t>(</w:t>
      </w:r>
      <w:r w:rsidR="00120F84">
        <w:t>Global RMP Version 5.0, dated 12 April 2013</w:t>
      </w:r>
      <w:r w:rsidR="003211EF">
        <w:rPr>
          <w:lang w:eastAsia="en-AU"/>
        </w:rPr>
        <w:t xml:space="preserve"> </w:t>
      </w:r>
      <w:r>
        <w:rPr>
          <w:lang w:eastAsia="en-AU"/>
        </w:rPr>
        <w:t>which was reviewed by the</w:t>
      </w:r>
      <w:r w:rsidR="00120F84">
        <w:rPr>
          <w:lang w:eastAsia="en-AU"/>
        </w:rPr>
        <w:t xml:space="preserve"> TGA</w:t>
      </w:r>
      <w:r>
        <w:rPr>
          <w:lang w:eastAsia="en-AU"/>
        </w:rPr>
        <w:t>.</w:t>
      </w:r>
    </w:p>
    <w:p w:rsidR="00D90E2F" w:rsidRDefault="0084185F" w:rsidP="0084185F">
      <w:pPr>
        <w:pStyle w:val="TableTitle"/>
        <w:rPr>
          <w:lang w:eastAsia="en-AU"/>
        </w:rPr>
      </w:pPr>
      <w:bookmarkStart w:id="147" w:name="_Toc247691527"/>
      <w:proofErr w:type="gramStart"/>
      <w:r>
        <w:rPr>
          <w:lang w:eastAsia="en-AU"/>
        </w:rPr>
        <w:t xml:space="preserve">Table </w:t>
      </w:r>
      <w:r w:rsidR="00DC309B">
        <w:rPr>
          <w:lang w:eastAsia="en-AU"/>
        </w:rPr>
        <w:t>1.</w:t>
      </w:r>
      <w:proofErr w:type="gramEnd"/>
      <w:r>
        <w:rPr>
          <w:lang w:eastAsia="en-AU"/>
        </w:rPr>
        <w:t xml:space="preserve"> Summary of Risk Management Plan</w:t>
      </w:r>
    </w:p>
    <w:p w:rsidR="0084185F" w:rsidRPr="00561270" w:rsidRDefault="0084185F" w:rsidP="0084185F">
      <w:pPr>
        <w:jc w:val="both"/>
      </w:pPr>
      <w:r w:rsidRPr="00561270">
        <w:t>All figures and tables in this section that have been copied from the original dossier are considered by the evaluator to be an accurate representation of the reviewed data, unless qualified as such i</w:t>
      </w:r>
      <w:r w:rsidR="00EF3DC8">
        <w:t>n the commentary of the report.</w:t>
      </w:r>
    </w:p>
    <w:p w:rsidR="00561270" w:rsidRPr="00561270" w:rsidRDefault="00561270" w:rsidP="0084185F">
      <w:pPr>
        <w:jc w:val="both"/>
        <w:rPr>
          <w:sz w:val="18"/>
          <w:szCs w:val="18"/>
        </w:rPr>
      </w:pPr>
      <w:r>
        <w:rPr>
          <w:noProof/>
          <w:lang w:eastAsia="en-AU"/>
        </w:rPr>
        <w:drawing>
          <wp:inline distT="0" distB="0" distL="0" distR="0">
            <wp:extent cx="5332053" cy="5806121"/>
            <wp:effectExtent l="0" t="0" r="0" b="0"/>
            <wp:docPr id="6" name="Picture 6"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srcRect/>
                    <a:stretch>
                      <a:fillRect/>
                    </a:stretch>
                  </pic:blipFill>
                  <pic:spPr bwMode="auto">
                    <a:xfrm>
                      <a:off x="0" y="0"/>
                      <a:ext cx="5337306" cy="5811841"/>
                    </a:xfrm>
                    <a:prstGeom prst="rect">
                      <a:avLst/>
                    </a:prstGeom>
                    <a:noFill/>
                    <a:ln w="9525">
                      <a:noFill/>
                      <a:miter lim="800000"/>
                      <a:headEnd/>
                      <a:tailEnd/>
                    </a:ln>
                  </pic:spPr>
                </pic:pic>
              </a:graphicData>
            </a:graphic>
          </wp:inline>
        </w:drawing>
      </w:r>
    </w:p>
    <w:p w:rsidR="0084185F" w:rsidRDefault="0084185F" w:rsidP="008E7846">
      <w:pPr>
        <w:rPr>
          <w:lang w:eastAsia="en-AU"/>
        </w:rPr>
      </w:pPr>
      <w:r>
        <w:rPr>
          <w:noProof/>
          <w:lang w:eastAsia="en-AU"/>
        </w:rPr>
        <w:drawing>
          <wp:inline distT="0" distB="0" distL="0" distR="0">
            <wp:extent cx="5400040" cy="7031425"/>
            <wp:effectExtent l="0" t="0" r="0" b="0"/>
            <wp:docPr id="107" name="Picture 107" descr="Table 1. Summary of Risk Management Plan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print"/>
                    <a:srcRect/>
                    <a:stretch>
                      <a:fillRect/>
                    </a:stretch>
                  </pic:blipFill>
                  <pic:spPr bwMode="auto">
                    <a:xfrm>
                      <a:off x="0" y="0"/>
                      <a:ext cx="5400040" cy="7031425"/>
                    </a:xfrm>
                    <a:prstGeom prst="rect">
                      <a:avLst/>
                    </a:prstGeom>
                    <a:noFill/>
                    <a:ln w="9525">
                      <a:noFill/>
                      <a:miter lim="800000"/>
                      <a:headEnd/>
                      <a:tailEnd/>
                    </a:ln>
                  </pic:spPr>
                </pic:pic>
              </a:graphicData>
            </a:graphic>
          </wp:inline>
        </w:drawing>
      </w:r>
      <w:r>
        <w:rPr>
          <w:noProof/>
          <w:lang w:eastAsia="en-AU"/>
        </w:rPr>
        <w:drawing>
          <wp:inline distT="0" distB="0" distL="0" distR="0">
            <wp:extent cx="5400040" cy="6742907"/>
            <wp:effectExtent l="0" t="0" r="0" b="0"/>
            <wp:docPr id="106" name="Picture 106"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cstate="print"/>
                    <a:srcRect/>
                    <a:stretch>
                      <a:fillRect/>
                    </a:stretch>
                  </pic:blipFill>
                  <pic:spPr bwMode="auto">
                    <a:xfrm>
                      <a:off x="0" y="0"/>
                      <a:ext cx="5400040" cy="6742907"/>
                    </a:xfrm>
                    <a:prstGeom prst="rect">
                      <a:avLst/>
                    </a:prstGeom>
                    <a:noFill/>
                    <a:ln w="9525">
                      <a:noFill/>
                      <a:miter lim="800000"/>
                      <a:headEnd/>
                      <a:tailEnd/>
                    </a:ln>
                  </pic:spPr>
                </pic:pic>
              </a:graphicData>
            </a:graphic>
          </wp:inline>
        </w:drawing>
      </w:r>
      <w:r>
        <w:rPr>
          <w:noProof/>
          <w:lang w:eastAsia="en-AU"/>
        </w:rPr>
        <w:drawing>
          <wp:inline distT="0" distB="0" distL="0" distR="0">
            <wp:extent cx="5400040" cy="7306497"/>
            <wp:effectExtent l="0" t="0" r="0" b="0"/>
            <wp:docPr id="108" name="Picture 108"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srcRect/>
                    <a:stretch>
                      <a:fillRect/>
                    </a:stretch>
                  </pic:blipFill>
                  <pic:spPr bwMode="auto">
                    <a:xfrm>
                      <a:off x="0" y="0"/>
                      <a:ext cx="5400040" cy="7306497"/>
                    </a:xfrm>
                    <a:prstGeom prst="rect">
                      <a:avLst/>
                    </a:prstGeom>
                    <a:noFill/>
                    <a:ln w="9525">
                      <a:noFill/>
                      <a:miter lim="800000"/>
                      <a:headEnd/>
                      <a:tailEnd/>
                    </a:ln>
                  </pic:spPr>
                </pic:pic>
              </a:graphicData>
            </a:graphic>
          </wp:inline>
        </w:drawing>
      </w:r>
      <w:r>
        <w:rPr>
          <w:noProof/>
          <w:lang w:eastAsia="en-AU"/>
        </w:rPr>
        <w:drawing>
          <wp:inline distT="0" distB="0" distL="0" distR="0">
            <wp:extent cx="5400040" cy="6065031"/>
            <wp:effectExtent l="0" t="0" r="0" b="0"/>
            <wp:docPr id="109" name="Picture 109"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srcRect/>
                    <a:stretch>
                      <a:fillRect/>
                    </a:stretch>
                  </pic:blipFill>
                  <pic:spPr bwMode="auto">
                    <a:xfrm>
                      <a:off x="0" y="0"/>
                      <a:ext cx="5400040" cy="6065031"/>
                    </a:xfrm>
                    <a:prstGeom prst="rect">
                      <a:avLst/>
                    </a:prstGeom>
                    <a:noFill/>
                    <a:ln w="9525">
                      <a:noFill/>
                      <a:miter lim="800000"/>
                      <a:headEnd/>
                      <a:tailEnd/>
                    </a:ln>
                  </pic:spPr>
                </pic:pic>
              </a:graphicData>
            </a:graphic>
          </wp:inline>
        </w:drawing>
      </w:r>
      <w:r>
        <w:rPr>
          <w:noProof/>
          <w:lang w:eastAsia="en-AU"/>
        </w:rPr>
        <w:drawing>
          <wp:inline distT="0" distB="0" distL="0" distR="0">
            <wp:extent cx="5400040" cy="6633663"/>
            <wp:effectExtent l="0" t="0" r="0" b="0"/>
            <wp:docPr id="110" name="Picture 110"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cstate="print"/>
                    <a:srcRect/>
                    <a:stretch>
                      <a:fillRect/>
                    </a:stretch>
                  </pic:blipFill>
                  <pic:spPr bwMode="auto">
                    <a:xfrm>
                      <a:off x="0" y="0"/>
                      <a:ext cx="5400040" cy="6633663"/>
                    </a:xfrm>
                    <a:prstGeom prst="rect">
                      <a:avLst/>
                    </a:prstGeom>
                    <a:noFill/>
                    <a:ln w="9525">
                      <a:noFill/>
                      <a:miter lim="800000"/>
                      <a:headEnd/>
                      <a:tailEnd/>
                    </a:ln>
                  </pic:spPr>
                </pic:pic>
              </a:graphicData>
            </a:graphic>
          </wp:inline>
        </w:drawing>
      </w:r>
      <w:r>
        <w:rPr>
          <w:noProof/>
          <w:lang w:eastAsia="en-AU"/>
        </w:rPr>
        <w:drawing>
          <wp:inline distT="0" distB="0" distL="0" distR="0">
            <wp:extent cx="5400040" cy="6728901"/>
            <wp:effectExtent l="0" t="0" r="0" b="0"/>
            <wp:docPr id="111" name="Picture 111"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srcRect/>
                    <a:stretch>
                      <a:fillRect/>
                    </a:stretch>
                  </pic:blipFill>
                  <pic:spPr bwMode="auto">
                    <a:xfrm>
                      <a:off x="0" y="0"/>
                      <a:ext cx="5400040" cy="6728901"/>
                    </a:xfrm>
                    <a:prstGeom prst="rect">
                      <a:avLst/>
                    </a:prstGeom>
                    <a:noFill/>
                    <a:ln w="9525">
                      <a:noFill/>
                      <a:miter lim="800000"/>
                      <a:headEnd/>
                      <a:tailEnd/>
                    </a:ln>
                  </pic:spPr>
                </pic:pic>
              </a:graphicData>
            </a:graphic>
          </wp:inline>
        </w:drawing>
      </w:r>
      <w:r>
        <w:rPr>
          <w:noProof/>
          <w:lang w:eastAsia="en-AU"/>
        </w:rPr>
        <w:drawing>
          <wp:inline distT="0" distB="0" distL="0" distR="0">
            <wp:extent cx="5400040" cy="7121621"/>
            <wp:effectExtent l="0" t="0" r="0" b="0"/>
            <wp:docPr id="112" name="Picture 112"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srcRect/>
                    <a:stretch>
                      <a:fillRect/>
                    </a:stretch>
                  </pic:blipFill>
                  <pic:spPr bwMode="auto">
                    <a:xfrm>
                      <a:off x="0" y="0"/>
                      <a:ext cx="5400040" cy="7121621"/>
                    </a:xfrm>
                    <a:prstGeom prst="rect">
                      <a:avLst/>
                    </a:prstGeom>
                    <a:noFill/>
                    <a:ln w="9525">
                      <a:noFill/>
                      <a:miter lim="800000"/>
                      <a:headEnd/>
                      <a:tailEnd/>
                    </a:ln>
                  </pic:spPr>
                </pic:pic>
              </a:graphicData>
            </a:graphic>
          </wp:inline>
        </w:drawing>
      </w:r>
      <w:r>
        <w:rPr>
          <w:noProof/>
          <w:lang w:eastAsia="en-AU"/>
        </w:rPr>
        <w:drawing>
          <wp:inline distT="0" distB="0" distL="0" distR="0">
            <wp:extent cx="5400040" cy="6762515"/>
            <wp:effectExtent l="0" t="0" r="0" b="0"/>
            <wp:docPr id="113" name="Picture 113"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srcRect/>
                    <a:stretch>
                      <a:fillRect/>
                    </a:stretch>
                  </pic:blipFill>
                  <pic:spPr bwMode="auto">
                    <a:xfrm>
                      <a:off x="0" y="0"/>
                      <a:ext cx="5400040" cy="6762515"/>
                    </a:xfrm>
                    <a:prstGeom prst="rect">
                      <a:avLst/>
                    </a:prstGeom>
                    <a:noFill/>
                    <a:ln w="9525">
                      <a:noFill/>
                      <a:miter lim="800000"/>
                      <a:headEnd/>
                      <a:tailEnd/>
                    </a:ln>
                  </pic:spPr>
                </pic:pic>
              </a:graphicData>
            </a:graphic>
          </wp:inline>
        </w:drawing>
      </w:r>
      <w:r>
        <w:rPr>
          <w:noProof/>
          <w:lang w:eastAsia="en-AU"/>
        </w:rPr>
        <w:drawing>
          <wp:inline distT="0" distB="0" distL="0" distR="0">
            <wp:extent cx="5400040" cy="7233107"/>
            <wp:effectExtent l="0" t="0" r="0" b="0"/>
            <wp:docPr id="114" name="Picture 114"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a:stretch>
                      <a:fillRect/>
                    </a:stretch>
                  </pic:blipFill>
                  <pic:spPr bwMode="auto">
                    <a:xfrm>
                      <a:off x="0" y="0"/>
                      <a:ext cx="5400040" cy="7233107"/>
                    </a:xfrm>
                    <a:prstGeom prst="rect">
                      <a:avLst/>
                    </a:prstGeom>
                    <a:noFill/>
                    <a:ln w="9525">
                      <a:noFill/>
                      <a:miter lim="800000"/>
                      <a:headEnd/>
                      <a:tailEnd/>
                    </a:ln>
                  </pic:spPr>
                </pic:pic>
              </a:graphicData>
            </a:graphic>
          </wp:inline>
        </w:drawing>
      </w:r>
      <w:r>
        <w:rPr>
          <w:noProof/>
          <w:lang w:eastAsia="en-AU"/>
        </w:rPr>
        <w:drawing>
          <wp:inline distT="0" distB="0" distL="0" distR="0">
            <wp:extent cx="5400040" cy="5923293"/>
            <wp:effectExtent l="0" t="0" r="0" b="0"/>
            <wp:docPr id="115" name="Picture 115"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cstate="print"/>
                    <a:srcRect/>
                    <a:stretch>
                      <a:fillRect/>
                    </a:stretch>
                  </pic:blipFill>
                  <pic:spPr bwMode="auto">
                    <a:xfrm>
                      <a:off x="0" y="0"/>
                      <a:ext cx="5400040" cy="5923293"/>
                    </a:xfrm>
                    <a:prstGeom prst="rect">
                      <a:avLst/>
                    </a:prstGeom>
                    <a:noFill/>
                    <a:ln w="9525">
                      <a:noFill/>
                      <a:miter lim="800000"/>
                      <a:headEnd/>
                      <a:tailEnd/>
                    </a:ln>
                  </pic:spPr>
                </pic:pic>
              </a:graphicData>
            </a:graphic>
          </wp:inline>
        </w:drawing>
      </w:r>
      <w:r>
        <w:rPr>
          <w:noProof/>
          <w:lang w:eastAsia="en-AU"/>
        </w:rPr>
        <w:drawing>
          <wp:inline distT="0" distB="0" distL="0" distR="0">
            <wp:extent cx="5400040" cy="5476791"/>
            <wp:effectExtent l="0" t="0" r="0" b="0"/>
            <wp:docPr id="117" name="Picture 117"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cstate="print"/>
                    <a:srcRect/>
                    <a:stretch>
                      <a:fillRect/>
                    </a:stretch>
                  </pic:blipFill>
                  <pic:spPr bwMode="auto">
                    <a:xfrm>
                      <a:off x="0" y="0"/>
                      <a:ext cx="5400040" cy="5476791"/>
                    </a:xfrm>
                    <a:prstGeom prst="rect">
                      <a:avLst/>
                    </a:prstGeom>
                    <a:noFill/>
                    <a:ln w="9525">
                      <a:noFill/>
                      <a:miter lim="800000"/>
                      <a:headEnd/>
                      <a:tailEnd/>
                    </a:ln>
                  </pic:spPr>
                </pic:pic>
              </a:graphicData>
            </a:graphic>
          </wp:inline>
        </w:drawing>
      </w:r>
      <w:r>
        <w:rPr>
          <w:noProof/>
          <w:lang w:eastAsia="en-AU"/>
        </w:rPr>
        <w:drawing>
          <wp:inline distT="0" distB="0" distL="0" distR="0">
            <wp:extent cx="5400040" cy="6327778"/>
            <wp:effectExtent l="0" t="0" r="0" b="0"/>
            <wp:docPr id="116" name="Picture 116"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cstate="print"/>
                    <a:srcRect/>
                    <a:stretch>
                      <a:fillRect/>
                    </a:stretch>
                  </pic:blipFill>
                  <pic:spPr bwMode="auto">
                    <a:xfrm>
                      <a:off x="0" y="0"/>
                      <a:ext cx="5400040" cy="6327778"/>
                    </a:xfrm>
                    <a:prstGeom prst="rect">
                      <a:avLst/>
                    </a:prstGeom>
                    <a:noFill/>
                    <a:ln w="9525">
                      <a:noFill/>
                      <a:miter lim="800000"/>
                      <a:headEnd/>
                      <a:tailEnd/>
                    </a:ln>
                  </pic:spPr>
                </pic:pic>
              </a:graphicData>
            </a:graphic>
          </wp:inline>
        </w:drawing>
      </w:r>
      <w:r>
        <w:rPr>
          <w:noProof/>
          <w:lang w:eastAsia="en-AU"/>
        </w:rPr>
        <w:drawing>
          <wp:inline distT="0" distB="0" distL="0" distR="0">
            <wp:extent cx="5400040" cy="3101984"/>
            <wp:effectExtent l="0" t="0" r="0" b="0"/>
            <wp:docPr id="98" name="Picture 98"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cstate="print"/>
                    <a:srcRect/>
                    <a:stretch>
                      <a:fillRect/>
                    </a:stretch>
                  </pic:blipFill>
                  <pic:spPr bwMode="auto">
                    <a:xfrm>
                      <a:off x="0" y="0"/>
                      <a:ext cx="5400040" cy="3101984"/>
                    </a:xfrm>
                    <a:prstGeom prst="rect">
                      <a:avLst/>
                    </a:prstGeom>
                    <a:noFill/>
                    <a:ln w="9525">
                      <a:noFill/>
                      <a:miter lim="800000"/>
                      <a:headEnd/>
                      <a:tailEnd/>
                    </a:ln>
                  </pic:spPr>
                </pic:pic>
              </a:graphicData>
            </a:graphic>
          </wp:inline>
        </w:drawing>
      </w:r>
      <w:r>
        <w:rPr>
          <w:noProof/>
          <w:lang w:eastAsia="en-AU"/>
        </w:rPr>
        <w:drawing>
          <wp:inline distT="0" distB="0" distL="0" distR="0">
            <wp:extent cx="5400040" cy="6714896"/>
            <wp:effectExtent l="0" t="0" r="0" b="0"/>
            <wp:docPr id="99" name="Picture 99"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srcRect/>
                    <a:stretch>
                      <a:fillRect/>
                    </a:stretch>
                  </pic:blipFill>
                  <pic:spPr bwMode="auto">
                    <a:xfrm>
                      <a:off x="0" y="0"/>
                      <a:ext cx="5400040" cy="6714896"/>
                    </a:xfrm>
                    <a:prstGeom prst="rect">
                      <a:avLst/>
                    </a:prstGeom>
                    <a:noFill/>
                    <a:ln w="9525">
                      <a:noFill/>
                      <a:miter lim="800000"/>
                      <a:headEnd/>
                      <a:tailEnd/>
                    </a:ln>
                  </pic:spPr>
                </pic:pic>
              </a:graphicData>
            </a:graphic>
          </wp:inline>
        </w:drawing>
      </w:r>
      <w:r>
        <w:rPr>
          <w:noProof/>
          <w:lang w:eastAsia="en-AU"/>
        </w:rPr>
        <w:drawing>
          <wp:inline distT="0" distB="0" distL="0" distR="0">
            <wp:extent cx="5400040" cy="6736745"/>
            <wp:effectExtent l="0" t="0" r="0" b="0"/>
            <wp:docPr id="100" name="Picture 100"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print"/>
                    <a:srcRect/>
                    <a:stretch>
                      <a:fillRect/>
                    </a:stretch>
                  </pic:blipFill>
                  <pic:spPr bwMode="auto">
                    <a:xfrm>
                      <a:off x="0" y="0"/>
                      <a:ext cx="5400040" cy="6736745"/>
                    </a:xfrm>
                    <a:prstGeom prst="rect">
                      <a:avLst/>
                    </a:prstGeom>
                    <a:noFill/>
                    <a:ln w="9525">
                      <a:noFill/>
                      <a:miter lim="800000"/>
                      <a:headEnd/>
                      <a:tailEnd/>
                    </a:ln>
                  </pic:spPr>
                </pic:pic>
              </a:graphicData>
            </a:graphic>
          </wp:inline>
        </w:drawing>
      </w:r>
      <w:r>
        <w:rPr>
          <w:noProof/>
          <w:lang w:eastAsia="en-AU"/>
        </w:rPr>
        <w:drawing>
          <wp:inline distT="0" distB="0" distL="0" distR="0">
            <wp:extent cx="5400040" cy="7336749"/>
            <wp:effectExtent l="0" t="0" r="0" b="0"/>
            <wp:docPr id="101" name="Picture 101"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cstate="print"/>
                    <a:srcRect/>
                    <a:stretch>
                      <a:fillRect/>
                    </a:stretch>
                  </pic:blipFill>
                  <pic:spPr bwMode="auto">
                    <a:xfrm>
                      <a:off x="0" y="0"/>
                      <a:ext cx="5400040" cy="7336749"/>
                    </a:xfrm>
                    <a:prstGeom prst="rect">
                      <a:avLst/>
                    </a:prstGeom>
                    <a:noFill/>
                    <a:ln w="9525">
                      <a:noFill/>
                      <a:miter lim="800000"/>
                      <a:headEnd/>
                      <a:tailEnd/>
                    </a:ln>
                  </pic:spPr>
                </pic:pic>
              </a:graphicData>
            </a:graphic>
          </wp:inline>
        </w:drawing>
      </w:r>
      <w:r>
        <w:rPr>
          <w:noProof/>
          <w:lang w:eastAsia="en-AU"/>
        </w:rPr>
        <w:drawing>
          <wp:inline distT="0" distB="0" distL="0" distR="0">
            <wp:extent cx="5400040" cy="7336749"/>
            <wp:effectExtent l="0" t="0" r="0" b="0"/>
            <wp:docPr id="102" name="Picture 102"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srcRect/>
                    <a:stretch>
                      <a:fillRect/>
                    </a:stretch>
                  </pic:blipFill>
                  <pic:spPr bwMode="auto">
                    <a:xfrm>
                      <a:off x="0" y="0"/>
                      <a:ext cx="5400040" cy="7336749"/>
                    </a:xfrm>
                    <a:prstGeom prst="rect">
                      <a:avLst/>
                    </a:prstGeom>
                    <a:noFill/>
                    <a:ln w="9525">
                      <a:noFill/>
                      <a:miter lim="800000"/>
                      <a:headEnd/>
                      <a:tailEnd/>
                    </a:ln>
                  </pic:spPr>
                </pic:pic>
              </a:graphicData>
            </a:graphic>
          </wp:inline>
        </w:drawing>
      </w:r>
      <w:r>
        <w:rPr>
          <w:noProof/>
          <w:lang w:eastAsia="en-AU"/>
        </w:rPr>
        <w:drawing>
          <wp:inline distT="0" distB="0" distL="0" distR="0">
            <wp:extent cx="5400040" cy="7003973"/>
            <wp:effectExtent l="0" t="0" r="0" b="0"/>
            <wp:docPr id="103" name="Picture 103"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5400040" cy="7003973"/>
                    </a:xfrm>
                    <a:prstGeom prst="rect">
                      <a:avLst/>
                    </a:prstGeom>
                    <a:noFill/>
                    <a:ln w="9525">
                      <a:noFill/>
                      <a:miter lim="800000"/>
                      <a:headEnd/>
                      <a:tailEnd/>
                    </a:ln>
                  </pic:spPr>
                </pic:pic>
              </a:graphicData>
            </a:graphic>
          </wp:inline>
        </w:drawing>
      </w:r>
      <w:r>
        <w:rPr>
          <w:noProof/>
          <w:lang w:eastAsia="en-AU"/>
        </w:rPr>
        <w:drawing>
          <wp:inline distT="0" distB="0" distL="0" distR="0">
            <wp:extent cx="5400040" cy="5695841"/>
            <wp:effectExtent l="0" t="0" r="0" b="0"/>
            <wp:docPr id="104" name="Picture 104"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srcRect/>
                    <a:stretch>
                      <a:fillRect/>
                    </a:stretch>
                  </pic:blipFill>
                  <pic:spPr bwMode="auto">
                    <a:xfrm>
                      <a:off x="0" y="0"/>
                      <a:ext cx="5400040" cy="5695841"/>
                    </a:xfrm>
                    <a:prstGeom prst="rect">
                      <a:avLst/>
                    </a:prstGeom>
                    <a:noFill/>
                    <a:ln w="9525">
                      <a:noFill/>
                      <a:miter lim="800000"/>
                      <a:headEnd/>
                      <a:tailEnd/>
                    </a:ln>
                  </pic:spPr>
                </pic:pic>
              </a:graphicData>
            </a:graphic>
          </wp:inline>
        </w:drawing>
      </w:r>
    </w:p>
    <w:p w:rsidR="003211EF" w:rsidRPr="00DC309B" w:rsidRDefault="003211EF" w:rsidP="003211EF">
      <w:pPr>
        <w:pStyle w:val="Heading4"/>
        <w:rPr>
          <w:lang w:eastAsia="en-AU"/>
        </w:rPr>
      </w:pPr>
      <w:r w:rsidRPr="00DC309B">
        <w:rPr>
          <w:lang w:eastAsia="en-AU"/>
        </w:rPr>
        <w:t>Reconciliation of issues outlined</w:t>
      </w:r>
      <w:r w:rsidR="005E0635">
        <w:rPr>
          <w:lang w:eastAsia="en-AU"/>
        </w:rPr>
        <w:t xml:space="preserve"> in the RMP report</w:t>
      </w:r>
    </w:p>
    <w:p w:rsidR="00525E14" w:rsidRDefault="00D90E2F" w:rsidP="008E7846">
      <w:pPr>
        <w:rPr>
          <w:lang w:eastAsia="en-AU"/>
        </w:rPr>
      </w:pPr>
      <w:r w:rsidRPr="00DC309B">
        <w:rPr>
          <w:lang w:eastAsia="en-AU"/>
        </w:rPr>
        <w:t xml:space="preserve">Table </w:t>
      </w:r>
      <w:r w:rsidR="00561270">
        <w:rPr>
          <w:lang w:eastAsia="en-AU"/>
        </w:rPr>
        <w:t>2</w:t>
      </w:r>
      <w:r w:rsidRPr="00DC309B">
        <w:rPr>
          <w:lang w:eastAsia="en-AU"/>
        </w:rPr>
        <w:t xml:space="preserve"> summarises the </w:t>
      </w:r>
      <w:r w:rsidR="0084185F" w:rsidRPr="00DC309B">
        <w:rPr>
          <w:lang w:eastAsia="en-AU"/>
        </w:rPr>
        <w:t>TGA’s</w:t>
      </w:r>
      <w:r w:rsidRPr="00DC309B">
        <w:rPr>
          <w:lang w:eastAsia="en-AU"/>
        </w:rPr>
        <w:t xml:space="preserve"> first round evaluation of the RMP, the sponsor</w:t>
      </w:r>
      <w:r w:rsidR="003211EF" w:rsidRPr="00DC309B">
        <w:rPr>
          <w:lang w:eastAsia="en-AU"/>
        </w:rPr>
        <w:t>’</w:t>
      </w:r>
      <w:r w:rsidRPr="00DC309B">
        <w:rPr>
          <w:lang w:eastAsia="en-AU"/>
        </w:rPr>
        <w:t xml:space="preserve">s responses to issues raised and the </w:t>
      </w:r>
      <w:r w:rsidR="0084185F" w:rsidRPr="00DC309B">
        <w:rPr>
          <w:lang w:eastAsia="en-AU"/>
        </w:rPr>
        <w:t>TGA</w:t>
      </w:r>
      <w:r w:rsidRPr="00DC309B">
        <w:rPr>
          <w:lang w:eastAsia="en-AU"/>
        </w:rPr>
        <w:t>’s evaluat</w:t>
      </w:r>
      <w:r w:rsidR="0084185F" w:rsidRPr="00DC309B">
        <w:rPr>
          <w:lang w:eastAsia="en-AU"/>
        </w:rPr>
        <w:t>ion of the sponsor’s responses.</w:t>
      </w:r>
    </w:p>
    <w:p w:rsidR="0084185F" w:rsidRPr="0084185F" w:rsidRDefault="0084185F" w:rsidP="0084185F">
      <w:pPr>
        <w:pStyle w:val="TableTitle"/>
      </w:pPr>
      <w:proofErr w:type="gramStart"/>
      <w:r w:rsidRPr="0084185F">
        <w:t xml:space="preserve">Table </w:t>
      </w:r>
      <w:r w:rsidR="00DC309B">
        <w:t>2.</w:t>
      </w:r>
      <w:proofErr w:type="gramEnd"/>
      <w:r w:rsidRPr="0084185F">
        <w:t xml:space="preserve"> Reconciliation of issues outlined in the RMP report</w:t>
      </w:r>
    </w:p>
    <w:tbl>
      <w:tblPr>
        <w:tblStyle w:val="TableTGAblue"/>
        <w:tblW w:w="5000" w:type="pct"/>
        <w:jc w:val="center"/>
        <w:tblLayout w:type="fixed"/>
        <w:tblLook w:val="04A0" w:firstRow="1" w:lastRow="0" w:firstColumn="1" w:lastColumn="0" w:noHBand="0" w:noVBand="1"/>
      </w:tblPr>
      <w:tblGrid>
        <w:gridCol w:w="2695"/>
        <w:gridCol w:w="3981"/>
        <w:gridCol w:w="2044"/>
      </w:tblGrid>
      <w:tr w:rsidR="0084185F" w:rsidRPr="00107999" w:rsidTr="00AC393B">
        <w:trPr>
          <w:cnfStyle w:val="100000000000" w:firstRow="1" w:lastRow="0" w:firstColumn="0" w:lastColumn="0" w:oddVBand="0" w:evenVBand="0" w:oddHBand="0" w:evenHBand="0" w:firstRowFirstColumn="0" w:firstRowLastColumn="0" w:lastRowFirstColumn="0" w:lastRowLastColumn="0"/>
          <w:jc w:val="center"/>
        </w:trPr>
        <w:tc>
          <w:tcPr>
            <w:tcW w:w="1545" w:type="pct"/>
            <w:noWrap/>
          </w:tcPr>
          <w:p w:rsidR="0084185F" w:rsidRPr="00AC393B" w:rsidRDefault="0084185F" w:rsidP="00AC393B">
            <w:pPr>
              <w:spacing w:before="0" w:after="0" w:line="240" w:lineRule="auto"/>
              <w:ind w:left="0" w:right="0"/>
              <w:rPr>
                <w:sz w:val="19"/>
                <w:szCs w:val="19"/>
              </w:rPr>
            </w:pPr>
            <w:r w:rsidRPr="00AC393B">
              <w:rPr>
                <w:sz w:val="19"/>
                <w:szCs w:val="19"/>
              </w:rPr>
              <w:t>Recommendation in RMP evaluation report</w:t>
            </w:r>
          </w:p>
        </w:tc>
        <w:tc>
          <w:tcPr>
            <w:tcW w:w="2282" w:type="pct"/>
            <w:noWrap/>
          </w:tcPr>
          <w:p w:rsidR="0084185F" w:rsidRPr="00AC393B" w:rsidRDefault="0084185F" w:rsidP="00AC393B">
            <w:pPr>
              <w:spacing w:before="0" w:after="0" w:line="240" w:lineRule="auto"/>
              <w:ind w:left="0" w:right="0"/>
              <w:rPr>
                <w:sz w:val="19"/>
                <w:szCs w:val="19"/>
              </w:rPr>
            </w:pPr>
            <w:r w:rsidRPr="00AC393B">
              <w:rPr>
                <w:sz w:val="19"/>
                <w:szCs w:val="19"/>
              </w:rPr>
              <w:t>Sponsor’s response</w:t>
            </w:r>
          </w:p>
          <w:p w:rsidR="0084185F" w:rsidRPr="00AC393B" w:rsidRDefault="0084185F" w:rsidP="00AC393B">
            <w:pPr>
              <w:spacing w:before="0" w:after="0" w:line="240" w:lineRule="auto"/>
              <w:ind w:left="0" w:right="0"/>
              <w:rPr>
                <w:sz w:val="19"/>
                <w:szCs w:val="19"/>
              </w:rPr>
            </w:pPr>
          </w:p>
        </w:tc>
        <w:tc>
          <w:tcPr>
            <w:tcW w:w="1172" w:type="pct"/>
            <w:noWrap/>
          </w:tcPr>
          <w:p w:rsidR="0084185F" w:rsidRPr="00AC393B" w:rsidRDefault="0084185F" w:rsidP="00AC393B">
            <w:pPr>
              <w:spacing w:before="0" w:after="0" w:line="240" w:lineRule="auto"/>
              <w:ind w:left="0" w:right="0"/>
              <w:rPr>
                <w:sz w:val="19"/>
                <w:szCs w:val="19"/>
              </w:rPr>
            </w:pPr>
            <w:r w:rsidRPr="00AC393B">
              <w:rPr>
                <w:sz w:val="19"/>
                <w:szCs w:val="19"/>
              </w:rPr>
              <w:t>OPR evaluator’s comment</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following two important areas of missing information specific for the JIA indication should be added to the list of ongoing safety concerns.</w:t>
            </w:r>
          </w:p>
          <w:p w:rsidR="0084185F" w:rsidRPr="00AC393B" w:rsidRDefault="0084185F" w:rsidP="00AC393B">
            <w:pPr>
              <w:spacing w:before="0" w:after="0" w:line="240" w:lineRule="auto"/>
              <w:ind w:left="0" w:right="0"/>
              <w:rPr>
                <w:sz w:val="19"/>
                <w:szCs w:val="19"/>
              </w:rPr>
            </w:pPr>
            <w:r w:rsidRPr="00AC393B">
              <w:rPr>
                <w:sz w:val="19"/>
                <w:szCs w:val="19"/>
              </w:rPr>
              <w:t>Assessment of spinal mobility (paediatric patients with ERA).</w:t>
            </w:r>
          </w:p>
          <w:p w:rsidR="0084185F" w:rsidRPr="00AC393B" w:rsidRDefault="0084185F" w:rsidP="005E0635">
            <w:pPr>
              <w:spacing w:before="0" w:after="0" w:line="240" w:lineRule="auto"/>
              <w:ind w:left="0" w:right="0"/>
              <w:rPr>
                <w:sz w:val="19"/>
                <w:szCs w:val="19"/>
              </w:rPr>
            </w:pPr>
            <w:r w:rsidRPr="00AC393B">
              <w:rPr>
                <w:sz w:val="19"/>
                <w:szCs w:val="19"/>
              </w:rPr>
              <w:t xml:space="preserve">Clinically inactive disease and remission rates and the effectiveness of re-treatment upon disease relapse (paediatric patients with </w:t>
            </w:r>
            <w:proofErr w:type="spellStart"/>
            <w:r w:rsidRPr="00AC393B">
              <w:rPr>
                <w:sz w:val="19"/>
                <w:szCs w:val="19"/>
              </w:rPr>
              <w:t>eoJIA</w:t>
            </w:r>
            <w:proofErr w:type="spellEnd"/>
            <w:r w:rsidRPr="00AC393B">
              <w:rPr>
                <w:sz w:val="19"/>
                <w:szCs w:val="19"/>
              </w:rPr>
              <w:t xml:space="preserve">, </w:t>
            </w:r>
            <w:proofErr w:type="spellStart"/>
            <w:r w:rsidRPr="00AC393B">
              <w:rPr>
                <w:sz w:val="19"/>
                <w:szCs w:val="19"/>
              </w:rPr>
              <w:t>PsA</w:t>
            </w:r>
            <w:proofErr w:type="spellEnd"/>
            <w:r w:rsidRPr="00AC393B">
              <w:rPr>
                <w:sz w:val="19"/>
                <w:szCs w:val="19"/>
              </w:rPr>
              <w:t>, or ERA).</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2 noted efficacy assessments specific to JIA (</w:t>
            </w:r>
            <w:r w:rsidR="001F68DB" w:rsidRPr="00AC393B">
              <w:rPr>
                <w:sz w:val="19"/>
                <w:szCs w:val="19"/>
              </w:rPr>
              <w:t>that is</w:t>
            </w:r>
            <w:r w:rsidRPr="00AC393B">
              <w:rPr>
                <w:sz w:val="19"/>
                <w:szCs w:val="19"/>
              </w:rPr>
              <w:t xml:space="preserve">, assessment of spinal mobility in paediatric patients with ERA, and clinically inactive disease and remission rates and the effectiveness of re-treatment upon disease relapse in paediatric patients with </w:t>
            </w:r>
            <w:proofErr w:type="spellStart"/>
            <w:r w:rsidRPr="00AC393B">
              <w:rPr>
                <w:sz w:val="19"/>
                <w:szCs w:val="19"/>
              </w:rPr>
              <w:t>eoJIA</w:t>
            </w:r>
            <w:proofErr w:type="spellEnd"/>
            <w:r w:rsidRPr="00AC393B">
              <w:rPr>
                <w:sz w:val="19"/>
                <w:szCs w:val="19"/>
              </w:rPr>
              <w:t xml:space="preserve">, </w:t>
            </w:r>
            <w:proofErr w:type="spellStart"/>
            <w:r w:rsidRPr="00AC393B">
              <w:rPr>
                <w:sz w:val="19"/>
                <w:szCs w:val="19"/>
              </w:rPr>
              <w:t>PsA</w:t>
            </w:r>
            <w:proofErr w:type="spellEnd"/>
            <w:r w:rsidRPr="00AC393B">
              <w:rPr>
                <w:sz w:val="19"/>
                <w:szCs w:val="19"/>
              </w:rPr>
              <w:t>, or ERA) have been removed from the list of safety concerns and included in Part IV (Plan for Post</w:t>
            </w:r>
            <w:r w:rsidR="001F68DB" w:rsidRPr="00AC393B">
              <w:rPr>
                <w:sz w:val="19"/>
                <w:szCs w:val="19"/>
              </w:rPr>
              <w:t xml:space="preserve"> </w:t>
            </w:r>
            <w:r w:rsidRPr="00AC393B">
              <w:rPr>
                <w:sz w:val="19"/>
                <w:szCs w:val="19"/>
              </w:rPr>
              <w:t xml:space="preserve">authorisation Efficacy Studies) of the RMP as they relate to efficacy rather than safety. Per the European Medicine Agency’s (EMA’s) Guideline on good </w:t>
            </w:r>
            <w:proofErr w:type="spellStart"/>
            <w:r w:rsidRPr="00AC393B">
              <w:rPr>
                <w:sz w:val="19"/>
                <w:szCs w:val="19"/>
              </w:rPr>
              <w:t>pharmacovigilance</w:t>
            </w:r>
            <w:proofErr w:type="spellEnd"/>
            <w:r w:rsidRPr="00AC393B">
              <w:rPr>
                <w:sz w:val="19"/>
                <w:szCs w:val="19"/>
              </w:rPr>
              <w:t xml:space="preserve"> practices, Module V – Risk management systems (EMA/838713/2011, dated 22 June 2012), post</w:t>
            </w:r>
            <w:r w:rsidR="001F68DB" w:rsidRPr="00AC393B">
              <w:rPr>
                <w:sz w:val="19"/>
                <w:szCs w:val="19"/>
              </w:rPr>
              <w:t xml:space="preserve"> </w:t>
            </w:r>
            <w:r w:rsidRPr="00AC393B">
              <w:rPr>
                <w:sz w:val="19"/>
                <w:szCs w:val="19"/>
              </w:rPr>
              <w:t xml:space="preserve">authorisation efficacy studies that address efficacy uncertainties are to be presented in Part IV of the RMP. Therefore, the sponsor feels that these 2 efficacy uncertainties that need to be addressed in relation to </w:t>
            </w:r>
            <w:proofErr w:type="spellStart"/>
            <w:r w:rsidRPr="00AC393B">
              <w:rPr>
                <w:sz w:val="19"/>
                <w:szCs w:val="19"/>
              </w:rPr>
              <w:t>etanercept</w:t>
            </w:r>
            <w:proofErr w:type="spellEnd"/>
            <w:r w:rsidRPr="00AC393B">
              <w:rPr>
                <w:sz w:val="19"/>
                <w:szCs w:val="19"/>
              </w:rPr>
              <w:t xml:space="preserve"> therapy in patients with JIA should remain within the</w:t>
            </w:r>
            <w:r w:rsidR="00DC309B" w:rsidRPr="00AC393B">
              <w:rPr>
                <w:sz w:val="19"/>
                <w:szCs w:val="19"/>
              </w:rPr>
              <w:t xml:space="preserve"> </w:t>
            </w:r>
            <w:r w:rsidRPr="00AC393B">
              <w:rPr>
                <w:sz w:val="19"/>
                <w:szCs w:val="19"/>
              </w:rPr>
              <w:t>RMP section for post</w:t>
            </w:r>
            <w:r w:rsidR="001F68DB" w:rsidRPr="00AC393B">
              <w:rPr>
                <w:sz w:val="19"/>
                <w:szCs w:val="19"/>
              </w:rPr>
              <w:t xml:space="preserve"> </w:t>
            </w:r>
            <w:r w:rsidRPr="00AC393B">
              <w:rPr>
                <w:sz w:val="19"/>
                <w:szCs w:val="19"/>
              </w:rPr>
              <w:t>authorisation efficacy studies (Part IV) and not within the RMP section on safety specification (Part II). Per the guideline, the safety concerns falling under ‘important missing information’ in Part II, Module SVIII (Summary of the safety concerns) should relate to the populations not studied in clinical trials that are presented in Part II, Module SIV (Populations not studied in clinical trials), and do not relate to efficacy</w:t>
            </w:r>
            <w:r w:rsidR="00DC309B" w:rsidRPr="00AC393B">
              <w:rPr>
                <w:sz w:val="19"/>
                <w:szCs w:val="19"/>
              </w:rPr>
              <w:t xml:space="preserve"> </w:t>
            </w:r>
            <w:r w:rsidRPr="00AC393B">
              <w:rPr>
                <w:sz w:val="19"/>
                <w:szCs w:val="19"/>
              </w:rPr>
              <w:t xml:space="preserve">uncertainties that need to be addressed. In Version 4.3 of the </w:t>
            </w:r>
            <w:proofErr w:type="spellStart"/>
            <w:r w:rsidRPr="00AC393B">
              <w:rPr>
                <w:sz w:val="19"/>
                <w:szCs w:val="19"/>
              </w:rPr>
              <w:t>etanercept</w:t>
            </w:r>
            <w:proofErr w:type="spellEnd"/>
            <w:r w:rsidRPr="00AC393B">
              <w:rPr>
                <w:sz w:val="19"/>
                <w:szCs w:val="19"/>
              </w:rPr>
              <w:t xml:space="preserve"> RMP (dated 16 August 2012), the sponsor added these 2 efficacy uncertainties as ‘important missing information’ in the list of ongoing safety concerns because the EMA had requested that they be included in the </w:t>
            </w:r>
            <w:proofErr w:type="spellStart"/>
            <w:r w:rsidRPr="00AC393B">
              <w:rPr>
                <w:sz w:val="19"/>
                <w:szCs w:val="19"/>
              </w:rPr>
              <w:t>etanercept</w:t>
            </w:r>
            <w:proofErr w:type="spellEnd"/>
            <w:r w:rsidRPr="00AC393B">
              <w:rPr>
                <w:sz w:val="19"/>
                <w:szCs w:val="19"/>
              </w:rPr>
              <w:t xml:space="preserve"> RMP; however, the new template for the RMP, which contained the new efficacy section, had not yet been released by EMA. With the next update of the RMP (Version 5.0 dated 12 April 2013), the sponsor converted the </w:t>
            </w:r>
            <w:proofErr w:type="spellStart"/>
            <w:r w:rsidRPr="00AC393B">
              <w:rPr>
                <w:sz w:val="19"/>
                <w:szCs w:val="19"/>
              </w:rPr>
              <w:t>etanercept</w:t>
            </w:r>
            <w:proofErr w:type="spellEnd"/>
            <w:r w:rsidRPr="00AC393B">
              <w:rPr>
                <w:sz w:val="19"/>
                <w:szCs w:val="19"/>
              </w:rPr>
              <w:t xml:space="preserve"> RMP to the new RMP template released by EMA in November 2012 and therefore moved these 2 efficacy uncertainties from the safety specification section to the new efficacy section.</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It is noted that the potential risk of uveitis was removed from the RMP Version 2.0. This is a pertinent risk to children treated with </w:t>
            </w:r>
            <w:proofErr w:type="spellStart"/>
            <w:r w:rsidRPr="00AC393B">
              <w:rPr>
                <w:sz w:val="19"/>
                <w:szCs w:val="19"/>
              </w:rPr>
              <w:t>etanercept</w:t>
            </w:r>
            <w:proofErr w:type="spellEnd"/>
            <w:r w:rsidRPr="00AC393B">
              <w:rPr>
                <w:sz w:val="19"/>
                <w:szCs w:val="19"/>
              </w:rPr>
              <w:t>, especially in light of the current application to extend indication to children 2</w:t>
            </w:r>
            <w:r w:rsidR="00AC393B" w:rsidRPr="00AC393B">
              <w:rPr>
                <w:sz w:val="19"/>
                <w:szCs w:val="19"/>
              </w:rPr>
              <w:t xml:space="preserve"> </w:t>
            </w:r>
            <w:r w:rsidRPr="00AC393B">
              <w:rPr>
                <w:sz w:val="19"/>
                <w:szCs w:val="19"/>
              </w:rPr>
              <w:t xml:space="preserve">years of age. The sponsor should provide justification for the removal of this risk from the </w:t>
            </w:r>
            <w:r w:rsidR="005E0635">
              <w:rPr>
                <w:sz w:val="19"/>
                <w:szCs w:val="19"/>
              </w:rPr>
              <w:t>listed ongoing safety concerns.</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A comprehensive assessment of reports of uveitis in association with </w:t>
            </w:r>
            <w:proofErr w:type="spellStart"/>
            <w:r w:rsidRPr="00AC393B">
              <w:rPr>
                <w:sz w:val="19"/>
                <w:szCs w:val="19"/>
              </w:rPr>
              <w:t>etanercept</w:t>
            </w:r>
            <w:proofErr w:type="spellEnd"/>
            <w:r w:rsidRPr="00AC393B">
              <w:rPr>
                <w:sz w:val="19"/>
                <w:szCs w:val="19"/>
              </w:rPr>
              <w:t xml:space="preserve"> treatment was conducted by Pfizer. Largely as a result of information from</w:t>
            </w:r>
            <w:r w:rsidR="00DC309B" w:rsidRPr="00AC393B">
              <w:rPr>
                <w:sz w:val="19"/>
                <w:szCs w:val="19"/>
              </w:rPr>
              <w:t xml:space="preserve"> </w:t>
            </w:r>
            <w:r w:rsidR="00904313" w:rsidRPr="00AC393B">
              <w:rPr>
                <w:sz w:val="19"/>
                <w:szCs w:val="19"/>
              </w:rPr>
              <w:t>post marketing</w:t>
            </w:r>
            <w:r w:rsidRPr="00AC393B">
              <w:rPr>
                <w:sz w:val="19"/>
                <w:szCs w:val="19"/>
              </w:rPr>
              <w:t xml:space="preserve"> reports uveitis was included as an adverse drug reaction (ADR) in the Product Information for </w:t>
            </w:r>
            <w:proofErr w:type="spellStart"/>
            <w:r w:rsidRPr="00AC393B">
              <w:rPr>
                <w:sz w:val="19"/>
                <w:szCs w:val="19"/>
              </w:rPr>
              <w:t>etanercept</w:t>
            </w:r>
            <w:proofErr w:type="spellEnd"/>
            <w:r w:rsidRPr="00AC393B">
              <w:rPr>
                <w:sz w:val="19"/>
                <w:szCs w:val="19"/>
              </w:rPr>
              <w:t xml:space="preserve"> and is considered an uncommon event. An analysis of the clinical trial incidence of uveitis associated with the use of </w:t>
            </w:r>
            <w:proofErr w:type="spellStart"/>
            <w:r w:rsidRPr="00AC393B">
              <w:rPr>
                <w:sz w:val="19"/>
                <w:szCs w:val="19"/>
              </w:rPr>
              <w:t>etanercept</w:t>
            </w:r>
            <w:proofErr w:type="spellEnd"/>
            <w:r w:rsidRPr="00AC393B">
              <w:rPr>
                <w:sz w:val="19"/>
                <w:szCs w:val="19"/>
              </w:rPr>
              <w:t xml:space="preserve"> across all indications undertaken at the time of the assessment revealed that the exposure</w:t>
            </w:r>
            <w:r w:rsidR="001F68DB" w:rsidRPr="00AC393B">
              <w:rPr>
                <w:sz w:val="19"/>
                <w:szCs w:val="19"/>
              </w:rPr>
              <w:t xml:space="preserve"> </w:t>
            </w:r>
            <w:r w:rsidRPr="00AC393B">
              <w:rPr>
                <w:sz w:val="19"/>
                <w:szCs w:val="19"/>
              </w:rPr>
              <w:t xml:space="preserve">adjusted event rate for uveitis in </w:t>
            </w:r>
            <w:proofErr w:type="spellStart"/>
            <w:r w:rsidRPr="00AC393B">
              <w:rPr>
                <w:sz w:val="19"/>
                <w:szCs w:val="19"/>
              </w:rPr>
              <w:t>etanercept</w:t>
            </w:r>
            <w:proofErr w:type="spellEnd"/>
            <w:r w:rsidRPr="00AC393B">
              <w:rPr>
                <w:sz w:val="19"/>
                <w:szCs w:val="19"/>
              </w:rPr>
              <w:t xml:space="preserve"> treated subjects was lower compared with the exposure</w:t>
            </w:r>
            <w:r w:rsidR="001F68DB" w:rsidRPr="00AC393B">
              <w:rPr>
                <w:sz w:val="19"/>
                <w:szCs w:val="19"/>
              </w:rPr>
              <w:t xml:space="preserve"> </w:t>
            </w:r>
            <w:r w:rsidRPr="00AC393B">
              <w:rPr>
                <w:sz w:val="19"/>
                <w:szCs w:val="19"/>
              </w:rPr>
              <w:t>adjusted rate in placebo</w:t>
            </w:r>
            <w:r w:rsidR="001F68DB" w:rsidRPr="00AC393B">
              <w:rPr>
                <w:sz w:val="19"/>
                <w:szCs w:val="19"/>
              </w:rPr>
              <w:t xml:space="preserve"> </w:t>
            </w:r>
            <w:r w:rsidRPr="00AC393B">
              <w:rPr>
                <w:sz w:val="19"/>
                <w:szCs w:val="19"/>
              </w:rPr>
              <w:t>treated subjects. The literature review identified some articles which indicated a causal association</w:t>
            </w:r>
            <w:r w:rsidR="00AC393B" w:rsidRPr="00AC393B">
              <w:rPr>
                <w:sz w:val="19"/>
                <w:szCs w:val="19"/>
              </w:rPr>
              <w:t xml:space="preserve"> </w:t>
            </w:r>
            <w:r w:rsidRPr="00AC393B">
              <w:rPr>
                <w:sz w:val="19"/>
                <w:szCs w:val="19"/>
              </w:rPr>
              <w:t xml:space="preserve">of uveitis to </w:t>
            </w:r>
            <w:proofErr w:type="spellStart"/>
            <w:r w:rsidRPr="00AC393B">
              <w:rPr>
                <w:sz w:val="19"/>
                <w:szCs w:val="19"/>
              </w:rPr>
              <w:t>etanercept</w:t>
            </w:r>
            <w:proofErr w:type="spellEnd"/>
            <w:r w:rsidRPr="00AC393B">
              <w:rPr>
                <w:sz w:val="19"/>
                <w:szCs w:val="19"/>
              </w:rPr>
              <w:t xml:space="preserve"> therapy, while others indicated that while </w:t>
            </w:r>
            <w:proofErr w:type="spellStart"/>
            <w:r w:rsidRPr="00AC393B">
              <w:rPr>
                <w:sz w:val="19"/>
                <w:szCs w:val="19"/>
              </w:rPr>
              <w:t>etanercept</w:t>
            </w:r>
            <w:proofErr w:type="spellEnd"/>
            <w:r w:rsidRPr="00AC393B">
              <w:rPr>
                <w:sz w:val="19"/>
                <w:szCs w:val="19"/>
              </w:rPr>
              <w:t xml:space="preserve"> was not causal, it was not an effective therapy for uveitis. Uveitis was removed as a risk from the March 2010</w:t>
            </w:r>
            <w:r w:rsidR="00AC393B">
              <w:rPr>
                <w:sz w:val="19"/>
                <w:szCs w:val="19"/>
              </w:rPr>
              <w:t xml:space="preserve"> </w:t>
            </w:r>
            <w:proofErr w:type="spellStart"/>
            <w:r w:rsidRPr="00AC393B">
              <w:rPr>
                <w:sz w:val="19"/>
                <w:szCs w:val="19"/>
              </w:rPr>
              <w:t>etanercept</w:t>
            </w:r>
            <w:proofErr w:type="spellEnd"/>
            <w:r w:rsidRPr="00AC393B">
              <w:rPr>
                <w:sz w:val="19"/>
                <w:szCs w:val="19"/>
              </w:rPr>
              <w:t xml:space="preserve"> RMP (Version 2.0) because the level of risk was felt to be adequately communicated by the update to the Product Information and because no additional information was expected to be acquired that would alter the risk/benefit profile of </w:t>
            </w:r>
            <w:proofErr w:type="spellStart"/>
            <w:r w:rsidRPr="00AC393B">
              <w:rPr>
                <w:sz w:val="19"/>
                <w:szCs w:val="19"/>
              </w:rPr>
              <w:t>etanercept</w:t>
            </w:r>
            <w:proofErr w:type="spellEnd"/>
            <w:r w:rsidRPr="00AC393B">
              <w:rPr>
                <w:sz w:val="19"/>
                <w:szCs w:val="19"/>
              </w:rPr>
              <w:t xml:space="preserve"> due to this event. Routine </w:t>
            </w:r>
            <w:proofErr w:type="spellStart"/>
            <w:r w:rsidRPr="00AC393B">
              <w:rPr>
                <w:sz w:val="19"/>
                <w:szCs w:val="19"/>
              </w:rPr>
              <w:t>pharmacovigilance</w:t>
            </w:r>
            <w:proofErr w:type="spellEnd"/>
            <w:r w:rsidRPr="00AC393B">
              <w:rPr>
                <w:sz w:val="19"/>
                <w:szCs w:val="19"/>
              </w:rPr>
              <w:t xml:space="preserve"> is conducted by Pfizer, including individual case review, literature review, and statistical and </w:t>
            </w:r>
            <w:r w:rsidR="00904313" w:rsidRPr="00AC393B">
              <w:rPr>
                <w:sz w:val="19"/>
                <w:szCs w:val="19"/>
              </w:rPr>
              <w:t>non-statistical</w:t>
            </w:r>
            <w:r w:rsidRPr="00AC393B">
              <w:rPr>
                <w:sz w:val="19"/>
                <w:szCs w:val="19"/>
              </w:rPr>
              <w:t xml:space="preserve"> signal detection approaches. Should any new information about this event be identified that would change the benefit risk profile, regulatory authorities would be notified and appropriate changes would be made to the Product Information and the RMP.</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evaluator acknowledges the sponsor’s comments regarding the risk of uveitis. However, due to the highly serious nature of this condition, together with the current application to extend treatment to children from 2</w:t>
            </w:r>
            <w:r w:rsidR="002040F3" w:rsidRPr="00AC393B">
              <w:rPr>
                <w:sz w:val="19"/>
                <w:szCs w:val="19"/>
              </w:rPr>
              <w:t xml:space="preserve"> years</w:t>
            </w:r>
            <w:r w:rsidRPr="00AC393B">
              <w:rPr>
                <w:sz w:val="19"/>
                <w:szCs w:val="19"/>
              </w:rPr>
              <w:t xml:space="preserve"> of age, this remains an important potential risk that should be included in the list of ongoing safety concerns and specifically reported on within PSURs. Furthermore, the clinical evaluator appears to support the inclusion of this risk in the list of ongoing safety concerns (see second rou</w:t>
            </w:r>
            <w:r w:rsidR="005E0635">
              <w:rPr>
                <w:sz w:val="19"/>
                <w:szCs w:val="19"/>
              </w:rPr>
              <w:t>nd clinical evaluation report).</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proofErr w:type="spellStart"/>
            <w:r w:rsidRPr="00AC393B">
              <w:rPr>
                <w:sz w:val="19"/>
                <w:szCs w:val="19"/>
              </w:rPr>
              <w:t>Scleritis</w:t>
            </w:r>
            <w:proofErr w:type="spellEnd"/>
            <w:r w:rsidRPr="00AC393B">
              <w:rPr>
                <w:sz w:val="19"/>
                <w:szCs w:val="19"/>
              </w:rPr>
              <w:t xml:space="preserve"> is a known adverse event associated with </w:t>
            </w:r>
            <w:proofErr w:type="spellStart"/>
            <w:r w:rsidRPr="00AC393B">
              <w:rPr>
                <w:sz w:val="19"/>
                <w:szCs w:val="19"/>
              </w:rPr>
              <w:t>etanercept</w:t>
            </w:r>
            <w:proofErr w:type="spellEnd"/>
            <w:r w:rsidRPr="00AC393B">
              <w:rPr>
                <w:sz w:val="19"/>
                <w:szCs w:val="19"/>
              </w:rPr>
              <w:t xml:space="preserve"> therapy. This was included in the latest PSUR (dated 27th March 2013) and has been included in the proposed Australian PI. It is recommended that this be added to the list of ongoing safety concerns for consistency.</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proofErr w:type="spellStart"/>
            <w:r w:rsidRPr="00AC393B">
              <w:rPr>
                <w:sz w:val="19"/>
                <w:szCs w:val="19"/>
              </w:rPr>
              <w:t>Scleritis</w:t>
            </w:r>
            <w:proofErr w:type="spellEnd"/>
            <w:r w:rsidRPr="00AC393B">
              <w:rPr>
                <w:sz w:val="19"/>
                <w:szCs w:val="19"/>
              </w:rPr>
              <w:t xml:space="preserve"> was also added as an ADR to the Product Information for </w:t>
            </w:r>
            <w:proofErr w:type="spellStart"/>
            <w:r w:rsidRPr="00AC393B">
              <w:rPr>
                <w:sz w:val="19"/>
                <w:szCs w:val="19"/>
              </w:rPr>
              <w:t>etanercept</w:t>
            </w:r>
            <w:proofErr w:type="spellEnd"/>
            <w:r w:rsidRPr="00AC393B">
              <w:rPr>
                <w:sz w:val="19"/>
                <w:szCs w:val="19"/>
              </w:rPr>
              <w:t xml:space="preserve"> following a comprehensive assessment largely on the basis of </w:t>
            </w:r>
            <w:r w:rsidR="00904313" w:rsidRPr="00AC393B">
              <w:rPr>
                <w:sz w:val="19"/>
                <w:szCs w:val="19"/>
              </w:rPr>
              <w:t>post marketing</w:t>
            </w:r>
            <w:r w:rsidRPr="00AC393B">
              <w:rPr>
                <w:sz w:val="19"/>
                <w:szCs w:val="19"/>
              </w:rPr>
              <w:t xml:space="preserve"> and literature reports. The incidence of </w:t>
            </w:r>
            <w:proofErr w:type="spellStart"/>
            <w:r w:rsidRPr="00AC393B">
              <w:rPr>
                <w:sz w:val="19"/>
                <w:szCs w:val="19"/>
              </w:rPr>
              <w:t>scleritis</w:t>
            </w:r>
            <w:proofErr w:type="spellEnd"/>
            <w:r w:rsidRPr="00AC393B">
              <w:rPr>
                <w:sz w:val="19"/>
                <w:szCs w:val="19"/>
              </w:rPr>
              <w:t xml:space="preserve"> in double</w:t>
            </w:r>
            <w:r w:rsidR="001F68DB" w:rsidRPr="00AC393B">
              <w:rPr>
                <w:sz w:val="19"/>
                <w:szCs w:val="19"/>
              </w:rPr>
              <w:t xml:space="preserve"> </w:t>
            </w:r>
            <w:r w:rsidRPr="00AC393B">
              <w:rPr>
                <w:sz w:val="19"/>
                <w:szCs w:val="19"/>
              </w:rPr>
              <w:t xml:space="preserve">blind clinical trials was comparable between </w:t>
            </w:r>
            <w:proofErr w:type="spellStart"/>
            <w:r w:rsidRPr="00AC393B">
              <w:rPr>
                <w:sz w:val="19"/>
                <w:szCs w:val="19"/>
              </w:rPr>
              <w:t>etanercept</w:t>
            </w:r>
            <w:proofErr w:type="spellEnd"/>
            <w:r w:rsidRPr="00AC393B">
              <w:rPr>
                <w:sz w:val="19"/>
                <w:szCs w:val="19"/>
              </w:rPr>
              <w:t xml:space="preserve"> and placebo</w:t>
            </w:r>
            <w:r w:rsidR="001F68DB" w:rsidRPr="00AC393B">
              <w:rPr>
                <w:sz w:val="19"/>
                <w:szCs w:val="19"/>
              </w:rPr>
              <w:t xml:space="preserve"> </w:t>
            </w:r>
            <w:r w:rsidRPr="00AC393B">
              <w:rPr>
                <w:sz w:val="19"/>
                <w:szCs w:val="19"/>
              </w:rPr>
              <w:t>treated subjects. Furthermore, there was no evidence that the exposure</w:t>
            </w:r>
            <w:r w:rsidR="001F68DB" w:rsidRPr="00AC393B">
              <w:rPr>
                <w:sz w:val="19"/>
                <w:szCs w:val="19"/>
              </w:rPr>
              <w:t xml:space="preserve"> </w:t>
            </w:r>
            <w:r w:rsidRPr="00AC393B">
              <w:rPr>
                <w:sz w:val="19"/>
                <w:szCs w:val="19"/>
              </w:rPr>
              <w:t xml:space="preserve">adjusted rate of </w:t>
            </w:r>
            <w:proofErr w:type="spellStart"/>
            <w:r w:rsidRPr="00AC393B">
              <w:rPr>
                <w:sz w:val="19"/>
                <w:szCs w:val="19"/>
              </w:rPr>
              <w:t>scleritis</w:t>
            </w:r>
            <w:proofErr w:type="spellEnd"/>
            <w:r w:rsidRPr="00AC393B">
              <w:rPr>
                <w:sz w:val="19"/>
                <w:szCs w:val="19"/>
              </w:rPr>
              <w:t xml:space="preserve"> increased with long</w:t>
            </w:r>
            <w:r w:rsidR="001F68DB" w:rsidRPr="00AC393B">
              <w:rPr>
                <w:sz w:val="19"/>
                <w:szCs w:val="19"/>
              </w:rPr>
              <w:t xml:space="preserve"> </w:t>
            </w:r>
            <w:r w:rsidRPr="00AC393B">
              <w:rPr>
                <w:sz w:val="19"/>
                <w:szCs w:val="19"/>
              </w:rPr>
              <w:t xml:space="preserve">term use of </w:t>
            </w:r>
            <w:proofErr w:type="spellStart"/>
            <w:r w:rsidRPr="00AC393B">
              <w:rPr>
                <w:sz w:val="19"/>
                <w:szCs w:val="19"/>
              </w:rPr>
              <w:t>etanercept</w:t>
            </w:r>
            <w:proofErr w:type="spellEnd"/>
            <w:r w:rsidRPr="00AC393B">
              <w:rPr>
                <w:sz w:val="19"/>
                <w:szCs w:val="19"/>
              </w:rPr>
              <w:t xml:space="preserve"> in clinical trials. Therefore, </w:t>
            </w:r>
            <w:proofErr w:type="spellStart"/>
            <w:r w:rsidRPr="00AC393B">
              <w:rPr>
                <w:sz w:val="19"/>
                <w:szCs w:val="19"/>
              </w:rPr>
              <w:t>scleritis</w:t>
            </w:r>
            <w:proofErr w:type="spellEnd"/>
            <w:r w:rsidRPr="00AC393B">
              <w:rPr>
                <w:sz w:val="19"/>
                <w:szCs w:val="19"/>
              </w:rPr>
              <w:t xml:space="preserve"> was not included as a risk in the RMP because the level of risk was felt to be adequately communicated by the update to the Product Information and because no additional information was expected to be acquired that would alter the risk/benefit profile of </w:t>
            </w:r>
            <w:proofErr w:type="spellStart"/>
            <w:r w:rsidRPr="00AC393B">
              <w:rPr>
                <w:sz w:val="19"/>
                <w:szCs w:val="19"/>
              </w:rPr>
              <w:t>etanercept</w:t>
            </w:r>
            <w:proofErr w:type="spellEnd"/>
            <w:r w:rsidRPr="00AC393B">
              <w:rPr>
                <w:sz w:val="19"/>
                <w:szCs w:val="19"/>
              </w:rPr>
              <w:t xml:space="preserve"> due to this event. As stated for uveitis, routine </w:t>
            </w:r>
            <w:proofErr w:type="spellStart"/>
            <w:r w:rsidRPr="00AC393B">
              <w:rPr>
                <w:sz w:val="19"/>
                <w:szCs w:val="19"/>
              </w:rPr>
              <w:t>pharmacovigilance</w:t>
            </w:r>
            <w:proofErr w:type="spellEnd"/>
            <w:r w:rsidRPr="00AC393B">
              <w:rPr>
                <w:sz w:val="19"/>
                <w:szCs w:val="19"/>
              </w:rPr>
              <w:t xml:space="preserve"> activities are utilized to monitor all events including </w:t>
            </w:r>
            <w:proofErr w:type="spellStart"/>
            <w:r w:rsidRPr="00AC393B">
              <w:rPr>
                <w:sz w:val="19"/>
                <w:szCs w:val="19"/>
              </w:rPr>
              <w:t>scleritis</w:t>
            </w:r>
            <w:proofErr w:type="spellEnd"/>
            <w:r w:rsidRPr="00AC393B">
              <w:rPr>
                <w:sz w:val="19"/>
                <w:szCs w:val="19"/>
              </w:rPr>
              <w:t xml:space="preserve"> for changes in reporting patterns.</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5E0635">
            <w:pPr>
              <w:spacing w:before="0" w:after="0" w:line="240" w:lineRule="auto"/>
              <w:ind w:left="0" w:right="0"/>
              <w:rPr>
                <w:sz w:val="19"/>
                <w:szCs w:val="19"/>
              </w:rPr>
            </w:pPr>
            <w:r w:rsidRPr="00AC393B">
              <w:rPr>
                <w:sz w:val="19"/>
                <w:szCs w:val="19"/>
              </w:rPr>
              <w:t xml:space="preserve">The evaluator acknowledges the sponsor’s comments regarding the risk of </w:t>
            </w:r>
            <w:proofErr w:type="spellStart"/>
            <w:r w:rsidRPr="00AC393B">
              <w:rPr>
                <w:sz w:val="19"/>
                <w:szCs w:val="19"/>
              </w:rPr>
              <w:t>scleritis</w:t>
            </w:r>
            <w:proofErr w:type="spellEnd"/>
            <w:r w:rsidRPr="00AC393B">
              <w:rPr>
                <w:sz w:val="19"/>
                <w:szCs w:val="19"/>
              </w:rPr>
              <w:t>. However, due to the highly serious nature of this condition, together with the current application to extend treatment to children from 2</w:t>
            </w:r>
            <w:r w:rsidR="002040F3" w:rsidRPr="00AC393B">
              <w:rPr>
                <w:sz w:val="19"/>
                <w:szCs w:val="19"/>
              </w:rPr>
              <w:t xml:space="preserve"> years</w:t>
            </w:r>
            <w:r w:rsidRPr="00AC393B">
              <w:rPr>
                <w:sz w:val="19"/>
                <w:szCs w:val="19"/>
              </w:rPr>
              <w:t xml:space="preserve"> of age, this remains an important potential risk that should be included in the list of ongoing safety concerns and specifically reported on within PSURs. Furthermore, the clinical evaluator appears to support the inclusion of this risk in the list of ongoing safety concerns (see second round clinical evaluation report).</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Table 6.1.4 of the global RMP Version 5.0 does not include the important potential risks of male infertility and weight </w:t>
            </w:r>
            <w:proofErr w:type="gramStart"/>
            <w:r w:rsidRPr="00AC393B">
              <w:rPr>
                <w:sz w:val="19"/>
                <w:szCs w:val="19"/>
              </w:rPr>
              <w:t>gain have</w:t>
            </w:r>
            <w:proofErr w:type="gramEnd"/>
            <w:r w:rsidRPr="00AC393B">
              <w:rPr>
                <w:sz w:val="19"/>
                <w:szCs w:val="19"/>
              </w:rPr>
              <w:t xml:space="preserve"> not been listed. This should be amended.</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During the conversion of the </w:t>
            </w:r>
            <w:proofErr w:type="spellStart"/>
            <w:r w:rsidRPr="00AC393B">
              <w:rPr>
                <w:sz w:val="19"/>
                <w:szCs w:val="19"/>
              </w:rPr>
              <w:t>etanercept</w:t>
            </w:r>
            <w:proofErr w:type="spellEnd"/>
            <w:r w:rsidRPr="00AC393B">
              <w:rPr>
                <w:sz w:val="19"/>
                <w:szCs w:val="19"/>
              </w:rPr>
              <w:t xml:space="preserve"> RMP to the new RMP format, the potential risks of male infertility and weight gain were inadvertently excluded from Summary of Risk Minimisation Measures. Pfizer agrees to add these 2 potential risks at the time of the next update of the </w:t>
            </w:r>
            <w:proofErr w:type="spellStart"/>
            <w:r w:rsidRPr="00AC393B">
              <w:rPr>
                <w:sz w:val="19"/>
                <w:szCs w:val="19"/>
              </w:rPr>
              <w:t>etanercept</w:t>
            </w:r>
            <w:proofErr w:type="spellEnd"/>
            <w:r w:rsidRPr="00AC393B">
              <w:rPr>
                <w:sz w:val="19"/>
                <w:szCs w:val="19"/>
              </w:rPr>
              <w:t xml:space="preserve"> all indication RMP (April 2014). In addition, the identical copy of this table will also be revised to include these 2 potential risks.</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It is recommended that the sponsor consider an Australian paediatric JIA registry study to further investigate and elucidate the ongoing safety concerns associated with </w:t>
            </w:r>
            <w:proofErr w:type="spellStart"/>
            <w:r w:rsidRPr="00AC393B">
              <w:rPr>
                <w:sz w:val="19"/>
                <w:szCs w:val="19"/>
              </w:rPr>
              <w:t>etanercept</w:t>
            </w:r>
            <w:proofErr w:type="spellEnd"/>
            <w:r w:rsidRPr="00AC393B">
              <w:rPr>
                <w:sz w:val="19"/>
                <w:szCs w:val="19"/>
              </w:rPr>
              <w:t xml:space="preserve"> and the extension of indication/new dose regime. A study protocol should be submitted to the TGA for review. This recommendation is in light of the small sample size of </w:t>
            </w:r>
            <w:r w:rsidR="002040F3" w:rsidRPr="00AC393B">
              <w:rPr>
                <w:sz w:val="19"/>
                <w:szCs w:val="19"/>
              </w:rPr>
              <w:t>S</w:t>
            </w:r>
            <w:r w:rsidRPr="00AC393B">
              <w:rPr>
                <w:sz w:val="19"/>
                <w:szCs w:val="19"/>
              </w:rPr>
              <w:t xml:space="preserve">tudy B1801023, restricted investigation to only </w:t>
            </w:r>
            <w:proofErr w:type="spellStart"/>
            <w:r w:rsidRPr="00AC393B">
              <w:rPr>
                <w:sz w:val="19"/>
                <w:szCs w:val="19"/>
              </w:rPr>
              <w:t>eoJIA</w:t>
            </w:r>
            <w:proofErr w:type="spellEnd"/>
            <w:r w:rsidRPr="00AC393B">
              <w:rPr>
                <w:sz w:val="19"/>
                <w:szCs w:val="19"/>
              </w:rPr>
              <w:t xml:space="preserve">, ERA and </w:t>
            </w:r>
            <w:proofErr w:type="spellStart"/>
            <w:r w:rsidRPr="00AC393B">
              <w:rPr>
                <w:sz w:val="19"/>
                <w:szCs w:val="19"/>
              </w:rPr>
              <w:t>PsA</w:t>
            </w:r>
            <w:proofErr w:type="spellEnd"/>
            <w:r w:rsidRPr="00AC393B">
              <w:rPr>
                <w:sz w:val="19"/>
                <w:szCs w:val="19"/>
              </w:rPr>
              <w:t xml:space="preserve">, and the reduction to only one ongoing study into </w:t>
            </w:r>
            <w:proofErr w:type="spellStart"/>
            <w:r w:rsidRPr="00AC393B">
              <w:rPr>
                <w:sz w:val="19"/>
                <w:szCs w:val="19"/>
              </w:rPr>
              <w:t>etanercept</w:t>
            </w:r>
            <w:proofErr w:type="spellEnd"/>
            <w:r w:rsidRPr="00AC393B">
              <w:rPr>
                <w:sz w:val="19"/>
                <w:szCs w:val="19"/>
              </w:rPr>
              <w:t xml:space="preserve"> after 2013.</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Pfizer has given consideration for an Australian biologics registry for patients with JIA, however, does not consider this a practical initiative. Due to the very small number of Australian patients with JIA who are treated with Enbrel, a registry would not be able to generate sufficient data to demonstrate clinically meaningful safety data. There are, however, several international registries in operation that collect safety data on JIA patients using Enbrel. In Europe, where Enbrel is approved for once</w:t>
            </w:r>
            <w:r w:rsidR="001F68DB" w:rsidRPr="00AC393B">
              <w:rPr>
                <w:sz w:val="19"/>
                <w:szCs w:val="19"/>
              </w:rPr>
              <w:t xml:space="preserve"> </w:t>
            </w:r>
            <w:r w:rsidRPr="00AC393B">
              <w:rPr>
                <w:sz w:val="19"/>
                <w:szCs w:val="19"/>
              </w:rPr>
              <w:t xml:space="preserve">weekly dosing, these include registries in Germany (the children </w:t>
            </w:r>
            <w:proofErr w:type="spellStart"/>
            <w:r w:rsidRPr="00AC393B">
              <w:rPr>
                <w:sz w:val="19"/>
                <w:szCs w:val="19"/>
              </w:rPr>
              <w:t>etanercept</w:t>
            </w:r>
            <w:proofErr w:type="spellEnd"/>
            <w:r w:rsidRPr="00AC393B">
              <w:rPr>
                <w:sz w:val="19"/>
                <w:szCs w:val="19"/>
              </w:rPr>
              <w:t xml:space="preserve"> registry, </w:t>
            </w:r>
            <w:proofErr w:type="spellStart"/>
            <w:r w:rsidRPr="00AC393B">
              <w:rPr>
                <w:sz w:val="19"/>
                <w:szCs w:val="19"/>
              </w:rPr>
              <w:t>JuMBO</w:t>
            </w:r>
            <w:proofErr w:type="spellEnd"/>
            <w:r w:rsidRPr="00AC393B">
              <w:rPr>
                <w:sz w:val="19"/>
                <w:szCs w:val="19"/>
              </w:rPr>
              <w:t>; BIKER), England (BSPARBNDR), The Netherlands (</w:t>
            </w:r>
            <w:proofErr w:type="spellStart"/>
            <w:r w:rsidRPr="00AC393B">
              <w:rPr>
                <w:sz w:val="19"/>
                <w:szCs w:val="19"/>
              </w:rPr>
              <w:t>ABCRegister</w:t>
            </w:r>
            <w:proofErr w:type="spellEnd"/>
            <w:r w:rsidRPr="00AC393B">
              <w:rPr>
                <w:sz w:val="19"/>
                <w:szCs w:val="19"/>
              </w:rPr>
              <w:t>) and Spain, Switzerland and Italy (IPERN).</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It is unclear if the event specific questionnaires have already been distributed and are currently in use. It is requested that the sponsor clarify the release date of these questionnaires.</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questionnaires are currently in use in Australia. Effective dates for the current versions are provided below.</w:t>
            </w:r>
          </w:p>
          <w:p w:rsidR="0084185F" w:rsidRPr="00AC393B" w:rsidRDefault="0084185F" w:rsidP="00AC393B">
            <w:pPr>
              <w:pStyle w:val="ListBullet"/>
              <w:spacing w:before="0" w:after="0" w:line="240" w:lineRule="auto"/>
              <w:ind w:left="357" w:hanging="357"/>
              <w:rPr>
                <w:sz w:val="19"/>
                <w:szCs w:val="19"/>
              </w:rPr>
            </w:pPr>
            <w:r w:rsidRPr="00AC393B">
              <w:rPr>
                <w:sz w:val="19"/>
                <w:szCs w:val="19"/>
              </w:rPr>
              <w:t>Amyotrophic Lateral Sclerosis (ALS) Questionnaire Oct 2003</w:t>
            </w:r>
          </w:p>
          <w:p w:rsidR="0084185F" w:rsidRPr="00AC393B" w:rsidRDefault="0084185F" w:rsidP="00AC393B">
            <w:pPr>
              <w:pStyle w:val="ListBullet"/>
              <w:spacing w:before="0" w:after="0" w:line="240" w:lineRule="auto"/>
              <w:ind w:left="357" w:hanging="357"/>
              <w:rPr>
                <w:sz w:val="19"/>
                <w:szCs w:val="19"/>
              </w:rPr>
            </w:pPr>
            <w:r w:rsidRPr="00AC393B">
              <w:rPr>
                <w:sz w:val="19"/>
                <w:szCs w:val="19"/>
              </w:rPr>
              <w:t>Demyelination Questionnaire 19 Nov 2003</w:t>
            </w:r>
          </w:p>
          <w:p w:rsidR="0084185F" w:rsidRPr="00AC393B" w:rsidRDefault="0084185F" w:rsidP="00AC393B">
            <w:pPr>
              <w:pStyle w:val="ListBullet"/>
              <w:spacing w:before="0" w:after="0" w:line="240" w:lineRule="auto"/>
              <w:ind w:left="357" w:hanging="357"/>
              <w:rPr>
                <w:sz w:val="19"/>
                <w:szCs w:val="19"/>
              </w:rPr>
            </w:pPr>
            <w:proofErr w:type="spellStart"/>
            <w:r w:rsidRPr="00AC393B">
              <w:rPr>
                <w:sz w:val="19"/>
                <w:szCs w:val="19"/>
              </w:rPr>
              <w:t>Guillain</w:t>
            </w:r>
            <w:proofErr w:type="spellEnd"/>
            <w:r w:rsidR="001F68DB" w:rsidRPr="00AC393B">
              <w:rPr>
                <w:sz w:val="19"/>
                <w:szCs w:val="19"/>
              </w:rPr>
              <w:t xml:space="preserve"> </w:t>
            </w:r>
            <w:proofErr w:type="spellStart"/>
            <w:r w:rsidRPr="00AC393B">
              <w:rPr>
                <w:sz w:val="19"/>
                <w:szCs w:val="19"/>
              </w:rPr>
              <w:t>Barre</w:t>
            </w:r>
            <w:proofErr w:type="spellEnd"/>
            <w:r w:rsidRPr="00AC393B">
              <w:rPr>
                <w:sz w:val="19"/>
                <w:szCs w:val="19"/>
              </w:rPr>
              <w:t xml:space="preserve"> Syndrome Questionnaire: 04 Feb 2005</w:t>
            </w:r>
          </w:p>
          <w:p w:rsidR="0084185F" w:rsidRPr="00AC393B" w:rsidRDefault="0084185F" w:rsidP="00AC393B">
            <w:pPr>
              <w:pStyle w:val="ListBullet"/>
              <w:spacing w:before="0" w:after="0" w:line="240" w:lineRule="auto"/>
              <w:ind w:left="357" w:hanging="357"/>
              <w:rPr>
                <w:sz w:val="19"/>
                <w:szCs w:val="19"/>
              </w:rPr>
            </w:pPr>
            <w:r w:rsidRPr="00AC393B">
              <w:rPr>
                <w:sz w:val="19"/>
                <w:szCs w:val="19"/>
              </w:rPr>
              <w:t>Lymphoma 09 Sep 2005</w:t>
            </w:r>
          </w:p>
          <w:p w:rsidR="0084185F" w:rsidRPr="00AC393B" w:rsidRDefault="0084185F" w:rsidP="00AC393B">
            <w:pPr>
              <w:pStyle w:val="ListBullet"/>
              <w:spacing w:before="0" w:after="0" w:line="240" w:lineRule="auto"/>
              <w:ind w:left="357" w:hanging="357"/>
              <w:rPr>
                <w:sz w:val="19"/>
                <w:szCs w:val="19"/>
              </w:rPr>
            </w:pPr>
            <w:r w:rsidRPr="00AC393B">
              <w:rPr>
                <w:sz w:val="19"/>
                <w:szCs w:val="19"/>
              </w:rPr>
              <w:t xml:space="preserve">Mycosis </w:t>
            </w:r>
            <w:proofErr w:type="spellStart"/>
            <w:r w:rsidRPr="00AC393B">
              <w:rPr>
                <w:sz w:val="19"/>
                <w:szCs w:val="19"/>
              </w:rPr>
              <w:t>Fungoides</w:t>
            </w:r>
            <w:proofErr w:type="spellEnd"/>
            <w:r w:rsidRPr="00AC393B">
              <w:rPr>
                <w:sz w:val="19"/>
                <w:szCs w:val="19"/>
              </w:rPr>
              <w:t xml:space="preserve"> / Cutaneous </w:t>
            </w:r>
            <w:r w:rsidR="001F68DB" w:rsidRPr="00AC393B">
              <w:rPr>
                <w:sz w:val="19"/>
                <w:szCs w:val="19"/>
              </w:rPr>
              <w:t xml:space="preserve"> </w:t>
            </w:r>
            <w:r w:rsidRPr="00AC393B">
              <w:rPr>
                <w:sz w:val="19"/>
                <w:szCs w:val="19"/>
              </w:rPr>
              <w:t>Cell Lymphoma 30 Nov 2007</w:t>
            </w:r>
          </w:p>
          <w:p w:rsidR="0084185F" w:rsidRPr="00AC393B" w:rsidRDefault="0084185F" w:rsidP="00AC393B">
            <w:pPr>
              <w:pStyle w:val="ListBullet"/>
              <w:spacing w:before="0" w:after="0" w:line="240" w:lineRule="auto"/>
              <w:ind w:left="357" w:hanging="357"/>
              <w:rPr>
                <w:sz w:val="19"/>
                <w:szCs w:val="19"/>
              </w:rPr>
            </w:pPr>
            <w:r w:rsidRPr="00AC393B">
              <w:rPr>
                <w:sz w:val="19"/>
                <w:szCs w:val="19"/>
              </w:rPr>
              <w:t xml:space="preserve">Progressive Multifocal </w:t>
            </w:r>
            <w:proofErr w:type="spellStart"/>
            <w:r w:rsidRPr="00AC393B">
              <w:rPr>
                <w:sz w:val="19"/>
                <w:szCs w:val="19"/>
              </w:rPr>
              <w:t>Leukoencephalopathy</w:t>
            </w:r>
            <w:proofErr w:type="spellEnd"/>
            <w:r w:rsidRPr="00AC393B">
              <w:rPr>
                <w:sz w:val="19"/>
                <w:szCs w:val="19"/>
              </w:rPr>
              <w:t xml:space="preserve"> (PML) 23 Dec 2009</w:t>
            </w:r>
          </w:p>
          <w:p w:rsidR="0084185F" w:rsidRPr="00AC393B" w:rsidRDefault="0084185F" w:rsidP="00AC393B">
            <w:pPr>
              <w:pStyle w:val="ListBullet"/>
              <w:spacing w:before="0" w:after="0" w:line="240" w:lineRule="auto"/>
              <w:ind w:left="357" w:hanging="357"/>
              <w:rPr>
                <w:sz w:val="19"/>
                <w:szCs w:val="19"/>
              </w:rPr>
            </w:pPr>
            <w:r w:rsidRPr="00AC393B">
              <w:rPr>
                <w:sz w:val="19"/>
                <w:szCs w:val="19"/>
              </w:rPr>
              <w:t xml:space="preserve">Patients </w:t>
            </w:r>
            <w:r w:rsidR="00AC393B" w:rsidRPr="00AC393B">
              <w:rPr>
                <w:sz w:val="19"/>
                <w:szCs w:val="19"/>
              </w:rPr>
              <w:t xml:space="preserve">less than or equal to </w:t>
            </w:r>
            <w:r w:rsidRPr="00AC393B">
              <w:rPr>
                <w:sz w:val="19"/>
                <w:szCs w:val="19"/>
              </w:rPr>
              <w:t>30 years old with Malignancy 15 Feb 2012</w:t>
            </w:r>
          </w:p>
          <w:p w:rsidR="0084185F" w:rsidRPr="00AC393B" w:rsidRDefault="0084185F" w:rsidP="00AC393B">
            <w:pPr>
              <w:pStyle w:val="ListBullet"/>
              <w:spacing w:before="0" w:after="0" w:line="240" w:lineRule="auto"/>
              <w:ind w:left="357" w:hanging="357"/>
            </w:pPr>
            <w:r w:rsidRPr="00AC393B">
              <w:rPr>
                <w:sz w:val="19"/>
                <w:szCs w:val="19"/>
              </w:rPr>
              <w:t>JIA Subtype 19 Mar 2013</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The following forms appear to be a generic adverse event forms and should be amended to adequately capture </w:t>
            </w:r>
            <w:proofErr w:type="spellStart"/>
            <w:r w:rsidRPr="00AC393B">
              <w:rPr>
                <w:sz w:val="19"/>
                <w:szCs w:val="19"/>
              </w:rPr>
              <w:t>etanercept</w:t>
            </w:r>
            <w:proofErr w:type="spellEnd"/>
            <w:r w:rsidRPr="00AC393B">
              <w:rPr>
                <w:sz w:val="19"/>
                <w:szCs w:val="19"/>
              </w:rPr>
              <w:t xml:space="preserve"> dose and duration of therapy. It is noted that forms such as the “Mycosis </w:t>
            </w:r>
            <w:proofErr w:type="spellStart"/>
            <w:r w:rsidRPr="00AC393B">
              <w:rPr>
                <w:sz w:val="19"/>
                <w:szCs w:val="19"/>
              </w:rPr>
              <w:t>Fungoides</w:t>
            </w:r>
            <w:proofErr w:type="spellEnd"/>
            <w:r w:rsidRPr="00AC393B">
              <w:rPr>
                <w:sz w:val="19"/>
                <w:szCs w:val="19"/>
              </w:rPr>
              <w:t xml:space="preserve"> Questionnaire” do contain </w:t>
            </w:r>
            <w:r w:rsidR="00904313">
              <w:rPr>
                <w:sz w:val="19"/>
                <w:szCs w:val="19"/>
              </w:rPr>
              <w:t>En</w:t>
            </w:r>
            <w:r w:rsidR="00904313" w:rsidRPr="00AC393B">
              <w:rPr>
                <w:sz w:val="19"/>
                <w:szCs w:val="19"/>
              </w:rPr>
              <w:t>brel</w:t>
            </w:r>
            <w:r w:rsidRPr="00AC393B">
              <w:rPr>
                <w:sz w:val="19"/>
                <w:szCs w:val="19"/>
              </w:rPr>
              <w:t xml:space="preserve"> specific questions and capture dosages used and duration of therapy. This information should be consistently gathered across all questionnaires. Amendments should be made to:</w:t>
            </w:r>
          </w:p>
          <w:p w:rsidR="0084185F" w:rsidRPr="00AC393B" w:rsidRDefault="0084185F" w:rsidP="00AC393B">
            <w:pPr>
              <w:spacing w:before="0" w:after="0" w:line="240" w:lineRule="auto"/>
              <w:ind w:left="0" w:right="0"/>
              <w:rPr>
                <w:sz w:val="19"/>
                <w:szCs w:val="19"/>
              </w:rPr>
            </w:pPr>
            <w:r w:rsidRPr="00AC393B">
              <w:rPr>
                <w:sz w:val="19"/>
                <w:szCs w:val="19"/>
              </w:rPr>
              <w:t xml:space="preserve">“Progressive Multifocal </w:t>
            </w:r>
            <w:proofErr w:type="spellStart"/>
            <w:r w:rsidRPr="00AC393B">
              <w:rPr>
                <w:sz w:val="19"/>
                <w:szCs w:val="19"/>
              </w:rPr>
              <w:t>Leukoencephalopathy</w:t>
            </w:r>
            <w:proofErr w:type="spellEnd"/>
            <w:r w:rsidRPr="00AC393B">
              <w:rPr>
                <w:sz w:val="19"/>
                <w:szCs w:val="19"/>
              </w:rPr>
              <w:t xml:space="preserve"> (PML) Questionnaire”</w:t>
            </w:r>
          </w:p>
          <w:p w:rsidR="0084185F" w:rsidRPr="00AC393B" w:rsidRDefault="0084185F" w:rsidP="00AC393B">
            <w:pPr>
              <w:spacing w:before="0" w:after="0" w:line="240" w:lineRule="auto"/>
              <w:ind w:left="0" w:right="0"/>
              <w:rPr>
                <w:sz w:val="19"/>
                <w:szCs w:val="19"/>
              </w:rPr>
            </w:pPr>
            <w:r w:rsidRPr="00AC393B">
              <w:rPr>
                <w:sz w:val="19"/>
                <w:szCs w:val="19"/>
              </w:rPr>
              <w:t>“</w:t>
            </w:r>
            <w:proofErr w:type="spellStart"/>
            <w:r w:rsidRPr="00AC393B">
              <w:rPr>
                <w:sz w:val="19"/>
                <w:szCs w:val="19"/>
              </w:rPr>
              <w:t>Guillain</w:t>
            </w:r>
            <w:proofErr w:type="spellEnd"/>
            <w:r w:rsidR="001F68DB" w:rsidRPr="00AC393B">
              <w:rPr>
                <w:sz w:val="19"/>
                <w:szCs w:val="19"/>
              </w:rPr>
              <w:t xml:space="preserve"> </w:t>
            </w:r>
            <w:proofErr w:type="spellStart"/>
            <w:r w:rsidRPr="00AC393B">
              <w:rPr>
                <w:sz w:val="19"/>
                <w:szCs w:val="19"/>
              </w:rPr>
              <w:t>Barre</w:t>
            </w:r>
            <w:proofErr w:type="spellEnd"/>
            <w:r w:rsidRPr="00AC393B">
              <w:rPr>
                <w:sz w:val="19"/>
                <w:szCs w:val="19"/>
              </w:rPr>
              <w:t xml:space="preserve"> Syndrome Questionnaire”</w:t>
            </w:r>
          </w:p>
          <w:p w:rsidR="0084185F" w:rsidRPr="00AC393B" w:rsidRDefault="0084185F" w:rsidP="00AC393B">
            <w:pPr>
              <w:spacing w:before="0" w:after="0" w:line="240" w:lineRule="auto"/>
              <w:ind w:left="0" w:right="0"/>
              <w:rPr>
                <w:sz w:val="19"/>
                <w:szCs w:val="19"/>
              </w:rPr>
            </w:pPr>
            <w:r w:rsidRPr="00AC393B">
              <w:rPr>
                <w:sz w:val="19"/>
                <w:szCs w:val="19"/>
              </w:rPr>
              <w:t>“Amyotrophic Lateral Sclerosis (ALS)”</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Pfizer agrees to amend these questionnaires in the next annual update of the </w:t>
            </w:r>
            <w:proofErr w:type="spellStart"/>
            <w:r w:rsidRPr="00AC393B">
              <w:rPr>
                <w:sz w:val="19"/>
                <w:szCs w:val="19"/>
              </w:rPr>
              <w:t>etanercept</w:t>
            </w:r>
            <w:proofErr w:type="spellEnd"/>
            <w:r w:rsidRPr="00AC393B">
              <w:rPr>
                <w:sz w:val="19"/>
                <w:szCs w:val="19"/>
              </w:rPr>
              <w:t xml:space="preserve"> all indication RMP (April 2014). The questionnaires are used in addition to our normal request for information (via Pfizer AE Report form). For cases that require a special events questionnaire, Pfizer asks for:</w:t>
            </w:r>
          </w:p>
          <w:p w:rsidR="0084185F" w:rsidRPr="00AC393B" w:rsidRDefault="0084185F" w:rsidP="00AC393B">
            <w:pPr>
              <w:pStyle w:val="ListBullet"/>
              <w:spacing w:before="0" w:after="0"/>
              <w:ind w:left="357" w:hanging="357"/>
              <w:rPr>
                <w:sz w:val="19"/>
                <w:szCs w:val="19"/>
              </w:rPr>
            </w:pPr>
            <w:r w:rsidRPr="00AC393B">
              <w:rPr>
                <w:sz w:val="19"/>
                <w:szCs w:val="19"/>
              </w:rPr>
              <w:t>Identifiable patient</w:t>
            </w:r>
          </w:p>
          <w:p w:rsidR="0084185F" w:rsidRPr="00AC393B" w:rsidRDefault="0084185F" w:rsidP="00AC393B">
            <w:pPr>
              <w:pStyle w:val="ListBullet"/>
              <w:spacing w:before="0" w:after="0"/>
              <w:ind w:left="357" w:hanging="357"/>
              <w:rPr>
                <w:sz w:val="19"/>
                <w:szCs w:val="19"/>
              </w:rPr>
            </w:pPr>
            <w:r w:rsidRPr="00AC393B">
              <w:rPr>
                <w:sz w:val="19"/>
                <w:szCs w:val="19"/>
              </w:rPr>
              <w:t>Identifiable reporter</w:t>
            </w:r>
          </w:p>
          <w:p w:rsidR="0084185F" w:rsidRPr="00AC393B" w:rsidRDefault="0084185F" w:rsidP="00AC393B">
            <w:pPr>
              <w:pStyle w:val="ListBullet"/>
              <w:spacing w:before="0" w:after="0"/>
              <w:ind w:left="357" w:hanging="357"/>
              <w:rPr>
                <w:sz w:val="19"/>
                <w:szCs w:val="19"/>
              </w:rPr>
            </w:pPr>
            <w:r w:rsidRPr="00AC393B">
              <w:rPr>
                <w:sz w:val="19"/>
                <w:szCs w:val="19"/>
              </w:rPr>
              <w:t>Suspect product</w:t>
            </w:r>
          </w:p>
          <w:p w:rsidR="0084185F" w:rsidRPr="00AC393B" w:rsidRDefault="0084185F" w:rsidP="00AC393B">
            <w:pPr>
              <w:pStyle w:val="ListBullet"/>
              <w:spacing w:before="0" w:after="0"/>
              <w:ind w:left="357" w:hanging="357"/>
              <w:rPr>
                <w:sz w:val="19"/>
                <w:szCs w:val="19"/>
              </w:rPr>
            </w:pPr>
            <w:r w:rsidRPr="00AC393B">
              <w:rPr>
                <w:sz w:val="19"/>
                <w:szCs w:val="19"/>
              </w:rPr>
              <w:t>Daily dose and regimen</w:t>
            </w:r>
          </w:p>
          <w:p w:rsidR="0084185F" w:rsidRPr="00AC393B" w:rsidRDefault="0084185F" w:rsidP="00AC393B">
            <w:pPr>
              <w:pStyle w:val="ListBullet"/>
              <w:spacing w:before="0" w:after="0"/>
              <w:ind w:left="357" w:hanging="357"/>
              <w:rPr>
                <w:sz w:val="19"/>
                <w:szCs w:val="19"/>
              </w:rPr>
            </w:pPr>
            <w:r w:rsidRPr="00AC393B">
              <w:rPr>
                <w:sz w:val="19"/>
                <w:szCs w:val="19"/>
              </w:rPr>
              <w:t>Route of administration</w:t>
            </w:r>
          </w:p>
          <w:p w:rsidR="0084185F" w:rsidRPr="00AC393B" w:rsidRDefault="0084185F" w:rsidP="00AC393B">
            <w:pPr>
              <w:pStyle w:val="ListBullet"/>
              <w:spacing w:before="0" w:after="0"/>
              <w:ind w:left="357" w:hanging="357"/>
              <w:rPr>
                <w:sz w:val="19"/>
                <w:szCs w:val="19"/>
              </w:rPr>
            </w:pPr>
            <w:r w:rsidRPr="00AC393B">
              <w:rPr>
                <w:sz w:val="19"/>
                <w:szCs w:val="19"/>
              </w:rPr>
              <w:t>Indication</w:t>
            </w:r>
          </w:p>
          <w:p w:rsidR="0084185F" w:rsidRPr="00AC393B" w:rsidRDefault="0084185F" w:rsidP="00AC393B">
            <w:pPr>
              <w:pStyle w:val="ListBullet"/>
              <w:spacing w:before="0" w:after="0"/>
              <w:ind w:left="357" w:hanging="357"/>
              <w:rPr>
                <w:sz w:val="19"/>
                <w:szCs w:val="19"/>
              </w:rPr>
            </w:pPr>
            <w:r w:rsidRPr="00AC393B">
              <w:rPr>
                <w:sz w:val="19"/>
                <w:szCs w:val="19"/>
              </w:rPr>
              <w:t>Start date</w:t>
            </w:r>
          </w:p>
          <w:p w:rsidR="0084185F" w:rsidRPr="00AC393B" w:rsidRDefault="0084185F" w:rsidP="00AC393B">
            <w:pPr>
              <w:pStyle w:val="ListBullet"/>
              <w:spacing w:before="0" w:after="0"/>
              <w:ind w:left="357" w:hanging="357"/>
              <w:rPr>
                <w:sz w:val="19"/>
                <w:szCs w:val="19"/>
              </w:rPr>
            </w:pPr>
            <w:r w:rsidRPr="00AC393B">
              <w:rPr>
                <w:sz w:val="19"/>
                <w:szCs w:val="19"/>
              </w:rPr>
              <w:t>Stop date or duration of therapy</w:t>
            </w:r>
          </w:p>
          <w:p w:rsidR="00AC393B" w:rsidRPr="00AC393B" w:rsidRDefault="0084185F" w:rsidP="00AC393B">
            <w:pPr>
              <w:pStyle w:val="ListBullet"/>
              <w:spacing w:before="0" w:after="0"/>
              <w:ind w:left="357" w:hanging="357"/>
              <w:rPr>
                <w:sz w:val="19"/>
                <w:szCs w:val="19"/>
              </w:rPr>
            </w:pPr>
            <w:r w:rsidRPr="00AC393B">
              <w:rPr>
                <w:sz w:val="19"/>
                <w:szCs w:val="19"/>
              </w:rPr>
              <w:t xml:space="preserve">Concomitant medications </w:t>
            </w:r>
          </w:p>
          <w:p w:rsidR="0084185F" w:rsidRPr="00AC393B" w:rsidRDefault="0084185F" w:rsidP="00AC393B">
            <w:pPr>
              <w:pStyle w:val="ListBullet"/>
              <w:spacing w:before="0" w:after="0"/>
              <w:ind w:left="357" w:hanging="357"/>
              <w:rPr>
                <w:sz w:val="19"/>
                <w:szCs w:val="19"/>
              </w:rPr>
            </w:pPr>
            <w:r w:rsidRPr="00AC393B">
              <w:rPr>
                <w:sz w:val="19"/>
                <w:szCs w:val="19"/>
              </w:rPr>
              <w:t>Daily dose and regimen</w:t>
            </w:r>
          </w:p>
          <w:p w:rsidR="0084185F" w:rsidRPr="00AC393B" w:rsidRDefault="0084185F" w:rsidP="00AC393B">
            <w:pPr>
              <w:pStyle w:val="ListBullet"/>
              <w:spacing w:before="0" w:after="0"/>
              <w:ind w:left="357" w:hanging="357"/>
              <w:rPr>
                <w:sz w:val="19"/>
                <w:szCs w:val="19"/>
              </w:rPr>
            </w:pPr>
            <w:r w:rsidRPr="00AC393B">
              <w:rPr>
                <w:sz w:val="19"/>
                <w:szCs w:val="19"/>
              </w:rPr>
              <w:t>Stop date (and if relevant, stop time) and duration of treatment</w:t>
            </w:r>
          </w:p>
          <w:p w:rsidR="0084185F" w:rsidRPr="00AC393B" w:rsidRDefault="0084185F" w:rsidP="00AC393B">
            <w:pPr>
              <w:pStyle w:val="ListBullet"/>
              <w:spacing w:before="0" w:after="0"/>
              <w:ind w:left="357" w:hanging="357"/>
              <w:rPr>
                <w:sz w:val="19"/>
                <w:szCs w:val="19"/>
              </w:rPr>
            </w:pPr>
            <w:r w:rsidRPr="00AC393B">
              <w:rPr>
                <w:sz w:val="19"/>
                <w:szCs w:val="19"/>
              </w:rPr>
              <w:t>Medical History</w:t>
            </w:r>
          </w:p>
          <w:p w:rsidR="0084185F" w:rsidRPr="00AC393B" w:rsidRDefault="0084185F" w:rsidP="00AC393B">
            <w:pPr>
              <w:pStyle w:val="ListBullet"/>
              <w:spacing w:before="0" w:after="0"/>
              <w:ind w:left="357" w:hanging="357"/>
              <w:rPr>
                <w:sz w:val="19"/>
                <w:szCs w:val="19"/>
              </w:rPr>
            </w:pPr>
            <w:r w:rsidRPr="00AC393B">
              <w:rPr>
                <w:sz w:val="19"/>
                <w:szCs w:val="19"/>
              </w:rPr>
              <w:t>Adverse event</w:t>
            </w:r>
          </w:p>
          <w:p w:rsidR="0084185F" w:rsidRPr="00AC393B" w:rsidRDefault="0084185F" w:rsidP="00AC393B">
            <w:pPr>
              <w:pStyle w:val="ListBullet"/>
              <w:spacing w:before="0" w:after="0"/>
              <w:ind w:left="357" w:hanging="357"/>
              <w:rPr>
                <w:sz w:val="19"/>
                <w:szCs w:val="19"/>
              </w:rPr>
            </w:pPr>
            <w:r w:rsidRPr="00AC393B">
              <w:rPr>
                <w:sz w:val="19"/>
                <w:szCs w:val="19"/>
              </w:rPr>
              <w:t>Full description including body site and severity</w:t>
            </w:r>
          </w:p>
          <w:p w:rsidR="0084185F" w:rsidRPr="00AC393B" w:rsidRDefault="0084185F" w:rsidP="00AC393B">
            <w:pPr>
              <w:pStyle w:val="ListBullet"/>
              <w:spacing w:before="0" w:after="0"/>
              <w:ind w:left="357" w:hanging="357"/>
              <w:rPr>
                <w:sz w:val="19"/>
                <w:szCs w:val="19"/>
              </w:rPr>
            </w:pPr>
            <w:r w:rsidRPr="00AC393B">
              <w:rPr>
                <w:sz w:val="19"/>
                <w:szCs w:val="19"/>
              </w:rPr>
              <w:t>Seriousness criteria</w:t>
            </w:r>
          </w:p>
          <w:p w:rsidR="0084185F" w:rsidRPr="00AC393B" w:rsidRDefault="0084185F" w:rsidP="00AC393B">
            <w:pPr>
              <w:pStyle w:val="ListBullet"/>
              <w:spacing w:before="0" w:after="0"/>
              <w:ind w:left="357" w:hanging="357"/>
              <w:rPr>
                <w:sz w:val="19"/>
                <w:szCs w:val="19"/>
              </w:rPr>
            </w:pPr>
            <w:r w:rsidRPr="00AC393B">
              <w:rPr>
                <w:sz w:val="19"/>
                <w:szCs w:val="19"/>
              </w:rPr>
              <w:t>Onset date (or time to onset) if not available, best available date or treatment duration.</w:t>
            </w:r>
          </w:p>
          <w:p w:rsidR="0084185F" w:rsidRPr="00AC393B" w:rsidRDefault="0084185F" w:rsidP="00AC393B">
            <w:pPr>
              <w:pStyle w:val="ListBullet"/>
              <w:spacing w:before="0" w:after="0"/>
              <w:ind w:left="357" w:hanging="357"/>
              <w:rPr>
                <w:sz w:val="19"/>
                <w:szCs w:val="19"/>
              </w:rPr>
            </w:pPr>
            <w:r w:rsidRPr="00AC393B">
              <w:rPr>
                <w:sz w:val="19"/>
                <w:szCs w:val="19"/>
              </w:rPr>
              <w:t>Time lag from stop date, if event occurred after cessation of treatment</w:t>
            </w:r>
          </w:p>
          <w:p w:rsidR="0084185F" w:rsidRPr="00AC393B" w:rsidRDefault="0084185F" w:rsidP="00AC393B">
            <w:pPr>
              <w:pStyle w:val="ListBullet"/>
              <w:spacing w:before="0" w:after="0"/>
              <w:ind w:left="357" w:hanging="357"/>
              <w:rPr>
                <w:sz w:val="19"/>
                <w:szCs w:val="19"/>
              </w:rPr>
            </w:pPr>
            <w:r w:rsidRPr="00AC393B">
              <w:rPr>
                <w:sz w:val="19"/>
                <w:szCs w:val="19"/>
              </w:rPr>
              <w:t>Outcome</w:t>
            </w:r>
          </w:p>
          <w:p w:rsidR="0084185F" w:rsidRPr="00AC393B" w:rsidRDefault="0084185F" w:rsidP="00AC393B">
            <w:pPr>
              <w:pStyle w:val="ListBullet"/>
              <w:spacing w:before="0" w:after="0"/>
              <w:ind w:left="357" w:hanging="357"/>
              <w:rPr>
                <w:sz w:val="19"/>
                <w:szCs w:val="19"/>
              </w:rPr>
            </w:pPr>
            <w:r w:rsidRPr="00AC393B">
              <w:rPr>
                <w:sz w:val="19"/>
                <w:szCs w:val="19"/>
              </w:rPr>
              <w:t>Specific tests and/or treatment required and their results</w:t>
            </w:r>
          </w:p>
          <w:p w:rsidR="0084185F" w:rsidRPr="00AC393B" w:rsidRDefault="0084185F" w:rsidP="00AC393B">
            <w:pPr>
              <w:pStyle w:val="ListBullet"/>
              <w:spacing w:before="0" w:after="0"/>
              <w:ind w:left="357" w:hanging="357"/>
            </w:pPr>
            <w:r w:rsidRPr="00AC393B">
              <w:rPr>
                <w:sz w:val="19"/>
                <w:szCs w:val="19"/>
              </w:rPr>
              <w:t>Causal relationship assessment</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In regards to the malignancy specific questionnaire, the current version is restricted to patients </w:t>
            </w:r>
            <w:r w:rsidR="002040F3" w:rsidRPr="00AC393B">
              <w:rPr>
                <w:sz w:val="19"/>
                <w:szCs w:val="19"/>
              </w:rPr>
              <w:t xml:space="preserve">less than </w:t>
            </w:r>
            <w:r w:rsidRPr="00AC393B">
              <w:rPr>
                <w:sz w:val="19"/>
                <w:szCs w:val="19"/>
              </w:rPr>
              <w:t>30years old. This age limit should be increased, or ultimately removed as a large number of potential adverse events will not be adequately recorded.</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In November 2011, the US Food and Drug Administration (FDA) required that all marketing authorization holders for TNF inhibitors participate in an enhanced </w:t>
            </w:r>
            <w:proofErr w:type="spellStart"/>
            <w:r w:rsidRPr="00AC393B">
              <w:rPr>
                <w:sz w:val="19"/>
                <w:szCs w:val="19"/>
              </w:rPr>
              <w:t>pharmacovigilance</w:t>
            </w:r>
            <w:proofErr w:type="spellEnd"/>
            <w:r w:rsidRPr="00AC393B">
              <w:rPr>
                <w:sz w:val="19"/>
                <w:szCs w:val="19"/>
              </w:rPr>
              <w:t xml:space="preserve"> program to assess the risk of malignancy in paediatric, adolescent and young adult (less than 30 years of age) patients. The FDA requirement included active query of reporters to obtain additional clinical information related to malignancy diagnosis. The malignancy questionnaire was specifically designed to gather information for this program and, therefore, Pfizer must retain the questionnaire in its present form to comply with the FDA requirement. Other </w:t>
            </w:r>
            <w:proofErr w:type="spellStart"/>
            <w:r w:rsidRPr="00AC393B">
              <w:rPr>
                <w:sz w:val="19"/>
                <w:szCs w:val="19"/>
              </w:rPr>
              <w:t>pharmacovigilance</w:t>
            </w:r>
            <w:proofErr w:type="spellEnd"/>
            <w:r w:rsidRPr="00AC393B">
              <w:rPr>
                <w:sz w:val="19"/>
                <w:szCs w:val="19"/>
              </w:rPr>
              <w:t xml:space="preserve"> activities related to malignancies are outlined in Part III </w:t>
            </w:r>
            <w:proofErr w:type="spellStart"/>
            <w:r w:rsidRPr="00AC393B">
              <w:rPr>
                <w:sz w:val="19"/>
                <w:szCs w:val="19"/>
              </w:rPr>
              <w:t>Pharmacovigilance</w:t>
            </w:r>
            <w:proofErr w:type="spellEnd"/>
            <w:r w:rsidRPr="00AC393B">
              <w:rPr>
                <w:sz w:val="19"/>
                <w:szCs w:val="19"/>
              </w:rPr>
              <w:t xml:space="preserve"> Plan in the RMP and include, for example, numerous registries. Where </w:t>
            </w:r>
            <w:proofErr w:type="gramStart"/>
            <w:r w:rsidRPr="00AC393B">
              <w:rPr>
                <w:sz w:val="19"/>
                <w:szCs w:val="19"/>
              </w:rPr>
              <w:t>deemed necessary, questionnaires</w:t>
            </w:r>
            <w:proofErr w:type="gramEnd"/>
            <w:r w:rsidRPr="00AC393B">
              <w:rPr>
                <w:sz w:val="19"/>
                <w:szCs w:val="19"/>
              </w:rPr>
              <w:t xml:space="preserve"> have been designed to gather data (</w:t>
            </w:r>
            <w:r w:rsidR="001F68DB" w:rsidRPr="00AC393B">
              <w:rPr>
                <w:sz w:val="19"/>
                <w:szCs w:val="19"/>
              </w:rPr>
              <w:t>for example</w:t>
            </w:r>
            <w:r w:rsidRPr="00AC393B">
              <w:rPr>
                <w:sz w:val="19"/>
                <w:szCs w:val="19"/>
              </w:rPr>
              <w:t xml:space="preserve">, lymphoma and mycosis </w:t>
            </w:r>
            <w:proofErr w:type="spellStart"/>
            <w:r w:rsidRPr="00AC393B">
              <w:rPr>
                <w:sz w:val="19"/>
                <w:szCs w:val="19"/>
              </w:rPr>
              <w:t>fungoides</w:t>
            </w:r>
            <w:proofErr w:type="spellEnd"/>
            <w:r w:rsidRPr="00AC393B">
              <w:rPr>
                <w:sz w:val="19"/>
                <w:szCs w:val="19"/>
              </w:rPr>
              <w:t>) for specific malignancies.</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It is recommended that the sponsor utilise the additional questionnaires of:</w:t>
            </w:r>
          </w:p>
          <w:p w:rsidR="0084185F" w:rsidRPr="00AC393B" w:rsidRDefault="0084185F" w:rsidP="00AC393B">
            <w:pPr>
              <w:spacing w:before="0" w:after="0" w:line="240" w:lineRule="auto"/>
              <w:ind w:left="0" w:right="0"/>
              <w:rPr>
                <w:sz w:val="19"/>
                <w:szCs w:val="19"/>
              </w:rPr>
            </w:pPr>
            <w:r w:rsidRPr="00AC393B">
              <w:rPr>
                <w:sz w:val="19"/>
                <w:szCs w:val="19"/>
              </w:rPr>
              <w:t xml:space="preserve"> “Pregnancy and exposure in utero”: In light of the most recent interim analysis of the OTIS study (global</w:t>
            </w:r>
            <w:r w:rsidR="001F68DB" w:rsidRPr="00AC393B">
              <w:rPr>
                <w:sz w:val="19"/>
                <w:szCs w:val="19"/>
              </w:rPr>
              <w:t xml:space="preserve"> </w:t>
            </w:r>
            <w:r w:rsidRPr="00AC393B">
              <w:rPr>
                <w:sz w:val="19"/>
                <w:szCs w:val="19"/>
              </w:rPr>
              <w:t>RMP Version 5.0, part 3), the inclusion of a “pregnancy and exposure in utero” questionnaire should be re</w:t>
            </w:r>
            <w:r w:rsidR="001F68DB" w:rsidRPr="00AC393B">
              <w:rPr>
                <w:sz w:val="19"/>
                <w:szCs w:val="19"/>
              </w:rPr>
              <w:t xml:space="preserve"> </w:t>
            </w:r>
            <w:r w:rsidRPr="00AC393B">
              <w:rPr>
                <w:sz w:val="19"/>
                <w:szCs w:val="19"/>
              </w:rPr>
              <w:t xml:space="preserve">considered to further elucidate this ongoing safety concern. The OTIS data suggests that a higher proportion of major birth defects in </w:t>
            </w:r>
            <w:proofErr w:type="spellStart"/>
            <w:r w:rsidRPr="00AC393B">
              <w:rPr>
                <w:sz w:val="19"/>
                <w:szCs w:val="19"/>
              </w:rPr>
              <w:t>etanercept</w:t>
            </w:r>
            <w:proofErr w:type="spellEnd"/>
            <w:r w:rsidR="001F68DB" w:rsidRPr="00AC393B">
              <w:rPr>
                <w:sz w:val="19"/>
                <w:szCs w:val="19"/>
              </w:rPr>
              <w:t xml:space="preserve"> </w:t>
            </w:r>
            <w:r w:rsidRPr="00AC393B">
              <w:rPr>
                <w:sz w:val="19"/>
                <w:szCs w:val="19"/>
              </w:rPr>
              <w:t>exposed pregnancies compared to disease matched controls. The final analysis of this data should be submitted to the TGA as soon as it is available.</w:t>
            </w:r>
          </w:p>
          <w:p w:rsidR="0084185F" w:rsidRPr="00AC393B" w:rsidRDefault="0084185F" w:rsidP="005E0635">
            <w:pPr>
              <w:spacing w:before="0" w:after="0" w:line="240" w:lineRule="auto"/>
              <w:ind w:left="0" w:right="0"/>
              <w:rPr>
                <w:sz w:val="19"/>
                <w:szCs w:val="19"/>
              </w:rPr>
            </w:pPr>
            <w:r w:rsidRPr="00AC393B">
              <w:rPr>
                <w:sz w:val="19"/>
                <w:szCs w:val="19"/>
              </w:rPr>
              <w:t>“Paediatric Event”: See section regarding the specific follow up for JIA below.</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final report for the OTIS registry will be submitted to TGA when available (currently anticipated in November 2014).</w:t>
            </w:r>
          </w:p>
          <w:p w:rsidR="0084185F" w:rsidRPr="00AC393B" w:rsidRDefault="0084185F" w:rsidP="00AC393B">
            <w:pPr>
              <w:spacing w:before="0" w:after="0" w:line="240" w:lineRule="auto"/>
              <w:ind w:left="0" w:right="0"/>
              <w:rPr>
                <w:sz w:val="19"/>
                <w:szCs w:val="19"/>
              </w:rPr>
            </w:pPr>
            <w:r w:rsidRPr="00AC393B">
              <w:rPr>
                <w:sz w:val="19"/>
                <w:szCs w:val="19"/>
              </w:rPr>
              <w:t>Pfizer does not have a specific “pregnancy and exposure in utero” questionnaire for Enbrel. Rather, Pfizer has a special events questionnaire for exposure in utero that is used for all products (see Appendix 1). With respect to the evaluator’s recommendations regarding specific JIA subtype questionnaire revision, and designing an additional targeted questionnaire for paediatric</w:t>
            </w:r>
            <w:r w:rsidR="00AC393B" w:rsidRPr="00AC393B">
              <w:rPr>
                <w:sz w:val="19"/>
                <w:szCs w:val="19"/>
              </w:rPr>
              <w:t xml:space="preserve"> </w:t>
            </w:r>
            <w:r w:rsidRPr="00AC393B">
              <w:rPr>
                <w:sz w:val="19"/>
                <w:szCs w:val="19"/>
              </w:rPr>
              <w:t>adverse event:</w:t>
            </w:r>
          </w:p>
          <w:p w:rsidR="0084185F" w:rsidRPr="00AC393B" w:rsidRDefault="0084185F" w:rsidP="00AC393B">
            <w:pPr>
              <w:pStyle w:val="ListBullet"/>
              <w:spacing w:before="0" w:after="0" w:line="240" w:lineRule="auto"/>
              <w:ind w:left="0" w:right="0"/>
              <w:rPr>
                <w:sz w:val="19"/>
                <w:szCs w:val="19"/>
              </w:rPr>
            </w:pPr>
            <w:r w:rsidRPr="00AC393B">
              <w:rPr>
                <w:sz w:val="19"/>
                <w:szCs w:val="19"/>
              </w:rPr>
              <w:t xml:space="preserve">The JIA subtype questionnaire is added to our standard AE reporting form which would capture patient’s age, </w:t>
            </w:r>
            <w:proofErr w:type="spellStart"/>
            <w:r w:rsidRPr="00AC393B">
              <w:rPr>
                <w:sz w:val="19"/>
                <w:szCs w:val="19"/>
              </w:rPr>
              <w:t>etanercept</w:t>
            </w:r>
            <w:proofErr w:type="spellEnd"/>
            <w:r w:rsidRPr="00AC393B">
              <w:rPr>
                <w:sz w:val="19"/>
                <w:szCs w:val="19"/>
              </w:rPr>
              <w:t xml:space="preserve"> dose, duration of therapy, and details of the adverse event.</w:t>
            </w:r>
          </w:p>
          <w:p w:rsidR="0084185F" w:rsidRPr="00AC393B" w:rsidRDefault="0084185F" w:rsidP="00AC393B">
            <w:pPr>
              <w:pStyle w:val="ListBullet"/>
              <w:spacing w:before="0" w:after="0" w:line="240" w:lineRule="auto"/>
              <w:ind w:left="0" w:right="0"/>
              <w:rPr>
                <w:sz w:val="19"/>
                <w:szCs w:val="19"/>
              </w:rPr>
            </w:pPr>
            <w:r w:rsidRPr="00AC393B">
              <w:rPr>
                <w:sz w:val="19"/>
                <w:szCs w:val="19"/>
              </w:rPr>
              <w:t>Each case is assessed for follow up requirements. The necessary (targeted event) questionnaires are then collated with the standard AE reporting form, each containing the case number (to allow cross referencing).</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specific JIA subtype questionnaire submitted in Annex 7 should be revised as follows:</w:t>
            </w:r>
          </w:p>
          <w:p w:rsidR="0084185F" w:rsidRPr="00AC393B" w:rsidRDefault="0084185F" w:rsidP="00AC393B">
            <w:pPr>
              <w:spacing w:before="0" w:after="0" w:line="240" w:lineRule="auto"/>
              <w:ind w:left="0" w:right="0"/>
              <w:rPr>
                <w:sz w:val="19"/>
                <w:szCs w:val="19"/>
              </w:rPr>
            </w:pPr>
            <w:r w:rsidRPr="00AC393B">
              <w:rPr>
                <w:sz w:val="19"/>
                <w:szCs w:val="19"/>
              </w:rPr>
              <w:t>The “Specific JIA Subtype” questionnaire should be removed and the details captured in this questionnaire subsequently incorporated into each of the targeted questionnaires listed above. This would improve consistency and quality of adverse event data.</w:t>
            </w:r>
          </w:p>
          <w:p w:rsidR="0084185F" w:rsidRPr="00AC393B" w:rsidRDefault="0084185F" w:rsidP="005E0635">
            <w:pPr>
              <w:spacing w:before="0" w:after="0" w:line="240" w:lineRule="auto"/>
              <w:ind w:left="0" w:right="0"/>
              <w:rPr>
                <w:sz w:val="19"/>
                <w:szCs w:val="19"/>
              </w:rPr>
            </w:pPr>
            <w:r w:rsidRPr="00AC393B">
              <w:rPr>
                <w:sz w:val="19"/>
                <w:szCs w:val="19"/>
              </w:rPr>
              <w:t xml:space="preserve">An additional targeted questionnaire should be designed for a “Paediatric Adverse Event”. This general form should include the JIA subtype questions, in addition to fields designed to capture the patient’s age, </w:t>
            </w:r>
            <w:proofErr w:type="spellStart"/>
            <w:r w:rsidRPr="00AC393B">
              <w:rPr>
                <w:sz w:val="19"/>
                <w:szCs w:val="19"/>
              </w:rPr>
              <w:t>etanercept</w:t>
            </w:r>
            <w:proofErr w:type="spellEnd"/>
            <w:r w:rsidRPr="00AC393B">
              <w:rPr>
                <w:sz w:val="19"/>
                <w:szCs w:val="19"/>
              </w:rPr>
              <w:t xml:space="preserve"> dose, </w:t>
            </w:r>
            <w:proofErr w:type="gramStart"/>
            <w:r w:rsidRPr="00AC393B">
              <w:rPr>
                <w:sz w:val="19"/>
                <w:szCs w:val="19"/>
              </w:rPr>
              <w:t>duration</w:t>
            </w:r>
            <w:proofErr w:type="gramEnd"/>
            <w:r w:rsidRPr="00AC393B">
              <w:rPr>
                <w:sz w:val="19"/>
                <w:szCs w:val="19"/>
              </w:rPr>
              <w:t xml:space="preserve"> of therapy and details of the adverse event. This would significantly improve the reporting quality of paediatric adverse events.</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Paediatric Adverse Event Questionnaire</w:t>
            </w:r>
          </w:p>
          <w:p w:rsidR="0084185F" w:rsidRPr="00AC393B" w:rsidRDefault="0084185F" w:rsidP="00AC393B">
            <w:pPr>
              <w:spacing w:before="0" w:after="0" w:line="240" w:lineRule="auto"/>
              <w:ind w:left="0" w:right="0"/>
              <w:rPr>
                <w:sz w:val="19"/>
                <w:szCs w:val="19"/>
              </w:rPr>
            </w:pPr>
            <w:r w:rsidRPr="00AC393B">
              <w:rPr>
                <w:sz w:val="19"/>
                <w:szCs w:val="19"/>
              </w:rPr>
              <w:t xml:space="preserve">Pfizer agrees to develop a paediatric adverse event questionnaire similar to the one previously in use at legacy Wyeth and will include it in the next annual update of the </w:t>
            </w:r>
            <w:proofErr w:type="spellStart"/>
            <w:r w:rsidRPr="00AC393B">
              <w:rPr>
                <w:sz w:val="19"/>
                <w:szCs w:val="19"/>
              </w:rPr>
              <w:t>etanercept</w:t>
            </w:r>
            <w:proofErr w:type="spellEnd"/>
            <w:r w:rsidRPr="00AC393B">
              <w:rPr>
                <w:sz w:val="19"/>
                <w:szCs w:val="19"/>
              </w:rPr>
              <w:t xml:space="preserve"> all indication RMP (April 2014).</w:t>
            </w:r>
          </w:p>
          <w:p w:rsidR="0084185F" w:rsidRPr="00AC393B" w:rsidRDefault="0084185F" w:rsidP="00AC393B">
            <w:pPr>
              <w:spacing w:before="0" w:after="0" w:line="240" w:lineRule="auto"/>
              <w:ind w:left="0" w:right="0"/>
              <w:rPr>
                <w:sz w:val="19"/>
                <w:szCs w:val="19"/>
              </w:rPr>
            </w:pPr>
            <w:r w:rsidRPr="00AC393B">
              <w:rPr>
                <w:sz w:val="19"/>
                <w:szCs w:val="19"/>
              </w:rPr>
              <w:t>Specific JIA Subtype Questionnaire</w:t>
            </w:r>
          </w:p>
          <w:p w:rsidR="0084185F" w:rsidRPr="00AC393B" w:rsidRDefault="0084185F" w:rsidP="00AC393B">
            <w:pPr>
              <w:spacing w:before="0" w:after="0" w:line="240" w:lineRule="auto"/>
              <w:ind w:left="0" w:right="0"/>
              <w:rPr>
                <w:sz w:val="19"/>
                <w:szCs w:val="19"/>
              </w:rPr>
            </w:pPr>
            <w:r w:rsidRPr="00AC393B">
              <w:rPr>
                <w:sz w:val="19"/>
                <w:szCs w:val="19"/>
              </w:rPr>
              <w:t>The specific JIA subtype questionnaire is a commitment with the European Medicines Agency (EMA) and therefore cannot be removed and should remain as a standalone questionnaire.</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It is recommended that all study reports and updates that are submitted to the EU, also be submitted simultaneously to Aus</w:t>
            </w:r>
            <w:r w:rsidR="005E0635">
              <w:rPr>
                <w:sz w:val="19"/>
                <w:szCs w:val="19"/>
              </w:rPr>
              <w:t>tralia with the same timelines.</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Pfizer agrees that all paediatric study reports and updates that are submitted to the EU will also be submitted to Australia with the same timelines. There will be annual update reports for JIA </w:t>
            </w:r>
            <w:r w:rsidR="002040F3" w:rsidRPr="00AC393B">
              <w:rPr>
                <w:sz w:val="19"/>
                <w:szCs w:val="19"/>
              </w:rPr>
              <w:t>Study</w:t>
            </w:r>
            <w:r w:rsidRPr="00AC393B">
              <w:rPr>
                <w:sz w:val="19"/>
                <w:szCs w:val="19"/>
              </w:rPr>
              <w:t xml:space="preserve"> B1801023 included in the annual updates of the </w:t>
            </w:r>
            <w:proofErr w:type="spellStart"/>
            <w:r w:rsidRPr="00AC393B">
              <w:rPr>
                <w:sz w:val="19"/>
                <w:szCs w:val="19"/>
              </w:rPr>
              <w:t>etanercept</w:t>
            </w:r>
            <w:proofErr w:type="spellEnd"/>
            <w:r w:rsidRPr="00AC393B">
              <w:rPr>
                <w:sz w:val="19"/>
                <w:szCs w:val="19"/>
              </w:rPr>
              <w:t xml:space="preserve"> all indication RMP.</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 however the sponsor should clarify if the “</w:t>
            </w:r>
            <w:proofErr w:type="spellStart"/>
            <w:r w:rsidRPr="00AC393B">
              <w:rPr>
                <w:sz w:val="19"/>
                <w:szCs w:val="19"/>
              </w:rPr>
              <w:t>etanercept</w:t>
            </w:r>
            <w:proofErr w:type="spellEnd"/>
            <w:r w:rsidRPr="00AC393B">
              <w:rPr>
                <w:sz w:val="19"/>
                <w:szCs w:val="19"/>
              </w:rPr>
              <w:t xml:space="preserve"> all indication RMP” referred to here is actually the “Global RMP” submitted with this application.</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The sponsor should clarify the </w:t>
            </w:r>
            <w:proofErr w:type="spellStart"/>
            <w:r w:rsidRPr="00AC393B">
              <w:rPr>
                <w:sz w:val="19"/>
                <w:szCs w:val="19"/>
              </w:rPr>
              <w:t>pharmacovigilance</w:t>
            </w:r>
            <w:proofErr w:type="spellEnd"/>
            <w:r w:rsidRPr="00AC393B">
              <w:rPr>
                <w:sz w:val="19"/>
                <w:szCs w:val="19"/>
              </w:rPr>
              <w:t xml:space="preserve"> activities assigned to the two areas of important missing information specific to the JIA indication:</w:t>
            </w:r>
          </w:p>
          <w:p w:rsidR="0084185F" w:rsidRPr="00AC393B" w:rsidRDefault="0084185F" w:rsidP="00AC393B">
            <w:pPr>
              <w:spacing w:before="0" w:after="0" w:line="240" w:lineRule="auto"/>
              <w:ind w:left="0" w:right="0"/>
              <w:rPr>
                <w:sz w:val="19"/>
                <w:szCs w:val="19"/>
              </w:rPr>
            </w:pPr>
            <w:r w:rsidRPr="00AC393B">
              <w:rPr>
                <w:sz w:val="19"/>
                <w:szCs w:val="19"/>
              </w:rPr>
              <w:t>Assessment of spinal mobility – paediatric patients with ERA</w:t>
            </w:r>
          </w:p>
          <w:p w:rsidR="0084185F" w:rsidRPr="00AC393B" w:rsidRDefault="0084185F" w:rsidP="005E0635">
            <w:pPr>
              <w:spacing w:before="0" w:after="0" w:line="240" w:lineRule="auto"/>
              <w:ind w:left="0" w:right="0"/>
              <w:rPr>
                <w:sz w:val="19"/>
                <w:szCs w:val="19"/>
              </w:rPr>
            </w:pPr>
            <w:r w:rsidRPr="00AC393B">
              <w:rPr>
                <w:sz w:val="19"/>
                <w:szCs w:val="19"/>
              </w:rPr>
              <w:t>Clinically inactive disease and remission rates and the effectiveness of re</w:t>
            </w:r>
            <w:r w:rsidR="001F68DB" w:rsidRPr="00AC393B">
              <w:rPr>
                <w:sz w:val="19"/>
                <w:szCs w:val="19"/>
              </w:rPr>
              <w:t xml:space="preserve"> </w:t>
            </w:r>
            <w:r w:rsidRPr="00AC393B">
              <w:rPr>
                <w:sz w:val="19"/>
                <w:szCs w:val="19"/>
              </w:rPr>
              <w:t xml:space="preserve">treatment upon disease relapse – paediatric patients with </w:t>
            </w:r>
            <w:proofErr w:type="spellStart"/>
            <w:r w:rsidRPr="00AC393B">
              <w:rPr>
                <w:sz w:val="19"/>
                <w:szCs w:val="19"/>
              </w:rPr>
              <w:t>eoJIA</w:t>
            </w:r>
            <w:proofErr w:type="spellEnd"/>
            <w:r w:rsidRPr="00AC393B">
              <w:rPr>
                <w:sz w:val="19"/>
                <w:szCs w:val="19"/>
              </w:rPr>
              <w:t xml:space="preserve">, </w:t>
            </w:r>
            <w:proofErr w:type="spellStart"/>
            <w:r w:rsidRPr="00AC393B">
              <w:rPr>
                <w:sz w:val="19"/>
                <w:szCs w:val="19"/>
              </w:rPr>
              <w:t>PsA</w:t>
            </w:r>
            <w:proofErr w:type="spellEnd"/>
            <w:r w:rsidRPr="00AC393B">
              <w:rPr>
                <w:sz w:val="19"/>
                <w:szCs w:val="19"/>
              </w:rPr>
              <w:t>, or ERA</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The following 2 </w:t>
            </w:r>
            <w:proofErr w:type="spellStart"/>
            <w:r w:rsidRPr="00AC393B">
              <w:rPr>
                <w:sz w:val="19"/>
                <w:szCs w:val="19"/>
              </w:rPr>
              <w:t>pharmacovigilance</w:t>
            </w:r>
            <w:proofErr w:type="spellEnd"/>
            <w:r w:rsidRPr="00AC393B">
              <w:rPr>
                <w:sz w:val="19"/>
                <w:szCs w:val="19"/>
              </w:rPr>
              <w:t xml:space="preserve"> activities that address the 2 efficacy uncertainties (</w:t>
            </w:r>
            <w:r w:rsidR="001F68DB" w:rsidRPr="00AC393B">
              <w:rPr>
                <w:sz w:val="19"/>
                <w:szCs w:val="19"/>
              </w:rPr>
              <w:t>that is</w:t>
            </w:r>
            <w:r w:rsidRPr="00AC393B">
              <w:rPr>
                <w:sz w:val="19"/>
                <w:szCs w:val="19"/>
              </w:rPr>
              <w:t>, assessment of spinal mobility in paediatric patients with ERA, and clinically inactive disease and remission rates and the effectiveness of re</w:t>
            </w:r>
            <w:r w:rsidR="001F68DB" w:rsidRPr="00AC393B">
              <w:rPr>
                <w:sz w:val="19"/>
                <w:szCs w:val="19"/>
              </w:rPr>
              <w:t xml:space="preserve"> </w:t>
            </w:r>
            <w:r w:rsidRPr="00AC393B">
              <w:rPr>
                <w:sz w:val="19"/>
                <w:szCs w:val="19"/>
              </w:rPr>
              <w:t xml:space="preserve">treatment upon disease relapse in paediatric patients with </w:t>
            </w:r>
            <w:proofErr w:type="spellStart"/>
            <w:r w:rsidRPr="00AC393B">
              <w:rPr>
                <w:sz w:val="19"/>
                <w:szCs w:val="19"/>
              </w:rPr>
              <w:t>eoJIA</w:t>
            </w:r>
            <w:proofErr w:type="spellEnd"/>
            <w:r w:rsidRPr="00AC393B">
              <w:rPr>
                <w:sz w:val="19"/>
                <w:szCs w:val="19"/>
              </w:rPr>
              <w:t xml:space="preserve">, </w:t>
            </w:r>
            <w:proofErr w:type="spellStart"/>
            <w:r w:rsidRPr="00AC393B">
              <w:rPr>
                <w:sz w:val="19"/>
                <w:szCs w:val="19"/>
              </w:rPr>
              <w:t>PsA</w:t>
            </w:r>
            <w:proofErr w:type="spellEnd"/>
            <w:r w:rsidRPr="00AC393B">
              <w:rPr>
                <w:sz w:val="19"/>
                <w:szCs w:val="19"/>
              </w:rPr>
              <w:t xml:space="preserve">, or ERA) are discussed in Part IV of the </w:t>
            </w:r>
            <w:proofErr w:type="spellStart"/>
            <w:r w:rsidRPr="00AC393B">
              <w:rPr>
                <w:sz w:val="19"/>
                <w:szCs w:val="19"/>
              </w:rPr>
              <w:t>etanercept</w:t>
            </w:r>
            <w:proofErr w:type="spellEnd"/>
            <w:r w:rsidRPr="00AC393B">
              <w:rPr>
                <w:sz w:val="19"/>
                <w:szCs w:val="19"/>
              </w:rPr>
              <w:t xml:space="preserve"> RMP: </w:t>
            </w:r>
            <w:r w:rsidR="002040F3" w:rsidRPr="00AC393B">
              <w:rPr>
                <w:sz w:val="19"/>
                <w:szCs w:val="19"/>
              </w:rPr>
              <w:t>Study</w:t>
            </w:r>
            <w:r w:rsidRPr="00AC393B">
              <w:rPr>
                <w:sz w:val="19"/>
                <w:szCs w:val="19"/>
              </w:rPr>
              <w:t xml:space="preserve"> 0881A1-3338 (</w:t>
            </w:r>
            <w:r w:rsidR="001F68DB" w:rsidRPr="00AC393B">
              <w:rPr>
                <w:sz w:val="19"/>
                <w:szCs w:val="19"/>
              </w:rPr>
              <w:t>that is</w:t>
            </w:r>
            <w:r w:rsidRPr="00AC393B">
              <w:rPr>
                <w:sz w:val="19"/>
                <w:szCs w:val="19"/>
              </w:rPr>
              <w:t xml:space="preserve">, B1801014) and </w:t>
            </w:r>
            <w:r w:rsidR="002040F3" w:rsidRPr="00AC393B">
              <w:rPr>
                <w:sz w:val="19"/>
                <w:szCs w:val="19"/>
              </w:rPr>
              <w:t>Study</w:t>
            </w:r>
            <w:r w:rsidRPr="00AC393B">
              <w:rPr>
                <w:sz w:val="19"/>
                <w:szCs w:val="19"/>
              </w:rPr>
              <w:t xml:space="preserve"> B1801023.</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5E0635">
            <w:pPr>
              <w:spacing w:before="0" w:after="0" w:line="240" w:lineRule="auto"/>
              <w:ind w:left="0" w:right="0"/>
              <w:rPr>
                <w:sz w:val="19"/>
                <w:szCs w:val="19"/>
              </w:rPr>
            </w:pPr>
            <w:r w:rsidRPr="00AC393B">
              <w:rPr>
                <w:sz w:val="19"/>
                <w:szCs w:val="19"/>
              </w:rPr>
              <w:t xml:space="preserve">The current package leaflet should be submitted to TGA for review. It is recommended that the package leaflet contain clear instructions on storage, preparation and administration of </w:t>
            </w:r>
            <w:proofErr w:type="spellStart"/>
            <w:r w:rsidRPr="00AC393B">
              <w:rPr>
                <w:sz w:val="19"/>
                <w:szCs w:val="19"/>
              </w:rPr>
              <w:t>etanercept</w:t>
            </w:r>
            <w:proofErr w:type="spellEnd"/>
            <w:r w:rsidRPr="00AC393B">
              <w:rPr>
                <w:sz w:val="19"/>
                <w:szCs w:val="19"/>
              </w:rPr>
              <w:t>. This should also include pictures describing correct administration technique, in addition to a dosing table with weight, ratios of diluents and dose. This will enhance safety regarding prescribing, administration and dose escalation.</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Pfizer intends </w:t>
            </w:r>
            <w:r w:rsidR="00B3316E">
              <w:rPr>
                <w:sz w:val="19"/>
                <w:szCs w:val="19"/>
              </w:rPr>
              <w:t>[information redacted]</w:t>
            </w:r>
            <w:r w:rsidR="00C12402">
              <w:rPr>
                <w:sz w:val="19"/>
                <w:szCs w:val="19"/>
              </w:rPr>
              <w:t>. I</w:t>
            </w:r>
            <w:r w:rsidRPr="00AC393B">
              <w:rPr>
                <w:sz w:val="19"/>
                <w:szCs w:val="19"/>
              </w:rPr>
              <w:t xml:space="preserve">n order to reflect the proposed once-weekly dosing in JIA patients, Pfizer is providing an amended instructions leaflet </w:t>
            </w:r>
            <w:r w:rsidR="00C12402">
              <w:rPr>
                <w:sz w:val="19"/>
                <w:szCs w:val="19"/>
              </w:rPr>
              <w:t>[information redacted</w:t>
            </w:r>
            <w:r w:rsidRPr="00AC393B">
              <w:rPr>
                <w:sz w:val="19"/>
                <w:szCs w:val="19"/>
              </w:rPr>
              <w:t>. The instructions leaflet is included in Appendix 2. Please be aware that each pack of Enbrel includes a PI leaflet, as well as a leaflet that has the</w:t>
            </w:r>
          </w:p>
          <w:p w:rsidR="0084185F" w:rsidRPr="00AC393B" w:rsidRDefault="0084185F" w:rsidP="00AC393B">
            <w:pPr>
              <w:spacing w:before="0" w:after="0" w:line="240" w:lineRule="auto"/>
              <w:ind w:left="0" w:right="0"/>
              <w:rPr>
                <w:sz w:val="19"/>
                <w:szCs w:val="19"/>
              </w:rPr>
            </w:pPr>
            <w:r w:rsidRPr="00AC393B">
              <w:rPr>
                <w:sz w:val="19"/>
                <w:szCs w:val="19"/>
              </w:rPr>
              <w:t>CMI on one side and detailed instructions for use on the other. These instructions include step by step guidance with pictures, and detail the correct preparation and administration technique. Clear storage instructions are provided in the CMI.</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5E0635">
            <w:pPr>
              <w:spacing w:before="0" w:after="0" w:line="240" w:lineRule="auto"/>
              <w:ind w:left="0" w:right="0"/>
              <w:rPr>
                <w:sz w:val="19"/>
                <w:szCs w:val="19"/>
              </w:rPr>
            </w:pPr>
            <w:r w:rsidRPr="00AC393B">
              <w:rPr>
                <w:sz w:val="19"/>
                <w:szCs w:val="19"/>
              </w:rPr>
              <w:t xml:space="preserve">The current “patient/carer booklet” and other educational material should be submitted to the TGA for review prior to supply for the new indication. This information should contain clear instructions on storage, preparation and administration of </w:t>
            </w:r>
            <w:proofErr w:type="spellStart"/>
            <w:r w:rsidRPr="00AC393B">
              <w:rPr>
                <w:sz w:val="19"/>
                <w:szCs w:val="19"/>
              </w:rPr>
              <w:t>etanercept</w:t>
            </w:r>
            <w:proofErr w:type="spellEnd"/>
            <w:r w:rsidRPr="00AC393B">
              <w:rPr>
                <w:sz w:val="19"/>
                <w:szCs w:val="19"/>
              </w:rPr>
              <w:t>. This should also include pictures describing correct administration technique, in addition to a dosing table with weight, ratios of diluents and dose. This will enhance safety regarding prescribing, administration and dose escalation.</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Current educational materials for JIA include:</w:t>
            </w:r>
          </w:p>
          <w:p w:rsidR="0084185F" w:rsidRPr="00AC393B" w:rsidRDefault="0084185F" w:rsidP="00AC393B">
            <w:pPr>
              <w:spacing w:before="0" w:after="0" w:line="240" w:lineRule="auto"/>
              <w:ind w:left="0" w:right="0"/>
              <w:rPr>
                <w:sz w:val="19"/>
                <w:szCs w:val="19"/>
              </w:rPr>
            </w:pPr>
            <w:r w:rsidRPr="00AC393B">
              <w:rPr>
                <w:sz w:val="19"/>
                <w:szCs w:val="19"/>
              </w:rPr>
              <w:t>“More about Juvenile Idiopathic Arthritis (JIA)”: brochure provided as part of the “Your Enbrel Experience” patient support program. It provides general information on disease state. A copy of this is provided in Appendix 3.</w:t>
            </w:r>
          </w:p>
          <w:p w:rsidR="0084185F" w:rsidRPr="00AC393B" w:rsidRDefault="0084185F" w:rsidP="00AC393B">
            <w:pPr>
              <w:pStyle w:val="ListBullet"/>
              <w:spacing w:before="0" w:after="0" w:line="240" w:lineRule="auto"/>
              <w:ind w:left="0" w:right="0"/>
              <w:rPr>
                <w:sz w:val="19"/>
                <w:szCs w:val="19"/>
              </w:rPr>
            </w:pPr>
            <w:r w:rsidRPr="00AC393B">
              <w:rPr>
                <w:sz w:val="19"/>
                <w:szCs w:val="19"/>
              </w:rPr>
              <w:t>“How to use your Enbrel vials for dilution”: brochure provided as part of the “Your Enbrel Experience” patient support program. It provides information on Enbrel administration (see Appendix 4). An amended version of this brochure is in development and includes additional information on dosing volumes for JIA patients</w:t>
            </w:r>
            <w:r w:rsidR="00AC393B" w:rsidRPr="00AC393B">
              <w:rPr>
                <w:sz w:val="19"/>
                <w:szCs w:val="19"/>
              </w:rPr>
              <w:t xml:space="preserve"> </w:t>
            </w:r>
            <w:r w:rsidRPr="00AC393B">
              <w:rPr>
                <w:sz w:val="19"/>
                <w:szCs w:val="19"/>
              </w:rPr>
              <w:t>(to be completed by30 September 2013).</w:t>
            </w:r>
          </w:p>
          <w:p w:rsidR="0084185F" w:rsidRPr="00AC393B" w:rsidRDefault="0084185F" w:rsidP="00BF285C">
            <w:pPr>
              <w:pStyle w:val="ListBullet"/>
              <w:spacing w:before="0" w:after="0" w:line="240" w:lineRule="auto"/>
              <w:ind w:left="0" w:right="0"/>
              <w:rPr>
                <w:sz w:val="19"/>
                <w:szCs w:val="19"/>
              </w:rPr>
            </w:pPr>
            <w:r w:rsidRPr="00AC393B">
              <w:rPr>
                <w:sz w:val="19"/>
                <w:szCs w:val="19"/>
              </w:rPr>
              <w:t>“Joint Defenders” app: an interactive learning tool for iPad and iPhone platforms available for download through the Apple App Store. “Joint Defenders” provides video components of information on disease state, therapy and administration, as well</w:t>
            </w:r>
            <w:r w:rsidR="00AC393B" w:rsidRPr="00AC393B">
              <w:rPr>
                <w:sz w:val="19"/>
                <w:szCs w:val="19"/>
              </w:rPr>
              <w:t xml:space="preserve"> </w:t>
            </w:r>
            <w:r w:rsidRPr="00AC393B">
              <w:rPr>
                <w:sz w:val="19"/>
                <w:szCs w:val="19"/>
              </w:rPr>
              <w:t xml:space="preserve">as an interactive learning tool that reinforces an understanding of JIA and the importance of ongoing treatment via an educational game. The app is intended to enhance the patient experience for juvenile Enbrel patients and increase quality use of medicines outcomes. The instruction sheet for downloading the app is provided in Appendix 5. </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5E0635">
            <w:pPr>
              <w:spacing w:before="0" w:after="0" w:line="240" w:lineRule="auto"/>
              <w:ind w:left="0" w:right="0"/>
              <w:rPr>
                <w:sz w:val="19"/>
                <w:szCs w:val="19"/>
              </w:rPr>
            </w:pPr>
            <w:r w:rsidRPr="00AC393B">
              <w:rPr>
                <w:sz w:val="19"/>
                <w:szCs w:val="19"/>
              </w:rPr>
              <w:t>The amended version of the “How to use your Enbrel vials for dilution” brochure should be submitted to the TGA for review prior to supply for the new indication.</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5E0635">
            <w:pPr>
              <w:spacing w:before="0" w:after="0" w:line="240" w:lineRule="auto"/>
              <w:ind w:left="0" w:right="0"/>
              <w:rPr>
                <w:sz w:val="19"/>
                <w:szCs w:val="19"/>
              </w:rPr>
            </w:pPr>
            <w:r w:rsidRPr="00AC393B">
              <w:rPr>
                <w:sz w:val="19"/>
                <w:szCs w:val="19"/>
              </w:rPr>
              <w:t xml:space="preserve">The </w:t>
            </w:r>
            <w:r w:rsidR="001F68DB" w:rsidRPr="00AC393B">
              <w:rPr>
                <w:sz w:val="19"/>
                <w:szCs w:val="19"/>
              </w:rPr>
              <w:t>Delegate</w:t>
            </w:r>
            <w:r w:rsidRPr="00AC393B">
              <w:rPr>
                <w:sz w:val="19"/>
                <w:szCs w:val="19"/>
              </w:rPr>
              <w:t xml:space="preserve"> may wish to restrict the administration of </w:t>
            </w:r>
            <w:proofErr w:type="spellStart"/>
            <w:r w:rsidRPr="00AC393B">
              <w:rPr>
                <w:sz w:val="19"/>
                <w:szCs w:val="19"/>
              </w:rPr>
              <w:t>etanercept</w:t>
            </w:r>
            <w:proofErr w:type="spellEnd"/>
            <w:r w:rsidRPr="00AC393B">
              <w:rPr>
                <w:sz w:val="19"/>
                <w:szCs w:val="19"/>
              </w:rPr>
              <w:t xml:space="preserve"> in children aged 2</w:t>
            </w:r>
            <w:r w:rsidR="001F68DB" w:rsidRPr="00AC393B">
              <w:rPr>
                <w:sz w:val="19"/>
                <w:szCs w:val="19"/>
              </w:rPr>
              <w:t xml:space="preserve"> to </w:t>
            </w:r>
            <w:r w:rsidRPr="00AC393B">
              <w:rPr>
                <w:sz w:val="19"/>
                <w:szCs w:val="19"/>
              </w:rPr>
              <w:t>4</w:t>
            </w:r>
            <w:r w:rsidR="002040F3" w:rsidRPr="00AC393B">
              <w:rPr>
                <w:sz w:val="19"/>
                <w:szCs w:val="19"/>
              </w:rPr>
              <w:t xml:space="preserve"> years</w:t>
            </w:r>
            <w:r w:rsidRPr="00AC393B">
              <w:rPr>
                <w:sz w:val="19"/>
                <w:szCs w:val="19"/>
              </w:rPr>
              <w:t xml:space="preserve"> to health care professionals only.</w:t>
            </w:r>
            <w:r w:rsidR="005E0635" w:rsidRPr="00AC393B">
              <w:rPr>
                <w:sz w:val="19"/>
                <w:szCs w:val="19"/>
              </w:rPr>
              <w:t xml:space="preserve"> </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It is not clear as to why the RMP evaluator suggests restricting the administrati</w:t>
            </w:r>
            <w:r w:rsidR="00AC393B" w:rsidRPr="00AC393B">
              <w:rPr>
                <w:sz w:val="19"/>
                <w:szCs w:val="19"/>
              </w:rPr>
              <w:t xml:space="preserve">on of Enbrel in children aged 2 to </w:t>
            </w:r>
            <w:r w:rsidRPr="00AC393B">
              <w:rPr>
                <w:sz w:val="19"/>
                <w:szCs w:val="19"/>
              </w:rPr>
              <w:t xml:space="preserve">4 years to healthcare professionals only. The dose of Enbrel is </w:t>
            </w:r>
            <w:r w:rsidR="00904313" w:rsidRPr="00AC393B">
              <w:rPr>
                <w:sz w:val="19"/>
                <w:szCs w:val="19"/>
              </w:rPr>
              <w:t>weight based</w:t>
            </w:r>
            <w:r w:rsidRPr="00AC393B">
              <w:rPr>
                <w:sz w:val="19"/>
                <w:szCs w:val="19"/>
              </w:rPr>
              <w:t xml:space="preserve"> in all patients </w:t>
            </w:r>
            <w:proofErr w:type="gramStart"/>
            <w:r w:rsidRPr="00AC393B">
              <w:rPr>
                <w:sz w:val="19"/>
                <w:szCs w:val="19"/>
              </w:rPr>
              <w:t>under</w:t>
            </w:r>
            <w:proofErr w:type="gramEnd"/>
            <w:r w:rsidRPr="00AC393B">
              <w:rPr>
                <w:sz w:val="19"/>
                <w:szCs w:val="19"/>
              </w:rPr>
              <w:t xml:space="preserve"> 18 years. Therefore, children aged 2</w:t>
            </w:r>
            <w:r w:rsidR="001F68DB" w:rsidRPr="00AC393B">
              <w:rPr>
                <w:sz w:val="19"/>
                <w:szCs w:val="19"/>
              </w:rPr>
              <w:t xml:space="preserve"> to </w:t>
            </w:r>
            <w:r w:rsidRPr="00AC393B">
              <w:rPr>
                <w:sz w:val="19"/>
                <w:szCs w:val="19"/>
              </w:rPr>
              <w:t>4 years are not the only patients who will require their dose to be calibrated and less than the full contents of the vial given. Parents who administer Enbrel to their children are given training by a healthcare professional, on the correct use of the medicine. Furthermore, Pfizer offers a free home nurse support program to assist patients or their parents/caregivers to safely and correctly administer their Enbrel. Requiring Enbrel to be administered by a healthcare professional only in children aged 2</w:t>
            </w:r>
            <w:r w:rsidR="001F68DB" w:rsidRPr="00AC393B">
              <w:rPr>
                <w:sz w:val="19"/>
                <w:szCs w:val="19"/>
              </w:rPr>
              <w:t xml:space="preserve"> to </w:t>
            </w:r>
            <w:r w:rsidRPr="00AC393B">
              <w:rPr>
                <w:sz w:val="19"/>
                <w:szCs w:val="19"/>
              </w:rPr>
              <w:t xml:space="preserve">4 years would be highly impractical to the families of these children, necessitating weekly visits to their healthcare professional. Such visits might also place an additional cost burden on patients. Children in </w:t>
            </w:r>
            <w:r w:rsidR="00904313" w:rsidRPr="00AC393B">
              <w:rPr>
                <w:sz w:val="19"/>
                <w:szCs w:val="19"/>
              </w:rPr>
              <w:t>non-metropolitan</w:t>
            </w:r>
            <w:r w:rsidRPr="00AC393B">
              <w:rPr>
                <w:sz w:val="19"/>
                <w:szCs w:val="19"/>
              </w:rPr>
              <w:t xml:space="preserve"> areas would be most severely impacted, given that access to healthcare professional services in regional and rural areas is not as easy as in major metropolitan centres. Pfizer, therefore, does not agree with the evaluator’s suggestion of administration restrictions in the 2</w:t>
            </w:r>
            <w:r w:rsidR="001F68DB" w:rsidRPr="00AC393B">
              <w:rPr>
                <w:sz w:val="19"/>
                <w:szCs w:val="19"/>
              </w:rPr>
              <w:t xml:space="preserve"> to </w:t>
            </w:r>
            <w:r w:rsidRPr="00AC393B">
              <w:rPr>
                <w:sz w:val="19"/>
                <w:szCs w:val="19"/>
              </w:rPr>
              <w:t>4 years age group. There is no identifiable clinical benefit in having the administration of Enbrel performed by HCPs, specifically for this age group.</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As discussed in above, two important areas of missing information specific to the JIA indication were listed as ongoing safety concerns in the global RMP Version 4.3, and additional risk minimisation measures proposed for these risks. These however are not listed in Version 5.0, and no additional risk minimisation measures assigned. The sponsor should clarify if these two areas are included in the risk minimisation plan and justify their exclusion if they have been omitted. These two areas are:</w:t>
            </w:r>
          </w:p>
          <w:p w:rsidR="0084185F" w:rsidRPr="00AC393B" w:rsidRDefault="0084185F" w:rsidP="00AC393B">
            <w:pPr>
              <w:spacing w:before="0" w:after="0" w:line="240" w:lineRule="auto"/>
              <w:ind w:left="0" w:right="0"/>
              <w:rPr>
                <w:sz w:val="19"/>
                <w:szCs w:val="19"/>
              </w:rPr>
            </w:pPr>
            <w:r w:rsidRPr="00AC393B">
              <w:rPr>
                <w:sz w:val="19"/>
                <w:szCs w:val="19"/>
              </w:rPr>
              <w:t>Assessment of spinal mobility (paediatric patients with ERA).</w:t>
            </w:r>
          </w:p>
          <w:p w:rsidR="0084185F" w:rsidRPr="00AC393B" w:rsidRDefault="0084185F" w:rsidP="005E0635">
            <w:pPr>
              <w:spacing w:before="0" w:after="0" w:line="240" w:lineRule="auto"/>
              <w:ind w:left="0" w:right="0"/>
              <w:rPr>
                <w:sz w:val="19"/>
                <w:szCs w:val="19"/>
              </w:rPr>
            </w:pPr>
            <w:r w:rsidRPr="00AC393B">
              <w:rPr>
                <w:sz w:val="19"/>
                <w:szCs w:val="19"/>
              </w:rPr>
              <w:t xml:space="preserve">Clinically inactive disease and remission rates and the effectiveness of re-treatment upon disease relapse (paediatric patients with </w:t>
            </w:r>
            <w:proofErr w:type="spellStart"/>
            <w:r w:rsidRPr="00AC393B">
              <w:rPr>
                <w:sz w:val="19"/>
                <w:szCs w:val="19"/>
              </w:rPr>
              <w:t>eoJIA</w:t>
            </w:r>
            <w:proofErr w:type="spellEnd"/>
            <w:r w:rsidRPr="00AC393B">
              <w:rPr>
                <w:sz w:val="19"/>
                <w:szCs w:val="19"/>
              </w:rPr>
              <w:t xml:space="preserve">, </w:t>
            </w:r>
            <w:proofErr w:type="spellStart"/>
            <w:r w:rsidRPr="00AC393B">
              <w:rPr>
                <w:sz w:val="19"/>
                <w:szCs w:val="19"/>
              </w:rPr>
              <w:t>PsA</w:t>
            </w:r>
            <w:proofErr w:type="spellEnd"/>
            <w:r w:rsidRPr="00AC393B">
              <w:rPr>
                <w:sz w:val="19"/>
                <w:szCs w:val="19"/>
              </w:rPr>
              <w:t>, or ERA).</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When Version 4.3 of the RMP (dated 16 August 2012) was updated to Version 5.0 (dated 12 April 2013), the sponsor converted the </w:t>
            </w:r>
            <w:proofErr w:type="spellStart"/>
            <w:r w:rsidRPr="00AC393B">
              <w:rPr>
                <w:sz w:val="19"/>
                <w:szCs w:val="19"/>
              </w:rPr>
              <w:t>etanercept</w:t>
            </w:r>
            <w:proofErr w:type="spellEnd"/>
            <w:r w:rsidRPr="00AC393B">
              <w:rPr>
                <w:sz w:val="19"/>
                <w:szCs w:val="19"/>
              </w:rPr>
              <w:t xml:space="preserve"> RMP to the new RMP template released by EMA in November 2012, and therefore moved the 2 efficacy uncertainties (</w:t>
            </w:r>
            <w:r w:rsidR="001F68DB" w:rsidRPr="00AC393B">
              <w:rPr>
                <w:sz w:val="19"/>
                <w:szCs w:val="19"/>
              </w:rPr>
              <w:t>that is</w:t>
            </w:r>
            <w:r w:rsidRPr="00AC393B">
              <w:rPr>
                <w:sz w:val="19"/>
                <w:szCs w:val="19"/>
              </w:rPr>
              <w:t xml:space="preserve">, assessment of spinal mobility in paediatric patients with ERA, and clinically inactive disease and remission rates and the effectiveness of re-treatment upon disease relapse in paediatric patients with </w:t>
            </w:r>
            <w:proofErr w:type="spellStart"/>
            <w:r w:rsidRPr="00AC393B">
              <w:rPr>
                <w:sz w:val="19"/>
                <w:szCs w:val="19"/>
              </w:rPr>
              <w:t>eoJIA</w:t>
            </w:r>
            <w:proofErr w:type="spellEnd"/>
            <w:r w:rsidRPr="00AC393B">
              <w:rPr>
                <w:sz w:val="19"/>
                <w:szCs w:val="19"/>
              </w:rPr>
              <w:t xml:space="preserve">, </w:t>
            </w:r>
            <w:proofErr w:type="spellStart"/>
            <w:r w:rsidRPr="00AC393B">
              <w:rPr>
                <w:sz w:val="19"/>
                <w:szCs w:val="19"/>
              </w:rPr>
              <w:t>PsA</w:t>
            </w:r>
            <w:proofErr w:type="spellEnd"/>
            <w:r w:rsidRPr="00AC393B">
              <w:rPr>
                <w:sz w:val="19"/>
                <w:szCs w:val="19"/>
              </w:rPr>
              <w:t xml:space="preserve">, or ERA) from the safety specification section (Part II) to the new efficacy section (Part IV). </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A dosing table with patient weight and </w:t>
            </w:r>
            <w:r w:rsidR="00904313" w:rsidRPr="00AC393B">
              <w:rPr>
                <w:sz w:val="19"/>
                <w:szCs w:val="19"/>
              </w:rPr>
              <w:t>ratios</w:t>
            </w:r>
            <w:r w:rsidRPr="00AC393B">
              <w:rPr>
                <w:sz w:val="19"/>
                <w:szCs w:val="19"/>
              </w:rPr>
              <w:t xml:space="preserve"> of diluents and dose should be added to assist with correct prescribing, administration and dose escalation. This will significantly enhance safe use of </w:t>
            </w:r>
            <w:proofErr w:type="spellStart"/>
            <w:r w:rsidRPr="00AC393B">
              <w:rPr>
                <w:sz w:val="19"/>
                <w:szCs w:val="19"/>
              </w:rPr>
              <w:t>etanercept</w:t>
            </w:r>
            <w:proofErr w:type="spellEnd"/>
            <w:r w:rsidRPr="00AC393B">
              <w:rPr>
                <w:sz w:val="19"/>
                <w:szCs w:val="19"/>
              </w:rPr>
              <w:t>.</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dosing table in the patient instructions leaflet has been amended to account for the once weekly dosing option in children. As this is included in every pack, Pfizer does not believe that the dosing table needs to be duplicated in the PI, as unambiguous dosing formulae (mg dose/kg body weight) are already included in the PI.</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The </w:t>
            </w:r>
            <w:r w:rsidR="001F68DB" w:rsidRPr="00AC393B">
              <w:rPr>
                <w:sz w:val="19"/>
                <w:szCs w:val="19"/>
              </w:rPr>
              <w:t>Delegate</w:t>
            </w:r>
            <w:r w:rsidRPr="00AC393B">
              <w:rPr>
                <w:sz w:val="19"/>
                <w:szCs w:val="19"/>
              </w:rPr>
              <w:t xml:space="preserve"> may wish to restrict the administration of </w:t>
            </w:r>
            <w:proofErr w:type="spellStart"/>
            <w:r w:rsidRPr="00AC393B">
              <w:rPr>
                <w:sz w:val="19"/>
                <w:szCs w:val="19"/>
              </w:rPr>
              <w:t>etanercept</w:t>
            </w:r>
            <w:proofErr w:type="spellEnd"/>
            <w:r w:rsidRPr="00AC393B">
              <w:rPr>
                <w:sz w:val="19"/>
                <w:szCs w:val="19"/>
              </w:rPr>
              <w:t xml:space="preserve"> in children aged 2</w:t>
            </w:r>
            <w:r w:rsidR="001F68DB" w:rsidRPr="00AC393B">
              <w:rPr>
                <w:sz w:val="19"/>
                <w:szCs w:val="19"/>
              </w:rPr>
              <w:t xml:space="preserve"> to</w:t>
            </w:r>
            <w:r w:rsidR="002040F3" w:rsidRPr="00AC393B">
              <w:rPr>
                <w:sz w:val="19"/>
                <w:szCs w:val="19"/>
              </w:rPr>
              <w:t xml:space="preserve"> </w:t>
            </w:r>
            <w:r w:rsidRPr="00AC393B">
              <w:rPr>
                <w:sz w:val="19"/>
                <w:szCs w:val="19"/>
              </w:rPr>
              <w:t>4</w:t>
            </w:r>
            <w:r w:rsidR="002040F3" w:rsidRPr="00AC393B">
              <w:rPr>
                <w:sz w:val="19"/>
                <w:szCs w:val="19"/>
              </w:rPr>
              <w:t xml:space="preserve"> years</w:t>
            </w:r>
            <w:r w:rsidRPr="00AC393B">
              <w:rPr>
                <w:sz w:val="19"/>
                <w:szCs w:val="19"/>
              </w:rPr>
              <w:t xml:space="preserve"> to health care professionals only.</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2040F3" w:rsidP="00AC393B">
            <w:pPr>
              <w:spacing w:before="0" w:after="0" w:line="240" w:lineRule="auto"/>
              <w:ind w:left="0" w:right="0"/>
              <w:rPr>
                <w:sz w:val="19"/>
                <w:szCs w:val="19"/>
              </w:rPr>
            </w:pPr>
            <w:r w:rsidRPr="00AC393B">
              <w:rPr>
                <w:sz w:val="19"/>
                <w:szCs w:val="19"/>
              </w:rPr>
              <w:t xml:space="preserve">As previously stated </w:t>
            </w:r>
            <w:r w:rsidR="0084185F" w:rsidRPr="00AC393B">
              <w:rPr>
                <w:sz w:val="19"/>
                <w:szCs w:val="19"/>
              </w:rPr>
              <w:t>Pfizer does not agree with the evaluator’s suggestion of administration restrictions in the 2</w:t>
            </w:r>
            <w:r w:rsidR="001F68DB" w:rsidRPr="00AC393B">
              <w:rPr>
                <w:sz w:val="19"/>
                <w:szCs w:val="19"/>
              </w:rPr>
              <w:t xml:space="preserve"> to </w:t>
            </w:r>
            <w:r w:rsidR="0084185F" w:rsidRPr="00AC393B">
              <w:rPr>
                <w:sz w:val="19"/>
                <w:szCs w:val="19"/>
              </w:rPr>
              <w:t>4 years age group, and therefore does not propose to add text to the PI restricting the administration of Enbrel.</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In light of the most recent PSUR report (dated 27th March 2013), the risk of hepatitis B reactivation should be added to the “other adverse event” section under “Infections and infestations – Not Known”, to enhance safe use of </w:t>
            </w:r>
            <w:proofErr w:type="spellStart"/>
            <w:r w:rsidRPr="00AC393B">
              <w:rPr>
                <w:sz w:val="19"/>
                <w:szCs w:val="19"/>
              </w:rPr>
              <w:t>etanercept</w:t>
            </w:r>
            <w:proofErr w:type="spellEnd"/>
            <w:r w:rsidRPr="00AC393B">
              <w:rPr>
                <w:sz w:val="19"/>
                <w:szCs w:val="19"/>
              </w:rPr>
              <w:t xml:space="preserve">. This is in line with the current </w:t>
            </w:r>
            <w:proofErr w:type="spellStart"/>
            <w:r w:rsidRPr="00AC393B">
              <w:rPr>
                <w:sz w:val="19"/>
                <w:szCs w:val="19"/>
              </w:rPr>
              <w:t>SmPC</w:t>
            </w:r>
            <w:proofErr w:type="spellEnd"/>
            <w:r w:rsidRPr="00AC393B">
              <w:rPr>
                <w:sz w:val="19"/>
                <w:szCs w:val="19"/>
              </w:rPr>
              <w:t>.</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Enbrel PI was updated in March 2013 to include Hepatitis B reactivation under Infections and Infestations (“frequency not known”) in the Adverse Effects section. Further safety changes were submitted in July 2013. The approved text has now been added to the PI relati</w:t>
            </w:r>
            <w:r w:rsidR="002040F3" w:rsidRPr="00AC393B">
              <w:rPr>
                <w:sz w:val="19"/>
                <w:szCs w:val="19"/>
              </w:rPr>
              <w:t>ng to this current application</w:t>
            </w:r>
            <w:r w:rsidRPr="00AC393B">
              <w:rPr>
                <w:sz w:val="19"/>
                <w:szCs w:val="19"/>
              </w:rPr>
              <w:t>.</w:t>
            </w:r>
          </w:p>
          <w:p w:rsidR="0084185F" w:rsidRPr="00AC393B" w:rsidRDefault="0084185F" w:rsidP="00AC393B">
            <w:pPr>
              <w:spacing w:before="0" w:after="0" w:line="240" w:lineRule="auto"/>
              <w:ind w:left="0" w:right="0"/>
              <w:rPr>
                <w:sz w:val="19"/>
                <w:szCs w:val="19"/>
              </w:rPr>
            </w:pPr>
            <w:r w:rsidRPr="00AC393B">
              <w:rPr>
                <w:sz w:val="19"/>
                <w:szCs w:val="19"/>
              </w:rPr>
              <w:t>Changes to the PI from the version originally submitted with this application are summarised below:</w:t>
            </w:r>
          </w:p>
          <w:p w:rsidR="0084185F" w:rsidRPr="00AC393B" w:rsidRDefault="0084185F" w:rsidP="00AC393B">
            <w:pPr>
              <w:pStyle w:val="ListBullet"/>
              <w:spacing w:before="0" w:after="0" w:line="240" w:lineRule="auto"/>
              <w:ind w:left="0" w:right="0"/>
              <w:rPr>
                <w:sz w:val="19"/>
                <w:szCs w:val="19"/>
              </w:rPr>
            </w:pPr>
            <w:r w:rsidRPr="00AC393B">
              <w:rPr>
                <w:sz w:val="19"/>
                <w:szCs w:val="19"/>
              </w:rPr>
              <w:t>CLINICAL TRIALS</w:t>
            </w:r>
            <w:r w:rsidR="002040F3" w:rsidRPr="00AC393B">
              <w:rPr>
                <w:sz w:val="19"/>
                <w:szCs w:val="19"/>
              </w:rPr>
              <w:t xml:space="preserve"> </w:t>
            </w:r>
            <w:r w:rsidRPr="00AC393B">
              <w:rPr>
                <w:sz w:val="19"/>
                <w:szCs w:val="19"/>
              </w:rPr>
              <w:t>Juvenile idiopathic arthritis. Added a final paragraph, as requested by RMP evaluator.</w:t>
            </w:r>
          </w:p>
          <w:p w:rsidR="0084185F" w:rsidRPr="00AC393B" w:rsidRDefault="0084185F" w:rsidP="00AC393B">
            <w:pPr>
              <w:pStyle w:val="ListBullet"/>
              <w:spacing w:before="0" w:after="0" w:line="240" w:lineRule="auto"/>
              <w:ind w:left="0" w:right="0"/>
              <w:rPr>
                <w:sz w:val="19"/>
                <w:szCs w:val="19"/>
              </w:rPr>
            </w:pPr>
            <w:r w:rsidRPr="00AC393B">
              <w:rPr>
                <w:sz w:val="19"/>
                <w:szCs w:val="19"/>
              </w:rPr>
              <w:t>PRECAUTIONS. Amended subheading to read “Congestive heart failure” (submitted with Safety Related Request in July 2013).</w:t>
            </w:r>
          </w:p>
          <w:p w:rsidR="0084185F" w:rsidRPr="00AC393B" w:rsidRDefault="0084185F" w:rsidP="00AC393B">
            <w:pPr>
              <w:pStyle w:val="ListBullet"/>
              <w:spacing w:before="0" w:after="0" w:line="240" w:lineRule="auto"/>
              <w:ind w:left="0" w:right="0"/>
              <w:rPr>
                <w:sz w:val="19"/>
                <w:szCs w:val="19"/>
              </w:rPr>
            </w:pPr>
            <w:r w:rsidRPr="00AC393B">
              <w:rPr>
                <w:sz w:val="19"/>
                <w:szCs w:val="19"/>
              </w:rPr>
              <w:t>PRECAUTIONS – Use in pregnancy. Added a paragraph that was submitted as a Safety Related Request in July 2013.</w:t>
            </w:r>
          </w:p>
          <w:p w:rsidR="0084185F" w:rsidRPr="00AC393B" w:rsidRDefault="0084185F" w:rsidP="00AC393B">
            <w:pPr>
              <w:pStyle w:val="ListBullet"/>
              <w:spacing w:before="0" w:after="0" w:line="240" w:lineRule="auto"/>
              <w:ind w:left="0" w:right="0"/>
              <w:rPr>
                <w:sz w:val="19"/>
                <w:szCs w:val="19"/>
              </w:rPr>
            </w:pPr>
            <w:r w:rsidRPr="00AC393B">
              <w:rPr>
                <w:sz w:val="19"/>
                <w:szCs w:val="19"/>
              </w:rPr>
              <w:t xml:space="preserve">ADVERSE EFFCTS. Amended subheading to read “Malignancies and </w:t>
            </w:r>
            <w:proofErr w:type="spellStart"/>
            <w:r w:rsidRPr="00AC393B">
              <w:rPr>
                <w:sz w:val="19"/>
                <w:szCs w:val="19"/>
              </w:rPr>
              <w:t>lymphoproliferative</w:t>
            </w:r>
            <w:proofErr w:type="spellEnd"/>
            <w:r w:rsidRPr="00AC393B">
              <w:rPr>
                <w:sz w:val="19"/>
                <w:szCs w:val="19"/>
              </w:rPr>
              <w:t xml:space="preserve"> disorders” (submitted with Safety Related Request in July 2013).</w:t>
            </w:r>
          </w:p>
          <w:p w:rsidR="0084185F" w:rsidRPr="00AC393B" w:rsidRDefault="0084185F" w:rsidP="00AC393B">
            <w:pPr>
              <w:pStyle w:val="ListBullet"/>
              <w:spacing w:before="0" w:after="0" w:line="240" w:lineRule="auto"/>
              <w:ind w:left="0" w:right="0"/>
              <w:rPr>
                <w:sz w:val="19"/>
                <w:szCs w:val="19"/>
              </w:rPr>
            </w:pPr>
            <w:r w:rsidRPr="00AC393B">
              <w:rPr>
                <w:sz w:val="19"/>
                <w:szCs w:val="19"/>
              </w:rPr>
              <w:t>DOSAGE AND ADMINISTRATION</w:t>
            </w:r>
            <w:r w:rsidR="002040F3" w:rsidRPr="00AC393B">
              <w:rPr>
                <w:sz w:val="19"/>
                <w:szCs w:val="19"/>
              </w:rPr>
              <w:t xml:space="preserve"> </w:t>
            </w:r>
            <w:r w:rsidRPr="00AC393B">
              <w:rPr>
                <w:sz w:val="19"/>
                <w:szCs w:val="19"/>
              </w:rPr>
              <w:t>Children and adolescents. Removed reference to 25 mg/mL strength (planned to be replaced by 50 mg powder for injection) and rearranged order of once</w:t>
            </w:r>
            <w:r w:rsidR="001F68DB" w:rsidRPr="00AC393B">
              <w:rPr>
                <w:sz w:val="19"/>
                <w:szCs w:val="19"/>
              </w:rPr>
              <w:t xml:space="preserve"> </w:t>
            </w:r>
            <w:r w:rsidRPr="00AC393B">
              <w:rPr>
                <w:sz w:val="19"/>
                <w:szCs w:val="19"/>
              </w:rPr>
              <w:t>weekly and twice</w:t>
            </w:r>
            <w:r w:rsidR="001F68DB" w:rsidRPr="00AC393B">
              <w:rPr>
                <w:sz w:val="19"/>
                <w:szCs w:val="19"/>
              </w:rPr>
              <w:t xml:space="preserve"> </w:t>
            </w:r>
            <w:r w:rsidRPr="00AC393B">
              <w:rPr>
                <w:sz w:val="19"/>
                <w:szCs w:val="19"/>
              </w:rPr>
              <w:t>weekly dosing options.</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A statement should be added regarding the ongoing safety con</w:t>
            </w:r>
            <w:r w:rsidR="005E0635">
              <w:rPr>
                <w:sz w:val="19"/>
                <w:szCs w:val="19"/>
              </w:rPr>
              <w:t>cern of Myasthenia gravis (MG).</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Based on review of the data in relation to </w:t>
            </w:r>
            <w:r w:rsidR="00904313" w:rsidRPr="00AC393B">
              <w:rPr>
                <w:sz w:val="19"/>
                <w:szCs w:val="19"/>
              </w:rPr>
              <w:t>myasthenia</w:t>
            </w:r>
            <w:r w:rsidRPr="00AC393B">
              <w:rPr>
                <w:sz w:val="19"/>
                <w:szCs w:val="19"/>
              </w:rPr>
              <w:t xml:space="preserve"> gravis, Pfizer does not consider this to be an </w:t>
            </w:r>
            <w:proofErr w:type="spellStart"/>
            <w:r w:rsidRPr="00AC393B">
              <w:rPr>
                <w:sz w:val="19"/>
                <w:szCs w:val="19"/>
              </w:rPr>
              <w:t>etanercept</w:t>
            </w:r>
            <w:proofErr w:type="spellEnd"/>
            <w:r w:rsidRPr="00AC393B">
              <w:rPr>
                <w:sz w:val="19"/>
                <w:szCs w:val="19"/>
              </w:rPr>
              <w:t xml:space="preserve"> adverse drug reaction and thus does not warrant its inclusion in the Enbrel PI.</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5E0635">
            <w:pPr>
              <w:spacing w:before="0" w:after="0" w:line="240" w:lineRule="auto"/>
              <w:ind w:left="0" w:right="0"/>
              <w:rPr>
                <w:sz w:val="19"/>
                <w:szCs w:val="19"/>
              </w:rPr>
            </w:pPr>
            <w:r w:rsidRPr="00AC393B">
              <w:rPr>
                <w:sz w:val="19"/>
                <w:szCs w:val="19"/>
              </w:rPr>
              <w:t>Myasthenia gravis (MG) was reported in the latest PSUR (dated 27th March 2013) in response to the accumulation of reports of MG in the Pfizer safety database.</w:t>
            </w:r>
            <w:r w:rsidR="002040F3" w:rsidRPr="00AC393B">
              <w:rPr>
                <w:sz w:val="19"/>
                <w:szCs w:val="19"/>
              </w:rPr>
              <w:t xml:space="preserve"> </w:t>
            </w:r>
            <w:r w:rsidRPr="00AC393B">
              <w:rPr>
                <w:sz w:val="19"/>
                <w:szCs w:val="19"/>
              </w:rPr>
              <w:t>A total of 53 case reports were identified, 47 of which were spontaneous. Of this, 37 were confirmed MG cases. 17 of these were subsequently discounted due to insufficient information, 13 “had possible alternative explanations” and 6 had no clear alternative explanation identified. Furthermore, there was inconsistent event reporting across countries. In light of this data, routine risk minimisation activities should be applied to the risk of</w:t>
            </w:r>
            <w:r w:rsidR="002040F3" w:rsidRPr="00AC393B">
              <w:rPr>
                <w:sz w:val="19"/>
                <w:szCs w:val="19"/>
              </w:rPr>
              <w:t xml:space="preserve"> </w:t>
            </w:r>
            <w:r w:rsidRPr="00AC393B">
              <w:rPr>
                <w:sz w:val="19"/>
                <w:szCs w:val="19"/>
              </w:rPr>
              <w:t xml:space="preserve">myasthenia gravis. The </w:t>
            </w:r>
            <w:r w:rsidR="001F68DB" w:rsidRPr="00AC393B">
              <w:rPr>
                <w:sz w:val="19"/>
                <w:szCs w:val="19"/>
              </w:rPr>
              <w:t>Delegate</w:t>
            </w:r>
            <w:r w:rsidRPr="00AC393B">
              <w:rPr>
                <w:sz w:val="19"/>
                <w:szCs w:val="19"/>
              </w:rPr>
              <w:t xml:space="preserve"> may wish to include Myasthenia Gravis in the proposed Australian PI.</w:t>
            </w:r>
          </w:p>
        </w:tc>
      </w:tr>
      <w:tr w:rsidR="0084185F" w:rsidRPr="003256F4"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A statement should be added regarding the ongoing safety concern of Progressive multifocal </w:t>
            </w:r>
            <w:proofErr w:type="spellStart"/>
            <w:r w:rsidRPr="00AC393B">
              <w:rPr>
                <w:sz w:val="19"/>
                <w:szCs w:val="19"/>
              </w:rPr>
              <w:t>leukoencephalomyelitis</w:t>
            </w:r>
            <w:proofErr w:type="spellEnd"/>
            <w:r w:rsidRPr="00AC393B">
              <w:rPr>
                <w:sz w:val="19"/>
                <w:szCs w:val="19"/>
              </w:rPr>
              <w:t>.</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Based on review of the data in relation to progressive multifocal </w:t>
            </w:r>
            <w:proofErr w:type="spellStart"/>
            <w:r w:rsidRPr="00AC393B">
              <w:rPr>
                <w:sz w:val="19"/>
                <w:szCs w:val="19"/>
              </w:rPr>
              <w:t>leukoencephalomyelitis</w:t>
            </w:r>
            <w:proofErr w:type="spellEnd"/>
            <w:r w:rsidRPr="00AC393B">
              <w:rPr>
                <w:sz w:val="19"/>
                <w:szCs w:val="19"/>
              </w:rPr>
              <w:t xml:space="preserve">, Pfizer does not consider this to be an </w:t>
            </w:r>
            <w:proofErr w:type="spellStart"/>
            <w:r w:rsidRPr="00AC393B">
              <w:rPr>
                <w:sz w:val="19"/>
                <w:szCs w:val="19"/>
              </w:rPr>
              <w:t>etanercept</w:t>
            </w:r>
            <w:proofErr w:type="spellEnd"/>
            <w:r w:rsidRPr="00AC393B">
              <w:rPr>
                <w:sz w:val="19"/>
                <w:szCs w:val="19"/>
              </w:rPr>
              <w:t xml:space="preserve"> adverse drug reaction and thus does not warrant its inclusion in the Enbrel PI.</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5E0635">
            <w:pPr>
              <w:spacing w:before="0" w:after="0" w:line="240" w:lineRule="auto"/>
              <w:ind w:left="0" w:right="0"/>
              <w:rPr>
                <w:sz w:val="19"/>
                <w:szCs w:val="19"/>
              </w:rPr>
            </w:pPr>
            <w:r w:rsidRPr="00AC393B">
              <w:rPr>
                <w:sz w:val="19"/>
                <w:szCs w:val="19"/>
              </w:rPr>
              <w:t xml:space="preserve">Progressive multifocal </w:t>
            </w:r>
            <w:proofErr w:type="spellStart"/>
            <w:r w:rsidRPr="00AC393B">
              <w:rPr>
                <w:sz w:val="19"/>
                <w:szCs w:val="19"/>
              </w:rPr>
              <w:t>leukoencephalomyelitis</w:t>
            </w:r>
            <w:proofErr w:type="spellEnd"/>
            <w:r w:rsidRPr="00AC393B">
              <w:rPr>
                <w:sz w:val="19"/>
                <w:szCs w:val="19"/>
              </w:rPr>
              <w:t xml:space="preserve"> and </w:t>
            </w:r>
            <w:proofErr w:type="spellStart"/>
            <w:r w:rsidRPr="00AC393B">
              <w:rPr>
                <w:sz w:val="19"/>
                <w:szCs w:val="19"/>
              </w:rPr>
              <w:t>etanercept</w:t>
            </w:r>
            <w:proofErr w:type="spellEnd"/>
            <w:r w:rsidRPr="00AC393B">
              <w:rPr>
                <w:sz w:val="19"/>
                <w:szCs w:val="19"/>
              </w:rPr>
              <w:t xml:space="preserve"> treatment is currently under review by the TGA. A safety assessment letter was submitted to the TGA in April 2011 by Pfizer reporting 5 cases of possible PML. The sponsor concluded that there was insufficient evidence to indicate a causal associated between </w:t>
            </w:r>
            <w:proofErr w:type="spellStart"/>
            <w:r w:rsidRPr="00AC393B">
              <w:rPr>
                <w:sz w:val="19"/>
                <w:szCs w:val="19"/>
              </w:rPr>
              <w:t>etanercept</w:t>
            </w:r>
            <w:proofErr w:type="spellEnd"/>
            <w:r w:rsidRPr="00AC393B">
              <w:rPr>
                <w:sz w:val="19"/>
                <w:szCs w:val="19"/>
              </w:rPr>
              <w:t xml:space="preserve"> therapy and the risk of PML. Since this time, there have been a number of reports in the literature regarding PML and biologic therapy including </w:t>
            </w:r>
            <w:proofErr w:type="spellStart"/>
            <w:r w:rsidRPr="00AC393B">
              <w:rPr>
                <w:sz w:val="19"/>
                <w:szCs w:val="19"/>
              </w:rPr>
              <w:t>etanercept</w:t>
            </w:r>
            <w:proofErr w:type="spellEnd"/>
            <w:r w:rsidRPr="00AC393B">
              <w:rPr>
                <w:sz w:val="19"/>
                <w:szCs w:val="19"/>
              </w:rPr>
              <w:t xml:space="preserve"> (</w:t>
            </w:r>
            <w:proofErr w:type="spellStart"/>
            <w:r w:rsidRPr="00AC393B">
              <w:rPr>
                <w:sz w:val="19"/>
                <w:szCs w:val="19"/>
              </w:rPr>
              <w:t>Ladizinski</w:t>
            </w:r>
            <w:proofErr w:type="spellEnd"/>
            <w:r w:rsidRPr="00AC393B">
              <w:rPr>
                <w:sz w:val="19"/>
                <w:szCs w:val="19"/>
              </w:rPr>
              <w:t xml:space="preserve"> 2013; Graff</w:t>
            </w:r>
            <w:r w:rsidR="001F68DB" w:rsidRPr="00AC393B">
              <w:rPr>
                <w:sz w:val="19"/>
                <w:szCs w:val="19"/>
              </w:rPr>
              <w:t xml:space="preserve"> </w:t>
            </w:r>
            <w:r w:rsidRPr="00AC393B">
              <w:rPr>
                <w:sz w:val="19"/>
                <w:szCs w:val="19"/>
              </w:rPr>
              <w:t xml:space="preserve">Radford 2012; </w:t>
            </w:r>
            <w:proofErr w:type="spellStart"/>
            <w:r w:rsidRPr="00AC393B">
              <w:rPr>
                <w:sz w:val="19"/>
                <w:szCs w:val="19"/>
              </w:rPr>
              <w:t>Kothary</w:t>
            </w:r>
            <w:proofErr w:type="spellEnd"/>
            <w:r w:rsidRPr="00AC393B">
              <w:rPr>
                <w:sz w:val="19"/>
                <w:szCs w:val="19"/>
              </w:rPr>
              <w:t xml:space="preserve"> 2011). It is recommended that routine risk minimisation activities be implemented for this risk. The </w:t>
            </w:r>
            <w:r w:rsidR="001F68DB" w:rsidRPr="00AC393B">
              <w:rPr>
                <w:sz w:val="19"/>
                <w:szCs w:val="19"/>
              </w:rPr>
              <w:t>Delegate</w:t>
            </w:r>
            <w:r w:rsidRPr="00AC393B">
              <w:rPr>
                <w:sz w:val="19"/>
                <w:szCs w:val="19"/>
              </w:rPr>
              <w:t xml:space="preserve"> may wish to include PML in the proposed Australian PI.</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In light of the risks of off</w:t>
            </w:r>
            <w:r w:rsidR="001F68DB" w:rsidRPr="00AC393B">
              <w:rPr>
                <w:sz w:val="19"/>
                <w:szCs w:val="19"/>
              </w:rPr>
              <w:t xml:space="preserve"> </w:t>
            </w:r>
            <w:r w:rsidRPr="00AC393B">
              <w:rPr>
                <w:sz w:val="19"/>
                <w:szCs w:val="19"/>
              </w:rPr>
              <w:t xml:space="preserve">label paediatric use, a statement should be added to the PI under “Dosage and Administration” to the effect of “No formal clinical trials have been conducted in children aged 2 to 3 years. However, limited safety data from a patient registry suggest that the safety profile in children from 2 to 3 years of age is similar to that seen in adults and children aged 4 years and older, when dosed every week with 0.8 mg/kg subcutaneously. There is generally no applicable use of Enbrel in children aged below 2 years in the indication juvenile idiopathic arthritis”. This is also mentioned in the </w:t>
            </w:r>
            <w:proofErr w:type="spellStart"/>
            <w:r w:rsidRPr="00AC393B">
              <w:rPr>
                <w:sz w:val="19"/>
                <w:szCs w:val="19"/>
              </w:rPr>
              <w:t>SmPC</w:t>
            </w:r>
            <w:proofErr w:type="spellEnd"/>
            <w:r w:rsidRPr="00AC393B">
              <w:rPr>
                <w:sz w:val="19"/>
                <w:szCs w:val="19"/>
              </w:rPr>
              <w:t xml:space="preserve"> to enhance safe use of </w:t>
            </w:r>
            <w:proofErr w:type="spellStart"/>
            <w:r w:rsidRPr="00AC393B">
              <w:rPr>
                <w:sz w:val="19"/>
                <w:szCs w:val="19"/>
              </w:rPr>
              <w:t>etanercept</w:t>
            </w:r>
            <w:proofErr w:type="spellEnd"/>
            <w:r w:rsidRPr="00AC393B">
              <w:rPr>
                <w:sz w:val="19"/>
                <w:szCs w:val="19"/>
              </w:rPr>
              <w:t>.</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The RMP evaluator has suggested some text to be added to the Dosage and Administration section of the PI. This proposed additional text does not provide any instructional information regarding the dosage or administration of Enbrel. Pfizer believes that this information would be more appropriately located under Clinical Trials</w:t>
            </w:r>
            <w:r w:rsidR="002040F3" w:rsidRPr="00AC393B">
              <w:rPr>
                <w:sz w:val="19"/>
                <w:szCs w:val="19"/>
              </w:rPr>
              <w:t xml:space="preserve"> </w:t>
            </w:r>
            <w:r w:rsidRPr="00AC393B">
              <w:rPr>
                <w:sz w:val="19"/>
                <w:szCs w:val="19"/>
              </w:rPr>
              <w:t>Juvenile Idiopathic Arthritis. The PI has, therefore, been amended accordingly. Please note that the final sentence proposed by the evaluator has not been included, as it refers to the use of Enbrel in an age group that is outside that proposed for the indication.</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r w:rsidR="0084185F" w:rsidRPr="00107999" w:rsidTr="00AC393B">
        <w:trPr>
          <w:jc w:val="center"/>
        </w:trPr>
        <w:tc>
          <w:tcPr>
            <w:tcW w:w="15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 xml:space="preserve">In regard to the proposed routine risk minimisation activities, the </w:t>
            </w:r>
            <w:r w:rsidR="001F68DB" w:rsidRPr="00AC393B">
              <w:rPr>
                <w:sz w:val="19"/>
                <w:szCs w:val="19"/>
              </w:rPr>
              <w:t>Delegate</w:t>
            </w:r>
            <w:r w:rsidRPr="00AC393B">
              <w:rPr>
                <w:sz w:val="19"/>
                <w:szCs w:val="19"/>
              </w:rPr>
              <w:t xml:space="preserve"> may wish to revise the consumer medicine information as follows:</w:t>
            </w:r>
          </w:p>
          <w:p w:rsidR="002040F3" w:rsidRPr="00AC393B" w:rsidRDefault="0084185F" w:rsidP="00AC393B">
            <w:pPr>
              <w:spacing w:before="0" w:after="0" w:line="240" w:lineRule="auto"/>
              <w:ind w:left="0" w:right="0"/>
              <w:rPr>
                <w:sz w:val="19"/>
                <w:szCs w:val="19"/>
              </w:rPr>
            </w:pPr>
            <w:r w:rsidRPr="00AC393B">
              <w:rPr>
                <w:sz w:val="19"/>
                <w:szCs w:val="19"/>
              </w:rPr>
              <w:t>A dosing table with ratios of diluents and dose should be added to assist with correct prescribing, adm</w:t>
            </w:r>
            <w:r w:rsidR="002040F3" w:rsidRPr="00AC393B">
              <w:rPr>
                <w:sz w:val="19"/>
                <w:szCs w:val="19"/>
              </w:rPr>
              <w:t>inistration and dose escalation.</w:t>
            </w:r>
          </w:p>
          <w:p w:rsidR="0084185F" w:rsidRPr="00AC393B" w:rsidRDefault="0084185F" w:rsidP="00AC393B">
            <w:pPr>
              <w:spacing w:before="0" w:after="0" w:line="240" w:lineRule="auto"/>
              <w:ind w:left="0" w:right="0"/>
              <w:rPr>
                <w:sz w:val="19"/>
                <w:szCs w:val="19"/>
              </w:rPr>
            </w:pPr>
            <w:r w:rsidRPr="00AC393B">
              <w:rPr>
                <w:sz w:val="19"/>
                <w:szCs w:val="19"/>
              </w:rPr>
              <w:t>Pictures describing injection technique.</w:t>
            </w:r>
          </w:p>
          <w:p w:rsidR="0084185F" w:rsidRPr="00AC393B" w:rsidRDefault="0084185F" w:rsidP="005E0635">
            <w:pPr>
              <w:spacing w:before="0" w:after="0" w:line="240" w:lineRule="auto"/>
              <w:ind w:left="0" w:right="0"/>
              <w:rPr>
                <w:sz w:val="19"/>
                <w:szCs w:val="19"/>
              </w:rPr>
            </w:pPr>
            <w:r w:rsidRPr="00AC393B">
              <w:rPr>
                <w:sz w:val="19"/>
                <w:szCs w:val="19"/>
              </w:rPr>
              <w:t xml:space="preserve">Restriction of </w:t>
            </w:r>
            <w:proofErr w:type="spellStart"/>
            <w:r w:rsidRPr="00AC393B">
              <w:rPr>
                <w:sz w:val="19"/>
                <w:szCs w:val="19"/>
              </w:rPr>
              <w:t>etanercept</w:t>
            </w:r>
            <w:proofErr w:type="spellEnd"/>
            <w:r w:rsidRPr="00AC393B">
              <w:rPr>
                <w:sz w:val="19"/>
                <w:szCs w:val="19"/>
              </w:rPr>
              <w:t xml:space="preserve"> administration in children aged 2</w:t>
            </w:r>
            <w:r w:rsidR="001F68DB" w:rsidRPr="00AC393B">
              <w:rPr>
                <w:sz w:val="19"/>
                <w:szCs w:val="19"/>
              </w:rPr>
              <w:t xml:space="preserve"> to </w:t>
            </w:r>
            <w:r w:rsidRPr="00AC393B">
              <w:rPr>
                <w:sz w:val="19"/>
                <w:szCs w:val="19"/>
              </w:rPr>
              <w:t>4</w:t>
            </w:r>
            <w:r w:rsidR="002040F3" w:rsidRPr="00AC393B">
              <w:rPr>
                <w:sz w:val="19"/>
                <w:szCs w:val="19"/>
              </w:rPr>
              <w:t xml:space="preserve"> years</w:t>
            </w:r>
            <w:r w:rsidRPr="00AC393B">
              <w:rPr>
                <w:sz w:val="19"/>
                <w:szCs w:val="19"/>
              </w:rPr>
              <w:t xml:space="preserve"> to health care professionals only.</w:t>
            </w:r>
          </w:p>
        </w:tc>
        <w:tc>
          <w:tcPr>
            <w:tcW w:w="22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3.5.1. Dosing Table</w:t>
            </w:r>
          </w:p>
          <w:p w:rsidR="0084185F" w:rsidRPr="00AC393B" w:rsidRDefault="0084185F" w:rsidP="00AC393B">
            <w:pPr>
              <w:spacing w:before="0" w:after="0" w:line="240" w:lineRule="auto"/>
              <w:ind w:left="0" w:right="0"/>
              <w:rPr>
                <w:sz w:val="19"/>
                <w:szCs w:val="19"/>
              </w:rPr>
            </w:pPr>
            <w:r w:rsidRPr="00AC393B">
              <w:rPr>
                <w:sz w:val="19"/>
                <w:szCs w:val="19"/>
              </w:rPr>
              <w:t>The dosing table in the patient instructions leaflet has been amended to account for the once weekly dosing option in children with JIA. As the patient instructions leaflet is included in every pack, Pfizer does not believe that the dosing table needs to be duplicated in the CMI, as the CMI and the Instructions for use are printed on the same pack leaflet.</w:t>
            </w:r>
          </w:p>
          <w:p w:rsidR="0084185F" w:rsidRPr="00AC393B" w:rsidRDefault="0084185F" w:rsidP="00AC393B">
            <w:pPr>
              <w:spacing w:before="0" w:after="0" w:line="240" w:lineRule="auto"/>
              <w:ind w:left="0" w:right="0"/>
              <w:rPr>
                <w:sz w:val="19"/>
                <w:szCs w:val="19"/>
              </w:rPr>
            </w:pPr>
            <w:r w:rsidRPr="00AC393B">
              <w:rPr>
                <w:sz w:val="19"/>
                <w:szCs w:val="19"/>
              </w:rPr>
              <w:t>3.5.2. Pictures Describing Injection Technique</w:t>
            </w:r>
          </w:p>
          <w:p w:rsidR="0084185F" w:rsidRPr="00AC393B" w:rsidRDefault="0084185F" w:rsidP="00AC393B">
            <w:pPr>
              <w:spacing w:before="0" w:after="0" w:line="240" w:lineRule="auto"/>
              <w:ind w:left="0" w:right="0"/>
              <w:rPr>
                <w:sz w:val="19"/>
                <w:szCs w:val="19"/>
              </w:rPr>
            </w:pPr>
            <w:r w:rsidRPr="00AC393B">
              <w:rPr>
                <w:sz w:val="19"/>
                <w:szCs w:val="19"/>
              </w:rPr>
              <w:t xml:space="preserve">The patient </w:t>
            </w:r>
            <w:proofErr w:type="gramStart"/>
            <w:r w:rsidRPr="00AC393B">
              <w:rPr>
                <w:sz w:val="19"/>
                <w:szCs w:val="19"/>
              </w:rPr>
              <w:t>instructions in the instructions for use leaflet includes</w:t>
            </w:r>
            <w:proofErr w:type="gramEnd"/>
            <w:r w:rsidRPr="00AC393B">
              <w:rPr>
                <w:sz w:val="19"/>
                <w:szCs w:val="19"/>
              </w:rPr>
              <w:t xml:space="preserve"> numerous pictures to assist the patient/carer to administer Enbrel safely and correctly. The instructions leaflet is included in every pack. Duplication of these pictures in the CMI is therefore not required.</w:t>
            </w:r>
          </w:p>
          <w:p w:rsidR="0084185F" w:rsidRPr="00AC393B" w:rsidRDefault="0084185F" w:rsidP="00AC393B">
            <w:pPr>
              <w:spacing w:before="0" w:after="0" w:line="240" w:lineRule="auto"/>
              <w:ind w:left="0" w:right="0"/>
              <w:rPr>
                <w:sz w:val="19"/>
                <w:szCs w:val="19"/>
              </w:rPr>
            </w:pPr>
            <w:r w:rsidRPr="00AC393B">
              <w:rPr>
                <w:sz w:val="19"/>
                <w:szCs w:val="19"/>
              </w:rPr>
              <w:t xml:space="preserve">3.5.3. Restriction of </w:t>
            </w:r>
            <w:proofErr w:type="spellStart"/>
            <w:r w:rsidRPr="00AC393B">
              <w:rPr>
                <w:sz w:val="19"/>
                <w:szCs w:val="19"/>
              </w:rPr>
              <w:t>Etanercept</w:t>
            </w:r>
            <w:proofErr w:type="spellEnd"/>
            <w:r w:rsidRPr="00AC393B">
              <w:rPr>
                <w:sz w:val="19"/>
                <w:szCs w:val="19"/>
              </w:rPr>
              <w:t xml:space="preserve"> Administration in Children Aged 2</w:t>
            </w:r>
            <w:r w:rsidR="00AC393B">
              <w:rPr>
                <w:sz w:val="19"/>
                <w:szCs w:val="19"/>
              </w:rPr>
              <w:t xml:space="preserve"> to </w:t>
            </w:r>
            <w:r w:rsidRPr="00AC393B">
              <w:rPr>
                <w:sz w:val="19"/>
                <w:szCs w:val="19"/>
              </w:rPr>
              <w:t>4 Years to Healthcare Professionals Only</w:t>
            </w:r>
          </w:p>
          <w:p w:rsidR="0084185F" w:rsidRPr="00AC393B" w:rsidRDefault="0084185F" w:rsidP="00AC393B">
            <w:pPr>
              <w:spacing w:before="0" w:after="0" w:line="240" w:lineRule="auto"/>
              <w:ind w:left="0" w:right="0"/>
              <w:rPr>
                <w:sz w:val="19"/>
                <w:szCs w:val="19"/>
              </w:rPr>
            </w:pPr>
            <w:r w:rsidRPr="00AC393B">
              <w:rPr>
                <w:sz w:val="19"/>
                <w:szCs w:val="19"/>
              </w:rPr>
              <w:t>As previously stated Pfizer does not agree with the evaluator’s suggestion of administration restrictions in the 2</w:t>
            </w:r>
            <w:r w:rsidR="001F68DB" w:rsidRPr="00AC393B">
              <w:rPr>
                <w:sz w:val="19"/>
                <w:szCs w:val="19"/>
              </w:rPr>
              <w:t xml:space="preserve"> to </w:t>
            </w:r>
            <w:r w:rsidRPr="00AC393B">
              <w:rPr>
                <w:sz w:val="19"/>
                <w:szCs w:val="19"/>
              </w:rPr>
              <w:t>4 years age group, and therefore does not propose to add text to the CMI restricting the administration of Enbrel.</w:t>
            </w:r>
          </w:p>
        </w:tc>
        <w:tc>
          <w:tcPr>
            <w:tcW w:w="11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84185F" w:rsidRPr="00AC393B" w:rsidRDefault="0084185F" w:rsidP="00AC393B">
            <w:pPr>
              <w:spacing w:before="0" w:after="0" w:line="240" w:lineRule="auto"/>
              <w:ind w:left="0" w:right="0"/>
              <w:rPr>
                <w:sz w:val="19"/>
                <w:szCs w:val="19"/>
              </w:rPr>
            </w:pPr>
            <w:r w:rsidRPr="00AC393B">
              <w:rPr>
                <w:sz w:val="19"/>
                <w:szCs w:val="19"/>
              </w:rPr>
              <w:t>This is acceptable</w:t>
            </w:r>
          </w:p>
        </w:tc>
      </w:tr>
    </w:tbl>
    <w:p w:rsidR="008E7846" w:rsidRPr="00792A32" w:rsidRDefault="008E7846" w:rsidP="008E7846">
      <w:pPr>
        <w:pStyle w:val="Heading2"/>
      </w:pPr>
      <w:bookmarkStart w:id="148" w:name="_Toc314842510"/>
      <w:bookmarkStart w:id="149" w:name="_Toc39033007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4"/>
      <w:bookmarkEnd w:id="147"/>
      <w:bookmarkEnd w:id="148"/>
      <w:bookmarkEnd w:id="149"/>
    </w:p>
    <w:p w:rsidR="008E7846" w:rsidRDefault="008E7846" w:rsidP="008E7846">
      <w:bookmarkStart w:id="15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51" w:name="_Toc314842511"/>
      <w:bookmarkStart w:id="152" w:name="_Toc390330076"/>
      <w:r>
        <w:t>Quality</w:t>
      </w:r>
      <w:bookmarkEnd w:id="150"/>
      <w:bookmarkEnd w:id="151"/>
      <w:bookmarkEnd w:id="152"/>
    </w:p>
    <w:p w:rsidR="00E45619" w:rsidRDefault="008E7846" w:rsidP="003A7F6C">
      <w:r>
        <w:t>There was no requirement for a quality evaluation in a submission of this type.</w:t>
      </w:r>
    </w:p>
    <w:p w:rsidR="008E7846" w:rsidRDefault="008E7846" w:rsidP="008E7846">
      <w:pPr>
        <w:pStyle w:val="Heading3"/>
      </w:pPr>
      <w:bookmarkStart w:id="153" w:name="_Toc314842512"/>
      <w:bookmarkStart w:id="154" w:name="_Toc390330077"/>
      <w:r>
        <w:t>Nonclinical</w:t>
      </w:r>
      <w:bookmarkEnd w:id="153"/>
      <w:bookmarkEnd w:id="154"/>
    </w:p>
    <w:p w:rsidR="008E7846" w:rsidRDefault="008E7846" w:rsidP="008E7846">
      <w:r>
        <w:t>There was no requirement for a nonclinical evaluation in a submission of this type.</w:t>
      </w:r>
    </w:p>
    <w:p w:rsidR="008E7846" w:rsidRDefault="008E7846" w:rsidP="008E7846">
      <w:pPr>
        <w:pStyle w:val="Heading3"/>
      </w:pPr>
      <w:bookmarkStart w:id="155" w:name="_Toc247691530"/>
      <w:bookmarkStart w:id="156" w:name="_Toc314842513"/>
      <w:bookmarkStart w:id="157" w:name="_Toc390330078"/>
      <w:r>
        <w:t>Clinical</w:t>
      </w:r>
      <w:bookmarkEnd w:id="155"/>
      <w:bookmarkEnd w:id="156"/>
      <w:bookmarkEnd w:id="157"/>
    </w:p>
    <w:p w:rsidR="0084185F" w:rsidRPr="00AC393B" w:rsidRDefault="0084185F" w:rsidP="00AC393B">
      <w:r w:rsidRPr="00AC393B">
        <w:t xml:space="preserve">The clinical evaluator has recommended approval to extend the indication for ETN to include the treatment of additional subtypes of JIA; to lower the age limit of treatment from the currently approved 4 years of age to 2 years of age for those patients with </w:t>
      </w:r>
      <w:proofErr w:type="spellStart"/>
      <w:r w:rsidRPr="00AC393B">
        <w:t>eoJIA</w:t>
      </w:r>
      <w:proofErr w:type="spellEnd"/>
      <w:r w:rsidRPr="00AC393B">
        <w:t xml:space="preserve"> and </w:t>
      </w:r>
      <w:proofErr w:type="spellStart"/>
      <w:r w:rsidRPr="00AC393B">
        <w:t>pJIA</w:t>
      </w:r>
      <w:proofErr w:type="spellEnd"/>
      <w:r w:rsidRPr="00AC393B">
        <w:t>; to add a once weekly dosing regimen (0.8 mg/kg, up to a maximum of 50 mg) as an alternative treatment regimen; and to amend the current PI to incorporate the internationally accepted contemporary classification of JIA by the ILAR criteria.</w:t>
      </w:r>
    </w:p>
    <w:p w:rsidR="0084185F" w:rsidRPr="00AC393B" w:rsidRDefault="0084185F" w:rsidP="00AC393B">
      <w:r w:rsidRPr="00AC393B">
        <w:t>The clinical evaluator has reviewed the submitted data, which included:</w:t>
      </w:r>
    </w:p>
    <w:p w:rsidR="0084185F" w:rsidRPr="00AC393B" w:rsidRDefault="0084185F" w:rsidP="00AC393B">
      <w:pPr>
        <w:pStyle w:val="ListBullet"/>
      </w:pPr>
      <w:r w:rsidRPr="00AC393B">
        <w:t xml:space="preserve">1 pivotal Phase </w:t>
      </w:r>
      <w:proofErr w:type="spellStart"/>
      <w:r w:rsidRPr="00AC393B">
        <w:t>IIIb</w:t>
      </w:r>
      <w:proofErr w:type="spellEnd"/>
      <w:r w:rsidRPr="00AC393B">
        <w:t>, single treatment, open</w:t>
      </w:r>
      <w:r w:rsidR="001F68DB" w:rsidRPr="00AC393B">
        <w:t xml:space="preserve"> </w:t>
      </w:r>
      <w:r w:rsidRPr="00AC393B">
        <w:t>label, 2</w:t>
      </w:r>
      <w:r w:rsidR="001F68DB" w:rsidRPr="00AC393B">
        <w:t xml:space="preserve"> </w:t>
      </w:r>
      <w:r w:rsidRPr="00AC393B">
        <w:t>part study (Study 0881A1</w:t>
      </w:r>
      <w:r w:rsidR="001F68DB" w:rsidRPr="00AC393B">
        <w:t xml:space="preserve"> </w:t>
      </w:r>
      <w:r w:rsidRPr="00AC393B">
        <w:t xml:space="preserve">3338, also known as </w:t>
      </w:r>
      <w:r w:rsidR="002040F3" w:rsidRPr="00AC393B">
        <w:t>Study</w:t>
      </w:r>
      <w:r w:rsidRPr="00AC393B">
        <w:t xml:space="preserve"> B1801014).</w:t>
      </w:r>
    </w:p>
    <w:p w:rsidR="0084185F" w:rsidRPr="00AC393B" w:rsidRDefault="0084185F" w:rsidP="00AC393B">
      <w:pPr>
        <w:pStyle w:val="ListBullet"/>
      </w:pPr>
      <w:r w:rsidRPr="00AC393B">
        <w:t>1 supporting, open</w:t>
      </w:r>
      <w:r w:rsidR="001F68DB" w:rsidRPr="00AC393B">
        <w:t xml:space="preserve"> </w:t>
      </w:r>
      <w:r w:rsidRPr="00AC393B">
        <w:t>label extension study (Study 20021618).</w:t>
      </w:r>
    </w:p>
    <w:p w:rsidR="0084185F" w:rsidRPr="00AC393B" w:rsidRDefault="0084185F" w:rsidP="00AC393B">
      <w:pPr>
        <w:pStyle w:val="ListBullet"/>
      </w:pPr>
      <w:r w:rsidRPr="00AC393B">
        <w:t xml:space="preserve">1 </w:t>
      </w:r>
      <w:r w:rsidR="002040F3" w:rsidRPr="00AC393B">
        <w:t>Phase</w:t>
      </w:r>
      <w:r w:rsidRPr="00AC393B">
        <w:t xml:space="preserve"> IV, open</w:t>
      </w:r>
      <w:r w:rsidR="001F68DB" w:rsidRPr="00AC393B">
        <w:t xml:space="preserve"> </w:t>
      </w:r>
      <w:r w:rsidRPr="00AC393B">
        <w:t xml:space="preserve">label registry study of 36 months duration in patients with active </w:t>
      </w:r>
      <w:proofErr w:type="spellStart"/>
      <w:r w:rsidRPr="00AC393B">
        <w:t>polyarticular</w:t>
      </w:r>
      <w:proofErr w:type="spellEnd"/>
      <w:r w:rsidRPr="00AC393B">
        <w:t xml:space="preserve"> or systemic JIA (Study 20021626).</w:t>
      </w:r>
    </w:p>
    <w:p w:rsidR="0084185F" w:rsidRPr="00AC393B" w:rsidRDefault="0084185F" w:rsidP="00AC393B">
      <w:r w:rsidRPr="00AC393B">
        <w:t>The benefits noted by the evaluator included:</w:t>
      </w:r>
    </w:p>
    <w:p w:rsidR="0084185F" w:rsidRPr="00AC393B" w:rsidRDefault="0084185F" w:rsidP="00AC393B">
      <w:pPr>
        <w:pStyle w:val="ListBullet"/>
      </w:pPr>
      <w:r w:rsidRPr="00AC393B">
        <w:t>88.6% of patients achieved an ACR Pedi 30 response at Week 12, compared with 28.9% or 42.8% (ERA only) in historical placebo controls and 73.9% in historical active controls</w:t>
      </w:r>
      <w:r w:rsidR="00AC393B">
        <w:t>.</w:t>
      </w:r>
    </w:p>
    <w:p w:rsidR="0084185F" w:rsidRPr="00AC393B" w:rsidRDefault="0084185F" w:rsidP="00AC393B">
      <w:pPr>
        <w:pStyle w:val="ListBullet"/>
      </w:pPr>
      <w:r w:rsidRPr="00AC393B">
        <w:t>Response was similar in the JIA subtypes (</w:t>
      </w:r>
      <w:proofErr w:type="spellStart"/>
      <w:r w:rsidRPr="00AC393B">
        <w:t>eoJIA</w:t>
      </w:r>
      <w:proofErr w:type="spellEnd"/>
      <w:r w:rsidRPr="00AC393B">
        <w:t xml:space="preserve">, ERA, and </w:t>
      </w:r>
      <w:proofErr w:type="spellStart"/>
      <w:r w:rsidRPr="00AC393B">
        <w:t>PsA</w:t>
      </w:r>
      <w:proofErr w:type="spellEnd"/>
      <w:r w:rsidRPr="00AC393B">
        <w:t>), and in each of the pre</w:t>
      </w:r>
      <w:r w:rsidR="001F68DB" w:rsidRPr="00AC393B">
        <w:t xml:space="preserve"> </w:t>
      </w:r>
      <w:r w:rsidRPr="00AC393B">
        <w:t>specified age</w:t>
      </w:r>
      <w:r w:rsidR="001F68DB" w:rsidRPr="00AC393B">
        <w:t xml:space="preserve"> </w:t>
      </w:r>
      <w:r w:rsidRPr="00AC393B">
        <w:t xml:space="preserve">brackets within the </w:t>
      </w:r>
      <w:proofErr w:type="spellStart"/>
      <w:r w:rsidRPr="00AC393B">
        <w:t>eoJIA</w:t>
      </w:r>
      <w:proofErr w:type="spellEnd"/>
      <w:r w:rsidRPr="00AC393B">
        <w:t xml:space="preserve"> subtype (2</w:t>
      </w:r>
      <w:r w:rsidR="001F68DB" w:rsidRPr="00AC393B">
        <w:t xml:space="preserve"> to </w:t>
      </w:r>
      <w:r w:rsidRPr="00AC393B">
        <w:t>4 years 93.3%, 5</w:t>
      </w:r>
      <w:r w:rsidR="001F68DB" w:rsidRPr="00AC393B">
        <w:t xml:space="preserve"> to </w:t>
      </w:r>
      <w:r w:rsidRPr="00AC393B">
        <w:t>11 years 90.9%, and 12</w:t>
      </w:r>
      <w:r w:rsidR="001F68DB" w:rsidRPr="00AC393B">
        <w:t xml:space="preserve"> to </w:t>
      </w:r>
      <w:r w:rsidRPr="00AC393B">
        <w:t>17 years 85.7%)</w:t>
      </w:r>
      <w:r w:rsidR="00AC393B">
        <w:t>.</w:t>
      </w:r>
    </w:p>
    <w:p w:rsidR="0084185F" w:rsidRPr="00AC393B" w:rsidRDefault="0084185F" w:rsidP="00AC393B">
      <w:pPr>
        <w:pStyle w:val="ListBullet"/>
      </w:pPr>
      <w:r w:rsidRPr="00AC393B">
        <w:t xml:space="preserve">Efficacy was </w:t>
      </w:r>
      <w:proofErr w:type="gramStart"/>
      <w:r w:rsidRPr="00AC393B">
        <w:t>maintained/improved</w:t>
      </w:r>
      <w:proofErr w:type="gramEnd"/>
      <w:r w:rsidRPr="00AC393B">
        <w:t xml:space="preserve"> during 96 weeks of follow</w:t>
      </w:r>
      <w:r w:rsidR="001F68DB" w:rsidRPr="00AC393B">
        <w:t xml:space="preserve"> </w:t>
      </w:r>
      <w:r w:rsidRPr="00AC393B">
        <w:t>up</w:t>
      </w:r>
      <w:r w:rsidR="00AC393B">
        <w:t>.</w:t>
      </w:r>
    </w:p>
    <w:p w:rsidR="0084185F" w:rsidRPr="00AC393B" w:rsidRDefault="0084185F" w:rsidP="00AC393B">
      <w:pPr>
        <w:pStyle w:val="ListBullet"/>
      </w:pPr>
      <w:r w:rsidRPr="00AC393B">
        <w:t>Safety profile was consistent with previously reported studies in JIA and no new safety concerns</w:t>
      </w:r>
      <w:r w:rsidR="00AC393B">
        <w:t>.</w:t>
      </w:r>
    </w:p>
    <w:p w:rsidR="0084185F" w:rsidRPr="006C4B56" w:rsidRDefault="0084185F" w:rsidP="00AC393B">
      <w:r w:rsidRPr="006C4B56">
        <w:t>The concerns noted by the evaluator included:</w:t>
      </w:r>
    </w:p>
    <w:p w:rsidR="0084185F" w:rsidRPr="00AA0193" w:rsidRDefault="0084185F" w:rsidP="00AC393B">
      <w:pPr>
        <w:pStyle w:val="ListBullet"/>
      </w:pPr>
      <w:r w:rsidRPr="00AA0193">
        <w:t>The overall study design is not consistent with the TGA adopted EU guideline CPMP/EWP/422/04 “Guideline on Clinical Investigation of Medicinal Products for the Treatment of Juvenile Idiopathic Arthritis”</w:t>
      </w:r>
      <w:r>
        <w:t>.</w:t>
      </w:r>
    </w:p>
    <w:p w:rsidR="002040F3" w:rsidRDefault="0084185F" w:rsidP="00AC393B">
      <w:pPr>
        <w:pStyle w:val="ListBullet"/>
      </w:pPr>
      <w:r>
        <w:t>The pivotal study excluded patients who were at significant risk of infection, or who had various abnormal laboratory results at baseline.</w:t>
      </w:r>
    </w:p>
    <w:p w:rsidR="0084185F" w:rsidRPr="006C4B56" w:rsidRDefault="0084185F" w:rsidP="00AC393B">
      <w:pPr>
        <w:pStyle w:val="Heading4"/>
      </w:pPr>
      <w:r w:rsidRPr="006C4B56">
        <w:t>Pharmacology</w:t>
      </w:r>
    </w:p>
    <w:p w:rsidR="00BC6F0F" w:rsidRDefault="0084185F" w:rsidP="00AC393B">
      <w:r w:rsidRPr="00AC393B">
        <w:t xml:space="preserve">No new pharmacokinetic (PK) or </w:t>
      </w:r>
      <w:proofErr w:type="spellStart"/>
      <w:r w:rsidRPr="00AC393B">
        <w:t>pharmacodynamic</w:t>
      </w:r>
      <w:proofErr w:type="spellEnd"/>
      <w:r w:rsidRPr="00AC393B">
        <w:t xml:space="preserve"> (PD) data was provided in this submission.</w:t>
      </w:r>
      <w:r w:rsidR="002040F3" w:rsidRPr="00AC393B">
        <w:t xml:space="preserve"> </w:t>
      </w:r>
      <w:r w:rsidRPr="00AC393B">
        <w:t xml:space="preserve">No PK data for children aged 2 to </w:t>
      </w:r>
      <w:r w:rsidR="002040F3" w:rsidRPr="00AC393B">
        <w:t xml:space="preserve">less than </w:t>
      </w:r>
      <w:r w:rsidRPr="00AC393B">
        <w:t>4 years were presented.</w:t>
      </w:r>
      <w:r w:rsidR="002040F3" w:rsidRPr="00AC393B">
        <w:t xml:space="preserve"> </w:t>
      </w:r>
      <w:r w:rsidRPr="00AC393B">
        <w:t xml:space="preserve">The sponsor extrapolated the findings from patients aged 4 </w:t>
      </w:r>
      <w:r w:rsidR="002040F3" w:rsidRPr="00AC393B">
        <w:t>to</w:t>
      </w:r>
      <w:r w:rsidR="00DC309B" w:rsidRPr="00AC393B">
        <w:t xml:space="preserve"> </w:t>
      </w:r>
      <w:r w:rsidRPr="00AC393B">
        <w:t xml:space="preserve">17 years collected in the previously evaluated, pivotal JIA registration study (Study 16.0016) which demonstrated increased clearance of ETN when normalised by weight, and recommended the same dosing regimen in the younger patients (0.4 mg/kg </w:t>
      </w:r>
      <w:r w:rsidR="00277CC3" w:rsidRPr="00AC393B">
        <w:t>(</w:t>
      </w:r>
      <w:r w:rsidRPr="00AC393B">
        <w:t>up to 25 mg</w:t>
      </w:r>
      <w:r w:rsidR="00277CC3" w:rsidRPr="00AC393B">
        <w:t>)</w:t>
      </w:r>
      <w:r w:rsidRPr="00AC393B">
        <w:t xml:space="preserve"> twice weekly).</w:t>
      </w:r>
      <w:r w:rsidR="002040F3" w:rsidRPr="00AC393B">
        <w:t xml:space="preserve"> </w:t>
      </w:r>
      <w:r w:rsidRPr="00AC393B">
        <w:t xml:space="preserve">In response to a Section 31 question regarding the availability of PK data for children aged 2 to </w:t>
      </w:r>
      <w:r w:rsidR="002040F3" w:rsidRPr="00AC393B">
        <w:t xml:space="preserve">less than </w:t>
      </w:r>
      <w:r w:rsidRPr="00AC393B">
        <w:t>4 years, the sponsor acknowledged that there were no data, and reiterated that they expect the same dose regimens “to provide similar exposure to that observed in older children receiving the same dose as well as in adults receiving 25 mg BIW or 50 mg QW, where efficacy and safety have been well established.</w:t>
      </w:r>
      <w:r w:rsidR="002040F3" w:rsidRPr="00AC393B">
        <w:t xml:space="preserve"> </w:t>
      </w:r>
      <w:r w:rsidRPr="00AC393B">
        <w:t>The pharmacokinetic reasoning appears to be supported by the safety and efficacy observations in these young children.”</w:t>
      </w:r>
      <w:r w:rsidR="002040F3" w:rsidRPr="00AC393B">
        <w:t xml:space="preserve"> </w:t>
      </w:r>
      <w:r w:rsidRPr="00AC393B">
        <w:t>Evidence was based on comparability of ETN concentrations after twice weekly dosing between JIA subjects and adult subjects with AS, and simulations conducted using a population pharmacokinetic model.</w:t>
      </w:r>
    </w:p>
    <w:p w:rsidR="0084185F" w:rsidRPr="00AC393B" w:rsidRDefault="0084185F" w:rsidP="00AC393B">
      <w:r w:rsidRPr="00AC393B">
        <w:t>The clinical evaluator disagreed with the sponsor’s argument with respect to extrapolating PK data from older children to estimate ETN dosing in younger children, citing the EMA guideline CHMP/EWP/147013/2004 “Guideline on the role of Pharmacokinetics in the Development of Medicinal Products in the Paediatric Population” (effective 24 August 2009).</w:t>
      </w:r>
      <w:r w:rsidR="002040F3" w:rsidRPr="00AC393B">
        <w:t xml:space="preserve"> </w:t>
      </w:r>
      <w:r w:rsidRPr="00AC393B">
        <w:t>This guideline states: “The pharmacokinetics in children aged 2</w:t>
      </w:r>
      <w:r w:rsidR="001F68DB" w:rsidRPr="00AC393B">
        <w:t xml:space="preserve"> to </w:t>
      </w:r>
      <w:r w:rsidRPr="00AC393B">
        <w:t xml:space="preserve">4 years is probably the least predictable within this (children aged 2 </w:t>
      </w:r>
      <w:r w:rsidR="001F68DB" w:rsidRPr="00AC393B">
        <w:t>to</w:t>
      </w:r>
      <w:r w:rsidR="002040F3" w:rsidRPr="00AC393B">
        <w:t xml:space="preserve"> </w:t>
      </w:r>
      <w:r w:rsidRPr="00AC393B">
        <w:t>11 years) group.”</w:t>
      </w:r>
      <w:r w:rsidR="002040F3" w:rsidRPr="00AC393B">
        <w:t xml:space="preserve"> </w:t>
      </w:r>
      <w:r w:rsidRPr="00AC393B">
        <w:t>Notwithstanding this, the similarity in efficacy and safety in younger and older children is supportive of the sponsor’s dosing recommendations.</w:t>
      </w:r>
    </w:p>
    <w:p w:rsidR="002040F3" w:rsidRDefault="0084185F" w:rsidP="00AC393B">
      <w:r w:rsidRPr="00AC393B">
        <w:t>PK modelling simulation using data collected in children with JIA (Study 16.0016) demonstrated that ETN 0.8 mg/kg once weekly achieved comparable drug</w:t>
      </w:r>
      <w:r w:rsidRPr="000B452B">
        <w:t xml:space="preserve"> exposure to 0.4 mg/kg twice weekly (steady state peak and trough ETN concentration 11% higher and 18% lower, respectively), albeit with a large overlap of concentration profiles.</w:t>
      </w:r>
    </w:p>
    <w:p w:rsidR="0084185F" w:rsidRPr="006C4B56" w:rsidRDefault="0084185F" w:rsidP="00AC393B">
      <w:pPr>
        <w:pStyle w:val="Heading4"/>
      </w:pPr>
      <w:r w:rsidRPr="006C4B56">
        <w:t>Efficacy</w:t>
      </w:r>
    </w:p>
    <w:p w:rsidR="00AC393B" w:rsidRDefault="0084185F" w:rsidP="00AC393B">
      <w:pPr>
        <w:pStyle w:val="Heading5"/>
      </w:pPr>
      <w:bookmarkStart w:id="158" w:name="_Ref243301615"/>
      <w:bookmarkStart w:id="159" w:name="_Ref271040927"/>
      <w:bookmarkStart w:id="160" w:name="_Ref271040932"/>
      <w:bookmarkStart w:id="161" w:name="_Toc272414653"/>
      <w:bookmarkStart w:id="162" w:name="_Toc290846275"/>
      <w:bookmarkStart w:id="163" w:name="OLE_LINK3"/>
      <w:bookmarkStart w:id="164" w:name="OLE_LINK4"/>
      <w:r w:rsidRPr="00AC393B">
        <w:t xml:space="preserve">Study </w:t>
      </w:r>
      <w:bookmarkEnd w:id="158"/>
      <w:bookmarkEnd w:id="159"/>
      <w:bookmarkEnd w:id="160"/>
      <w:bookmarkEnd w:id="161"/>
      <w:bookmarkEnd w:id="162"/>
      <w:r w:rsidRPr="00AC393B">
        <w:t>0881A1-3338</w:t>
      </w:r>
    </w:p>
    <w:p w:rsidR="0084185F" w:rsidRPr="00AC393B" w:rsidRDefault="0084185F" w:rsidP="00AC393B">
      <w:r w:rsidRPr="00AC393B">
        <w:t>This was a 96</w:t>
      </w:r>
      <w:r w:rsidR="001F68DB" w:rsidRPr="00AC393B">
        <w:t xml:space="preserve"> </w:t>
      </w:r>
      <w:r w:rsidRPr="00AC393B">
        <w:t>week 2</w:t>
      </w:r>
      <w:r w:rsidR="001F68DB" w:rsidRPr="00AC393B">
        <w:t xml:space="preserve"> </w:t>
      </w:r>
      <w:r w:rsidRPr="00AC393B">
        <w:t>part, open</w:t>
      </w:r>
      <w:r w:rsidR="001F68DB" w:rsidRPr="00AC393B">
        <w:t xml:space="preserve"> </w:t>
      </w:r>
      <w:r w:rsidRPr="00AC393B">
        <w:t xml:space="preserve">label, historical control, Phase III study to evaluate the efficacy and safety of ETN in children and adolescents with </w:t>
      </w:r>
      <w:proofErr w:type="spellStart"/>
      <w:r w:rsidRPr="00AC393B">
        <w:t>eoJIA</w:t>
      </w:r>
      <w:proofErr w:type="spellEnd"/>
      <w:r w:rsidRPr="00AC393B">
        <w:t xml:space="preserve">, ERA or </w:t>
      </w:r>
      <w:proofErr w:type="spellStart"/>
      <w:r w:rsidRPr="00AC393B">
        <w:t>PsA</w:t>
      </w:r>
      <w:proofErr w:type="spellEnd"/>
      <w:r w:rsidRPr="00AC393B">
        <w:t xml:space="preserve"> with a history of intolerance or inadequate response to a </w:t>
      </w:r>
      <w:r w:rsidR="002040F3" w:rsidRPr="00AC393B">
        <w:t xml:space="preserve">greater than or equal to </w:t>
      </w:r>
      <w:r w:rsidRPr="00AC393B">
        <w:t xml:space="preserve">3 month course of at least 1 conventional DMARD (MTX, sulfasalazine, </w:t>
      </w:r>
      <w:proofErr w:type="spellStart"/>
      <w:r w:rsidRPr="00AC393B">
        <w:t>chloroquine</w:t>
      </w:r>
      <w:proofErr w:type="spellEnd"/>
      <w:r w:rsidRPr="00AC393B">
        <w:t xml:space="preserve"> or </w:t>
      </w:r>
      <w:proofErr w:type="spellStart"/>
      <w:r w:rsidRPr="00AC393B">
        <w:t>hydroxychloroquine</w:t>
      </w:r>
      <w:proofErr w:type="spellEnd"/>
      <w:r w:rsidRPr="00AC393B">
        <w:t>).</w:t>
      </w:r>
      <w:r w:rsidR="002040F3" w:rsidRPr="00AC393B">
        <w:t xml:space="preserve"> </w:t>
      </w:r>
      <w:r w:rsidRPr="00AC393B">
        <w:t>It was conducted at 26 centres in Europe, Australia and Latin America.</w:t>
      </w:r>
      <w:r w:rsidR="002040F3" w:rsidRPr="00AC393B">
        <w:t xml:space="preserve"> </w:t>
      </w:r>
      <w:r w:rsidRPr="00AC393B">
        <w:t>Part I consisted of a 12</w:t>
      </w:r>
      <w:r w:rsidR="001F68DB" w:rsidRPr="00AC393B">
        <w:t xml:space="preserve"> </w:t>
      </w:r>
      <w:r w:rsidRPr="00AC393B">
        <w:t>week active ETN treatment period primarily designed to assess efficacy, Part II consisted of a further 84</w:t>
      </w:r>
      <w:r w:rsidR="001F68DB" w:rsidRPr="00AC393B">
        <w:t xml:space="preserve"> </w:t>
      </w:r>
      <w:r w:rsidRPr="00AC393B">
        <w:t>weeks of open</w:t>
      </w:r>
      <w:r w:rsidR="001F68DB" w:rsidRPr="00AC393B">
        <w:t xml:space="preserve"> </w:t>
      </w:r>
      <w:r w:rsidRPr="00AC393B">
        <w:t>label ETN treatment to assess long</w:t>
      </w:r>
      <w:r w:rsidR="001F68DB" w:rsidRPr="00AC393B">
        <w:t xml:space="preserve"> </w:t>
      </w:r>
      <w:r w:rsidRPr="00AC393B">
        <w:t>term safety.</w:t>
      </w:r>
      <w:r w:rsidR="002040F3" w:rsidRPr="00AC393B">
        <w:t xml:space="preserve"> </w:t>
      </w:r>
      <w:r w:rsidRPr="00AC393B">
        <w:t>All eligible patients received ETN 0.8 mg/kg (to a maximum dose of 50 mg) once weekly.</w:t>
      </w:r>
      <w:r w:rsidR="002040F3" w:rsidRPr="00AC393B">
        <w:t xml:space="preserve"> </w:t>
      </w:r>
      <w:r w:rsidRPr="00AC393B">
        <w:t>Patients who completed Part I were eligible to enter Part II.</w:t>
      </w:r>
    </w:p>
    <w:p w:rsidR="0084185F" w:rsidRPr="00AC393B" w:rsidRDefault="0084185F" w:rsidP="00AC393B">
      <w:r w:rsidRPr="00AC393B">
        <w:t xml:space="preserve">The primary efficacy outcome was the proportion of patients on ETN who achieved ACR Paediatric 30 (Pedi 30) response </w:t>
      </w:r>
      <w:r w:rsidR="00AC393B">
        <w:t>at W</w:t>
      </w:r>
      <w:r w:rsidRPr="00AC393B">
        <w:t>eek 12. The result was compared to historical placebo and active control data.</w:t>
      </w:r>
      <w:r w:rsidR="002040F3" w:rsidRPr="00AC393B">
        <w:t xml:space="preserve"> </w:t>
      </w:r>
      <w:r w:rsidRPr="00AC393B">
        <w:t>Efficacy data for Part II was provided in response to a section 31 request.</w:t>
      </w:r>
    </w:p>
    <w:p w:rsidR="00AC393B" w:rsidRDefault="0084185F" w:rsidP="00AC393B">
      <w:pPr>
        <w:rPr>
          <w:rFonts w:cs="ArialMT"/>
        </w:rPr>
      </w:pPr>
      <w:r w:rsidRPr="00AC393B">
        <w:t>The overall study design is not consistent with the TGA adopted EU guideline CPMP/EWP/422/04 “Guideline on Clinical Investigation of Medicinal Products for the Treatment of Juvenile Idiopathic Arthritis”, which states that the “parallel group design is the only acceptable means of assessing efficacy and safety”.</w:t>
      </w:r>
      <w:r w:rsidR="002040F3" w:rsidRPr="00AC393B">
        <w:t xml:space="preserve"> </w:t>
      </w:r>
      <w:r w:rsidRPr="00AC393B">
        <w:t>Further, the guideline nominates a randomised withdrawal study design to minimise the risk to paediatric patients of prolonged, untreated active disease, while maintaining data integrity because of the randomisation process leading into Part II.</w:t>
      </w:r>
      <w:r w:rsidR="002040F3" w:rsidRPr="00AC393B">
        <w:t xml:space="preserve"> </w:t>
      </w:r>
      <w:r w:rsidRPr="00AC393B">
        <w:t>The sponsor instead stated that the open</w:t>
      </w:r>
      <w:r w:rsidR="001F68DB" w:rsidRPr="00AC393B">
        <w:t xml:space="preserve"> </w:t>
      </w:r>
      <w:r w:rsidRPr="00AC393B">
        <w:t>label design is consistent with the TGA adopted EU guidelines “Clinical Trials in Small Populations” (July 2006) and “Note for Guidance on Choice of Control Group in Clinical Trials” (April 2001).</w:t>
      </w:r>
      <w:r w:rsidR="002040F3" w:rsidRPr="00AC393B">
        <w:t xml:space="preserve"> </w:t>
      </w:r>
      <w:r w:rsidRPr="00AC393B">
        <w:t xml:space="preserve">However the former guideline acknowledges that </w:t>
      </w:r>
      <w:r w:rsidR="00AC393B">
        <w:t>‘</w:t>
      </w:r>
      <w:r w:rsidRPr="00AC393B">
        <w:rPr>
          <w:i/>
        </w:rPr>
        <w:t>most orphan drugs and paediatric indications submitted for regulatory approval are based on randomised controlled trials that follow generally accepted rules and guidance. Deviation from such standards is, therefore, uncommon and should only be considered when completely unavoidable and would need to be justified</w:t>
      </w:r>
      <w:r w:rsidR="00AC393B">
        <w:rPr>
          <w:i/>
        </w:rPr>
        <w:t>’</w:t>
      </w:r>
      <w:r w:rsidRPr="00AC393B">
        <w:rPr>
          <w:i/>
        </w:rPr>
        <w:t>.</w:t>
      </w:r>
    </w:p>
    <w:p w:rsidR="00AC393B" w:rsidRDefault="0084185F" w:rsidP="00AC393B">
      <w:r w:rsidRPr="00AC393B">
        <w:t xml:space="preserve">The sponsor stated that: </w:t>
      </w:r>
      <w:r w:rsidR="00AC393B">
        <w:t>‘</w:t>
      </w:r>
      <w:r w:rsidRPr="00AC393B">
        <w:rPr>
          <w:i/>
        </w:rPr>
        <w:t>Due to the large amount of information available, both from clinical trials and post</w:t>
      </w:r>
      <w:r w:rsidR="001F68DB" w:rsidRPr="00AC393B">
        <w:rPr>
          <w:i/>
        </w:rPr>
        <w:t xml:space="preserve"> </w:t>
      </w:r>
      <w:r w:rsidRPr="00AC393B">
        <w:rPr>
          <w:i/>
        </w:rPr>
        <w:t xml:space="preserve">marketing data, on the safety and efficacy of </w:t>
      </w:r>
      <w:proofErr w:type="spellStart"/>
      <w:r w:rsidRPr="00AC393B">
        <w:rPr>
          <w:i/>
        </w:rPr>
        <w:t>etanercept</w:t>
      </w:r>
      <w:proofErr w:type="spellEnd"/>
      <w:r w:rsidRPr="00AC393B">
        <w:rPr>
          <w:i/>
        </w:rPr>
        <w:t xml:space="preserve"> in </w:t>
      </w:r>
      <w:proofErr w:type="spellStart"/>
      <w:r w:rsidRPr="00AC393B">
        <w:rPr>
          <w:i/>
        </w:rPr>
        <w:t>polyarticular</w:t>
      </w:r>
      <w:proofErr w:type="spellEnd"/>
      <w:r w:rsidR="001F68DB" w:rsidRPr="00AC393B">
        <w:rPr>
          <w:i/>
        </w:rPr>
        <w:t xml:space="preserve"> </w:t>
      </w:r>
      <w:r w:rsidRPr="00AC393B">
        <w:rPr>
          <w:i/>
        </w:rPr>
        <w:t xml:space="preserve">course JIA subjects, it was determined that it would not be ethical to expose JIA subjects to treatment with placebo in this study. In order to still have a comparator for this study, the sponsor determined that historical controls should be used to assess the individual clinical benefit of </w:t>
      </w:r>
      <w:proofErr w:type="spellStart"/>
      <w:r w:rsidRPr="00AC393B">
        <w:rPr>
          <w:i/>
        </w:rPr>
        <w:t>etanercept</w:t>
      </w:r>
      <w:proofErr w:type="spellEnd"/>
      <w:r w:rsidRPr="00AC393B">
        <w:rPr>
          <w:i/>
        </w:rPr>
        <w:t xml:space="preserve"> in the overall population and in each of the JIA subtypes under study (extended </w:t>
      </w:r>
      <w:proofErr w:type="spellStart"/>
      <w:r w:rsidRPr="00AC393B">
        <w:rPr>
          <w:i/>
        </w:rPr>
        <w:t>oligoarticular</w:t>
      </w:r>
      <w:proofErr w:type="spellEnd"/>
      <w:r w:rsidRPr="00AC393B">
        <w:rPr>
          <w:i/>
        </w:rPr>
        <w:t xml:space="preserve"> JIA, ERA, and </w:t>
      </w:r>
      <w:proofErr w:type="spellStart"/>
      <w:r w:rsidRPr="00AC393B">
        <w:rPr>
          <w:i/>
        </w:rPr>
        <w:t>PsA</w:t>
      </w:r>
      <w:proofErr w:type="spellEnd"/>
      <w:r w:rsidRPr="00AC393B">
        <w:rPr>
          <w:i/>
        </w:rPr>
        <w:t>)</w:t>
      </w:r>
      <w:r w:rsidRPr="00AC393B">
        <w:t>.</w:t>
      </w:r>
      <w:r w:rsidR="00AC393B">
        <w:t>’</w:t>
      </w:r>
    </w:p>
    <w:p w:rsidR="0084185F" w:rsidRPr="00AC393B" w:rsidRDefault="0084185F" w:rsidP="00AC393B">
      <w:r w:rsidRPr="00AC393B">
        <w:t xml:space="preserve">The sponsor further stated that based on their nominated EU guidelines: </w:t>
      </w:r>
      <w:r w:rsidR="00AC393B">
        <w:t>‘</w:t>
      </w:r>
      <w:r w:rsidRPr="00AC393B">
        <w:rPr>
          <w:i/>
        </w:rPr>
        <w:t>the use of historical controls may be acceptable to demonstrate efficacy and safety, as long as adequate attention is paid to careful selection of the external control group, minimization of biases, and appropriate statistical comparisons</w:t>
      </w:r>
      <w:r w:rsidRPr="00AC393B">
        <w:t>.</w:t>
      </w:r>
      <w:r w:rsidR="00AC393B">
        <w:t>’</w:t>
      </w:r>
    </w:p>
    <w:p w:rsidR="00AC393B" w:rsidRPr="00AC393B" w:rsidRDefault="0084185F" w:rsidP="00AC393B">
      <w:r w:rsidRPr="00AC393B">
        <w:t xml:space="preserve">Eligibility criteria included: age </w:t>
      </w:r>
      <w:r w:rsidR="002040F3" w:rsidRPr="00AC393B">
        <w:t xml:space="preserve">greater than or equal to </w:t>
      </w:r>
      <w:r w:rsidRPr="00AC393B">
        <w:t xml:space="preserve">2 years but </w:t>
      </w:r>
      <w:r w:rsidR="002040F3" w:rsidRPr="00AC393B">
        <w:t xml:space="preserve">less than </w:t>
      </w:r>
      <w:r w:rsidRPr="00AC393B">
        <w:t xml:space="preserve">17 years for </w:t>
      </w:r>
      <w:proofErr w:type="spellStart"/>
      <w:r w:rsidRPr="00AC393B">
        <w:t>eoJIA</w:t>
      </w:r>
      <w:proofErr w:type="spellEnd"/>
      <w:r w:rsidRPr="00AC393B">
        <w:t xml:space="preserve">, and </w:t>
      </w:r>
      <w:r w:rsidR="002040F3" w:rsidRPr="00AC393B">
        <w:t xml:space="preserve">greater than or equal to </w:t>
      </w:r>
      <w:r w:rsidRPr="00AC393B">
        <w:t xml:space="preserve">12 and </w:t>
      </w:r>
      <w:r w:rsidR="002040F3" w:rsidRPr="00AC393B">
        <w:t xml:space="preserve">less than </w:t>
      </w:r>
      <w:r w:rsidRPr="00AC393B">
        <w:t xml:space="preserve">17 years for ERA and </w:t>
      </w:r>
      <w:proofErr w:type="spellStart"/>
      <w:r w:rsidRPr="00AC393B">
        <w:t>PsA</w:t>
      </w:r>
      <w:proofErr w:type="spellEnd"/>
      <w:r w:rsidRPr="00AC393B">
        <w:t>; meet the ILAR criteria for the 3 subtypes of JIA being studied. The JIA had to be clinically active at screening with at least 2 active peripheral joints (</w:t>
      </w:r>
      <w:r w:rsidR="001F68DB" w:rsidRPr="00AC393B">
        <w:t>that is</w:t>
      </w:r>
      <w:r w:rsidRPr="00AC393B">
        <w:t xml:space="preserve"> swollen and/or limited movement with accompanying pain or tenderness).</w:t>
      </w:r>
      <w:r w:rsidR="002040F3" w:rsidRPr="00AC393B">
        <w:t xml:space="preserve"> </w:t>
      </w:r>
      <w:r w:rsidRPr="00AC393B">
        <w:t xml:space="preserve">Patients were required to have a history of either inadequate response or intolerance to a </w:t>
      </w:r>
      <w:r w:rsidR="002040F3" w:rsidRPr="00AC393B">
        <w:t xml:space="preserve">greater than or equal to </w:t>
      </w:r>
      <w:r w:rsidRPr="00AC393B">
        <w:t>3</w:t>
      </w:r>
      <w:r w:rsidR="001F68DB" w:rsidRPr="00AC393B">
        <w:t xml:space="preserve"> </w:t>
      </w:r>
      <w:r w:rsidRPr="00AC393B">
        <w:t>month course of at least 1 conventional DMARD (MTX, sulfasalazine, anti</w:t>
      </w:r>
      <w:r w:rsidR="001F68DB" w:rsidRPr="00AC393B">
        <w:t xml:space="preserve"> </w:t>
      </w:r>
      <w:proofErr w:type="spellStart"/>
      <w:r w:rsidRPr="00AC393B">
        <w:t>malarials</w:t>
      </w:r>
      <w:proofErr w:type="spellEnd"/>
      <w:r w:rsidRPr="00AC393B">
        <w:t xml:space="preserve">) at adequate dose. For the ERA subtype only, an alternative prior qualifying treatment was a </w:t>
      </w:r>
      <w:r w:rsidR="002040F3" w:rsidRPr="00AC393B">
        <w:t xml:space="preserve">greater than or equal to </w:t>
      </w:r>
      <w:r w:rsidRPr="00AC393B">
        <w:t>1</w:t>
      </w:r>
      <w:r w:rsidR="001F68DB" w:rsidRPr="00AC393B">
        <w:t xml:space="preserve"> </w:t>
      </w:r>
      <w:r w:rsidRPr="00AC393B">
        <w:t>month course of NSAID at appropriate dose. Background conventional DMARD treatment (single therapy only) could be continued on study in those receiving it in a stable dose for at least 8 weeks prior to study entry. In particular, MTX could be continued at a stable dose not exceeding 15 mg/m</w:t>
      </w:r>
      <w:r w:rsidRPr="00AC393B">
        <w:rPr>
          <w:vertAlign w:val="superscript"/>
        </w:rPr>
        <w:t>2</w:t>
      </w:r>
      <w:r w:rsidRPr="00AC393B">
        <w:t xml:space="preserve"> (maximum of 20 mg/week; oral or parenteral). Continuing treatment with NSAID and low dose prednisone (no more than 10 mg/day or 0.2 mg/kg/day, whichever was less) was also permitted if the patient had received a stable dose for the 2 weeks prior to baseline. Prior treatment with any biological</w:t>
      </w:r>
      <w:r w:rsidR="00AC393B" w:rsidRPr="00AC393B">
        <w:t xml:space="preserve"> DMARD therapy was not allowed.</w:t>
      </w:r>
    </w:p>
    <w:p w:rsidR="0084185F" w:rsidRPr="00AC393B" w:rsidRDefault="0084185F" w:rsidP="00AC393B">
      <w:r w:rsidRPr="00AC393B">
        <w:t>Exclusion criteria comprised 3 domains and patients meeting any 1 of the criteria were excluded:</w:t>
      </w:r>
    </w:p>
    <w:p w:rsidR="0084185F" w:rsidRPr="00AC393B" w:rsidRDefault="0084185F" w:rsidP="002F31F5">
      <w:pPr>
        <w:pStyle w:val="ListBullet"/>
      </w:pPr>
      <w:r w:rsidRPr="00AC393B">
        <w:t>Co-</w:t>
      </w:r>
      <w:r w:rsidRPr="002F31F5">
        <w:t>morbidities</w:t>
      </w:r>
      <w:r w:rsidRPr="00AC393B">
        <w:t xml:space="preserve"> – active infection; history of recurrent infection, immunodeficiency, blood </w:t>
      </w:r>
      <w:proofErr w:type="spellStart"/>
      <w:r w:rsidRPr="00AC393B">
        <w:t>dyscrasia</w:t>
      </w:r>
      <w:proofErr w:type="spellEnd"/>
      <w:r w:rsidRPr="00AC393B">
        <w:t xml:space="preserve">, demyelinating disease, macrophage activation syndrome or </w:t>
      </w:r>
      <w:proofErr w:type="spellStart"/>
      <w:r w:rsidRPr="00AC393B">
        <w:t>pustular</w:t>
      </w:r>
      <w:proofErr w:type="spellEnd"/>
      <w:r w:rsidRPr="00AC393B">
        <w:t xml:space="preserve"> psoriasis; active uveitis within 6 months of baseline; evidence of latent or previously treated tuberculosis, and any history of malignancy;</w:t>
      </w:r>
    </w:p>
    <w:p w:rsidR="0084185F" w:rsidRPr="00AC393B" w:rsidRDefault="0084185F" w:rsidP="00AC393B">
      <w:pPr>
        <w:pStyle w:val="ListBullet"/>
      </w:pPr>
      <w:r w:rsidRPr="00AC393B">
        <w:t xml:space="preserve">Baseline laboratory results – haemoglobin </w:t>
      </w:r>
      <w:r w:rsidR="002040F3" w:rsidRPr="00AC393B">
        <w:t xml:space="preserve">less than </w:t>
      </w:r>
      <w:r w:rsidRPr="00AC393B">
        <w:t>8.5 g/</w:t>
      </w:r>
      <w:proofErr w:type="spellStart"/>
      <w:r w:rsidRPr="00AC393B">
        <w:t>dL</w:t>
      </w:r>
      <w:proofErr w:type="spellEnd"/>
      <w:r w:rsidRPr="00AC393B">
        <w:t xml:space="preserve">, total </w:t>
      </w:r>
      <w:r w:rsidR="00C35A3A" w:rsidRPr="00AC393B">
        <w:t>White Cell Count (</w:t>
      </w:r>
      <w:r w:rsidRPr="00AC393B">
        <w:t>WCC</w:t>
      </w:r>
      <w:r w:rsidR="00C35A3A" w:rsidRPr="00AC393B">
        <w:t>)</w:t>
      </w:r>
      <w:r w:rsidRPr="00AC393B">
        <w:t xml:space="preserve"> </w:t>
      </w:r>
      <w:r w:rsidR="002040F3" w:rsidRPr="00AC393B">
        <w:t xml:space="preserve">less than </w:t>
      </w:r>
      <w:r w:rsidRPr="00AC393B">
        <w:t xml:space="preserve">3500/mm3, neutrophil count </w:t>
      </w:r>
      <w:r w:rsidR="002040F3" w:rsidRPr="00AC393B">
        <w:t xml:space="preserve">less than </w:t>
      </w:r>
      <w:r w:rsidRPr="00AC393B">
        <w:t xml:space="preserve">1000/mm3, Platelet count </w:t>
      </w:r>
      <w:r w:rsidR="002040F3" w:rsidRPr="00AC393B">
        <w:t xml:space="preserve">less than </w:t>
      </w:r>
      <w:r w:rsidRPr="00AC393B">
        <w:t xml:space="preserve">125,000/mm3, ALT or AST </w:t>
      </w:r>
      <w:r w:rsidR="002040F3" w:rsidRPr="00AC393B">
        <w:t xml:space="preserve">greater than </w:t>
      </w:r>
      <w:r w:rsidRPr="00AC393B">
        <w:t xml:space="preserve">1.5 upper limit of normal (ULN), presence of </w:t>
      </w:r>
      <w:proofErr w:type="spellStart"/>
      <w:r w:rsidRPr="00AC393B">
        <w:t>IgM</w:t>
      </w:r>
      <w:proofErr w:type="spellEnd"/>
      <w:r w:rsidRPr="00AC393B">
        <w:t xml:space="preserve"> Rheumatoid Factor; and positive hepatitis B surface antigen, hepatitis B core antibody, or hepatitis C antibody;</w:t>
      </w:r>
    </w:p>
    <w:p w:rsidR="0084185F" w:rsidRPr="00AC393B" w:rsidRDefault="0084185F" w:rsidP="00AC393B">
      <w:pPr>
        <w:pStyle w:val="ListBullet"/>
      </w:pPr>
      <w:r w:rsidRPr="00AC393B">
        <w:t xml:space="preserve">Past treatments – prior treatment with any biological DMARD at any time point; prior treatment with azathioprine, cyclosporine, or </w:t>
      </w:r>
      <w:proofErr w:type="spellStart"/>
      <w:r w:rsidRPr="00AC393B">
        <w:t>leflunomide</w:t>
      </w:r>
      <w:proofErr w:type="spellEnd"/>
      <w:r w:rsidRPr="00AC393B">
        <w:t xml:space="preserve"> within the last 6 months; and live or attenuated vaccines within 2 months of baseline visit.</w:t>
      </w:r>
    </w:p>
    <w:p w:rsidR="0084185F" w:rsidRPr="00AC393B" w:rsidRDefault="0084185F" w:rsidP="00AC393B">
      <w:r w:rsidRPr="00AC393B">
        <w:t xml:space="preserve">A total of 127 patients were enrolled in the study and received at least 1 dose of ETN: 60 subjects with </w:t>
      </w:r>
      <w:proofErr w:type="spellStart"/>
      <w:r w:rsidRPr="00AC393B">
        <w:t>eoJIA</w:t>
      </w:r>
      <w:proofErr w:type="spellEnd"/>
      <w:r w:rsidRPr="00AC393B">
        <w:t xml:space="preserve"> (including 15 patients aged 2</w:t>
      </w:r>
      <w:r w:rsidR="001F68DB" w:rsidRPr="00AC393B">
        <w:t xml:space="preserve"> to </w:t>
      </w:r>
      <w:r w:rsidRPr="00AC393B">
        <w:t>4 years, 23 aged 5</w:t>
      </w:r>
      <w:r w:rsidR="001F68DB" w:rsidRPr="00AC393B">
        <w:t xml:space="preserve"> to </w:t>
      </w:r>
      <w:r w:rsidRPr="00AC393B">
        <w:t>11 years, and 22 aged 12</w:t>
      </w:r>
      <w:r w:rsidR="001F68DB" w:rsidRPr="00AC393B">
        <w:t xml:space="preserve"> to </w:t>
      </w:r>
      <w:r w:rsidRPr="00AC393B">
        <w:t xml:space="preserve">17 years), 38 subjects with ERA, and 29 patients with </w:t>
      </w:r>
      <w:proofErr w:type="spellStart"/>
      <w:r w:rsidRPr="00AC393B">
        <w:t>PsA.</w:t>
      </w:r>
      <w:proofErr w:type="spellEnd"/>
      <w:r w:rsidRPr="00AC393B">
        <w:t xml:space="preserve"> Part I was completed by 122 patients (96.0%). There were 2 withdrawals each from the </w:t>
      </w:r>
      <w:proofErr w:type="spellStart"/>
      <w:r w:rsidRPr="00AC393B">
        <w:t>eoJIA</w:t>
      </w:r>
      <w:proofErr w:type="spellEnd"/>
      <w:r w:rsidRPr="00AC393B">
        <w:t xml:space="preserve"> and ERA subgroups, and 1 from the </w:t>
      </w:r>
      <w:proofErr w:type="spellStart"/>
      <w:r w:rsidRPr="00AC393B">
        <w:t>PsA</w:t>
      </w:r>
      <w:proofErr w:type="spellEnd"/>
      <w:r w:rsidRPr="00AC393B">
        <w:t xml:space="preserve"> subtype arm. Four of the 5 subject withdrawals were because of adverse events (AEs), and 1 patient in the </w:t>
      </w:r>
      <w:proofErr w:type="spellStart"/>
      <w:r w:rsidRPr="00AC393B">
        <w:t>eoJIA</w:t>
      </w:r>
      <w:proofErr w:type="spellEnd"/>
      <w:r w:rsidRPr="00AC393B">
        <w:t xml:space="preserve"> group prematurely discontinued because of a protocol violation.</w:t>
      </w:r>
    </w:p>
    <w:p w:rsidR="0084185F" w:rsidRPr="00AC393B" w:rsidRDefault="0084185F" w:rsidP="00AC393B">
      <w:r w:rsidRPr="00AC393B">
        <w:t>Of the 127 patients who received ETN during Part II (</w:t>
      </w:r>
      <w:proofErr w:type="spellStart"/>
      <w:r w:rsidRPr="00AC393B">
        <w:t>mITT</w:t>
      </w:r>
      <w:proofErr w:type="spellEnd"/>
      <w:r w:rsidRPr="00AC393B">
        <w:t xml:space="preserve"> cohort), 109 subjects were included in the valid for efficacy (VFE) analysis (50 patients with </w:t>
      </w:r>
      <w:proofErr w:type="spellStart"/>
      <w:r w:rsidRPr="00AC393B">
        <w:t>eoJIA</w:t>
      </w:r>
      <w:proofErr w:type="spellEnd"/>
      <w:r w:rsidRPr="00AC393B">
        <w:t xml:space="preserve">, 31 with ERA, and 28 with </w:t>
      </w:r>
      <w:proofErr w:type="spellStart"/>
      <w:r w:rsidRPr="00AC393B">
        <w:t>PsA</w:t>
      </w:r>
      <w:proofErr w:type="spellEnd"/>
      <w:r w:rsidRPr="00AC393B">
        <w:t xml:space="preserve">). A further 13 withdrawals occurred during Part II, including 5 because of insufficient efficacy (2 subjects each in the </w:t>
      </w:r>
      <w:proofErr w:type="spellStart"/>
      <w:r w:rsidRPr="00AC393B">
        <w:t>eoJIA</w:t>
      </w:r>
      <w:proofErr w:type="spellEnd"/>
      <w:r w:rsidRPr="00AC393B">
        <w:t xml:space="preserve"> and ERA subgroups, and 1 subject with </w:t>
      </w:r>
      <w:proofErr w:type="spellStart"/>
      <w:r w:rsidRPr="00AC393B">
        <w:t>PsJIA</w:t>
      </w:r>
      <w:proofErr w:type="spellEnd"/>
      <w:r w:rsidRPr="00AC393B">
        <w:t xml:space="preserve">), and 2 for significant protocol violations (1 in the ERA subgroup, and the other in the </w:t>
      </w:r>
      <w:proofErr w:type="spellStart"/>
      <w:r w:rsidRPr="00AC393B">
        <w:t>PsJIA</w:t>
      </w:r>
      <w:proofErr w:type="spellEnd"/>
      <w:r w:rsidRPr="00AC393B">
        <w:t xml:space="preserve"> cohort).</w:t>
      </w:r>
    </w:p>
    <w:bookmarkEnd w:id="163"/>
    <w:bookmarkEnd w:id="164"/>
    <w:p w:rsidR="0084185F" w:rsidRPr="00AC393B" w:rsidRDefault="0084185F" w:rsidP="00AC393B">
      <w:r w:rsidRPr="00AC393B">
        <w:t>Baseline demographics: the overall mean age was 11.7 years (range of 2 to 17 years).</w:t>
      </w:r>
      <w:r w:rsidR="002040F3" w:rsidRPr="00AC393B">
        <w:t xml:space="preserve"> </w:t>
      </w:r>
      <w:r w:rsidRPr="00AC393B">
        <w:t>Fifteen patients (11.8%) were aged 2</w:t>
      </w:r>
      <w:r w:rsidR="001F68DB" w:rsidRPr="00AC393B">
        <w:t xml:space="preserve"> to </w:t>
      </w:r>
      <w:r w:rsidRPr="00AC393B">
        <w:t>4 years, 23 subjects (18.1%) were aged 5</w:t>
      </w:r>
      <w:r w:rsidR="001F68DB" w:rsidRPr="00AC393B">
        <w:t xml:space="preserve"> to </w:t>
      </w:r>
      <w:r w:rsidRPr="00AC393B">
        <w:t>11 years and 89 patients (70.1%) were aged 12</w:t>
      </w:r>
      <w:r w:rsidR="001F68DB" w:rsidRPr="00AC393B">
        <w:t xml:space="preserve"> to </w:t>
      </w:r>
      <w:r w:rsidRPr="00AC393B">
        <w:t>17 years.</w:t>
      </w:r>
      <w:r w:rsidR="002040F3" w:rsidRPr="00AC393B">
        <w:t xml:space="preserve"> </w:t>
      </w:r>
      <w:r w:rsidRPr="00AC393B">
        <w:t xml:space="preserve">As expected, the age and gender distribution varied with the JIA subgroup: </w:t>
      </w:r>
      <w:proofErr w:type="spellStart"/>
      <w:r w:rsidRPr="00AC393B">
        <w:t>eoJIA</w:t>
      </w:r>
      <w:proofErr w:type="spellEnd"/>
      <w:r w:rsidRPr="00AC393B">
        <w:t xml:space="preserve"> mean age 8.6 years, 68% female; ERA mean age 14.5 years, 21% female; </w:t>
      </w:r>
      <w:proofErr w:type="spellStart"/>
      <w:r w:rsidRPr="00AC393B">
        <w:t>PsA</w:t>
      </w:r>
      <w:proofErr w:type="spellEnd"/>
      <w:r w:rsidRPr="00AC393B">
        <w:t xml:space="preserve"> mean age 14.5 years, 79% female. The majority of patients were of Caucasian ethnicity (90.55%). Patients in the </w:t>
      </w:r>
      <w:proofErr w:type="spellStart"/>
      <w:r w:rsidRPr="00AC393B">
        <w:t>eoJIA</w:t>
      </w:r>
      <w:proofErr w:type="spellEnd"/>
      <w:r w:rsidRPr="00AC393B">
        <w:t xml:space="preserve"> group had a median baseline weight of 29.25 kg, whereas those in the other 2 JIA subtypes were older children (median baseline weight of 54.4 kg for the ERA group, and 56.6 kg for the </w:t>
      </w:r>
      <w:proofErr w:type="spellStart"/>
      <w:r w:rsidRPr="00AC393B">
        <w:t>PsA</w:t>
      </w:r>
      <w:proofErr w:type="spellEnd"/>
      <w:r w:rsidRPr="00AC393B">
        <w:t xml:space="preserve"> group).</w:t>
      </w:r>
    </w:p>
    <w:p w:rsidR="0084185F" w:rsidRPr="003912E0" w:rsidRDefault="0084185F" w:rsidP="003912E0">
      <w:r w:rsidRPr="00AC393B">
        <w:t>Baseline disease characteristics varied with the JIA subgroup.</w:t>
      </w:r>
      <w:r w:rsidR="002040F3" w:rsidRPr="00AC393B">
        <w:t xml:space="preserve"> </w:t>
      </w:r>
      <w:r w:rsidRPr="00AC393B">
        <w:t xml:space="preserve">Median disease duration was longest in patients with </w:t>
      </w:r>
      <w:proofErr w:type="spellStart"/>
      <w:r w:rsidRPr="00AC393B">
        <w:t>eoJIA</w:t>
      </w:r>
      <w:proofErr w:type="spellEnd"/>
      <w:r w:rsidRPr="00AC393B">
        <w:t xml:space="preserve"> (21.9 months), followed by ERA (15.7 months), and </w:t>
      </w:r>
      <w:proofErr w:type="spellStart"/>
      <w:r w:rsidRPr="00AC393B">
        <w:t>PsA</w:t>
      </w:r>
      <w:proofErr w:type="spellEnd"/>
      <w:r w:rsidRPr="00AC393B">
        <w:t xml:space="preserve"> (13.2 months).</w:t>
      </w:r>
      <w:r w:rsidR="002040F3" w:rsidRPr="00AC393B">
        <w:t xml:space="preserve"> </w:t>
      </w:r>
      <w:r w:rsidRPr="00AC393B">
        <w:t xml:space="preserve">Patients with ERA had a numerically lower mean number of active joints at baseline (5.2) compared to subjects with </w:t>
      </w:r>
      <w:proofErr w:type="spellStart"/>
      <w:r w:rsidRPr="00AC393B">
        <w:t>PsA</w:t>
      </w:r>
      <w:proofErr w:type="spellEnd"/>
      <w:r w:rsidRPr="00AC393B">
        <w:t xml:space="preserve"> (7.0 joints) and </w:t>
      </w:r>
      <w:proofErr w:type="spellStart"/>
      <w:r w:rsidRPr="00AC393B">
        <w:t>eoJIA</w:t>
      </w:r>
      <w:proofErr w:type="spellEnd"/>
      <w:r w:rsidRPr="00AC393B">
        <w:t xml:space="preserve"> (7.6 joints). The other joint parameters (limitation of movement </w:t>
      </w:r>
      <w:r w:rsidR="00277CC3" w:rsidRPr="00AC393B">
        <w:t>(</w:t>
      </w:r>
      <w:r w:rsidRPr="00AC393B">
        <w:t>LOM</w:t>
      </w:r>
      <w:r w:rsidR="00277CC3" w:rsidRPr="00AC393B">
        <w:t>)</w:t>
      </w:r>
      <w:r w:rsidRPr="00AC393B">
        <w:t>, pain, and swelling) showed a similar trend.</w:t>
      </w:r>
      <w:r w:rsidR="002040F3" w:rsidRPr="00AC393B">
        <w:t xml:space="preserve"> </w:t>
      </w:r>
      <w:r w:rsidRPr="00AC393B">
        <w:t xml:space="preserve">Patients with </w:t>
      </w:r>
      <w:proofErr w:type="spellStart"/>
      <w:r w:rsidRPr="00AC393B">
        <w:t>eoJIA</w:t>
      </w:r>
      <w:proofErr w:type="spellEnd"/>
      <w:r w:rsidRPr="00AC393B">
        <w:t xml:space="preserve"> were slightly more likely to have been on baseline DMARDs (90%), than either ERA patients (84.2%), or </w:t>
      </w:r>
      <w:proofErr w:type="spellStart"/>
      <w:r w:rsidRPr="00AC393B">
        <w:t>PsA</w:t>
      </w:r>
      <w:proofErr w:type="spellEnd"/>
      <w:r w:rsidRPr="00AC393B">
        <w:t xml:space="preserve"> patients (79.3%).</w:t>
      </w:r>
      <w:r w:rsidR="002040F3" w:rsidRPr="00AC393B">
        <w:t xml:space="preserve"> </w:t>
      </w:r>
      <w:r w:rsidRPr="00AC393B">
        <w:t xml:space="preserve">Baseline oral </w:t>
      </w:r>
      <w:r w:rsidRPr="003912E0">
        <w:t>corticosteroids were taken by 12.6% of patients overall (</w:t>
      </w:r>
      <w:proofErr w:type="spellStart"/>
      <w:r w:rsidRPr="003912E0">
        <w:t>eoJIA</w:t>
      </w:r>
      <w:proofErr w:type="spellEnd"/>
      <w:r w:rsidRPr="003912E0">
        <w:t xml:space="preserve"> 11.7%, ERA 21.1%, and </w:t>
      </w:r>
      <w:proofErr w:type="spellStart"/>
      <w:r w:rsidRPr="003912E0">
        <w:t>PsA</w:t>
      </w:r>
      <w:proofErr w:type="spellEnd"/>
      <w:r w:rsidRPr="003912E0">
        <w:t xml:space="preserve"> 3.5%), while oral NSAIDs were taken by 53.5% overall (</w:t>
      </w:r>
      <w:proofErr w:type="spellStart"/>
      <w:r w:rsidRPr="003912E0">
        <w:t>eoJIA</w:t>
      </w:r>
      <w:proofErr w:type="spellEnd"/>
      <w:r w:rsidRPr="003912E0">
        <w:t xml:space="preserve"> 50.0%, ERA 63.2%, and </w:t>
      </w:r>
      <w:proofErr w:type="spellStart"/>
      <w:r w:rsidRPr="003912E0">
        <w:t>PsA</w:t>
      </w:r>
      <w:proofErr w:type="spellEnd"/>
      <w:r w:rsidRPr="003912E0">
        <w:t xml:space="preserve"> 48.3%).</w:t>
      </w:r>
    </w:p>
    <w:p w:rsidR="0084185F" w:rsidRPr="003912E0" w:rsidRDefault="0084185F" w:rsidP="003912E0">
      <w:r w:rsidRPr="003912E0">
        <w:t xml:space="preserve">Overall, 88.6% of patients achieved an ACR Pedi 30 response at Week 12, with comparable response rates in the JIA subtypes: </w:t>
      </w:r>
      <w:proofErr w:type="spellStart"/>
      <w:r w:rsidRPr="003912E0">
        <w:t>PsA</w:t>
      </w:r>
      <w:proofErr w:type="spellEnd"/>
      <w:r w:rsidRPr="003912E0">
        <w:t xml:space="preserve"> (93.1%), </w:t>
      </w:r>
      <w:proofErr w:type="spellStart"/>
      <w:r w:rsidRPr="003912E0">
        <w:t>eoJIA</w:t>
      </w:r>
      <w:proofErr w:type="spellEnd"/>
      <w:r w:rsidRPr="003912E0">
        <w:t xml:space="preserve"> (89.7%), and ERA (83.3%) (</w:t>
      </w:r>
      <w:proofErr w:type="gramStart"/>
      <w:r w:rsidRPr="003912E0">
        <w:t>see</w:t>
      </w:r>
      <w:proofErr w:type="gramEnd"/>
      <w:r w:rsidRPr="003912E0">
        <w:t xml:space="preserve"> Table below).</w:t>
      </w:r>
      <w:r w:rsidR="002040F3" w:rsidRPr="003912E0">
        <w:t xml:space="preserve"> </w:t>
      </w:r>
      <w:r w:rsidRPr="003912E0">
        <w:t>These study results were compared with historical placebo response data (</w:t>
      </w:r>
      <w:r w:rsidR="00904313" w:rsidRPr="003912E0">
        <w:t>meta-analysis</w:t>
      </w:r>
      <w:r w:rsidRPr="003912E0">
        <w:t xml:space="preserve"> of 6 studies published by </w:t>
      </w:r>
      <w:proofErr w:type="spellStart"/>
      <w:r w:rsidRPr="003912E0">
        <w:t>Ruperto</w:t>
      </w:r>
      <w:proofErr w:type="spellEnd"/>
      <w:r w:rsidRPr="003912E0">
        <w:t xml:space="preserve"> et al 2003; ERA was also compared to a single study by Burgos</w:t>
      </w:r>
      <w:r w:rsidR="00A03F2B">
        <w:t>-</w:t>
      </w:r>
      <w:r w:rsidRPr="003912E0">
        <w:t>Vargas et al 2008).</w:t>
      </w:r>
      <w:r w:rsidR="002040F3" w:rsidRPr="003912E0">
        <w:t xml:space="preserve"> </w:t>
      </w:r>
      <w:r w:rsidRPr="003912E0">
        <w:t>All odds ratios (ORs) and the lower bound of the 95% CI were greater than 1.</w:t>
      </w:r>
      <w:r w:rsidR="002040F3" w:rsidRPr="003912E0">
        <w:t xml:space="preserve"> </w:t>
      </w:r>
      <w:r w:rsidRPr="003912E0">
        <w:t xml:space="preserve">Within the </w:t>
      </w:r>
      <w:proofErr w:type="spellStart"/>
      <w:r w:rsidRPr="003912E0">
        <w:t>eoJIA</w:t>
      </w:r>
      <w:proofErr w:type="spellEnd"/>
      <w:r w:rsidRPr="003912E0">
        <w:t xml:space="preserve"> subtype, ACR Pedi 30 response rates were comparable in each of the pre</w:t>
      </w:r>
      <w:r w:rsidR="001F68DB" w:rsidRPr="003912E0">
        <w:t xml:space="preserve"> </w:t>
      </w:r>
      <w:r w:rsidRPr="003912E0">
        <w:t>specified age</w:t>
      </w:r>
      <w:r w:rsidR="001F68DB" w:rsidRPr="003912E0">
        <w:t xml:space="preserve"> </w:t>
      </w:r>
      <w:r w:rsidRPr="003912E0">
        <w:t>brackets (2</w:t>
      </w:r>
      <w:r w:rsidR="001F68DB" w:rsidRPr="003912E0">
        <w:t xml:space="preserve"> to </w:t>
      </w:r>
      <w:r w:rsidRPr="003912E0">
        <w:t>4 years 93.3%, 5</w:t>
      </w:r>
      <w:r w:rsidR="001F68DB" w:rsidRPr="003912E0">
        <w:t xml:space="preserve"> to </w:t>
      </w:r>
      <w:r w:rsidRPr="003912E0">
        <w:t>11 years 90.9%, and 12</w:t>
      </w:r>
      <w:r w:rsidR="001F68DB" w:rsidRPr="003912E0">
        <w:t xml:space="preserve"> to </w:t>
      </w:r>
      <w:r w:rsidRPr="003912E0">
        <w:t>17 years 85.7%).</w:t>
      </w:r>
    </w:p>
    <w:p w:rsidR="0084185F" w:rsidRPr="003912E0" w:rsidRDefault="003912E0" w:rsidP="003912E0">
      <w:pPr>
        <w:pStyle w:val="TableTitle"/>
      </w:pPr>
      <w:proofErr w:type="gramStart"/>
      <w:r>
        <w:t>Table 3.</w:t>
      </w:r>
      <w:proofErr w:type="gramEnd"/>
      <w:r>
        <w:t xml:space="preserve"> </w:t>
      </w:r>
      <w:r w:rsidR="0084185F" w:rsidRPr="003912E0">
        <w:t>ACR Pedi 30 Response Rates at Week 12 in Study 0881A1-3338 compared to Historical Placebo Control Response</w:t>
      </w:r>
    </w:p>
    <w:p w:rsidR="0084185F" w:rsidRPr="00FC7E9E" w:rsidRDefault="0084185F" w:rsidP="002F31F5">
      <w:r>
        <w:rPr>
          <w:noProof/>
          <w:lang w:eastAsia="en-AU"/>
        </w:rPr>
        <w:drawing>
          <wp:inline distT="0" distB="0" distL="0" distR="0" wp14:anchorId="1961E139" wp14:editId="5B0A0260">
            <wp:extent cx="4988560" cy="2200275"/>
            <wp:effectExtent l="0" t="0" r="0" b="0"/>
            <wp:docPr id="2" name="Picture 2" descr="Table 3. ACR Pedi 30 Response Rates at Week 12 in Study 0881A1-3338 compared to Historical Placebo Contro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8560" cy="2200275"/>
                    </a:xfrm>
                    <a:prstGeom prst="rect">
                      <a:avLst/>
                    </a:prstGeom>
                    <a:noFill/>
                    <a:ln>
                      <a:noFill/>
                    </a:ln>
                  </pic:spPr>
                </pic:pic>
              </a:graphicData>
            </a:graphic>
          </wp:inline>
        </w:drawing>
      </w:r>
    </w:p>
    <w:p w:rsidR="002040F3" w:rsidRPr="003912E0" w:rsidRDefault="0084185F" w:rsidP="003912E0">
      <w:r w:rsidRPr="003912E0">
        <w:t>The ACR Pedi 30 response rates were also compared with an active historical control (the initial 12 week, open</w:t>
      </w:r>
      <w:r w:rsidR="001F68DB" w:rsidRPr="003912E0">
        <w:t xml:space="preserve"> </w:t>
      </w:r>
      <w:r w:rsidRPr="003912E0">
        <w:t xml:space="preserve">label ETN treatment phase </w:t>
      </w:r>
      <w:r w:rsidR="00277CC3" w:rsidRPr="003912E0">
        <w:t>(</w:t>
      </w:r>
      <w:r w:rsidRPr="003912E0">
        <w:t>0.4 mg/kg twice weekly</w:t>
      </w:r>
      <w:r w:rsidR="00277CC3" w:rsidRPr="003912E0">
        <w:t>)</w:t>
      </w:r>
      <w:r w:rsidRPr="003912E0">
        <w:t xml:space="preserve"> of Study 16.0016 in patients with JIA; Lovell et al, 2000).</w:t>
      </w:r>
      <w:r w:rsidR="002040F3" w:rsidRPr="003912E0">
        <w:t xml:space="preserve"> </w:t>
      </w:r>
      <w:r w:rsidRPr="003912E0">
        <w:t>The 95% CI of each of the ORs included 1, suggesting that the ACR Pedi 30 response rate observed in Study 0881A1-3338 was comparable to that recorded in Study 16.0016 (see Table below).</w:t>
      </w:r>
    </w:p>
    <w:p w:rsidR="0084185F" w:rsidRPr="003912E0" w:rsidRDefault="003912E0" w:rsidP="003912E0">
      <w:pPr>
        <w:pStyle w:val="TableTitle"/>
      </w:pPr>
      <w:proofErr w:type="gramStart"/>
      <w:r>
        <w:t>Table 4.</w:t>
      </w:r>
      <w:proofErr w:type="gramEnd"/>
      <w:r>
        <w:t xml:space="preserve"> </w:t>
      </w:r>
      <w:r w:rsidR="0084185F" w:rsidRPr="003912E0">
        <w:t>ACR Pedi 30 Response Rates at Week 12 in Study 0881A1-3338 compared to Historical Active Control Response (Study 16.0016)</w:t>
      </w:r>
    </w:p>
    <w:p w:rsidR="002040F3" w:rsidRDefault="0084185F" w:rsidP="002F31F5">
      <w:r>
        <w:rPr>
          <w:noProof/>
          <w:lang w:eastAsia="en-AU"/>
        </w:rPr>
        <w:drawing>
          <wp:inline distT="0" distB="0" distL="0" distR="0" wp14:anchorId="4C927284" wp14:editId="294012B0">
            <wp:extent cx="5107305" cy="1657985"/>
            <wp:effectExtent l="0" t="0" r="0" b="0"/>
            <wp:docPr id="3" name="Picture 3" descr="Table 4. ACR Pedi 30 Response Rates at Week 12 in Study 0881A1-3338 compared to Historical Active Control Response (Study 16.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7305" cy="1657985"/>
                    </a:xfrm>
                    <a:prstGeom prst="rect">
                      <a:avLst/>
                    </a:prstGeom>
                    <a:noFill/>
                    <a:ln>
                      <a:noFill/>
                    </a:ln>
                  </pic:spPr>
                </pic:pic>
              </a:graphicData>
            </a:graphic>
          </wp:inline>
        </w:drawing>
      </w:r>
    </w:p>
    <w:p w:rsidR="0084185F" w:rsidRPr="003912E0" w:rsidRDefault="0084185F" w:rsidP="003912E0">
      <w:r w:rsidRPr="003912E0">
        <w:t>The overall ACR Pedi 50/70/90/100 response rates at Week 12 were 81.1%, 70.1%, 38.7% and 31.4%, respectively, and were broadly similar in each of the JIA subtypes.</w:t>
      </w:r>
    </w:p>
    <w:p w:rsidR="0084185F" w:rsidRPr="003912E0" w:rsidRDefault="0084185F" w:rsidP="003912E0">
      <w:r w:rsidRPr="003912E0">
        <w:t>In Part II of the study, ACR Pedi 30 responses at weeks 24, 48 and 96 were comparable with</w:t>
      </w:r>
      <w:r w:rsidR="00A03F2B">
        <w:t>,</w:t>
      </w:r>
      <w:r w:rsidRPr="003912E0">
        <w:t xml:space="preserve"> or better than</w:t>
      </w:r>
      <w:r w:rsidR="00A03F2B">
        <w:t>,</w:t>
      </w:r>
      <w:r w:rsidRPr="003912E0">
        <w:t xml:space="preserve"> those at </w:t>
      </w:r>
      <w:r w:rsidR="002040F3" w:rsidRPr="003912E0">
        <w:t>Week</w:t>
      </w:r>
      <w:r w:rsidRPr="003912E0">
        <w:t xml:space="preserve"> 12 and similar in each of the 3 JIA subtypes (see Table below).</w:t>
      </w:r>
      <w:r w:rsidR="002040F3" w:rsidRPr="003912E0">
        <w:t xml:space="preserve"> </w:t>
      </w:r>
      <w:r w:rsidRPr="003912E0">
        <w:t xml:space="preserve">Within the </w:t>
      </w:r>
      <w:proofErr w:type="spellStart"/>
      <w:r w:rsidRPr="003912E0">
        <w:t>eoJIA</w:t>
      </w:r>
      <w:proofErr w:type="spellEnd"/>
      <w:r w:rsidRPr="003912E0">
        <w:t xml:space="preserve"> subtype, ACR Pedi 30 response rates were comparable in each of the pre-specified age</w:t>
      </w:r>
      <w:r w:rsidR="001F68DB" w:rsidRPr="003912E0">
        <w:t xml:space="preserve"> </w:t>
      </w:r>
      <w:r w:rsidRPr="003912E0">
        <w:t>brackets at weeks 24, 48 and 96.</w:t>
      </w:r>
      <w:r w:rsidR="002040F3" w:rsidRPr="003912E0">
        <w:t xml:space="preserve"> </w:t>
      </w:r>
      <w:r w:rsidRPr="003912E0">
        <w:t>The overall ACR Pedi 50/70/90/100 response rates improved with time.</w:t>
      </w:r>
      <w:r w:rsidR="002040F3" w:rsidRPr="003912E0">
        <w:t xml:space="preserve"> </w:t>
      </w:r>
      <w:r w:rsidRPr="003912E0">
        <w:t>For example, approximately twice as many subjects achieved an ACR Pedi 90</w:t>
      </w:r>
      <w:r w:rsidR="001F68DB" w:rsidRPr="003912E0">
        <w:t xml:space="preserve"> response at </w:t>
      </w:r>
      <w:r w:rsidR="002040F3" w:rsidRPr="003912E0">
        <w:t>Week</w:t>
      </w:r>
      <w:r w:rsidR="001F68DB" w:rsidRPr="003912E0">
        <w:t xml:space="preserve"> 96 (65.4%; 70 out of </w:t>
      </w:r>
      <w:r w:rsidRPr="003912E0">
        <w:t xml:space="preserve">107) compared to </w:t>
      </w:r>
      <w:r w:rsidR="002040F3" w:rsidRPr="003912E0">
        <w:t>Week</w:t>
      </w:r>
      <w:r w:rsidRPr="003912E0">
        <w:t xml:space="preserve"> 12 (29.8%; 36</w:t>
      </w:r>
      <w:r w:rsidR="001F68DB" w:rsidRPr="003912E0">
        <w:t xml:space="preserve"> out of </w:t>
      </w:r>
      <w:r w:rsidRPr="003912E0">
        <w:t>121).</w:t>
      </w:r>
    </w:p>
    <w:p w:rsidR="000D5B9E" w:rsidRPr="003912E0" w:rsidRDefault="003912E0" w:rsidP="003912E0">
      <w:pPr>
        <w:pStyle w:val="TableTitle"/>
      </w:pPr>
      <w:proofErr w:type="gramStart"/>
      <w:r>
        <w:t>Table 5.</w:t>
      </w:r>
      <w:proofErr w:type="gramEnd"/>
      <w:r>
        <w:t xml:space="preserve"> </w:t>
      </w:r>
      <w:r w:rsidR="000D5B9E" w:rsidRPr="003912E0">
        <w:t>ACR Pedi 30 Response Rates at Week 12, 24, 48, and 96 in Study 0881A1-3338</w:t>
      </w:r>
    </w:p>
    <w:p w:rsidR="002040F3" w:rsidRDefault="000D5B9E" w:rsidP="00D25CF9">
      <w:pPr>
        <w:spacing w:before="0" w:after="0" w:line="240" w:lineRule="auto"/>
        <w:rPr>
          <w:b/>
        </w:rPr>
      </w:pPr>
      <w:r>
        <w:rPr>
          <w:noProof/>
          <w:lang w:eastAsia="en-AU"/>
        </w:rPr>
        <w:drawing>
          <wp:inline distT="0" distB="0" distL="0" distR="0">
            <wp:extent cx="5479026" cy="2057400"/>
            <wp:effectExtent l="0" t="0" r="0" b="0"/>
            <wp:docPr id="5" name="Picture 5" descr="Table 5. ACR Pedi 30 Response Rates at Week 12, 24, 48, and 96 in Study 0881A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4099" cy="2059305"/>
                    </a:xfrm>
                    <a:prstGeom prst="rect">
                      <a:avLst/>
                    </a:prstGeom>
                    <a:noFill/>
                    <a:ln>
                      <a:noFill/>
                    </a:ln>
                  </pic:spPr>
                </pic:pic>
              </a:graphicData>
            </a:graphic>
          </wp:inline>
        </w:drawing>
      </w:r>
    </w:p>
    <w:p w:rsidR="002040F3" w:rsidRPr="003912E0" w:rsidRDefault="000D5B9E" w:rsidP="003912E0">
      <w:r w:rsidRPr="003912E0">
        <w:t xml:space="preserve">At </w:t>
      </w:r>
      <w:r w:rsidR="002040F3" w:rsidRPr="003912E0">
        <w:t>Week</w:t>
      </w:r>
      <w:r w:rsidRPr="003912E0">
        <w:t xml:space="preserve"> 12, 15 subjects (12.1% of 124) fulfilled the criteria for inactive disease. This outcome improved to 24.8% (30</w:t>
      </w:r>
      <w:r w:rsidR="001F68DB" w:rsidRPr="003912E0">
        <w:t xml:space="preserve"> out of </w:t>
      </w:r>
      <w:r w:rsidRPr="003912E0">
        <w:t xml:space="preserve">121) at </w:t>
      </w:r>
      <w:r w:rsidR="002040F3" w:rsidRPr="003912E0">
        <w:t>Week</w:t>
      </w:r>
      <w:r w:rsidRPr="003912E0">
        <w:t xml:space="preserve"> 24, 29.7% (35</w:t>
      </w:r>
      <w:r w:rsidR="001F68DB" w:rsidRPr="003912E0">
        <w:t xml:space="preserve"> out of </w:t>
      </w:r>
      <w:r w:rsidRPr="003912E0">
        <w:t xml:space="preserve">118) at </w:t>
      </w:r>
      <w:r w:rsidR="002040F3" w:rsidRPr="003912E0">
        <w:t>Week</w:t>
      </w:r>
      <w:r w:rsidRPr="003912E0">
        <w:t xml:space="preserve"> 48, and 34.0% (36</w:t>
      </w:r>
      <w:r w:rsidR="001F68DB" w:rsidRPr="003912E0">
        <w:t xml:space="preserve"> out of </w:t>
      </w:r>
      <w:r w:rsidRPr="003912E0">
        <w:t xml:space="preserve">106) at </w:t>
      </w:r>
      <w:r w:rsidR="002040F3" w:rsidRPr="003912E0">
        <w:t>Week</w:t>
      </w:r>
      <w:r w:rsidRPr="003912E0">
        <w:t xml:space="preserve"> 96.</w:t>
      </w:r>
    </w:p>
    <w:p w:rsidR="003912E0" w:rsidRPr="003912E0" w:rsidRDefault="000D5B9E" w:rsidP="003912E0">
      <w:pPr>
        <w:pStyle w:val="Heading5"/>
      </w:pPr>
      <w:bookmarkStart w:id="165" w:name="_Toc290846276"/>
      <w:bookmarkStart w:id="166" w:name="_Toc358817151"/>
      <w:r w:rsidRPr="003912E0">
        <w:t xml:space="preserve">Study </w:t>
      </w:r>
      <w:bookmarkEnd w:id="165"/>
      <w:r w:rsidRPr="003912E0">
        <w:t>20021618</w:t>
      </w:r>
      <w:bookmarkEnd w:id="166"/>
      <w:r w:rsidR="002F31F5">
        <w:t>:</w:t>
      </w:r>
    </w:p>
    <w:p w:rsidR="000D5B9E" w:rsidRPr="003912E0" w:rsidRDefault="000D5B9E" w:rsidP="003912E0">
      <w:r w:rsidRPr="003912E0">
        <w:t>This was a long</w:t>
      </w:r>
      <w:r w:rsidR="001F68DB" w:rsidRPr="003912E0">
        <w:t xml:space="preserve"> </w:t>
      </w:r>
      <w:r w:rsidRPr="003912E0">
        <w:t>term (up to 10 years, median 6 years), open</w:t>
      </w:r>
      <w:r w:rsidR="001F68DB" w:rsidRPr="003912E0">
        <w:t xml:space="preserve"> </w:t>
      </w:r>
      <w:r w:rsidRPr="003912E0">
        <w:t>label, extension study for paediatric subjects with active DMARD</w:t>
      </w:r>
      <w:r w:rsidR="001F68DB" w:rsidRPr="003912E0">
        <w:t xml:space="preserve"> </w:t>
      </w:r>
      <w:r w:rsidRPr="003912E0">
        <w:t xml:space="preserve">refractory JIA (predominantly </w:t>
      </w:r>
      <w:proofErr w:type="spellStart"/>
      <w:r w:rsidRPr="003912E0">
        <w:t>pJIA</w:t>
      </w:r>
      <w:proofErr w:type="spellEnd"/>
      <w:r w:rsidRPr="003912E0">
        <w:t xml:space="preserve"> or </w:t>
      </w:r>
      <w:proofErr w:type="spellStart"/>
      <w:r w:rsidRPr="003912E0">
        <w:t>sJIA</w:t>
      </w:r>
      <w:proofErr w:type="spellEnd"/>
      <w:r w:rsidRPr="003912E0">
        <w:t>) who previously participated in the initial ETN JIA treatment study (16.0016).</w:t>
      </w:r>
      <w:r w:rsidR="002040F3" w:rsidRPr="003912E0">
        <w:t xml:space="preserve"> </w:t>
      </w:r>
      <w:r w:rsidRPr="003912E0">
        <w:t>Patients received either a single 0.8 mg/kg injection of ETN per week or 2</w:t>
      </w:r>
      <w:r w:rsidR="002040F3" w:rsidRPr="003912E0">
        <w:t xml:space="preserve"> times </w:t>
      </w:r>
      <w:r w:rsidRPr="003912E0">
        <w:t>0.4 mg/kg injections (up to a maximum dose of 25 mg per injection) twice weekly 3</w:t>
      </w:r>
      <w:r w:rsidR="001F68DB" w:rsidRPr="003912E0">
        <w:t xml:space="preserve"> to </w:t>
      </w:r>
      <w:r w:rsidRPr="003912E0">
        <w:t>4 days apart.</w:t>
      </w:r>
      <w:r w:rsidR="002040F3" w:rsidRPr="003912E0">
        <w:t xml:space="preserve"> </w:t>
      </w:r>
      <w:r w:rsidRPr="003912E0">
        <w:t>The primary objective of the study was to evaluate the long</w:t>
      </w:r>
      <w:r w:rsidR="001F68DB" w:rsidRPr="003912E0">
        <w:t xml:space="preserve"> </w:t>
      </w:r>
      <w:r w:rsidRPr="003912E0">
        <w:t>term safety of ETN, but efficacy outcomes were also collected as a secondary objective.</w:t>
      </w:r>
      <w:r w:rsidR="002040F3" w:rsidRPr="003912E0">
        <w:t xml:space="preserve"> </w:t>
      </w:r>
      <w:r w:rsidRPr="003912E0">
        <w:t>Overall, 58 of 69 eligible subjects enrolled in the extension study, with 15 patients completing the 10 year study treatment period.</w:t>
      </w:r>
      <w:r w:rsidR="002040F3" w:rsidRPr="003912E0">
        <w:t xml:space="preserve"> </w:t>
      </w:r>
      <w:r w:rsidRPr="003912E0">
        <w:t>Eleven patients withdrew because of lack of efficacy, and 5 patients discontinued because of an AE.</w:t>
      </w:r>
    </w:p>
    <w:p w:rsidR="002040F3" w:rsidRPr="003912E0" w:rsidRDefault="000D5B9E" w:rsidP="003912E0">
      <w:r w:rsidRPr="003912E0">
        <w:t>The main efficacy outcome was the proportion of patients on ETN who achieved an ACR Pedi 30 response at 3 months.</w:t>
      </w:r>
      <w:r w:rsidR="002040F3" w:rsidRPr="003912E0">
        <w:t xml:space="preserve"> </w:t>
      </w:r>
      <w:r w:rsidRPr="003912E0">
        <w:t>This was achieved by 79.2% (42</w:t>
      </w:r>
      <w:r w:rsidR="001F68DB" w:rsidRPr="003912E0">
        <w:t xml:space="preserve"> out of </w:t>
      </w:r>
      <w:r w:rsidRPr="003912E0">
        <w:t>58) of patients.</w:t>
      </w:r>
      <w:r w:rsidR="002040F3" w:rsidRPr="003912E0">
        <w:t xml:space="preserve"> </w:t>
      </w:r>
      <w:r w:rsidRPr="003912E0">
        <w:t xml:space="preserve">For those subjects who remained in the study, ACR Pedi 30 response rates were maintained for up to 10 years (although </w:t>
      </w:r>
      <w:r w:rsidR="002040F3" w:rsidRPr="003912E0">
        <w:t xml:space="preserve">greater than </w:t>
      </w:r>
      <w:r w:rsidR="003912E0">
        <w:t>50% had withdrawn</w:t>
      </w:r>
      <w:r w:rsidRPr="003912E0">
        <w:t>/</w:t>
      </w:r>
      <w:r w:rsidR="003912E0">
        <w:t>discontinued by year 6)</w:t>
      </w:r>
      <w:r w:rsidRPr="003912E0">
        <w:t>.</w:t>
      </w:r>
      <w:r w:rsidR="002040F3" w:rsidRPr="003912E0">
        <w:t xml:space="preserve"> </w:t>
      </w:r>
      <w:r w:rsidRPr="003912E0">
        <w:t>ACR Pedi 50 and 70 response rates (72% and 52%, respectively at year 1) also remained relatively stable during the 10 years of follow</w:t>
      </w:r>
      <w:r w:rsidR="001F68DB" w:rsidRPr="003912E0">
        <w:t xml:space="preserve"> </w:t>
      </w:r>
      <w:r w:rsidRPr="003912E0">
        <w:t>up.</w:t>
      </w:r>
    </w:p>
    <w:p w:rsidR="003912E0" w:rsidRDefault="000D5B9E" w:rsidP="003912E0">
      <w:pPr>
        <w:pStyle w:val="Heading5"/>
      </w:pPr>
      <w:r w:rsidRPr="00157C27">
        <w:t>Study 200216</w:t>
      </w:r>
      <w:r w:rsidR="003912E0">
        <w:t>26</w:t>
      </w:r>
    </w:p>
    <w:p w:rsidR="000D5B9E" w:rsidRPr="003912E0" w:rsidRDefault="000D5B9E" w:rsidP="003912E0">
      <w:r w:rsidRPr="003912E0">
        <w:t>This was an open</w:t>
      </w:r>
      <w:r w:rsidR="001F68DB" w:rsidRPr="003912E0">
        <w:t xml:space="preserve"> </w:t>
      </w:r>
      <w:r w:rsidRPr="003912E0">
        <w:t xml:space="preserve">label, </w:t>
      </w:r>
      <w:r w:rsidR="00904313" w:rsidRPr="003912E0">
        <w:t>non-randomised</w:t>
      </w:r>
      <w:r w:rsidRPr="003912E0">
        <w:t xml:space="preserve">, </w:t>
      </w:r>
      <w:r w:rsidR="002040F3" w:rsidRPr="003912E0">
        <w:t>Phase</w:t>
      </w:r>
      <w:r w:rsidRPr="003912E0">
        <w:t xml:space="preserve"> IV registry study for children aged 2</w:t>
      </w:r>
      <w:r w:rsidR="001F68DB" w:rsidRPr="003912E0">
        <w:t xml:space="preserve"> to </w:t>
      </w:r>
      <w:r w:rsidRPr="003912E0">
        <w:t xml:space="preserve">18 years with a diagnosis of </w:t>
      </w:r>
      <w:proofErr w:type="spellStart"/>
      <w:r w:rsidRPr="003912E0">
        <w:t>pJIA</w:t>
      </w:r>
      <w:proofErr w:type="spellEnd"/>
      <w:r w:rsidRPr="003912E0">
        <w:t xml:space="preserve"> or </w:t>
      </w:r>
      <w:proofErr w:type="spellStart"/>
      <w:r w:rsidRPr="003912E0">
        <w:t>sJIA</w:t>
      </w:r>
      <w:proofErr w:type="spellEnd"/>
      <w:r w:rsidRPr="003912E0">
        <w:t xml:space="preserve"> who were receiving ETN alone (n</w:t>
      </w:r>
      <w:r w:rsidR="00DC309B" w:rsidRPr="003912E0">
        <w:t xml:space="preserve"> = </w:t>
      </w:r>
      <w:r w:rsidRPr="003912E0">
        <w:t>103), or in combination with MTX (n</w:t>
      </w:r>
      <w:r w:rsidR="00DC309B" w:rsidRPr="003912E0">
        <w:t xml:space="preserve"> = </w:t>
      </w:r>
      <w:r w:rsidRPr="003912E0">
        <w:t>294), or MTX alone (n</w:t>
      </w:r>
      <w:r w:rsidR="00DC309B" w:rsidRPr="003912E0">
        <w:t xml:space="preserve"> = </w:t>
      </w:r>
      <w:r w:rsidRPr="003912E0">
        <w:t>197).</w:t>
      </w:r>
      <w:r w:rsidR="002040F3" w:rsidRPr="003912E0">
        <w:t xml:space="preserve"> </w:t>
      </w:r>
      <w:r w:rsidRPr="003912E0">
        <w:t>The study was conducted in 32 centres (28 in US, and 4 in Canada) between April 2000 and January 2008.</w:t>
      </w:r>
      <w:r w:rsidR="002040F3" w:rsidRPr="003912E0">
        <w:t xml:space="preserve"> </w:t>
      </w:r>
      <w:r w:rsidRPr="003912E0">
        <w:t>Patients on ETN received a single 0.8 mg/kg injection per week (up to a maximum dose of 50 mg per week).</w:t>
      </w:r>
      <w:r w:rsidR="002040F3" w:rsidRPr="003912E0">
        <w:t xml:space="preserve"> </w:t>
      </w:r>
      <w:r w:rsidRPr="003912E0">
        <w:t>Patients receiving MTX were prescribed a minimum dose of 10 mg/m2/week (~0.3 mg/kg/week; maximum dose of 1 mg/kg/week).</w:t>
      </w:r>
      <w:r w:rsidR="002040F3" w:rsidRPr="003912E0">
        <w:t xml:space="preserve"> </w:t>
      </w:r>
      <w:r w:rsidRPr="003912E0">
        <w:t>The primary objective of the study was to evaluate the long</w:t>
      </w:r>
      <w:r w:rsidR="001F68DB" w:rsidRPr="003912E0">
        <w:t xml:space="preserve"> </w:t>
      </w:r>
      <w:r w:rsidRPr="003912E0">
        <w:t>term safety of ETN, but efficacy outcomes were also collected as a secondary objective.</w:t>
      </w:r>
    </w:p>
    <w:p w:rsidR="000D5B9E" w:rsidRPr="003912E0" w:rsidRDefault="000D5B9E" w:rsidP="003912E0">
      <w:r w:rsidRPr="003912E0">
        <w:t>The main efficacy outcomes were Physician Global Assessment (PGA) of disease activity, joint assessment (number of active joints and number of joints with LOM) and Paediatric Quality of Life (</w:t>
      </w:r>
      <w:proofErr w:type="spellStart"/>
      <w:r w:rsidRPr="003912E0">
        <w:t>PedsQL</w:t>
      </w:r>
      <w:proofErr w:type="spellEnd"/>
      <w:r w:rsidRPr="003912E0">
        <w:t>) collected at various time points until 36 months.</w:t>
      </w:r>
    </w:p>
    <w:p w:rsidR="000D5B9E" w:rsidRPr="003912E0" w:rsidRDefault="000D5B9E" w:rsidP="003912E0">
      <w:r w:rsidRPr="003912E0">
        <w:t>At 3 years, the mean percentage improvement in PGA of disease activity was similar across the 3 treatment groups: 60.7% for MTX, 60.9% for ETN, and 55.4% for ETN + MTX.</w:t>
      </w:r>
      <w:r w:rsidR="002040F3" w:rsidRPr="003912E0">
        <w:t xml:space="preserve"> </w:t>
      </w:r>
      <w:r w:rsidRPr="003912E0">
        <w:t>Mean percentage improvement in active joint count at 3 years was also similar between the 3 treatment groups (57.0% for MTX, 63.2% for ETN, and 58.9% for ETN + MTX), but mean percentage improvement in active joint count with LOM was higher in the MTX group (57.5%) compared with either group receiving ETN (23.2% for ETN, and 42.8% for ETN + MTX).</w:t>
      </w:r>
    </w:p>
    <w:p w:rsidR="002040F3" w:rsidRPr="003912E0" w:rsidRDefault="000D5B9E" w:rsidP="003912E0">
      <w:r w:rsidRPr="003912E0">
        <w:t xml:space="preserve">In a subgroup analysis in 47 </w:t>
      </w:r>
      <w:proofErr w:type="spellStart"/>
      <w:r w:rsidRPr="003912E0">
        <w:t>pJIA</w:t>
      </w:r>
      <w:proofErr w:type="spellEnd"/>
      <w:r w:rsidRPr="003912E0">
        <w:t xml:space="preserve"> patients aged 2 to </w:t>
      </w:r>
      <w:r w:rsidR="002040F3" w:rsidRPr="003912E0">
        <w:t xml:space="preserve">less than </w:t>
      </w:r>
      <w:r w:rsidRPr="003912E0">
        <w:t>4 years, the mean percentage improvement in PGA of disease activity appeared to be higher in the 2 groups receiving ETN compared with the MTX alone group from about month 12 onwards, but the numbers were very small (</w:t>
      </w:r>
      <w:r w:rsidR="001F68DB" w:rsidRPr="003912E0">
        <w:t>for example</w:t>
      </w:r>
      <w:r w:rsidRPr="003912E0">
        <w:t xml:space="preserve"> at 3 years: 91.7% for ETN </w:t>
      </w:r>
      <w:r w:rsidR="00277CC3" w:rsidRPr="003912E0">
        <w:t>(</w:t>
      </w:r>
      <w:r w:rsidRPr="003912E0">
        <w:t>n</w:t>
      </w:r>
      <w:r w:rsidR="00DC309B" w:rsidRPr="003912E0">
        <w:t xml:space="preserve"> = </w:t>
      </w:r>
      <w:r w:rsidRPr="003912E0">
        <w:t>4</w:t>
      </w:r>
      <w:r w:rsidR="00277CC3" w:rsidRPr="003912E0">
        <w:t>)</w:t>
      </w:r>
      <w:r w:rsidRPr="003912E0">
        <w:t xml:space="preserve">, 89.6% for ETN + MTX </w:t>
      </w:r>
      <w:r w:rsidR="00277CC3" w:rsidRPr="003912E0">
        <w:t>(</w:t>
      </w:r>
      <w:r w:rsidRPr="003912E0">
        <w:t>n</w:t>
      </w:r>
      <w:r w:rsidR="00DC309B" w:rsidRPr="003912E0">
        <w:t xml:space="preserve"> = </w:t>
      </w:r>
      <w:r w:rsidRPr="003912E0">
        <w:t>12</w:t>
      </w:r>
      <w:r w:rsidR="00277CC3" w:rsidRPr="003912E0">
        <w:t>)</w:t>
      </w:r>
      <w:r w:rsidRPr="003912E0">
        <w:t xml:space="preserve">, and 66.7% for MTX </w:t>
      </w:r>
      <w:r w:rsidR="00277CC3" w:rsidRPr="003912E0">
        <w:t>(</w:t>
      </w:r>
      <w:r w:rsidRPr="003912E0">
        <w:t>n</w:t>
      </w:r>
      <w:r w:rsidR="00DC309B" w:rsidRPr="003912E0">
        <w:t xml:space="preserve"> = </w:t>
      </w:r>
      <w:r w:rsidRPr="003912E0">
        <w:t>5</w:t>
      </w:r>
      <w:r w:rsidR="00277CC3" w:rsidRPr="003912E0">
        <w:t>)</w:t>
      </w:r>
      <w:r w:rsidRPr="003912E0">
        <w:t>).</w:t>
      </w:r>
      <w:r w:rsidR="002040F3" w:rsidRPr="003912E0">
        <w:t xml:space="preserve"> </w:t>
      </w:r>
      <w:r w:rsidRPr="003912E0">
        <w:t>Similarly, the year 3 mean percentage improvement in the number of active joints was 100% for ETN (n</w:t>
      </w:r>
      <w:r w:rsidR="00DC309B" w:rsidRPr="003912E0">
        <w:t xml:space="preserve"> = </w:t>
      </w:r>
      <w:r w:rsidRPr="003912E0">
        <w:t>4), 90.4% for ETN + MTX (n</w:t>
      </w:r>
      <w:r w:rsidR="00DC309B" w:rsidRPr="003912E0">
        <w:t xml:space="preserve"> = </w:t>
      </w:r>
      <w:r w:rsidRPr="003912E0">
        <w:t>12), and 81.1% for MTX (n</w:t>
      </w:r>
      <w:r w:rsidR="00DC309B" w:rsidRPr="003912E0">
        <w:t xml:space="preserve"> = </w:t>
      </w:r>
      <w:r w:rsidRPr="003912E0">
        <w:t>6).</w:t>
      </w:r>
      <w:r w:rsidR="002040F3" w:rsidRPr="003912E0">
        <w:t xml:space="preserve"> </w:t>
      </w:r>
      <w:r w:rsidRPr="003912E0">
        <w:t>The year 3 mean percentage improvement in the number of joints with LOM was comparable across the treatment groups: 87.5% for ETN (n</w:t>
      </w:r>
      <w:r w:rsidR="00DC309B" w:rsidRPr="003912E0">
        <w:t xml:space="preserve"> = </w:t>
      </w:r>
      <w:r w:rsidRPr="003912E0">
        <w:t>4), 80.0% for ETN + MTX (n</w:t>
      </w:r>
      <w:r w:rsidR="00DC309B" w:rsidRPr="003912E0">
        <w:t xml:space="preserve"> = </w:t>
      </w:r>
      <w:r w:rsidRPr="003912E0">
        <w:t>12), and 91.1% for MTX (n</w:t>
      </w:r>
      <w:r w:rsidR="00DC309B" w:rsidRPr="003912E0">
        <w:t xml:space="preserve"> = </w:t>
      </w:r>
      <w:r w:rsidRPr="003912E0">
        <w:t>6).</w:t>
      </w:r>
    </w:p>
    <w:p w:rsidR="000D5B9E" w:rsidRPr="006C4B56" w:rsidRDefault="000D5B9E" w:rsidP="003912E0">
      <w:pPr>
        <w:pStyle w:val="Heading4"/>
      </w:pPr>
      <w:r w:rsidRPr="006C4B56">
        <w:t>Safety</w:t>
      </w:r>
    </w:p>
    <w:p w:rsidR="000D5B9E" w:rsidRPr="003912E0" w:rsidRDefault="000D5B9E" w:rsidP="003912E0">
      <w:r w:rsidRPr="003912E0">
        <w:t>In study 0881A1-3338, the mean exposure to ETN was 89.1 weeks (range 1 – 100 weeks), which was similar across the JIA subtypes.</w:t>
      </w:r>
      <w:r w:rsidR="002040F3" w:rsidRPr="003912E0">
        <w:t xml:space="preserve"> </w:t>
      </w:r>
      <w:r w:rsidRPr="003912E0">
        <w:t>This represented 215.1 patient</w:t>
      </w:r>
      <w:r w:rsidR="001F68DB" w:rsidRPr="003912E0">
        <w:t xml:space="preserve"> </w:t>
      </w:r>
      <w:r w:rsidRPr="003912E0">
        <w:t>years (PYs) of ETN exposure.</w:t>
      </w:r>
      <w:r w:rsidR="002040F3" w:rsidRPr="003912E0">
        <w:t xml:space="preserve"> </w:t>
      </w:r>
      <w:r w:rsidRPr="003912E0">
        <w:t xml:space="preserve">Mean weekly dose of ETN was 37.9 mg (range 10 </w:t>
      </w:r>
      <w:r w:rsidR="002040F3" w:rsidRPr="003912E0">
        <w:t>to</w:t>
      </w:r>
      <w:r w:rsidR="00DC309B" w:rsidRPr="003912E0">
        <w:t xml:space="preserve"> </w:t>
      </w:r>
      <w:r w:rsidRPr="003912E0">
        <w:t>50 mg).</w:t>
      </w:r>
      <w:r w:rsidR="002040F3" w:rsidRPr="003912E0">
        <w:t xml:space="preserve"> </w:t>
      </w:r>
      <w:r w:rsidRPr="003912E0">
        <w:t xml:space="preserve">Consistent with the younger age and lower weight of patients with </w:t>
      </w:r>
      <w:proofErr w:type="spellStart"/>
      <w:r w:rsidRPr="003912E0">
        <w:t>eoJIA</w:t>
      </w:r>
      <w:proofErr w:type="spellEnd"/>
      <w:r w:rsidRPr="003912E0">
        <w:t xml:space="preserve">, they had a lower mean weekly dose of ETN (29.5 mg) compared with either the ERA (45.1 mg) or </w:t>
      </w:r>
      <w:proofErr w:type="spellStart"/>
      <w:r w:rsidRPr="003912E0">
        <w:t>PsA</w:t>
      </w:r>
      <w:proofErr w:type="spellEnd"/>
      <w:r w:rsidRPr="003912E0">
        <w:t xml:space="preserve"> (45.7 mg) patients.</w:t>
      </w:r>
    </w:p>
    <w:p w:rsidR="002040F3" w:rsidRPr="003912E0" w:rsidRDefault="000D5B9E" w:rsidP="003912E0">
      <w:r w:rsidRPr="003912E0">
        <w:t>In Study 20021618, the overall ETN exposure in the 58 patients was 342 PYs.</w:t>
      </w:r>
      <w:r w:rsidR="002040F3" w:rsidRPr="003912E0">
        <w:t xml:space="preserve"> </w:t>
      </w:r>
      <w:r w:rsidRPr="003912E0">
        <w:t>In Study 20021626, drug exposure was estimated from the reported start and end dates.</w:t>
      </w:r>
      <w:r w:rsidR="002040F3" w:rsidRPr="003912E0">
        <w:t xml:space="preserve"> </w:t>
      </w:r>
      <w:r w:rsidRPr="003912E0">
        <w:t>Mean (SD) exposure for each arm was: 1.97 (1.09) years for MTX, 2.17 (1.04) years for ETN, and 2.16 (1.02) years for ETN + MTX.</w:t>
      </w:r>
      <w:r w:rsidR="002040F3" w:rsidRPr="003912E0">
        <w:t xml:space="preserve"> </w:t>
      </w:r>
      <w:r w:rsidRPr="003912E0">
        <w:t>The overall patient exposure in Study 20021626 to MTX was estimated to be 387.8 PYs and 859.3 PYs for ETN (alone, and in combination with MTX).</w:t>
      </w:r>
    </w:p>
    <w:p w:rsidR="003912E0" w:rsidRPr="003912E0" w:rsidRDefault="000D5B9E" w:rsidP="003912E0">
      <w:pPr>
        <w:pStyle w:val="Heading5"/>
      </w:pPr>
      <w:r w:rsidRPr="003912E0">
        <w:t>Study 0881A1-3338</w:t>
      </w:r>
    </w:p>
    <w:p w:rsidR="000D5B9E" w:rsidRPr="003912E0" w:rsidRDefault="000D5B9E" w:rsidP="003912E0">
      <w:r w:rsidRPr="003912E0">
        <w:t xml:space="preserve">In Part I, adverse event (AE) data were collected up to week 12, and included the following AEs of special interest: opportunistic infections, lymphoma, malignancy, blood </w:t>
      </w:r>
      <w:proofErr w:type="spellStart"/>
      <w:r w:rsidRPr="003912E0">
        <w:t>dyscrasias</w:t>
      </w:r>
      <w:proofErr w:type="spellEnd"/>
      <w:r w:rsidRPr="003912E0">
        <w:t>, demyelinating disease, and autoimmune disorders.</w:t>
      </w:r>
      <w:r w:rsidR="002040F3" w:rsidRPr="003912E0">
        <w:t xml:space="preserve"> </w:t>
      </w:r>
      <w:r w:rsidRPr="003912E0">
        <w:t>Overall 35.4% of patients reported at least 1 treatment</w:t>
      </w:r>
      <w:r w:rsidR="001F68DB" w:rsidRPr="003912E0">
        <w:t xml:space="preserve"> </w:t>
      </w:r>
      <w:r w:rsidRPr="003912E0">
        <w:t>emergent AE (TEAE), excluding infections and injection site reactions (ISRs).</w:t>
      </w:r>
      <w:r w:rsidR="002040F3" w:rsidRPr="003912E0">
        <w:t xml:space="preserve"> </w:t>
      </w:r>
      <w:r w:rsidRPr="003912E0">
        <w:t xml:space="preserve">The system organ class (SOC) with the most AEs was Respiratory, thoracic and </w:t>
      </w:r>
      <w:proofErr w:type="spellStart"/>
      <w:r w:rsidRPr="003912E0">
        <w:t>mediastinal</w:t>
      </w:r>
      <w:proofErr w:type="spellEnd"/>
      <w:r w:rsidRPr="003912E0">
        <w:t xml:space="preserve"> disorders, (7.9%), followed by Gastrointestinal disorders, General disorders and administration site conditions, Injury, poisoning and procedural complications, Investigations, and Nervous system disorders (7.1% each).</w:t>
      </w:r>
      <w:r w:rsidR="002040F3" w:rsidRPr="003912E0">
        <w:t xml:space="preserve"> </w:t>
      </w:r>
      <w:r w:rsidRPr="003912E0">
        <w:t>The most common individual TEAEs were: headache (5.5%), followed by fatigue, pyrexia, abdominal pain, and diarrhoea (3.1% each).</w:t>
      </w:r>
      <w:r w:rsidR="002040F3" w:rsidRPr="003912E0">
        <w:t xml:space="preserve"> </w:t>
      </w:r>
      <w:r w:rsidRPr="003912E0">
        <w:t xml:space="preserve">No clinically meaningful differences were observed across JIA subtypes, or across the 3 age groups of subjects with </w:t>
      </w:r>
      <w:proofErr w:type="spellStart"/>
      <w:r w:rsidRPr="003912E0">
        <w:t>eoJIA</w:t>
      </w:r>
      <w:proofErr w:type="spellEnd"/>
      <w:r w:rsidRPr="003912E0">
        <w:t>.</w:t>
      </w:r>
    </w:p>
    <w:p w:rsidR="000D5B9E" w:rsidRPr="003912E0" w:rsidRDefault="000D5B9E" w:rsidP="003912E0">
      <w:r w:rsidRPr="003912E0">
        <w:t>By the end of Part II, 73.2% of patients reported at least 1 TEAE, excluding infections and ISRs.</w:t>
      </w:r>
      <w:r w:rsidR="002040F3" w:rsidRPr="003912E0">
        <w:t xml:space="preserve"> </w:t>
      </w:r>
      <w:r w:rsidRPr="003912E0">
        <w:t xml:space="preserve">The most common types of AE were headache (0.107 per patient year), pyrexia (0.056 per patient year), and diarrhoea (0.046 per patient year). No significant differences for the incidence and type of AEs were observed across the JIA subtypes. In the </w:t>
      </w:r>
      <w:proofErr w:type="spellStart"/>
      <w:r w:rsidRPr="003912E0">
        <w:t>eoJIA</w:t>
      </w:r>
      <w:proofErr w:type="spellEnd"/>
      <w:r w:rsidRPr="003912E0">
        <w:t xml:space="preserve"> population, AEs occurred at a higher frequency in the 2 younger cohorts (1.54 per patient year for 2</w:t>
      </w:r>
      <w:r w:rsidR="005B5627" w:rsidRPr="003912E0">
        <w:t xml:space="preserve"> to </w:t>
      </w:r>
      <w:r w:rsidRPr="003912E0">
        <w:t>4 year old subjects, and 1.45 per patient year for 5</w:t>
      </w:r>
      <w:r w:rsidR="002040F3" w:rsidRPr="003912E0">
        <w:t xml:space="preserve"> to </w:t>
      </w:r>
      <w:r w:rsidRPr="003912E0">
        <w:t>11 year old children) compared to older patients (1.01 per patient year for 12</w:t>
      </w:r>
      <w:r w:rsidR="002040F3" w:rsidRPr="003912E0">
        <w:t xml:space="preserve"> to </w:t>
      </w:r>
      <w:r w:rsidRPr="003912E0">
        <w:t>17 year old subjects).</w:t>
      </w:r>
    </w:p>
    <w:p w:rsidR="000D5B9E" w:rsidRPr="003912E0" w:rsidRDefault="000D5B9E" w:rsidP="003912E0">
      <w:r w:rsidRPr="003912E0">
        <w:t>In Part I, treatment</w:t>
      </w:r>
      <w:r w:rsidR="002040F3" w:rsidRPr="003912E0">
        <w:t xml:space="preserve"> </w:t>
      </w:r>
      <w:r w:rsidRPr="003912E0">
        <w:t>emergent infections were reported by 45.7% of subjects (3.33 events per PY), with the most common being: upper respiratory tract infection (14.2%), followed by pharyngitis (11.8%), rhinitis (6.3%), gastroenteritis (3.9%) and bronchitis (3.1%).</w:t>
      </w:r>
      <w:r w:rsidR="002040F3" w:rsidRPr="003912E0">
        <w:t xml:space="preserve"> </w:t>
      </w:r>
      <w:r w:rsidRPr="003912E0">
        <w:t xml:space="preserve">No significant differences in incidence or type of infection were observed across the 3 JIA subtypes </w:t>
      </w:r>
      <w:r w:rsidR="00277CC3" w:rsidRPr="003912E0">
        <w:t>(</w:t>
      </w:r>
      <w:r w:rsidRPr="003912E0">
        <w:t xml:space="preserve">although overall infections were numerically higher in the </w:t>
      </w:r>
      <w:proofErr w:type="spellStart"/>
      <w:r w:rsidRPr="003912E0">
        <w:t>eoJIA</w:t>
      </w:r>
      <w:proofErr w:type="spellEnd"/>
      <w:r w:rsidRPr="003912E0">
        <w:t xml:space="preserve"> patients (51.7%, 4.09 events per PY) compared with either ERA (39.5%, 2.29 events per PY) or </w:t>
      </w:r>
      <w:proofErr w:type="spellStart"/>
      <w:r w:rsidRPr="003912E0">
        <w:t>PsA</w:t>
      </w:r>
      <w:proofErr w:type="spellEnd"/>
      <w:r w:rsidRPr="003912E0">
        <w:t xml:space="preserve"> (41.4%, 3.13 events per PY) patients</w:t>
      </w:r>
      <w:r w:rsidR="00277CC3" w:rsidRPr="003912E0">
        <w:t>)</w:t>
      </w:r>
      <w:r w:rsidRPr="003912E0">
        <w:t>.</w:t>
      </w:r>
    </w:p>
    <w:p w:rsidR="000D5B9E" w:rsidRPr="003912E0" w:rsidRDefault="000D5B9E" w:rsidP="003912E0">
      <w:r w:rsidRPr="003912E0">
        <w:t>By the end of Part II, treatment</w:t>
      </w:r>
      <w:r w:rsidR="002040F3" w:rsidRPr="003912E0">
        <w:t xml:space="preserve"> </w:t>
      </w:r>
      <w:r w:rsidRPr="003912E0">
        <w:t xml:space="preserve">emergent infections were reported by 75.6% of subjects (1.65 events per PY), with the most common being: upper respiratory tract infection (33.1%), followed by pharyngitis (25.2%), gastroenteritis (14.2%), bronchitis (10.2%) and </w:t>
      </w:r>
      <w:proofErr w:type="spellStart"/>
      <w:r w:rsidRPr="003912E0">
        <w:t>nasopharyngitis</w:t>
      </w:r>
      <w:proofErr w:type="spellEnd"/>
      <w:r w:rsidRPr="003912E0">
        <w:t xml:space="preserve"> (9.4%).</w:t>
      </w:r>
      <w:r w:rsidR="002040F3" w:rsidRPr="003912E0">
        <w:t xml:space="preserve"> </w:t>
      </w:r>
      <w:r w:rsidRPr="003912E0">
        <w:t xml:space="preserve">No significant differences in incidence or type of infection were observed across the 3 JIA subtypes </w:t>
      </w:r>
      <w:r w:rsidR="00277CC3" w:rsidRPr="003912E0">
        <w:t>(</w:t>
      </w:r>
      <w:r w:rsidRPr="003912E0">
        <w:t xml:space="preserve">although overall infections were numerically higher in the </w:t>
      </w:r>
      <w:proofErr w:type="spellStart"/>
      <w:r w:rsidRPr="003912E0">
        <w:t>eoJIA</w:t>
      </w:r>
      <w:proofErr w:type="spellEnd"/>
      <w:r w:rsidRPr="003912E0">
        <w:t xml:space="preserve"> patients (80.0%, 1.88 events per PY) compared with either ERA (68.4%, 0.88 events per PY) or </w:t>
      </w:r>
      <w:proofErr w:type="spellStart"/>
      <w:r w:rsidRPr="003912E0">
        <w:t>PsA</w:t>
      </w:r>
      <w:proofErr w:type="spellEnd"/>
      <w:r w:rsidRPr="003912E0">
        <w:t xml:space="preserve"> (62.1%, 1.26 events per PY) patients</w:t>
      </w:r>
      <w:r w:rsidR="00277CC3" w:rsidRPr="003912E0">
        <w:t>)</w:t>
      </w:r>
      <w:r w:rsidRPr="003912E0">
        <w:t>.</w:t>
      </w:r>
      <w:r w:rsidR="002040F3" w:rsidRPr="003912E0">
        <w:t xml:space="preserve"> </w:t>
      </w:r>
      <w:r w:rsidRPr="003912E0">
        <w:t xml:space="preserve">In the </w:t>
      </w:r>
      <w:proofErr w:type="spellStart"/>
      <w:r w:rsidRPr="003912E0">
        <w:t>eoJIA</w:t>
      </w:r>
      <w:proofErr w:type="spellEnd"/>
      <w:r w:rsidRPr="003912E0">
        <w:t xml:space="preserve"> population, infections occurred at a higher frequency in the 2 youngest cohorts (3.31 per patient year for 2</w:t>
      </w:r>
      <w:r w:rsidR="002040F3" w:rsidRPr="003912E0">
        <w:t xml:space="preserve"> to </w:t>
      </w:r>
      <w:r w:rsidRPr="003912E0">
        <w:t>4 year old subjects, and 2.25 per patient year for 5</w:t>
      </w:r>
      <w:r w:rsidR="002040F3" w:rsidRPr="003912E0">
        <w:t xml:space="preserve"> to </w:t>
      </w:r>
      <w:r w:rsidRPr="003912E0">
        <w:t>11 year old children) compared to older patients (1.14 per patient year for 12</w:t>
      </w:r>
      <w:r w:rsidR="002040F3" w:rsidRPr="003912E0">
        <w:t xml:space="preserve"> to </w:t>
      </w:r>
      <w:r w:rsidRPr="003912E0">
        <w:t>17 year old subjects).</w:t>
      </w:r>
    </w:p>
    <w:p w:rsidR="000D5B9E" w:rsidRPr="003912E0" w:rsidRDefault="000D5B9E" w:rsidP="003912E0">
      <w:r w:rsidRPr="003912E0">
        <w:t>Treatment</w:t>
      </w:r>
      <w:r w:rsidR="002040F3" w:rsidRPr="003912E0">
        <w:t xml:space="preserve"> </w:t>
      </w:r>
      <w:r w:rsidRPr="003912E0">
        <w:t>emergent ISRs were reported by 10 (7.9%) subjects (0.79 events per PY) in Part I, and by 16 (12.6%) subjects (0.29 events per PY) by the end of Part II.</w:t>
      </w:r>
    </w:p>
    <w:p w:rsidR="000D5B9E" w:rsidRPr="003912E0" w:rsidRDefault="000D5B9E" w:rsidP="003912E0">
      <w:r w:rsidRPr="003912E0">
        <w:t>No subjects reported malignancy, lymphoma, demyelinating or autoimmune disease in Part I.</w:t>
      </w:r>
      <w:r w:rsidR="002040F3" w:rsidRPr="003912E0">
        <w:t xml:space="preserve"> </w:t>
      </w:r>
      <w:r w:rsidRPr="003912E0">
        <w:t>In Part II, 4 patients developed autoimmune disorders</w:t>
      </w:r>
      <w:r w:rsidR="002040F3" w:rsidRPr="003912E0">
        <w:t xml:space="preserve"> </w:t>
      </w:r>
      <w:r w:rsidRPr="003912E0">
        <w:t xml:space="preserve">2 cases of uveitis, and single cases of </w:t>
      </w:r>
      <w:proofErr w:type="spellStart"/>
      <w:r w:rsidRPr="003912E0">
        <w:t>iridocyclitis</w:t>
      </w:r>
      <w:proofErr w:type="spellEnd"/>
      <w:r w:rsidRPr="003912E0">
        <w:t xml:space="preserve"> and </w:t>
      </w:r>
      <w:proofErr w:type="spellStart"/>
      <w:r w:rsidRPr="003912E0">
        <w:t>Crohn’s</w:t>
      </w:r>
      <w:proofErr w:type="spellEnd"/>
      <w:r w:rsidRPr="003912E0">
        <w:t xml:space="preserve"> disease.</w:t>
      </w:r>
      <w:r w:rsidR="002040F3" w:rsidRPr="003912E0">
        <w:t xml:space="preserve"> </w:t>
      </w:r>
      <w:r w:rsidRPr="003912E0">
        <w:t xml:space="preserve">A further 2 reports of </w:t>
      </w:r>
      <w:proofErr w:type="spellStart"/>
      <w:r w:rsidRPr="003912E0">
        <w:t>Crohn’s</w:t>
      </w:r>
      <w:proofErr w:type="spellEnd"/>
      <w:r w:rsidRPr="003912E0">
        <w:t xml:space="preserve"> were considered non</w:t>
      </w:r>
      <w:r w:rsidR="002040F3" w:rsidRPr="003912E0">
        <w:t xml:space="preserve"> </w:t>
      </w:r>
      <w:r w:rsidRPr="003912E0">
        <w:t>treatment</w:t>
      </w:r>
      <w:r w:rsidR="002040F3" w:rsidRPr="003912E0">
        <w:t xml:space="preserve"> </w:t>
      </w:r>
      <w:r w:rsidRPr="003912E0">
        <w:t>emergent.</w:t>
      </w:r>
    </w:p>
    <w:p w:rsidR="000D5B9E" w:rsidRPr="003912E0" w:rsidRDefault="000D5B9E" w:rsidP="003912E0">
      <w:r w:rsidRPr="003912E0">
        <w:t xml:space="preserve">In Part I, 4 patients reported 4 SAEs, including 3 infections (bronchopneumonia, </w:t>
      </w:r>
      <w:proofErr w:type="spellStart"/>
      <w:r w:rsidRPr="003912E0">
        <w:t>pyelocystitis</w:t>
      </w:r>
      <w:proofErr w:type="spellEnd"/>
      <w:r w:rsidRPr="003912E0">
        <w:t>, and gastroenteritis) and 1 case of abdominal pain.</w:t>
      </w:r>
      <w:r w:rsidR="002040F3" w:rsidRPr="003912E0">
        <w:t xml:space="preserve"> </w:t>
      </w:r>
      <w:r w:rsidRPr="003912E0">
        <w:t xml:space="preserve">By the end of Part II, 15 patients (11.8%) reported 16 </w:t>
      </w:r>
      <w:r w:rsidR="00904313" w:rsidRPr="003912E0">
        <w:t>non-infectious</w:t>
      </w:r>
      <w:r w:rsidRPr="003912E0">
        <w:t xml:space="preserve"> SAEs, and 11 patients (8.7%) reported 11 serious infections.</w:t>
      </w:r>
      <w:r w:rsidR="002040F3" w:rsidRPr="003912E0">
        <w:t xml:space="preserve"> </w:t>
      </w:r>
      <w:r w:rsidRPr="003912E0">
        <w:t xml:space="preserve">All were single types of serious infection apart from 3 cases of gastrointestinal infection. In addition, 8 subjects suffered infections considered preventable by vaccination, 7 of whom were not vaccinated. These preventable infections included 4 cases of varicella (all in young subjects with </w:t>
      </w:r>
      <w:proofErr w:type="spellStart"/>
      <w:r w:rsidRPr="003912E0">
        <w:t>eoJIA</w:t>
      </w:r>
      <w:proofErr w:type="spellEnd"/>
      <w:r w:rsidRPr="003912E0">
        <w:t xml:space="preserve">), 2 cases of herpes zoster (1 each in the ERA and </w:t>
      </w:r>
      <w:proofErr w:type="spellStart"/>
      <w:r w:rsidRPr="003912E0">
        <w:t>PsJIA</w:t>
      </w:r>
      <w:proofErr w:type="spellEnd"/>
      <w:r w:rsidRPr="003912E0">
        <w:t xml:space="preserve"> groups), and single reports of influenza and rubella (both in the </w:t>
      </w:r>
      <w:proofErr w:type="spellStart"/>
      <w:r w:rsidRPr="003912E0">
        <w:t>eoJIA</w:t>
      </w:r>
      <w:proofErr w:type="spellEnd"/>
      <w:r w:rsidRPr="003912E0">
        <w:t xml:space="preserve"> cohort).</w:t>
      </w:r>
      <w:r w:rsidR="002040F3" w:rsidRPr="003912E0">
        <w:t xml:space="preserve"> </w:t>
      </w:r>
      <w:r w:rsidRPr="003912E0">
        <w:t>One case of opportunistic infection was reported (latent tuberculosis).</w:t>
      </w:r>
      <w:r w:rsidR="002040F3" w:rsidRPr="003912E0">
        <w:t xml:space="preserve"> </w:t>
      </w:r>
      <w:r w:rsidRPr="003912E0">
        <w:t>No deaths were reported in Part I or II of the study.</w:t>
      </w:r>
    </w:p>
    <w:p w:rsidR="000D5B9E" w:rsidRPr="003912E0" w:rsidRDefault="000D5B9E" w:rsidP="003912E0">
      <w:r w:rsidRPr="003912E0">
        <w:t xml:space="preserve">There were 4 discontinuations due to AEs in Part I including bronchopneumonia, </w:t>
      </w:r>
      <w:proofErr w:type="spellStart"/>
      <w:r w:rsidRPr="003912E0">
        <w:t>pyelocystitis</w:t>
      </w:r>
      <w:proofErr w:type="spellEnd"/>
      <w:r w:rsidRPr="003912E0">
        <w:t>, asthenia and pyrexia, and fatigue, dizziness and wheezing.</w:t>
      </w:r>
      <w:r w:rsidR="002040F3" w:rsidRPr="003912E0">
        <w:t xml:space="preserve"> </w:t>
      </w:r>
      <w:r w:rsidRPr="003912E0">
        <w:t>No additional discontinuations occurred in Part II.</w:t>
      </w:r>
    </w:p>
    <w:p w:rsidR="000D5B9E" w:rsidRPr="003912E0" w:rsidRDefault="000D5B9E" w:rsidP="003912E0">
      <w:r w:rsidRPr="003912E0">
        <w:t xml:space="preserve">Overall, 10 patients (7.9% of 127) recorded </w:t>
      </w:r>
      <w:r w:rsidR="002040F3" w:rsidRPr="003912E0">
        <w:t>Grade</w:t>
      </w:r>
      <w:r w:rsidRPr="003912E0">
        <w:t xml:space="preserve"> 3 or 4 abnormalities of laboratory tests during Parts I and II of the study. This included 4 subjects with </w:t>
      </w:r>
      <w:proofErr w:type="spellStart"/>
      <w:r w:rsidRPr="003912E0">
        <w:t>leucopenia</w:t>
      </w:r>
      <w:proofErr w:type="spellEnd"/>
      <w:r w:rsidRPr="003912E0">
        <w:t xml:space="preserve"> (3 </w:t>
      </w:r>
      <w:proofErr w:type="spellStart"/>
      <w:r w:rsidRPr="003912E0">
        <w:t>eoJIA</w:t>
      </w:r>
      <w:proofErr w:type="spellEnd"/>
      <w:r w:rsidRPr="003912E0">
        <w:t xml:space="preserve">, and 1 </w:t>
      </w:r>
      <w:proofErr w:type="spellStart"/>
      <w:r w:rsidRPr="003912E0">
        <w:t>PsJIA</w:t>
      </w:r>
      <w:proofErr w:type="spellEnd"/>
      <w:r w:rsidRPr="003912E0">
        <w:t xml:space="preserve"> patient), and 6 subjects had abnormalities of liver function tests (3 </w:t>
      </w:r>
      <w:proofErr w:type="spellStart"/>
      <w:r w:rsidRPr="003912E0">
        <w:t>eoJIA</w:t>
      </w:r>
      <w:proofErr w:type="spellEnd"/>
      <w:r w:rsidRPr="003912E0">
        <w:t xml:space="preserve">, 2 ERA and 1 </w:t>
      </w:r>
      <w:proofErr w:type="spellStart"/>
      <w:r w:rsidRPr="003912E0">
        <w:t>PsJIA</w:t>
      </w:r>
      <w:proofErr w:type="spellEnd"/>
      <w:r w:rsidRPr="003912E0">
        <w:t xml:space="preserve"> patients).</w:t>
      </w:r>
      <w:r w:rsidR="002040F3" w:rsidRPr="003912E0">
        <w:t xml:space="preserve"> </w:t>
      </w:r>
      <w:r w:rsidRPr="003912E0">
        <w:t xml:space="preserve">All </w:t>
      </w:r>
      <w:r w:rsidR="00C35A3A" w:rsidRPr="003912E0">
        <w:t>liver function test (LFT)</w:t>
      </w:r>
      <w:r w:rsidRPr="003912E0">
        <w:t xml:space="preserve"> abnormalities occurred in patients taking concurrent DMARD and/or NSAID therapy.</w:t>
      </w:r>
      <w:r w:rsidR="002040F3" w:rsidRPr="003912E0">
        <w:t xml:space="preserve"> </w:t>
      </w:r>
      <w:r w:rsidRPr="003912E0">
        <w:t xml:space="preserve">The frequency of abnormal function tests was higher in the </w:t>
      </w:r>
      <w:proofErr w:type="spellStart"/>
      <w:r w:rsidRPr="003912E0">
        <w:t>eoJIA</w:t>
      </w:r>
      <w:proofErr w:type="spellEnd"/>
      <w:r w:rsidRPr="003912E0">
        <w:t xml:space="preserve"> group (27.1%) compared to the 2 other JIA subtypes (15.8% for ERA, and 13.8% for </w:t>
      </w:r>
      <w:proofErr w:type="spellStart"/>
      <w:r w:rsidRPr="003912E0">
        <w:t>PsJIA</w:t>
      </w:r>
      <w:proofErr w:type="spellEnd"/>
      <w:r w:rsidRPr="003912E0">
        <w:t>).</w:t>
      </w:r>
    </w:p>
    <w:p w:rsidR="000D5B9E" w:rsidRPr="003912E0" w:rsidRDefault="000D5B9E" w:rsidP="003912E0">
      <w:r w:rsidRPr="003912E0">
        <w:t>In total, 26 patients (20.5%) tested positive for anti</w:t>
      </w:r>
      <w:r w:rsidR="002040F3" w:rsidRPr="003912E0">
        <w:t xml:space="preserve"> </w:t>
      </w:r>
      <w:r w:rsidRPr="003912E0">
        <w:t>ETN antibodies on at least 1 occasion during the study, but none tested positive for neutralizing antibodies.</w:t>
      </w:r>
      <w:r w:rsidR="002040F3" w:rsidRPr="003912E0">
        <w:t xml:space="preserve"> </w:t>
      </w:r>
      <w:r w:rsidRPr="003912E0">
        <w:t>There was no clear correlation between the occurrence of anti</w:t>
      </w:r>
      <w:r w:rsidR="002040F3" w:rsidRPr="003912E0">
        <w:t xml:space="preserve"> </w:t>
      </w:r>
      <w:r w:rsidRPr="003912E0">
        <w:t>ETN antibodies and the development of AEs.</w:t>
      </w:r>
    </w:p>
    <w:p w:rsidR="002040F3" w:rsidRPr="003912E0" w:rsidRDefault="000D5B9E" w:rsidP="003912E0">
      <w:r w:rsidRPr="003912E0">
        <w:t>Growth parameters (height, weight, BMI) did not decline during the study.</w:t>
      </w:r>
    </w:p>
    <w:p w:rsidR="003912E0" w:rsidRDefault="000D5B9E" w:rsidP="003912E0">
      <w:pPr>
        <w:pStyle w:val="Heading5"/>
      </w:pPr>
      <w:r w:rsidRPr="00157C27">
        <w:t>Study 20021618</w:t>
      </w:r>
    </w:p>
    <w:p w:rsidR="000D5B9E" w:rsidRPr="003912E0" w:rsidRDefault="003912E0" w:rsidP="003912E0">
      <w:r w:rsidRPr="003912E0">
        <w:t>AEs were collected for first</w:t>
      </w:r>
      <w:r w:rsidR="000D5B9E" w:rsidRPr="003912E0">
        <w:t xml:space="preserve"> year only, SAEs for duration of the study.</w:t>
      </w:r>
      <w:r w:rsidR="002040F3" w:rsidRPr="003912E0">
        <w:t xml:space="preserve"> </w:t>
      </w:r>
      <w:r w:rsidR="000D5B9E" w:rsidRPr="003912E0">
        <w:t>Overall, 75.9% of patients repor</w:t>
      </w:r>
      <w:r w:rsidRPr="003912E0">
        <w:t>ted at least 1 TEAE during the first</w:t>
      </w:r>
      <w:r w:rsidR="000D5B9E" w:rsidRPr="003912E0">
        <w:t xml:space="preserve"> year of the study.</w:t>
      </w:r>
      <w:r w:rsidR="002040F3" w:rsidRPr="003912E0">
        <w:t xml:space="preserve"> </w:t>
      </w:r>
      <w:r w:rsidR="000D5B9E" w:rsidRPr="003912E0">
        <w:t xml:space="preserve">The most common </w:t>
      </w:r>
      <w:r w:rsidR="00904313" w:rsidRPr="003912E0">
        <w:t>non-infectious</w:t>
      </w:r>
      <w:r w:rsidR="000D5B9E" w:rsidRPr="003912E0">
        <w:t xml:space="preserve"> TEAEs were: ISRs reported by 11 (19%) subjects (112 AEs, 210.93 events per 100 PYs), headache (44 AEs, 82.86 events per 100 PYs), and abdominal pain (20 AEs, 37.67 events per 100 PYs).</w:t>
      </w:r>
    </w:p>
    <w:p w:rsidR="000D5B9E" w:rsidRPr="003912E0" w:rsidRDefault="000D5B9E" w:rsidP="003912E0">
      <w:r w:rsidRPr="003912E0">
        <w:t>Treatment</w:t>
      </w:r>
      <w:r w:rsidR="002040F3" w:rsidRPr="003912E0">
        <w:t xml:space="preserve"> </w:t>
      </w:r>
      <w:r w:rsidRPr="003912E0">
        <w:t>emergent infections were reported by 75.9% of subjects (237.29 events per 100 PYs).</w:t>
      </w:r>
      <w:r w:rsidR="002040F3" w:rsidRPr="003912E0">
        <w:t xml:space="preserve"> </w:t>
      </w:r>
      <w:r w:rsidRPr="003912E0">
        <w:t>The most common treatment</w:t>
      </w:r>
      <w:r w:rsidR="002040F3" w:rsidRPr="003912E0">
        <w:t xml:space="preserve"> </w:t>
      </w:r>
      <w:r w:rsidRPr="003912E0">
        <w:t>emergent infections reported were upper respiratory infection (68 AEs; 128.06 events per 100 PYs), pharyngitis (9 AEs; 16.95 events per 100 PYs) and influenza syndrome (9 AEs, 16.95 events per 100 PYs). Four patients reported events of herpes zoster.</w:t>
      </w:r>
    </w:p>
    <w:p w:rsidR="000D5B9E" w:rsidRPr="003912E0" w:rsidRDefault="000D5B9E" w:rsidP="003912E0">
      <w:r w:rsidRPr="003912E0">
        <w:t>No subjects reported malignancy, lymphoma, or demyelinating disease.</w:t>
      </w:r>
      <w:r w:rsidR="002040F3" w:rsidRPr="003912E0">
        <w:t xml:space="preserve"> </w:t>
      </w:r>
      <w:r w:rsidRPr="003912E0">
        <w:t>Three patients developed autoimmune conditions: scleroderma (n</w:t>
      </w:r>
      <w:r w:rsidR="00DC309B" w:rsidRPr="003912E0">
        <w:t xml:space="preserve"> = </w:t>
      </w:r>
      <w:r w:rsidRPr="003912E0">
        <w:t>2) and uveitis (n</w:t>
      </w:r>
      <w:r w:rsidR="00DC309B" w:rsidRPr="003912E0">
        <w:t xml:space="preserve"> = </w:t>
      </w:r>
      <w:r w:rsidRPr="003912E0">
        <w:t>1).</w:t>
      </w:r>
    </w:p>
    <w:p w:rsidR="000D5B9E" w:rsidRPr="003912E0" w:rsidRDefault="000D5B9E" w:rsidP="003912E0">
      <w:r w:rsidRPr="003912E0">
        <w:t>No deaths were reported, but 16 patients reported 44 SAEs during the 10</w:t>
      </w:r>
      <w:r w:rsidR="002040F3" w:rsidRPr="003912E0">
        <w:t xml:space="preserve"> </w:t>
      </w:r>
      <w:r w:rsidRPr="003912E0">
        <w:t>year study period.</w:t>
      </w:r>
      <w:r w:rsidR="002040F3" w:rsidRPr="003912E0">
        <w:t xml:space="preserve"> </w:t>
      </w:r>
      <w:r w:rsidRPr="003912E0">
        <w:t>The SAEs included 11 infections, the most serious being sepsis due to Group A β</w:t>
      </w:r>
      <w:r w:rsidR="002040F3" w:rsidRPr="003912E0">
        <w:t xml:space="preserve"> </w:t>
      </w:r>
      <w:r w:rsidRPr="003912E0">
        <w:t xml:space="preserve">haemolytic streptococcus complicated by shock, disseminated intravascular coagulopathy, </w:t>
      </w:r>
      <w:proofErr w:type="spellStart"/>
      <w:r w:rsidRPr="003912E0">
        <w:t>purpura</w:t>
      </w:r>
      <w:proofErr w:type="spellEnd"/>
      <w:r w:rsidRPr="003912E0">
        <w:t xml:space="preserve"> </w:t>
      </w:r>
      <w:proofErr w:type="spellStart"/>
      <w:r w:rsidRPr="003912E0">
        <w:t>fulminans</w:t>
      </w:r>
      <w:proofErr w:type="spellEnd"/>
      <w:r w:rsidRPr="003912E0">
        <w:t xml:space="preserve">, respiratory distress syndrome, and </w:t>
      </w:r>
      <w:r w:rsidR="00904313" w:rsidRPr="003912E0">
        <w:t>ischemia</w:t>
      </w:r>
      <w:r w:rsidRPr="003912E0">
        <w:t xml:space="preserve"> of the left foot and distal leg resulting in dry gangrene requiring left foot and </w:t>
      </w:r>
      <w:r w:rsidR="00904313" w:rsidRPr="003912E0">
        <w:t>mid-calf</w:t>
      </w:r>
      <w:r w:rsidRPr="003912E0">
        <w:t xml:space="preserve"> amputation.</w:t>
      </w:r>
      <w:r w:rsidR="002040F3" w:rsidRPr="003912E0">
        <w:t xml:space="preserve"> </w:t>
      </w:r>
      <w:r w:rsidRPr="003912E0">
        <w:t xml:space="preserve">The </w:t>
      </w:r>
      <w:r w:rsidR="00904313" w:rsidRPr="003912E0">
        <w:t>non-infectious</w:t>
      </w:r>
      <w:r w:rsidRPr="003912E0">
        <w:t xml:space="preserve"> SAEs included RA (n</w:t>
      </w:r>
      <w:r w:rsidR="00DC309B" w:rsidRPr="003912E0">
        <w:t xml:space="preserve"> = </w:t>
      </w:r>
      <w:r w:rsidRPr="003912E0">
        <w:t>6), abdominal pain, arthralgia, and macrophage activation syndrome (n</w:t>
      </w:r>
      <w:r w:rsidR="00DC309B" w:rsidRPr="003912E0">
        <w:t xml:space="preserve"> = </w:t>
      </w:r>
      <w:r w:rsidRPr="003912E0">
        <w:t>2 each).</w:t>
      </w:r>
    </w:p>
    <w:p w:rsidR="000D5B9E" w:rsidRPr="003912E0" w:rsidRDefault="000D5B9E" w:rsidP="003912E0">
      <w:r w:rsidRPr="003912E0">
        <w:t xml:space="preserve">There were 5 discontinuations due to AEs (arthritis flare; </w:t>
      </w:r>
      <w:proofErr w:type="spellStart"/>
      <w:r w:rsidRPr="003912E0">
        <w:t>purpura</w:t>
      </w:r>
      <w:proofErr w:type="spellEnd"/>
      <w:r w:rsidRPr="003912E0">
        <w:t xml:space="preserve"> </w:t>
      </w:r>
      <w:proofErr w:type="spellStart"/>
      <w:r w:rsidRPr="003912E0">
        <w:t>fulminans</w:t>
      </w:r>
      <w:proofErr w:type="spellEnd"/>
      <w:r w:rsidRPr="003912E0">
        <w:t xml:space="preserve">; suspected </w:t>
      </w:r>
      <w:proofErr w:type="spellStart"/>
      <w:r w:rsidRPr="003912E0">
        <w:t>morphea</w:t>
      </w:r>
      <w:proofErr w:type="spellEnd"/>
      <w:r w:rsidRPr="003912E0">
        <w:t xml:space="preserve"> and fasciitis; </w:t>
      </w:r>
      <w:r w:rsidR="00904313" w:rsidRPr="003912E0">
        <w:t>post-operative</w:t>
      </w:r>
      <w:r w:rsidRPr="003912E0">
        <w:t xml:space="preserve"> wound infection; and diarrhoea, vomiting, bone disorder, and aseptic meningitis).</w:t>
      </w:r>
    </w:p>
    <w:p w:rsidR="002040F3" w:rsidRPr="003912E0" w:rsidRDefault="000D5B9E" w:rsidP="003912E0">
      <w:r w:rsidRPr="003912E0">
        <w:t xml:space="preserve">Three patients experienced a Grade 3 decrease in haemoglobin, but there were no </w:t>
      </w:r>
      <w:r w:rsidR="002040F3" w:rsidRPr="003912E0">
        <w:t>Grade</w:t>
      </w:r>
      <w:r w:rsidRPr="003912E0">
        <w:t xml:space="preserve"> 3 or 4 abnormalities of LFTs reported up to month 52 of the study (data sparse after this time).</w:t>
      </w:r>
    </w:p>
    <w:p w:rsidR="003912E0" w:rsidRPr="003912E0" w:rsidRDefault="000D5B9E" w:rsidP="003912E0">
      <w:pPr>
        <w:pStyle w:val="Heading5"/>
      </w:pPr>
      <w:r w:rsidRPr="00157C27">
        <w:t>Study 200216</w:t>
      </w:r>
      <w:r w:rsidR="003912E0">
        <w:t>26</w:t>
      </w:r>
    </w:p>
    <w:p w:rsidR="000D5B9E" w:rsidRPr="003912E0" w:rsidRDefault="000D5B9E" w:rsidP="003912E0">
      <w:r w:rsidRPr="003912E0">
        <w:t>Overall, 25.2% of patients on ETN, 26.5% on ETN + MTX, and 21.8% on MTX reported at least 1 AE during the registry study.</w:t>
      </w:r>
      <w:r w:rsidR="002040F3" w:rsidRPr="003912E0">
        <w:t xml:space="preserve"> </w:t>
      </w:r>
      <w:r w:rsidRPr="003912E0">
        <w:t>The exposure</w:t>
      </w:r>
      <w:r w:rsidR="002040F3" w:rsidRPr="003912E0">
        <w:t xml:space="preserve"> </w:t>
      </w:r>
      <w:r w:rsidRPr="003912E0">
        <w:t>adjusted rate of AEs was similar between the combined ETN treatment groups (20.8 AEs per 100 PYs) and the MTX only arm (18.3 AEs per 100 PYs).</w:t>
      </w:r>
      <w:r w:rsidR="002040F3" w:rsidRPr="003912E0">
        <w:t xml:space="preserve"> </w:t>
      </w:r>
      <w:r w:rsidRPr="003912E0">
        <w:t>The most common AEs reported were nervous system events (ETN 8.03, ETN + MTX 6.61, and MTX 4.38 per 100 PYs).</w:t>
      </w:r>
      <w:r w:rsidR="002040F3" w:rsidRPr="003912E0">
        <w:t xml:space="preserve"> </w:t>
      </w:r>
      <w:r w:rsidRPr="003912E0">
        <w:t>Increased alanine transaminase / abnormal liver function AEs were the most common individual AEs, and were more common in the MTX arm (2.06 AEs per 100 PYs) compared with 0.0 or 0.16 AEs per 100 PYs in the ETN and ETN + MTX arms, respectively.</w:t>
      </w:r>
    </w:p>
    <w:p w:rsidR="000D5B9E" w:rsidRPr="003912E0" w:rsidRDefault="000D5B9E" w:rsidP="003912E0">
      <w:r w:rsidRPr="003912E0">
        <w:t>Infections were reported by 19 patients</w:t>
      </w:r>
      <w:r w:rsidR="002040F3" w:rsidRPr="003912E0">
        <w:t xml:space="preserve"> </w:t>
      </w:r>
      <w:r w:rsidRPr="003912E0">
        <w:t>4 on ETN, 11 on ETN + MTX, and 4 on MTX.</w:t>
      </w:r>
      <w:r w:rsidR="002040F3" w:rsidRPr="003912E0">
        <w:t xml:space="preserve"> </w:t>
      </w:r>
      <w:r w:rsidRPr="003912E0">
        <w:t>All were considered medically important (requiring hospitalisation and/or intravenous antibiotics).</w:t>
      </w:r>
      <w:r w:rsidR="002040F3" w:rsidRPr="003912E0">
        <w:t xml:space="preserve"> </w:t>
      </w:r>
      <w:r w:rsidRPr="003912E0">
        <w:t>The overall exposure</w:t>
      </w:r>
      <w:r w:rsidR="002040F3" w:rsidRPr="003912E0">
        <w:t xml:space="preserve"> </w:t>
      </w:r>
      <w:r w:rsidRPr="003912E0">
        <w:t>adjusted rate for infections was: 1.29 per 100 PYs for MTX, 1.78 per 100 PYs for ETN, and 2.05 per 100 PYs for ETN + MTX.</w:t>
      </w:r>
      <w:r w:rsidR="002040F3" w:rsidRPr="003912E0">
        <w:t xml:space="preserve"> </w:t>
      </w:r>
      <w:r w:rsidRPr="003912E0">
        <w:t>The infectious AEs reported by more than 1 subject were abscess, pyelonephritis, and herpes zoster (2 patients each in the ETN + MTX arm), and infection (2 patients in the ETN only arm).</w:t>
      </w:r>
    </w:p>
    <w:p w:rsidR="000D5B9E" w:rsidRPr="003912E0" w:rsidRDefault="000D5B9E" w:rsidP="003912E0">
      <w:r w:rsidRPr="003912E0">
        <w:t>No cases of lymphoma, tuberculosis, or malignancy were reported during the study. There were no cases of demyelinating disorders in the ETN only arm or ETN + MTX arm, but there was 1 case of optic neuritis in the MTX only arm.</w:t>
      </w:r>
    </w:p>
    <w:p w:rsidR="000D5B9E" w:rsidRPr="003912E0" w:rsidRDefault="000D5B9E" w:rsidP="003912E0">
      <w:r w:rsidRPr="003912E0">
        <w:t>No deaths were recorded, but 14 patients reported 18 SAEs on MTX, 9 patients reported 16 SAEs on ETN, and 28 patients reported 38 SAEs on ETN + MTX.</w:t>
      </w:r>
      <w:r w:rsidR="002040F3" w:rsidRPr="003912E0">
        <w:t xml:space="preserve"> </w:t>
      </w:r>
      <w:r w:rsidRPr="003912E0">
        <w:t>The most common SAEs were viral infection (0.89 per 100 PYs for ETN), headache and arthritis (both 0.63 per 100 PYs for ETN + MTX).</w:t>
      </w:r>
      <w:r w:rsidR="002040F3" w:rsidRPr="003912E0">
        <w:t xml:space="preserve"> </w:t>
      </w:r>
      <w:r w:rsidRPr="003912E0">
        <w:t xml:space="preserve">Infections were reported separately (see above), with 1 subject (on ETN + MTX) developing </w:t>
      </w:r>
      <w:r w:rsidR="002040F3" w:rsidRPr="003912E0">
        <w:t>Grade</w:t>
      </w:r>
      <w:r w:rsidRPr="003912E0">
        <w:t xml:space="preserve"> 4 sepsis, and 8 having </w:t>
      </w:r>
      <w:r w:rsidR="002040F3" w:rsidRPr="003912E0">
        <w:t>Grade</w:t>
      </w:r>
      <w:r w:rsidRPr="003912E0">
        <w:t xml:space="preserve"> 3 infections (1 on MTX, 3 on ETN, and 4 on ETN + MTX).</w:t>
      </w:r>
    </w:p>
    <w:p w:rsidR="0084185F" w:rsidRPr="00E20FEA" w:rsidRDefault="000D5B9E" w:rsidP="002F31F5">
      <w:r w:rsidRPr="003912E0">
        <w:t xml:space="preserve">There were 15 discontinuations due to AEs, including abnormal LFTs, arthritis flare, skin rash, headache post ETN injection, injection site reaction, overlap syndrome with juvenile </w:t>
      </w:r>
      <w:proofErr w:type="spellStart"/>
      <w:r w:rsidRPr="003912E0">
        <w:t>dermatomyositis</w:t>
      </w:r>
      <w:proofErr w:type="spellEnd"/>
      <w:r w:rsidRPr="003912E0">
        <w:t>, and vomiting.</w:t>
      </w:r>
    </w:p>
    <w:p w:rsidR="002040F3" w:rsidRDefault="00386150" w:rsidP="008E7846">
      <w:pPr>
        <w:pStyle w:val="Heading3"/>
        <w:rPr>
          <w:lang w:eastAsia="en-AU"/>
        </w:rPr>
      </w:pPr>
      <w:bookmarkStart w:id="167" w:name="_Toc314842514"/>
      <w:bookmarkStart w:id="168" w:name="_Toc390330079"/>
      <w:r>
        <w:rPr>
          <w:lang w:eastAsia="en-AU"/>
        </w:rPr>
        <w:t>Risk m</w:t>
      </w:r>
      <w:r w:rsidR="008E7846">
        <w:rPr>
          <w:lang w:eastAsia="en-AU"/>
        </w:rPr>
        <w:t xml:space="preserve">anagement </w:t>
      </w:r>
      <w:r>
        <w:rPr>
          <w:lang w:eastAsia="en-AU"/>
        </w:rPr>
        <w:t>p</w:t>
      </w:r>
      <w:r w:rsidR="008E7846">
        <w:rPr>
          <w:lang w:eastAsia="en-AU"/>
        </w:rPr>
        <w:t>lan</w:t>
      </w:r>
      <w:bookmarkEnd w:id="167"/>
      <w:bookmarkEnd w:id="168"/>
    </w:p>
    <w:p w:rsidR="003912E0" w:rsidRPr="003912E0" w:rsidRDefault="003912E0" w:rsidP="002F31F5">
      <w:pPr>
        <w:pStyle w:val="Heading4"/>
      </w:pPr>
      <w:r w:rsidRPr="003912E0">
        <w:t>RMP evaluation</w:t>
      </w:r>
    </w:p>
    <w:p w:rsidR="003912E0" w:rsidRPr="003912E0" w:rsidRDefault="003912E0" w:rsidP="003912E0">
      <w:r w:rsidRPr="003912E0">
        <w:t xml:space="preserve">The TGA has accepted the </w:t>
      </w:r>
      <w:proofErr w:type="spellStart"/>
      <w:r w:rsidRPr="003912E0">
        <w:t>Etanercept</w:t>
      </w:r>
      <w:proofErr w:type="spellEnd"/>
      <w:r w:rsidRPr="003912E0">
        <w:t xml:space="preserve"> Global RMP Version 5.0, dated 12 April 2013, plus the Australian specific Annex (Version: 4.3, dated 16 August 2012) for </w:t>
      </w:r>
      <w:proofErr w:type="spellStart"/>
      <w:r w:rsidRPr="003912E0">
        <w:t>etanercept</w:t>
      </w:r>
      <w:proofErr w:type="spellEnd"/>
      <w:r w:rsidRPr="003912E0">
        <w:t>. A number of recommendations on the RMP have been made by the RMP evaluator and the sponsor should address these matters in the Pre ACPM Response and follow up where appropriate with the TGA:</w:t>
      </w:r>
    </w:p>
    <w:p w:rsidR="003912E0" w:rsidRPr="003912E0" w:rsidRDefault="003912E0" w:rsidP="003912E0">
      <w:pPr>
        <w:pStyle w:val="ListBullet"/>
        <w:rPr>
          <w:lang w:eastAsia="en-AU"/>
        </w:rPr>
      </w:pPr>
      <w:r w:rsidRPr="003912E0">
        <w:rPr>
          <w:lang w:eastAsia="en-AU"/>
        </w:rPr>
        <w:t xml:space="preserve">The evaluator acknowledges the sponsor’s comments regarding the risks of uveitis and </w:t>
      </w:r>
      <w:proofErr w:type="spellStart"/>
      <w:r w:rsidRPr="003912E0">
        <w:rPr>
          <w:lang w:eastAsia="en-AU"/>
        </w:rPr>
        <w:t>scleritis</w:t>
      </w:r>
      <w:proofErr w:type="spellEnd"/>
      <w:r w:rsidRPr="003912E0">
        <w:rPr>
          <w:lang w:eastAsia="en-AU"/>
        </w:rPr>
        <w:t>. However, due to the highly serious nature of these conditions, together with the current application to extend treatment to children from 2 years of age, they remain important potential risks that should be included in the list of ongoing safety concerns and specifically reported on within PSURs.</w:t>
      </w:r>
    </w:p>
    <w:p w:rsidR="003912E0" w:rsidRPr="003912E0" w:rsidRDefault="003912E0" w:rsidP="003912E0">
      <w:pPr>
        <w:pStyle w:val="ListBullet2"/>
        <w:rPr>
          <w:lang w:eastAsia="en-AU"/>
        </w:rPr>
      </w:pPr>
      <w:r w:rsidRPr="003912E0">
        <w:rPr>
          <w:lang w:eastAsia="en-AU"/>
        </w:rPr>
        <w:t xml:space="preserve">The sponsor provided additional clarification on this issue in a response to the second round CER and RMP Assessment Report. Uveitis and </w:t>
      </w:r>
      <w:proofErr w:type="spellStart"/>
      <w:r w:rsidRPr="003912E0">
        <w:rPr>
          <w:lang w:eastAsia="en-AU"/>
        </w:rPr>
        <w:t>scleritis</w:t>
      </w:r>
      <w:proofErr w:type="spellEnd"/>
      <w:r w:rsidRPr="003912E0">
        <w:rPr>
          <w:lang w:eastAsia="en-AU"/>
        </w:rPr>
        <w:t xml:space="preserve"> are currently listed in the PI as adverse drug reactions. Although uveitis and </w:t>
      </w:r>
      <w:proofErr w:type="spellStart"/>
      <w:r w:rsidRPr="003912E0">
        <w:rPr>
          <w:lang w:eastAsia="en-AU"/>
        </w:rPr>
        <w:t>scleritis</w:t>
      </w:r>
      <w:proofErr w:type="spellEnd"/>
      <w:r w:rsidRPr="003912E0">
        <w:rPr>
          <w:lang w:eastAsia="en-AU"/>
        </w:rPr>
        <w:t xml:space="preserve"> were removed from the RMP list of important potential risks, the sponsor states that reports of these events will continue to be monitored through routine </w:t>
      </w:r>
      <w:proofErr w:type="spellStart"/>
      <w:r w:rsidRPr="003912E0">
        <w:rPr>
          <w:lang w:eastAsia="en-AU"/>
        </w:rPr>
        <w:t>pharmacovigilance</w:t>
      </w:r>
      <w:proofErr w:type="spellEnd"/>
      <w:r w:rsidRPr="003912E0">
        <w:rPr>
          <w:lang w:eastAsia="en-AU"/>
        </w:rPr>
        <w:t xml:space="preserve"> activities, and any new information that would change the benefit risk profile would be notified to regulatory authorities and appropriate changes would be made to the PI and the RMP.</w:t>
      </w:r>
    </w:p>
    <w:p w:rsidR="003912E0" w:rsidRPr="003912E0" w:rsidRDefault="003912E0" w:rsidP="003912E0">
      <w:pPr>
        <w:pStyle w:val="ListBullet"/>
        <w:rPr>
          <w:lang w:eastAsia="en-AU"/>
        </w:rPr>
      </w:pPr>
      <w:r w:rsidRPr="003912E0">
        <w:rPr>
          <w:lang w:eastAsia="en-AU"/>
        </w:rPr>
        <w:t>The amended version of the “How to use your Enbrel vials for dilution” brochure should be submitted to the TGA for review prior to supply for the new indication.</w:t>
      </w:r>
    </w:p>
    <w:p w:rsidR="003912E0" w:rsidRPr="003912E0" w:rsidRDefault="003912E0" w:rsidP="003912E0">
      <w:pPr>
        <w:pStyle w:val="ListBullet"/>
        <w:rPr>
          <w:lang w:eastAsia="en-AU"/>
        </w:rPr>
      </w:pPr>
      <w:r w:rsidRPr="003912E0">
        <w:rPr>
          <w:lang w:eastAsia="en-AU"/>
        </w:rPr>
        <w:t>Myasthenia gravis (MG) was reported in the latest PSUR (dated 27th March 2013) in response to the accumulation of reports of MG in the Pfizer safety database. A total of 53 case reports were identified, 47 of which were spontaneous. Of this, 37 were confirmed MG cases. 17 of these were subsequently discounted due to insufficient information, 13 “had possible alternative explanations” and 6 had no clear alternative explanation identified. Furthermore, there was inconsistent event reporting across countries. In light of this data, routine risk minimisation activities should be applied to the risk of myasthenia gravis.</w:t>
      </w:r>
    </w:p>
    <w:p w:rsidR="003912E0" w:rsidRPr="003912E0" w:rsidRDefault="003912E0" w:rsidP="003912E0">
      <w:pPr>
        <w:pStyle w:val="ListBullet2"/>
        <w:rPr>
          <w:lang w:eastAsia="en-AU"/>
        </w:rPr>
      </w:pPr>
      <w:r w:rsidRPr="003912E0">
        <w:rPr>
          <w:lang w:eastAsia="en-AU"/>
        </w:rPr>
        <w:t xml:space="preserve">The sponsor provided additional clarification on this issue in a response to the second round CER and RMP Assessment Report. Myasthenia gravis is listed as an important potential risk in the RMP and updates are included in each annual Periodic Safety Update Report (PSUR). Thus far, they state that there is insufficient evidence of an association between MG and </w:t>
      </w:r>
      <w:proofErr w:type="spellStart"/>
      <w:r w:rsidRPr="003912E0">
        <w:rPr>
          <w:lang w:eastAsia="en-AU"/>
        </w:rPr>
        <w:t>etanercept</w:t>
      </w:r>
      <w:proofErr w:type="spellEnd"/>
      <w:r w:rsidRPr="003912E0">
        <w:rPr>
          <w:lang w:eastAsia="en-AU"/>
        </w:rPr>
        <w:t xml:space="preserve"> to support a label revision, and it is not known if the risk of MG is elevated in patients with </w:t>
      </w:r>
      <w:proofErr w:type="spellStart"/>
      <w:r w:rsidRPr="003912E0">
        <w:rPr>
          <w:lang w:eastAsia="en-AU"/>
        </w:rPr>
        <w:t>rheumatological</w:t>
      </w:r>
      <w:proofErr w:type="spellEnd"/>
      <w:r w:rsidRPr="003912E0">
        <w:rPr>
          <w:lang w:eastAsia="en-AU"/>
        </w:rPr>
        <w:t xml:space="preserve"> disorders. The sponsor will continue to monitor MG.</w:t>
      </w:r>
    </w:p>
    <w:p w:rsidR="003912E0" w:rsidRPr="003912E0" w:rsidRDefault="003912E0" w:rsidP="003912E0">
      <w:pPr>
        <w:pStyle w:val="ListBullet2"/>
        <w:rPr>
          <w:lang w:eastAsia="en-AU"/>
        </w:rPr>
      </w:pPr>
      <w:r w:rsidRPr="003912E0">
        <w:rPr>
          <w:lang w:eastAsia="en-AU"/>
        </w:rPr>
        <w:t xml:space="preserve">Given that there are ongoing </w:t>
      </w:r>
      <w:proofErr w:type="spellStart"/>
      <w:r w:rsidRPr="003912E0">
        <w:rPr>
          <w:lang w:eastAsia="en-AU"/>
        </w:rPr>
        <w:t>pharmacovigilance</w:t>
      </w:r>
      <w:proofErr w:type="spellEnd"/>
      <w:r w:rsidRPr="003912E0">
        <w:rPr>
          <w:lang w:eastAsia="en-AU"/>
        </w:rPr>
        <w:t xml:space="preserve"> activities addressing this issue, and that MG is not included in the EU </w:t>
      </w:r>
      <w:proofErr w:type="spellStart"/>
      <w:r w:rsidRPr="003912E0">
        <w:rPr>
          <w:lang w:eastAsia="en-AU"/>
        </w:rPr>
        <w:t>SmPC</w:t>
      </w:r>
      <w:proofErr w:type="spellEnd"/>
      <w:r w:rsidRPr="003912E0">
        <w:rPr>
          <w:lang w:eastAsia="en-AU"/>
        </w:rPr>
        <w:t xml:space="preserve"> or US label, no changes to the Australian PI are requested at present.</w:t>
      </w:r>
    </w:p>
    <w:p w:rsidR="003912E0" w:rsidRPr="003912E0" w:rsidRDefault="003912E0" w:rsidP="003912E0">
      <w:pPr>
        <w:pStyle w:val="ListBullet"/>
        <w:rPr>
          <w:lang w:eastAsia="en-AU"/>
        </w:rPr>
      </w:pPr>
      <w:r w:rsidRPr="003912E0">
        <w:rPr>
          <w:lang w:eastAsia="en-AU"/>
        </w:rPr>
        <w:t xml:space="preserve">Progressive multifocal </w:t>
      </w:r>
      <w:proofErr w:type="spellStart"/>
      <w:r w:rsidRPr="003912E0">
        <w:rPr>
          <w:lang w:eastAsia="en-AU"/>
        </w:rPr>
        <w:t>leukoencephalopathy</w:t>
      </w:r>
      <w:proofErr w:type="spellEnd"/>
      <w:r w:rsidRPr="003912E0">
        <w:rPr>
          <w:lang w:eastAsia="en-AU"/>
        </w:rPr>
        <w:t xml:space="preserve"> (PML) and </w:t>
      </w:r>
      <w:proofErr w:type="spellStart"/>
      <w:r w:rsidRPr="003912E0">
        <w:rPr>
          <w:lang w:eastAsia="en-AU"/>
        </w:rPr>
        <w:t>etanercept</w:t>
      </w:r>
      <w:proofErr w:type="spellEnd"/>
      <w:r w:rsidRPr="003912E0">
        <w:rPr>
          <w:lang w:eastAsia="en-AU"/>
        </w:rPr>
        <w:t xml:space="preserve"> treatment is currently under review by the TGA. A safety assessment letter was submitted to the TGA in April 2011 by Pfizer reporting 5 cases of possible PML. The sponsor concluded that there was insufficient evidence to indicate a causal association between </w:t>
      </w:r>
      <w:proofErr w:type="spellStart"/>
      <w:r w:rsidRPr="003912E0">
        <w:rPr>
          <w:lang w:eastAsia="en-AU"/>
        </w:rPr>
        <w:t>etanercept</w:t>
      </w:r>
      <w:proofErr w:type="spellEnd"/>
      <w:r w:rsidRPr="003912E0">
        <w:rPr>
          <w:lang w:eastAsia="en-AU"/>
        </w:rPr>
        <w:t xml:space="preserve"> therapy and the risk of PML. Since this time, there have been a number of reports in the literature regarding PML and biologic therapy including </w:t>
      </w:r>
      <w:proofErr w:type="spellStart"/>
      <w:r w:rsidRPr="003912E0">
        <w:rPr>
          <w:lang w:eastAsia="en-AU"/>
        </w:rPr>
        <w:t>etanercept</w:t>
      </w:r>
      <w:proofErr w:type="spellEnd"/>
      <w:r w:rsidRPr="003912E0">
        <w:rPr>
          <w:lang w:eastAsia="en-AU"/>
        </w:rPr>
        <w:t xml:space="preserve"> (</w:t>
      </w:r>
      <w:proofErr w:type="spellStart"/>
      <w:r w:rsidRPr="003912E0">
        <w:rPr>
          <w:lang w:eastAsia="en-AU"/>
        </w:rPr>
        <w:t>Ladizinski</w:t>
      </w:r>
      <w:proofErr w:type="spellEnd"/>
      <w:r w:rsidRPr="003912E0">
        <w:rPr>
          <w:lang w:eastAsia="en-AU"/>
        </w:rPr>
        <w:t xml:space="preserve"> 2013; Graff-Radford 2012; </w:t>
      </w:r>
      <w:proofErr w:type="spellStart"/>
      <w:r w:rsidRPr="003912E0">
        <w:rPr>
          <w:lang w:eastAsia="en-AU"/>
        </w:rPr>
        <w:t>Kothary</w:t>
      </w:r>
      <w:proofErr w:type="spellEnd"/>
      <w:r w:rsidRPr="003912E0">
        <w:rPr>
          <w:lang w:eastAsia="en-AU"/>
        </w:rPr>
        <w:t xml:space="preserve"> 2011). It is recommended that routine risk minimisation activities be implemented for this risk.</w:t>
      </w:r>
    </w:p>
    <w:p w:rsidR="003912E0" w:rsidRPr="003912E0" w:rsidRDefault="003912E0" w:rsidP="003912E0">
      <w:pPr>
        <w:pStyle w:val="ListBullet2"/>
        <w:rPr>
          <w:lang w:eastAsia="en-AU"/>
        </w:rPr>
      </w:pPr>
      <w:r w:rsidRPr="003912E0">
        <w:rPr>
          <w:lang w:eastAsia="en-AU"/>
        </w:rPr>
        <w:t>The sponsor provided additional clarification on this issue in a response to the second round CER and RMP Assessment Report. Four of the 5 possible cases of PML were not confirmed cases, and the remaining confirmed case was confounded by the patient</w:t>
      </w:r>
      <w:r w:rsidR="00A03F2B">
        <w:rPr>
          <w:lang w:eastAsia="en-AU"/>
        </w:rPr>
        <w:t>’s</w:t>
      </w:r>
      <w:r w:rsidRPr="003912E0">
        <w:rPr>
          <w:lang w:eastAsia="en-AU"/>
        </w:rPr>
        <w:t xml:space="preserve"> underlying SLE disorder and long term use of systemic corticosteroids. Of the literature references mentioned, the 8 cases reported for the TNF inhibitors infliximab, </w:t>
      </w:r>
      <w:proofErr w:type="spellStart"/>
      <w:r w:rsidRPr="003912E0">
        <w:rPr>
          <w:lang w:eastAsia="en-AU"/>
        </w:rPr>
        <w:t>etanercept</w:t>
      </w:r>
      <w:proofErr w:type="spellEnd"/>
      <w:r w:rsidRPr="003912E0">
        <w:rPr>
          <w:lang w:eastAsia="en-AU"/>
        </w:rPr>
        <w:t xml:space="preserve">, and </w:t>
      </w:r>
      <w:proofErr w:type="spellStart"/>
      <w:r w:rsidRPr="003912E0">
        <w:rPr>
          <w:lang w:eastAsia="en-AU"/>
        </w:rPr>
        <w:t>adalimumab</w:t>
      </w:r>
      <w:proofErr w:type="spellEnd"/>
      <w:r w:rsidRPr="003912E0">
        <w:rPr>
          <w:lang w:eastAsia="en-AU"/>
        </w:rPr>
        <w:t xml:space="preserve"> were all confounded by the use of other immunosuppressive therapies (2 out of 8), lack of confirmation of PML (1 out of 8), or both (5 out of 8).</w:t>
      </w:r>
    </w:p>
    <w:p w:rsidR="003912E0" w:rsidRPr="003912E0" w:rsidRDefault="003912E0" w:rsidP="003912E0">
      <w:pPr>
        <w:pStyle w:val="ListBullet2"/>
        <w:rPr>
          <w:lang w:eastAsia="en-AU"/>
        </w:rPr>
      </w:pPr>
      <w:r w:rsidRPr="003912E0">
        <w:rPr>
          <w:lang w:eastAsia="en-AU"/>
        </w:rPr>
        <w:t xml:space="preserve">Given that there is an ongoing TGA review, ongoing </w:t>
      </w:r>
      <w:proofErr w:type="spellStart"/>
      <w:r w:rsidRPr="003912E0">
        <w:rPr>
          <w:lang w:eastAsia="en-AU"/>
        </w:rPr>
        <w:t>pharmacovigilance</w:t>
      </w:r>
      <w:proofErr w:type="spellEnd"/>
      <w:r w:rsidRPr="003912E0">
        <w:rPr>
          <w:lang w:eastAsia="en-AU"/>
        </w:rPr>
        <w:t xml:space="preserve"> activities addressing this issue, and that PML is not included in the EU </w:t>
      </w:r>
      <w:proofErr w:type="spellStart"/>
      <w:r w:rsidRPr="003912E0">
        <w:rPr>
          <w:lang w:eastAsia="en-AU"/>
        </w:rPr>
        <w:t>SmPC</w:t>
      </w:r>
      <w:proofErr w:type="spellEnd"/>
      <w:r w:rsidRPr="003912E0">
        <w:rPr>
          <w:lang w:eastAsia="en-AU"/>
        </w:rPr>
        <w:t xml:space="preserve"> or US label, no changes to the Australian PI are requested at present.</w:t>
      </w:r>
    </w:p>
    <w:p w:rsidR="003912E0" w:rsidRPr="003912E0" w:rsidRDefault="003912E0" w:rsidP="003912E0">
      <w:r w:rsidRPr="003912E0">
        <w:t>Other RMP issues were satisfactorily resolved.</w:t>
      </w:r>
    </w:p>
    <w:p w:rsidR="008E7846" w:rsidRDefault="00AA0ED0" w:rsidP="008E7846">
      <w:pPr>
        <w:pStyle w:val="Heading3"/>
      </w:pPr>
      <w:bookmarkStart w:id="169" w:name="_Toc247691531"/>
      <w:bookmarkStart w:id="170" w:name="_Toc314842515"/>
      <w:bookmarkStart w:id="171" w:name="_Toc196046505"/>
      <w:bookmarkStart w:id="172" w:name="_Toc196046949"/>
      <w:bookmarkStart w:id="173" w:name="_Toc390330080"/>
      <w:r>
        <w:t>Risk-benefit a</w:t>
      </w:r>
      <w:r w:rsidR="008E7846">
        <w:t>nalysis</w:t>
      </w:r>
      <w:bookmarkEnd w:id="169"/>
      <w:bookmarkEnd w:id="170"/>
      <w:bookmarkEnd w:id="173"/>
    </w:p>
    <w:p w:rsidR="00920C88" w:rsidRPr="003912E0" w:rsidRDefault="008E7846" w:rsidP="003912E0">
      <w:pPr>
        <w:pStyle w:val="Heading4"/>
      </w:pPr>
      <w:r w:rsidRPr="003912E0">
        <w:t>Delegate</w:t>
      </w:r>
      <w:r w:rsidR="00D90E2F" w:rsidRPr="003912E0">
        <w:t xml:space="preserve">’s considerations </w:t>
      </w:r>
    </w:p>
    <w:p w:rsidR="003912E0" w:rsidRDefault="003912E0" w:rsidP="003912E0">
      <w:pPr>
        <w:pStyle w:val="Heading5"/>
      </w:pPr>
      <w:r w:rsidRPr="00300D1E">
        <w:t>Efficacy:</w:t>
      </w:r>
    </w:p>
    <w:p w:rsidR="007A14D1" w:rsidRDefault="003912E0" w:rsidP="003912E0">
      <w:r w:rsidRPr="003912E0">
        <w:t xml:space="preserve">In the pivotal, open label, Phase III study in children and adolescents with </w:t>
      </w:r>
      <w:proofErr w:type="spellStart"/>
      <w:r w:rsidRPr="003912E0">
        <w:t>eoJIA</w:t>
      </w:r>
      <w:proofErr w:type="spellEnd"/>
      <w:r w:rsidRPr="003912E0">
        <w:t xml:space="preserve">, ERA or </w:t>
      </w:r>
      <w:proofErr w:type="spellStart"/>
      <w:r w:rsidRPr="003912E0">
        <w:t>PsA</w:t>
      </w:r>
      <w:proofErr w:type="spellEnd"/>
      <w:r w:rsidRPr="003912E0">
        <w:t xml:space="preserve">, </w:t>
      </w:r>
      <w:proofErr w:type="spellStart"/>
      <w:r w:rsidRPr="003912E0">
        <w:t>etanercept</w:t>
      </w:r>
      <w:proofErr w:type="spellEnd"/>
      <w:r w:rsidRPr="003912E0">
        <w:t xml:space="preserve"> has demonstrated a higher ACR Pedi 30 response at Week 12 compared to historical placebo controls, and a comparable response compared to historical active controls. ACR Pedi 30 responses at weeks 24, 48 and 96 were comparable with or better than those at Week 12, similar in each of the 3 JIA subtypes, and within the </w:t>
      </w:r>
      <w:proofErr w:type="spellStart"/>
      <w:r w:rsidRPr="003912E0">
        <w:t>eoJIA</w:t>
      </w:r>
      <w:proofErr w:type="spellEnd"/>
      <w:r w:rsidRPr="003912E0">
        <w:t xml:space="preserve"> subtype, ACR Pedi 30 response rates were comparable in each of the pre specified age brackets (2 to 4, 5 to 11, and 12 to 17 years). These results were supported by results for the secondary efficacy end</w:t>
      </w:r>
      <w:r w:rsidR="002F31F5">
        <w:t>points (ACR Pedi 50/70/90/100).</w:t>
      </w:r>
    </w:p>
    <w:p w:rsidR="003912E0" w:rsidRPr="003912E0" w:rsidRDefault="003912E0" w:rsidP="003912E0">
      <w:r w:rsidRPr="003912E0">
        <w:t xml:space="preserve">Studies 20021618 (10 year, open label extension trial) and 20021626 (registry data) were supportive of the key efficacy findings of the pivotal trial, demonstrating maintenance of ACR Pedi 30 responses for up to 10 years (although data was sparse after year 6) in paediatric subjects with active DMARD refractory JIA (predominantly </w:t>
      </w:r>
      <w:proofErr w:type="spellStart"/>
      <w:r w:rsidRPr="003912E0">
        <w:t>pJIA</w:t>
      </w:r>
      <w:proofErr w:type="spellEnd"/>
      <w:r w:rsidRPr="003912E0">
        <w:t xml:space="preserve"> or </w:t>
      </w:r>
      <w:proofErr w:type="spellStart"/>
      <w:r w:rsidRPr="003912E0">
        <w:t>sJIA</w:t>
      </w:r>
      <w:proofErr w:type="spellEnd"/>
      <w:r w:rsidRPr="003912E0">
        <w:t>). A subgroup analysis of patients aged 2 to less than 4 years in Study 20021626 also showed that the treatment effect of ETN was comparable to that seen in older aged subjects. Efficacy was comparable in patients receiving ETN 0.8 mg/kg once weekly or 0.4 mg/kg twice weekly. Although there are methodological issues in using historical controls, the submitted data appear reasonable to support efficacy for these changes.</w:t>
      </w:r>
    </w:p>
    <w:p w:rsidR="003912E0" w:rsidRDefault="003912E0" w:rsidP="003912E0">
      <w:pPr>
        <w:pStyle w:val="Heading5"/>
      </w:pPr>
      <w:r w:rsidRPr="006C4B56">
        <w:t>Safety and RMP</w:t>
      </w:r>
    </w:p>
    <w:p w:rsidR="003912E0" w:rsidRPr="003912E0" w:rsidRDefault="003912E0" w:rsidP="003912E0">
      <w:proofErr w:type="spellStart"/>
      <w:r w:rsidRPr="003912E0">
        <w:t>Etanercept</w:t>
      </w:r>
      <w:proofErr w:type="spellEnd"/>
      <w:r w:rsidRPr="003912E0">
        <w:t xml:space="preserve"> has demonstrated an acceptable short term safety profile consistent with that seen for </w:t>
      </w:r>
      <w:proofErr w:type="spellStart"/>
      <w:r w:rsidRPr="003912E0">
        <w:t>pJIA</w:t>
      </w:r>
      <w:proofErr w:type="spellEnd"/>
      <w:r w:rsidRPr="003912E0">
        <w:t xml:space="preserve"> patients of a similar age (4 to 17 years) and in the adult RA population, with no new safety signals identified. There is limited long term follow up of patients with </w:t>
      </w:r>
      <w:proofErr w:type="spellStart"/>
      <w:r w:rsidRPr="003912E0">
        <w:t>eoJIA</w:t>
      </w:r>
      <w:proofErr w:type="spellEnd"/>
      <w:r w:rsidRPr="003912E0">
        <w:t xml:space="preserve">, ERA and </w:t>
      </w:r>
      <w:proofErr w:type="spellStart"/>
      <w:r w:rsidRPr="003912E0">
        <w:t>PsA.</w:t>
      </w:r>
      <w:proofErr w:type="spellEnd"/>
      <w:r w:rsidRPr="003912E0">
        <w:t xml:space="preserve"> Infection was the most common AE in the pivotal study, with 3 infectious SAEs (bronchopneumonia, </w:t>
      </w:r>
      <w:proofErr w:type="spellStart"/>
      <w:r w:rsidRPr="003912E0">
        <w:t>pyelocystitis</w:t>
      </w:r>
      <w:proofErr w:type="spellEnd"/>
      <w:r w:rsidRPr="003912E0">
        <w:t>, gastroenteritis) in Part I, and 11 in Part II (including 3 gastrointestinal infections). A number of cases of vaccine preventable infection were also seen (including varicella and herpes zoster). Given the comparable safety profile in the current and proposed indications, the submitted data appear reasonable to support safety.</w:t>
      </w:r>
    </w:p>
    <w:p w:rsidR="003912E0" w:rsidRDefault="003912E0" w:rsidP="003912E0">
      <w:pPr>
        <w:pStyle w:val="Heading5"/>
      </w:pPr>
      <w:r>
        <w:t>Data deficiencies</w:t>
      </w:r>
    </w:p>
    <w:p w:rsidR="003912E0" w:rsidRPr="003912E0" w:rsidRDefault="003912E0" w:rsidP="003912E0">
      <w:r w:rsidRPr="003912E0">
        <w:t>The design of the single pivotal trial in the proposed new indications is not consistent with the TGA adopted EU guideline CPMP/EWP/422/04 “Guideline on Clinical Investigation of Medicinal Products for the Treatment of Juvenile Idiopathic Arthritis”. In addition to the single treatment, open label design and use of historical controls, there was a limited number of patients recruited (n = 127), particularly in the younger age group (n = 15 aged 2 to 4 years), with limited follow up.</w:t>
      </w:r>
    </w:p>
    <w:p w:rsidR="003912E0" w:rsidRPr="003912E0" w:rsidRDefault="002F31F5" w:rsidP="003912E0">
      <w:pPr>
        <w:pStyle w:val="Heading5"/>
      </w:pPr>
      <w:r>
        <w:t>Conditions of r</w:t>
      </w:r>
      <w:r w:rsidR="003912E0" w:rsidRPr="003912E0">
        <w:t>egistration</w:t>
      </w:r>
    </w:p>
    <w:p w:rsidR="003912E0" w:rsidRPr="003912E0" w:rsidRDefault="003912E0" w:rsidP="003912E0">
      <w:r w:rsidRPr="003912E0">
        <w:t>The following are proposed as conditions of registration:</w:t>
      </w:r>
    </w:p>
    <w:p w:rsidR="003912E0" w:rsidRPr="003912E0" w:rsidRDefault="003912E0" w:rsidP="003912E0">
      <w:pPr>
        <w:ind w:left="720"/>
      </w:pPr>
      <w:r w:rsidRPr="003912E0">
        <w:t>The implementation in Australia of the Global Risk Management Plan (RMP) for Enbrel (Version 5.0, dated 12th April 2013) and any subsequent revisions, as agreed with the TGA.</w:t>
      </w:r>
    </w:p>
    <w:p w:rsidR="003912E0" w:rsidRDefault="003912E0" w:rsidP="003912E0">
      <w:pPr>
        <w:pStyle w:val="Heading5"/>
      </w:pPr>
      <w:r w:rsidRPr="003912E0">
        <w:t>Questions for the sponsor</w:t>
      </w:r>
    </w:p>
    <w:p w:rsidR="003912E0" w:rsidRPr="003912E0" w:rsidRDefault="003912E0" w:rsidP="003912E0">
      <w:r w:rsidRPr="003912E0">
        <w:t>The sponsor is requested to address the following issues in the Pre ACPM Response:</w:t>
      </w:r>
    </w:p>
    <w:p w:rsidR="003912E0" w:rsidRPr="003912E0" w:rsidRDefault="003912E0" w:rsidP="003912E0">
      <w:pPr>
        <w:ind w:left="720"/>
      </w:pPr>
      <w:r w:rsidRPr="003912E0">
        <w:t xml:space="preserve">Are any further studies being conducted in JIA using </w:t>
      </w:r>
      <w:proofErr w:type="spellStart"/>
      <w:r w:rsidRPr="003912E0">
        <w:t>etanercept</w:t>
      </w:r>
      <w:proofErr w:type="spellEnd"/>
      <w:r w:rsidRPr="003912E0">
        <w:t xml:space="preserve"> to provide further evidence of the efficacy and safety in the various JIA subtypes and patients aged 2 to 4 years?</w:t>
      </w:r>
    </w:p>
    <w:p w:rsidR="008E7846" w:rsidRDefault="00990922" w:rsidP="008E7846">
      <w:pPr>
        <w:pStyle w:val="Heading4"/>
      </w:pPr>
      <w:r>
        <w:t>P</w:t>
      </w:r>
      <w:r w:rsidR="00D90E2F" w:rsidRPr="00920C88">
        <w:t>roposed action</w:t>
      </w:r>
    </w:p>
    <w:p w:rsidR="000D5B9E" w:rsidRPr="000D5B9E" w:rsidRDefault="002040F3" w:rsidP="000D5B9E">
      <w:r>
        <w:rPr>
          <w:bCs/>
        </w:rPr>
        <w:t>There is no</w:t>
      </w:r>
      <w:r w:rsidR="000D5B9E" w:rsidRPr="00DE0A05">
        <w:rPr>
          <w:bCs/>
        </w:rPr>
        <w:t xml:space="preserve"> reason to say, at this time, that the application for </w:t>
      </w:r>
      <w:proofErr w:type="spellStart"/>
      <w:r w:rsidR="000D5B9E" w:rsidRPr="00DE0A05">
        <w:rPr>
          <w:bCs/>
        </w:rPr>
        <w:t>Etanercept</w:t>
      </w:r>
      <w:proofErr w:type="spellEnd"/>
      <w:r w:rsidR="000D5B9E" w:rsidRPr="00DE0A05">
        <w:rPr>
          <w:bCs/>
        </w:rPr>
        <w:t xml:space="preserve"> should not</w:t>
      </w:r>
      <w:r w:rsidR="000D5B9E">
        <w:rPr>
          <w:bCs/>
        </w:rPr>
        <w:t xml:space="preserve"> be approved for registration.</w:t>
      </w:r>
    </w:p>
    <w:p w:rsidR="00D90E2F" w:rsidRDefault="00920C88" w:rsidP="00D90E2F">
      <w:pPr>
        <w:pStyle w:val="Heading4"/>
      </w:pPr>
      <w:r w:rsidRPr="00920C88">
        <w:t>Request for</w:t>
      </w:r>
      <w:r w:rsidR="00760904" w:rsidRPr="00920C88">
        <w:t xml:space="preserve"> ACPM</w:t>
      </w:r>
      <w:r w:rsidRPr="00920C88">
        <w:t xml:space="preserve"> advice</w:t>
      </w:r>
    </w:p>
    <w:p w:rsidR="000D5B9E" w:rsidRPr="00BF1224" w:rsidRDefault="000D5B9E" w:rsidP="000D5B9E">
      <w:r w:rsidRPr="00BF1224">
        <w:t>The committee is requested to provide advice on the following specific issues:</w:t>
      </w:r>
    </w:p>
    <w:p w:rsidR="000D5B9E" w:rsidRPr="003912E0" w:rsidRDefault="000D5B9E" w:rsidP="003912E0">
      <w:pPr>
        <w:pStyle w:val="Numberbullet0"/>
      </w:pPr>
      <w:r w:rsidRPr="003912E0">
        <w:t>Does the open</w:t>
      </w:r>
      <w:r w:rsidR="002040F3" w:rsidRPr="003912E0">
        <w:t xml:space="preserve"> </w:t>
      </w:r>
      <w:r w:rsidRPr="003912E0">
        <w:t>label pivotal study and use of historical controls provide sufficient and reliable safety and efficacy data, particularly in children aged 2</w:t>
      </w:r>
      <w:r w:rsidR="002040F3" w:rsidRPr="003912E0">
        <w:t xml:space="preserve"> to </w:t>
      </w:r>
      <w:r w:rsidRPr="003912E0">
        <w:t>4 years to support the proposed indication?</w:t>
      </w:r>
    </w:p>
    <w:p w:rsidR="000D5B9E" w:rsidRPr="003912E0" w:rsidRDefault="000D5B9E" w:rsidP="003912E0">
      <w:pPr>
        <w:pStyle w:val="Numberbullet0"/>
      </w:pPr>
      <w:r w:rsidRPr="003912E0">
        <w:t xml:space="preserve">Is it reasonable to extrapolate safety and efficacy data in other subtypes of JIA to support the limited results in </w:t>
      </w:r>
      <w:proofErr w:type="spellStart"/>
      <w:r w:rsidRPr="003912E0">
        <w:t>eoJIA</w:t>
      </w:r>
      <w:proofErr w:type="spellEnd"/>
      <w:r w:rsidRPr="003912E0">
        <w:t xml:space="preserve">, ERA, and </w:t>
      </w:r>
      <w:proofErr w:type="spellStart"/>
      <w:r w:rsidRPr="003912E0">
        <w:t>PsA</w:t>
      </w:r>
      <w:proofErr w:type="spellEnd"/>
      <w:r w:rsidRPr="003912E0">
        <w:t>?</w:t>
      </w:r>
    </w:p>
    <w:p w:rsidR="008B42CB" w:rsidRDefault="000D5B9E" w:rsidP="000D5B9E">
      <w:r w:rsidRPr="00BF1224">
        <w:t>The committee is also requested to provide advice on any other issues that it thinks may be relevant to a decision on whether or not to approve this application.</w:t>
      </w:r>
    </w:p>
    <w:p w:rsidR="008E7846" w:rsidRDefault="008E7846" w:rsidP="008E7846">
      <w:pPr>
        <w:pStyle w:val="Heading4"/>
      </w:pPr>
      <w:r>
        <w:t xml:space="preserve">Response from </w:t>
      </w:r>
      <w:r w:rsidR="001F68DB">
        <w:t>sponsor</w:t>
      </w:r>
    </w:p>
    <w:p w:rsidR="000D5B9E" w:rsidRPr="003912E0" w:rsidRDefault="000D5B9E" w:rsidP="003912E0">
      <w:r w:rsidRPr="003912E0">
        <w:t>Pfizer has applied to make the following changes to Enbrel (</w:t>
      </w:r>
      <w:proofErr w:type="spellStart"/>
      <w:r w:rsidRPr="003912E0">
        <w:t>etanercept</w:t>
      </w:r>
      <w:proofErr w:type="spellEnd"/>
      <w:r w:rsidRPr="003912E0">
        <w:t>):</w:t>
      </w:r>
    </w:p>
    <w:p w:rsidR="000D5B9E" w:rsidRPr="003912E0" w:rsidRDefault="000D5B9E" w:rsidP="003912E0">
      <w:pPr>
        <w:pStyle w:val="ListBullet"/>
      </w:pPr>
      <w:r w:rsidRPr="003912E0">
        <w:t>Extend the indication to include additional subtypes of Juvenile Idiopathic Arthritis (JIA)</w:t>
      </w:r>
      <w:r w:rsidR="003912E0">
        <w:t>.</w:t>
      </w:r>
    </w:p>
    <w:p w:rsidR="000D5B9E" w:rsidRPr="003912E0" w:rsidRDefault="000D5B9E" w:rsidP="003912E0">
      <w:pPr>
        <w:pStyle w:val="ListBullet"/>
      </w:pPr>
      <w:r w:rsidRPr="003912E0">
        <w:t>Add once</w:t>
      </w:r>
      <w:r w:rsidR="002040F3" w:rsidRPr="003912E0">
        <w:t xml:space="preserve"> </w:t>
      </w:r>
      <w:r w:rsidRPr="003912E0">
        <w:t>weekly dosing as an alternative dose regimen for JIA patients</w:t>
      </w:r>
      <w:r w:rsidR="003912E0">
        <w:t>.</w:t>
      </w:r>
    </w:p>
    <w:p w:rsidR="000D5B9E" w:rsidRPr="003912E0" w:rsidRDefault="000D5B9E" w:rsidP="003912E0">
      <w:pPr>
        <w:pStyle w:val="ListBullet"/>
      </w:pPr>
      <w:r w:rsidRPr="003912E0">
        <w:t xml:space="preserve">Lower the approved age limit for </w:t>
      </w:r>
      <w:proofErr w:type="spellStart"/>
      <w:r w:rsidRPr="003912E0">
        <w:t>polyarticular</w:t>
      </w:r>
      <w:proofErr w:type="spellEnd"/>
      <w:r w:rsidR="002040F3" w:rsidRPr="003912E0">
        <w:t xml:space="preserve"> </w:t>
      </w:r>
      <w:r w:rsidRPr="003912E0">
        <w:t>course JIA from 4 to 2 years of age</w:t>
      </w:r>
      <w:r w:rsidR="003912E0">
        <w:t>.</w:t>
      </w:r>
    </w:p>
    <w:p w:rsidR="000D5B9E" w:rsidRPr="003912E0" w:rsidRDefault="000D5B9E" w:rsidP="003912E0">
      <w:r w:rsidRPr="003912E0">
        <w:t>Both the Clinical Evaluator and the TGA Delegate have recommended approval of all three</w:t>
      </w:r>
      <w:r w:rsidR="003912E0">
        <w:t xml:space="preserve"> </w:t>
      </w:r>
      <w:r w:rsidRPr="003912E0">
        <w:t>aspects of this application, and Pfizer concurs with their position on the application.</w:t>
      </w:r>
      <w:r w:rsidR="003912E0">
        <w:t xml:space="preserve"> </w:t>
      </w:r>
      <w:r w:rsidRPr="003912E0">
        <w:t>Pfizer</w:t>
      </w:r>
      <w:r w:rsidR="003912E0">
        <w:t>’</w:t>
      </w:r>
      <w:r w:rsidRPr="003912E0">
        <w:t>s response to the TGA Delegate</w:t>
      </w:r>
      <w:r w:rsidR="003912E0">
        <w:t>’</w:t>
      </w:r>
      <w:r w:rsidRPr="003912E0">
        <w:t>s Overview and Proposed Action are provided below.</w:t>
      </w:r>
    </w:p>
    <w:p w:rsidR="000D5B9E" w:rsidRPr="00B35F45" w:rsidRDefault="00B35F45" w:rsidP="00B35F45">
      <w:pPr>
        <w:pStyle w:val="Heading5"/>
        <w:rPr>
          <w:rFonts w:eastAsiaTheme="minorHAnsi"/>
        </w:rPr>
      </w:pPr>
      <w:r w:rsidRPr="00B35F45">
        <w:rPr>
          <w:rFonts w:eastAsiaTheme="minorHAnsi"/>
        </w:rPr>
        <w:t>Issues</w:t>
      </w:r>
    </w:p>
    <w:p w:rsidR="000D5B9E" w:rsidRPr="00B35F45" w:rsidRDefault="00B35F45" w:rsidP="00B35F45">
      <w:pPr>
        <w:pStyle w:val="Heading6"/>
        <w:rPr>
          <w:rFonts w:eastAsiaTheme="minorHAnsi"/>
        </w:rPr>
      </w:pPr>
      <w:r w:rsidRPr="00B35F45">
        <w:rPr>
          <w:rFonts w:eastAsiaTheme="minorHAnsi"/>
        </w:rPr>
        <w:t xml:space="preserve">Study </w:t>
      </w:r>
      <w:r w:rsidR="002F31F5">
        <w:rPr>
          <w:rFonts w:eastAsiaTheme="minorHAnsi"/>
        </w:rPr>
        <w:t>d</w:t>
      </w:r>
      <w:r w:rsidRPr="00B35F45">
        <w:rPr>
          <w:rFonts w:eastAsiaTheme="minorHAnsi"/>
        </w:rPr>
        <w:t>esign</w:t>
      </w:r>
    </w:p>
    <w:p w:rsidR="000D5B9E" w:rsidRPr="00B35F45" w:rsidRDefault="000D5B9E" w:rsidP="00B35F45">
      <w:r w:rsidRPr="00B35F45">
        <w:t xml:space="preserve">The Delegate notes </w:t>
      </w:r>
      <w:r w:rsidR="00561270">
        <w:t>in</w:t>
      </w:r>
      <w:r w:rsidRPr="00B35F45">
        <w:t xml:space="preserve"> the Overview under the Efficacy point:</w:t>
      </w:r>
    </w:p>
    <w:p w:rsidR="000D5B9E" w:rsidRDefault="00B35F45" w:rsidP="006D1CDA">
      <w:pPr>
        <w:ind w:left="720"/>
        <w:rPr>
          <w:rFonts w:ascii="TimesNewRoman" w:eastAsia="TimesNewRoman" w:hAnsi="TimesNewRoman,Bold" w:cs="TimesNewRoman"/>
          <w:sz w:val="23"/>
          <w:szCs w:val="23"/>
        </w:rPr>
      </w:pPr>
      <w:r>
        <w:t>‘</w:t>
      </w:r>
      <w:r w:rsidR="000D5B9E" w:rsidRPr="00B35F45">
        <w:rPr>
          <w:i/>
        </w:rPr>
        <w:t>The overall study design is not consistent with the TGA adopted EU guideline</w:t>
      </w:r>
      <w:r>
        <w:rPr>
          <w:i/>
        </w:rPr>
        <w:t xml:space="preserve"> </w:t>
      </w:r>
      <w:r w:rsidR="000D5B9E" w:rsidRPr="00B35F45">
        <w:rPr>
          <w:i/>
        </w:rPr>
        <w:t>CHMP/EWP/422/04 “Guideline on Clinical Investigation of Medicinal Products for the</w:t>
      </w:r>
      <w:r w:rsidR="006D1CDA">
        <w:rPr>
          <w:i/>
        </w:rPr>
        <w:t xml:space="preserve"> </w:t>
      </w:r>
      <w:r w:rsidR="000D5B9E" w:rsidRPr="00B35F45">
        <w:rPr>
          <w:i/>
        </w:rPr>
        <w:t>Treatment of Juvenile Idiopathic Arthritis</w:t>
      </w:r>
      <w:r w:rsidR="000D5B9E" w:rsidRPr="00B35F45">
        <w:t>,</w:t>
      </w:r>
      <w:r>
        <w:t>’</w:t>
      </w:r>
      <w:r w:rsidR="000D5B9E" w:rsidRPr="00B35F45">
        <w:t xml:space="preserve"> which states that the </w:t>
      </w:r>
      <w:r>
        <w:t>‘</w:t>
      </w:r>
      <w:r w:rsidR="000D5B9E" w:rsidRPr="00B35F45">
        <w:rPr>
          <w:i/>
        </w:rPr>
        <w:t>parallel group design is</w:t>
      </w:r>
      <w:r>
        <w:rPr>
          <w:i/>
        </w:rPr>
        <w:t xml:space="preserve"> </w:t>
      </w:r>
      <w:r w:rsidR="000D5B9E" w:rsidRPr="00B35F45">
        <w:rPr>
          <w:i/>
        </w:rPr>
        <w:t>the only acceptable means of assessing efficacy and safety. Furthermore, the guideline</w:t>
      </w:r>
      <w:r>
        <w:rPr>
          <w:i/>
        </w:rPr>
        <w:t xml:space="preserve"> </w:t>
      </w:r>
      <w:r w:rsidR="000D5B9E" w:rsidRPr="00B35F45">
        <w:rPr>
          <w:i/>
        </w:rPr>
        <w:t>nominates a randomised, withdrawal study design to minimise the risk to paediatric patients</w:t>
      </w:r>
      <w:r>
        <w:rPr>
          <w:i/>
        </w:rPr>
        <w:t xml:space="preserve"> </w:t>
      </w:r>
      <w:r w:rsidR="000D5B9E" w:rsidRPr="00B35F45">
        <w:rPr>
          <w:i/>
        </w:rPr>
        <w:t>of prolonged, untreated active disease, while maintaining data integrity because of the</w:t>
      </w:r>
      <w:r>
        <w:rPr>
          <w:i/>
        </w:rPr>
        <w:t xml:space="preserve"> </w:t>
      </w:r>
      <w:r w:rsidR="000D5B9E" w:rsidRPr="00B35F45">
        <w:rPr>
          <w:i/>
        </w:rPr>
        <w:t>randomisation process leading into Part II</w:t>
      </w:r>
      <w:r w:rsidR="000D5B9E">
        <w:rPr>
          <w:rFonts w:ascii="TimesNewRoman,Italic" w:eastAsiaTheme="minorHAnsi" w:hAnsi="TimesNewRoman,Italic" w:cs="TimesNewRoman,Italic"/>
          <w:i/>
          <w:iCs/>
          <w:sz w:val="23"/>
          <w:szCs w:val="23"/>
        </w:rPr>
        <w:t>.</w:t>
      </w:r>
      <w:r w:rsidR="000D5B9E">
        <w:rPr>
          <w:rFonts w:ascii="TimesNewRoman" w:eastAsia="TimesNewRoman" w:hAnsi="TimesNewRoman,Bold" w:cs="TimesNewRoman" w:hint="eastAsia"/>
          <w:sz w:val="23"/>
          <w:szCs w:val="23"/>
        </w:rPr>
        <w:t>”</w:t>
      </w:r>
    </w:p>
    <w:p w:rsidR="000D5B9E" w:rsidRPr="00B35F45" w:rsidRDefault="000D5B9E" w:rsidP="00B35F45">
      <w:r w:rsidRPr="00B35F45">
        <w:t>The Delegate further notes</w:t>
      </w:r>
      <w:r w:rsidR="00B35F45">
        <w:t xml:space="preserve"> </w:t>
      </w:r>
      <w:r w:rsidRPr="00B35F45">
        <w:t>Data</w:t>
      </w:r>
      <w:r w:rsidR="00B35F45">
        <w:t xml:space="preserve"> </w:t>
      </w:r>
      <w:r w:rsidRPr="00B35F45">
        <w:t>Deficiencies:</w:t>
      </w:r>
    </w:p>
    <w:p w:rsidR="000D5B9E" w:rsidRPr="00B35F45" w:rsidRDefault="00B35F45" w:rsidP="006D1CDA">
      <w:pPr>
        <w:ind w:left="720"/>
      </w:pPr>
      <w:r>
        <w:t>‘</w:t>
      </w:r>
      <w:r w:rsidR="000D5B9E" w:rsidRPr="00B35F45">
        <w:rPr>
          <w:i/>
        </w:rPr>
        <w:t>The design of the single pivotal trial in the proposed new indications is not consistent with</w:t>
      </w:r>
      <w:r>
        <w:rPr>
          <w:i/>
        </w:rPr>
        <w:t xml:space="preserve"> </w:t>
      </w:r>
      <w:r w:rsidR="000D5B9E" w:rsidRPr="00B35F45">
        <w:rPr>
          <w:i/>
        </w:rPr>
        <w:t>the TGA adopted EU guideline CHMP/EWP/422/04 “Guideline on Clinical Investigation of</w:t>
      </w:r>
      <w:r>
        <w:rPr>
          <w:i/>
        </w:rPr>
        <w:t xml:space="preserve"> </w:t>
      </w:r>
      <w:r w:rsidR="000D5B9E" w:rsidRPr="00B35F45">
        <w:rPr>
          <w:i/>
        </w:rPr>
        <w:t>Medicinal Products for the Treatment of Juvenile Idiopathic Arthritis</w:t>
      </w:r>
      <w:r w:rsidR="000D5B9E" w:rsidRPr="00B35F45">
        <w:t>.</w:t>
      </w:r>
      <w:r>
        <w:t>’</w:t>
      </w:r>
    </w:p>
    <w:p w:rsidR="000D5B9E" w:rsidRPr="00B35F45" w:rsidRDefault="000D5B9E" w:rsidP="00B35F45">
      <w:pPr>
        <w:pStyle w:val="Heading7"/>
        <w:rPr>
          <w:rFonts w:eastAsiaTheme="minorHAnsi"/>
        </w:rPr>
      </w:pPr>
      <w:r w:rsidRPr="00B35F45">
        <w:rPr>
          <w:rFonts w:eastAsiaTheme="minorHAnsi"/>
        </w:rPr>
        <w:t>Pfizer’s response:</w:t>
      </w:r>
    </w:p>
    <w:p w:rsidR="000D5B9E" w:rsidRPr="00B35F45" w:rsidRDefault="000D5B9E" w:rsidP="00B35F45">
      <w:r w:rsidRPr="00B35F45">
        <w:t>The use of an open</w:t>
      </w:r>
      <w:r w:rsidR="002040F3" w:rsidRPr="00B35F45">
        <w:t xml:space="preserve"> </w:t>
      </w:r>
      <w:r w:rsidRPr="00B35F45">
        <w:t>label, single</w:t>
      </w:r>
      <w:r w:rsidR="002040F3" w:rsidRPr="00B35F45">
        <w:t xml:space="preserve"> </w:t>
      </w:r>
      <w:r w:rsidRPr="00B35F45">
        <w:t>treatment study design with historical controls as</w:t>
      </w:r>
      <w:r w:rsidR="00B35F45">
        <w:t xml:space="preserve"> </w:t>
      </w:r>
      <w:r w:rsidRPr="00B35F45">
        <w:t>comparators, as opposed to a randomised, placebo</w:t>
      </w:r>
      <w:r w:rsidR="002040F3" w:rsidRPr="00B35F45">
        <w:t xml:space="preserve"> </w:t>
      </w:r>
      <w:r w:rsidRPr="00B35F45">
        <w:t>controlled withdrawal study design in</w:t>
      </w:r>
      <w:r w:rsidR="00B35F45">
        <w:t xml:space="preserve"> S</w:t>
      </w:r>
      <w:r w:rsidRPr="00B35F45">
        <w:t>tudy B1801014 was agreed to with the EMA PDCO based on the following.</w:t>
      </w:r>
    </w:p>
    <w:p w:rsidR="00B35F45" w:rsidRDefault="000D5B9E" w:rsidP="00B35F45">
      <w:r w:rsidRPr="00B35F45">
        <w:t xml:space="preserve">The EU guideline CHMP/EWP/422/04 states, </w:t>
      </w:r>
      <w:r w:rsidR="00B35F45">
        <w:t xml:space="preserve"> ‘</w:t>
      </w:r>
      <w:r w:rsidRPr="00B35F45">
        <w:rPr>
          <w:i/>
        </w:rPr>
        <w:t>In a paediatric study there might be ethical</w:t>
      </w:r>
      <w:r w:rsidR="00B35F45">
        <w:rPr>
          <w:i/>
        </w:rPr>
        <w:t xml:space="preserve"> </w:t>
      </w:r>
      <w:r w:rsidRPr="00B35F45">
        <w:rPr>
          <w:i/>
        </w:rPr>
        <w:t>concerns about including a placebo</w:t>
      </w:r>
      <w:r w:rsidR="002040F3" w:rsidRPr="00B35F45">
        <w:rPr>
          <w:i/>
        </w:rPr>
        <w:t xml:space="preserve"> </w:t>
      </w:r>
      <w:r w:rsidRPr="00B35F45">
        <w:rPr>
          <w:i/>
        </w:rPr>
        <w:t>arm when safe and effective…medication is readily</w:t>
      </w:r>
      <w:r w:rsidR="00B35F45">
        <w:rPr>
          <w:i/>
        </w:rPr>
        <w:t xml:space="preserve"> </w:t>
      </w:r>
      <w:r w:rsidRPr="00B35F45">
        <w:rPr>
          <w:i/>
        </w:rPr>
        <w:t>available. They have to be balanced by the ethical concerns of accepting shortcomings due</w:t>
      </w:r>
      <w:r w:rsidR="00B35F45">
        <w:rPr>
          <w:i/>
        </w:rPr>
        <w:t xml:space="preserve"> </w:t>
      </w:r>
      <w:r w:rsidRPr="00B35F45">
        <w:rPr>
          <w:i/>
        </w:rPr>
        <w:t>to missing placebo control. Therefore, alternatives for the design of parallel group trials</w:t>
      </w:r>
      <w:r w:rsidR="00B35F45">
        <w:rPr>
          <w:i/>
        </w:rPr>
        <w:t xml:space="preserve"> </w:t>
      </w:r>
      <w:r w:rsidRPr="00B35F45">
        <w:rPr>
          <w:i/>
        </w:rPr>
        <w:t>should be considered</w:t>
      </w:r>
      <w:r w:rsidRPr="00B35F45">
        <w:t>.</w:t>
      </w:r>
      <w:r w:rsidRPr="00B35F45">
        <w:rPr>
          <w:rFonts w:hint="eastAsia"/>
        </w:rPr>
        <w:t>”</w:t>
      </w:r>
    </w:p>
    <w:p w:rsidR="000D5B9E" w:rsidRPr="00B35F45" w:rsidRDefault="000D5B9E" w:rsidP="00B35F45">
      <w:proofErr w:type="spellStart"/>
      <w:r w:rsidRPr="00B35F45">
        <w:t>Etanercept</w:t>
      </w:r>
      <w:proofErr w:type="spellEnd"/>
      <w:r w:rsidRPr="00B35F45">
        <w:t xml:space="preserve"> is approved for the adult conditions, AS and </w:t>
      </w:r>
      <w:proofErr w:type="spellStart"/>
      <w:r w:rsidRPr="00B35F45">
        <w:t>PsA</w:t>
      </w:r>
      <w:proofErr w:type="spellEnd"/>
      <w:r w:rsidRPr="00B35F45">
        <w:t>, which</w:t>
      </w:r>
      <w:r w:rsidR="00B35F45">
        <w:t xml:space="preserve"> </w:t>
      </w:r>
      <w:r w:rsidRPr="00B35F45">
        <w:t xml:space="preserve">are </w:t>
      </w:r>
      <w:r w:rsidR="00904313" w:rsidRPr="00B35F45">
        <w:t>analogous</w:t>
      </w:r>
      <w:r w:rsidRPr="00B35F45">
        <w:t xml:space="preserve"> to juvenile ERA and </w:t>
      </w:r>
      <w:proofErr w:type="spellStart"/>
      <w:r w:rsidRPr="00B35F45">
        <w:t>PsA.</w:t>
      </w:r>
      <w:proofErr w:type="spellEnd"/>
      <w:r w:rsidRPr="00B35F45">
        <w:t xml:space="preserve"> In addition, it is approved for </w:t>
      </w:r>
      <w:proofErr w:type="spellStart"/>
      <w:r w:rsidRPr="00B35F45">
        <w:t>polyarticular</w:t>
      </w:r>
      <w:proofErr w:type="spellEnd"/>
      <w:r w:rsidR="002040F3" w:rsidRPr="00B35F45">
        <w:t xml:space="preserve"> </w:t>
      </w:r>
      <w:r w:rsidRPr="00B35F45">
        <w:t>course</w:t>
      </w:r>
      <w:r w:rsidR="00B35F45">
        <w:t xml:space="preserve"> </w:t>
      </w:r>
      <w:r w:rsidRPr="00B35F45">
        <w:t xml:space="preserve">JIA, which is similar to </w:t>
      </w:r>
      <w:proofErr w:type="spellStart"/>
      <w:r w:rsidRPr="00B35F45">
        <w:t>eoJIA</w:t>
      </w:r>
      <w:proofErr w:type="spellEnd"/>
      <w:r w:rsidRPr="00B35F45">
        <w:t xml:space="preserve"> in presentation and symptoms. Finally, a study showed</w:t>
      </w:r>
      <w:r w:rsidR="00B35F45">
        <w:t xml:space="preserve"> </w:t>
      </w:r>
      <w:r w:rsidRPr="00B35F45">
        <w:t xml:space="preserve">preliminary evidence of </w:t>
      </w:r>
      <w:proofErr w:type="spellStart"/>
      <w:r w:rsidRPr="00B35F45">
        <w:t>etanercept</w:t>
      </w:r>
      <w:proofErr w:type="spellEnd"/>
      <w:r w:rsidRPr="00B35F45">
        <w:t xml:space="preserve"> efficacy in these 3 subtypes (Prince et al, 2009).</w:t>
      </w:r>
    </w:p>
    <w:p w:rsidR="000D5B9E" w:rsidRPr="00B35F45" w:rsidRDefault="000D5B9E" w:rsidP="00B35F45">
      <w:r w:rsidRPr="00B35F45">
        <w:t>Therefore, Pfizer considered that there was the potential for clinical benefit through treatment</w:t>
      </w:r>
      <w:r w:rsidR="00B35F45">
        <w:t xml:space="preserve"> </w:t>
      </w:r>
      <w:r w:rsidRPr="00B35F45">
        <w:t xml:space="preserve">with </w:t>
      </w:r>
      <w:proofErr w:type="spellStart"/>
      <w:r w:rsidRPr="00B35F45">
        <w:t>etanercept</w:t>
      </w:r>
      <w:proofErr w:type="spellEnd"/>
      <w:r w:rsidRPr="00B35F45">
        <w:t xml:space="preserve"> in these 3 subtypes, and that including a placebo arm would not be ethical.</w:t>
      </w:r>
    </w:p>
    <w:p w:rsidR="000D5B9E" w:rsidRPr="006D1CDA" w:rsidRDefault="000D5B9E" w:rsidP="006D1CDA">
      <w:r w:rsidRPr="00B35F45">
        <w:t xml:space="preserve">It was agreed that the patients with the 3 subtypes under study, especially the ERA and </w:t>
      </w:r>
      <w:proofErr w:type="spellStart"/>
      <w:r w:rsidRPr="00B35F45">
        <w:t>PsA</w:t>
      </w:r>
      <w:proofErr w:type="spellEnd"/>
      <w:r w:rsidR="00B35F45">
        <w:t xml:space="preserve"> </w:t>
      </w:r>
      <w:r w:rsidRPr="00B35F45">
        <w:t xml:space="preserve">subtypes, are relatively rare and, therefore, would be potentially difficult to recruit. Use of a </w:t>
      </w:r>
      <w:r w:rsidR="00A03F2B">
        <w:t xml:space="preserve">placebo arm, even in a randomised withdrawal design, would limit the number of patients </w:t>
      </w:r>
      <w:r w:rsidRPr="00B35F45">
        <w:t>willing to participate in the study. Furthermore, as noted in the CHMP Guidelines on</w:t>
      </w:r>
      <w:r w:rsidR="00B35F45">
        <w:t xml:space="preserve"> </w:t>
      </w:r>
      <w:r w:rsidRPr="00B35F45">
        <w:t>Clinical Trials in Small Populations (CHMP/EWP/83561/2005) and ICH Guidelines on</w:t>
      </w:r>
      <w:r w:rsidR="00B35F45">
        <w:t xml:space="preserve"> </w:t>
      </w:r>
      <w:r w:rsidRPr="00B35F45">
        <w:t>Choice of Control Group in Clinical Trials (CPMP/ICH/364/96), the use of historical controls</w:t>
      </w:r>
      <w:r w:rsidR="00B35F45">
        <w:t xml:space="preserve"> </w:t>
      </w:r>
      <w:r w:rsidRPr="00B35F45">
        <w:t>may be acceptable to demonstrate efficacy and safety, as long as adequate</w:t>
      </w:r>
      <w:r>
        <w:t xml:space="preserve"> </w:t>
      </w:r>
      <w:r w:rsidRPr="006D1CDA">
        <w:t>attention is paid to</w:t>
      </w:r>
      <w:r w:rsidR="006D1CDA">
        <w:t xml:space="preserve"> </w:t>
      </w:r>
      <w:r w:rsidRPr="006D1CDA">
        <w:t>careful selection of the external control group, minimisation of biases, and appropriate</w:t>
      </w:r>
      <w:r w:rsidR="006D1CDA">
        <w:t xml:space="preserve"> </w:t>
      </w:r>
      <w:r w:rsidRPr="006D1CDA">
        <w:t>statistical comparisons.</w:t>
      </w:r>
    </w:p>
    <w:p w:rsidR="006D1CDA" w:rsidRDefault="000D5B9E" w:rsidP="006D1CDA">
      <w:r w:rsidRPr="006D1CDA">
        <w:t xml:space="preserve">Based on the above, it was agreed with the </w:t>
      </w:r>
      <w:r w:rsidR="006D1CDA">
        <w:t>European Medicines Agency Paediatric Committee (</w:t>
      </w:r>
      <w:r w:rsidRPr="006D1CDA">
        <w:t>EMA PDCO</w:t>
      </w:r>
      <w:r w:rsidR="006D1CDA">
        <w:t>)</w:t>
      </w:r>
      <w:r w:rsidRPr="006D1CDA">
        <w:t xml:space="preserve"> that the following 3 historical</w:t>
      </w:r>
      <w:r w:rsidR="006D1CDA">
        <w:t xml:space="preserve"> </w:t>
      </w:r>
      <w:r w:rsidRPr="006D1CDA">
        <w:t xml:space="preserve">controls would be used for comparison of the Week 12 </w:t>
      </w:r>
      <w:r w:rsidR="002040F3" w:rsidRPr="006D1CDA">
        <w:t>Study</w:t>
      </w:r>
      <w:r w:rsidR="002F31F5">
        <w:t xml:space="preserve"> B1801014 data:</w:t>
      </w:r>
    </w:p>
    <w:p w:rsidR="006D1CDA" w:rsidRDefault="006D1CDA" w:rsidP="006D1CDA">
      <w:pPr>
        <w:pStyle w:val="ListBullet"/>
      </w:pPr>
      <w:r>
        <w:t>A</w:t>
      </w:r>
      <w:r w:rsidR="000D5B9E" w:rsidRPr="006D1CDA">
        <w:t xml:space="preserve"> placebo</w:t>
      </w:r>
      <w:r>
        <w:t xml:space="preserve"> </w:t>
      </w:r>
      <w:r w:rsidR="000D5B9E" w:rsidRPr="006D1CDA">
        <w:t xml:space="preserve">historical control for the combined population and 3 subtypes </w:t>
      </w:r>
      <w:r w:rsidR="000D5B9E" w:rsidRPr="006D1CDA">
        <w:rPr>
          <w:rFonts w:hint="eastAsia"/>
        </w:rPr>
        <w:t>–</w:t>
      </w:r>
      <w:r w:rsidR="000D5B9E" w:rsidRPr="006D1CDA">
        <w:t xml:space="preserve"> a </w:t>
      </w:r>
      <w:r w:rsidR="00904313" w:rsidRPr="006D1CDA">
        <w:t>meta-analysis</w:t>
      </w:r>
      <w:r w:rsidR="000D5B9E" w:rsidRPr="006D1CDA">
        <w:t xml:space="preserve"> of 6 JIA</w:t>
      </w:r>
      <w:r>
        <w:t xml:space="preserve"> </w:t>
      </w:r>
      <w:r w:rsidR="000D5B9E" w:rsidRPr="006D1CDA">
        <w:t>studies (</w:t>
      </w:r>
      <w:proofErr w:type="spellStart"/>
      <w:r w:rsidR="000D5B9E" w:rsidRPr="006D1CDA">
        <w:t>Ruperto</w:t>
      </w:r>
      <w:proofErr w:type="spellEnd"/>
      <w:r w:rsidR="000D5B9E" w:rsidRPr="006D1CDA">
        <w:t xml:space="preserve"> et al, 2003</w:t>
      </w:r>
      <w:r w:rsidR="002F31F5">
        <w:t>);</w:t>
      </w:r>
    </w:p>
    <w:p w:rsidR="006D1CDA" w:rsidRDefault="006D1CDA" w:rsidP="006D1CDA">
      <w:pPr>
        <w:pStyle w:val="ListBullet"/>
      </w:pPr>
      <w:r>
        <w:t xml:space="preserve">A </w:t>
      </w:r>
      <w:r w:rsidR="000D5B9E" w:rsidRPr="006D1CDA">
        <w:t xml:space="preserve">placebo historical control for ERA subjects </w:t>
      </w:r>
      <w:r w:rsidR="000D5B9E" w:rsidRPr="006D1CDA">
        <w:rPr>
          <w:rFonts w:hint="eastAsia"/>
        </w:rPr>
        <w:t>–</w:t>
      </w:r>
      <w:r w:rsidR="000D5B9E" w:rsidRPr="006D1CDA">
        <w:t xml:space="preserve"> a clinical</w:t>
      </w:r>
      <w:r>
        <w:t xml:space="preserve"> </w:t>
      </w:r>
      <w:r w:rsidR="000D5B9E" w:rsidRPr="006D1CDA">
        <w:t xml:space="preserve">study in juvenile </w:t>
      </w:r>
      <w:proofErr w:type="spellStart"/>
      <w:r w:rsidR="000D5B9E" w:rsidRPr="006D1CDA">
        <w:t>SpA</w:t>
      </w:r>
      <w:proofErr w:type="spellEnd"/>
      <w:r w:rsidR="000D5B9E" w:rsidRPr="006D1CDA">
        <w:t xml:space="preserve"> (Burgos-Vargas et al, 2008); and </w:t>
      </w:r>
    </w:p>
    <w:p w:rsidR="000D5B9E" w:rsidRPr="006D1CDA" w:rsidRDefault="006D1CDA" w:rsidP="006D1CDA">
      <w:pPr>
        <w:pStyle w:val="ListBullet"/>
      </w:pPr>
      <w:r w:rsidRPr="006D1CDA">
        <w:t>A</w:t>
      </w:r>
      <w:r w:rsidR="000D5B9E" w:rsidRPr="006D1CDA">
        <w:t>n active historical control for the</w:t>
      </w:r>
      <w:r w:rsidRPr="006D1CDA">
        <w:t xml:space="preserve"> </w:t>
      </w:r>
      <w:r w:rsidR="000D5B9E" w:rsidRPr="006D1CDA">
        <w:t xml:space="preserve">combined population and 3 subtypes </w:t>
      </w:r>
      <w:r w:rsidR="000D5B9E" w:rsidRPr="006D1CDA">
        <w:rPr>
          <w:rFonts w:hint="eastAsia"/>
        </w:rPr>
        <w:t>–</w:t>
      </w:r>
      <w:r w:rsidR="000D5B9E" w:rsidRPr="006D1CDA">
        <w:t xml:space="preserve"> the 12</w:t>
      </w:r>
      <w:r w:rsidR="002040F3" w:rsidRPr="006D1CDA">
        <w:t xml:space="preserve"> </w:t>
      </w:r>
      <w:r w:rsidR="000D5B9E" w:rsidRPr="006D1CDA">
        <w:t>week open</w:t>
      </w:r>
      <w:r w:rsidR="002040F3" w:rsidRPr="006D1CDA">
        <w:t xml:space="preserve"> </w:t>
      </w:r>
      <w:r w:rsidR="000D5B9E" w:rsidRPr="006D1CDA">
        <w:t xml:space="preserve">label data from </w:t>
      </w:r>
      <w:proofErr w:type="spellStart"/>
      <w:r w:rsidR="000D5B9E" w:rsidRPr="006D1CDA">
        <w:t>Etanercept</w:t>
      </w:r>
      <w:proofErr w:type="spellEnd"/>
      <w:r>
        <w:t xml:space="preserve"> </w:t>
      </w:r>
      <w:r w:rsidR="000D5B9E" w:rsidRPr="006D1CDA">
        <w:t xml:space="preserve">(monotherapy) Phase III study in </w:t>
      </w:r>
      <w:proofErr w:type="spellStart"/>
      <w:r w:rsidR="000D5B9E" w:rsidRPr="006D1CDA">
        <w:t>polyarticular</w:t>
      </w:r>
      <w:proofErr w:type="spellEnd"/>
      <w:r w:rsidR="002040F3" w:rsidRPr="006D1CDA">
        <w:t xml:space="preserve"> </w:t>
      </w:r>
      <w:r w:rsidR="000D5B9E" w:rsidRPr="006D1CDA">
        <w:t>course JIA (Lovell et al, 2000).</w:t>
      </w:r>
    </w:p>
    <w:p w:rsidR="000D5B9E" w:rsidRPr="006D1CDA" w:rsidRDefault="000D5B9E" w:rsidP="006D1CDA">
      <w:r w:rsidRPr="006D1CDA">
        <w:t>The Delegate further notes Data</w:t>
      </w:r>
      <w:r w:rsidR="006D1CDA">
        <w:t xml:space="preserve"> </w:t>
      </w:r>
      <w:r w:rsidRPr="006D1CDA">
        <w:t>Deficiencies:</w:t>
      </w:r>
    </w:p>
    <w:p w:rsidR="000D5B9E" w:rsidRPr="006D1CDA" w:rsidRDefault="006D1CDA" w:rsidP="006D1CDA">
      <w:pPr>
        <w:ind w:left="720"/>
        <w:rPr>
          <w:i/>
        </w:rPr>
      </w:pPr>
      <w:r w:rsidRPr="006D1CDA">
        <w:rPr>
          <w:i/>
        </w:rPr>
        <w:t>‘I</w:t>
      </w:r>
      <w:r w:rsidR="000D5B9E" w:rsidRPr="006D1CDA">
        <w:rPr>
          <w:i/>
        </w:rPr>
        <w:t>n addition to the single treatment, open label design and use of historical controls, there</w:t>
      </w:r>
      <w:r w:rsidRPr="006D1CDA">
        <w:rPr>
          <w:i/>
        </w:rPr>
        <w:t xml:space="preserve"> </w:t>
      </w:r>
      <w:r w:rsidR="000D5B9E" w:rsidRPr="006D1CDA">
        <w:rPr>
          <w:i/>
        </w:rPr>
        <w:t>was a limited number of patients recruited (n</w:t>
      </w:r>
      <w:r w:rsidR="00DC309B" w:rsidRPr="006D1CDA">
        <w:rPr>
          <w:i/>
        </w:rPr>
        <w:t xml:space="preserve"> = </w:t>
      </w:r>
      <w:r w:rsidR="000D5B9E" w:rsidRPr="006D1CDA">
        <w:rPr>
          <w:i/>
        </w:rPr>
        <w:t>127), particularly in the younger age group</w:t>
      </w:r>
      <w:r w:rsidRPr="006D1CDA">
        <w:rPr>
          <w:i/>
        </w:rPr>
        <w:t xml:space="preserve"> </w:t>
      </w:r>
      <w:r w:rsidR="000D5B9E" w:rsidRPr="006D1CDA">
        <w:rPr>
          <w:i/>
        </w:rPr>
        <w:t>(n</w:t>
      </w:r>
      <w:r w:rsidR="00DC309B" w:rsidRPr="006D1CDA">
        <w:rPr>
          <w:i/>
        </w:rPr>
        <w:t xml:space="preserve"> = </w:t>
      </w:r>
      <w:r w:rsidR="000D5B9E" w:rsidRPr="006D1CDA">
        <w:rPr>
          <w:i/>
        </w:rPr>
        <w:t>15 aged 2</w:t>
      </w:r>
      <w:r w:rsidR="002040F3" w:rsidRPr="006D1CDA">
        <w:rPr>
          <w:i/>
        </w:rPr>
        <w:t xml:space="preserve"> to </w:t>
      </w:r>
      <w:r w:rsidR="000D5B9E" w:rsidRPr="006D1CDA">
        <w:rPr>
          <w:i/>
        </w:rPr>
        <w:t>4 years), with limited follow</w:t>
      </w:r>
      <w:r w:rsidR="002040F3" w:rsidRPr="006D1CDA">
        <w:rPr>
          <w:i/>
        </w:rPr>
        <w:t xml:space="preserve"> </w:t>
      </w:r>
      <w:r w:rsidR="000D5B9E" w:rsidRPr="006D1CDA">
        <w:rPr>
          <w:i/>
        </w:rPr>
        <w:t>up.</w:t>
      </w:r>
      <w:r w:rsidR="000D5B9E" w:rsidRPr="006D1CDA">
        <w:rPr>
          <w:rFonts w:hint="eastAsia"/>
          <w:i/>
        </w:rPr>
        <w:t>”</w:t>
      </w:r>
    </w:p>
    <w:p w:rsidR="000D5B9E" w:rsidRDefault="000D5B9E" w:rsidP="006D1CDA">
      <w:pPr>
        <w:pStyle w:val="Heading7"/>
        <w:rPr>
          <w:rFonts w:eastAsia="TimesNewRoman"/>
        </w:rPr>
      </w:pPr>
      <w:r>
        <w:rPr>
          <w:rFonts w:eastAsia="TimesNewRoman"/>
        </w:rPr>
        <w:t>Pfizer’s response:</w:t>
      </w:r>
    </w:p>
    <w:p w:rsidR="000D5B9E" w:rsidRPr="006D1CDA" w:rsidRDefault="000D5B9E" w:rsidP="006D1CDA">
      <w:r w:rsidRPr="006D1CDA">
        <w:t>The minimum number of subjects by JIA subtype a</w:t>
      </w:r>
      <w:r w:rsidR="006D1CDA">
        <w:t>nd age group to be enrolled in S</w:t>
      </w:r>
      <w:r w:rsidRPr="006D1CDA">
        <w:t>tudy</w:t>
      </w:r>
      <w:r w:rsidR="006D1CDA">
        <w:t xml:space="preserve"> </w:t>
      </w:r>
      <w:r w:rsidRPr="006D1CDA">
        <w:t>B1801014 was agreed with the EMA PDCO. For the 2</w:t>
      </w:r>
      <w:r w:rsidR="002040F3" w:rsidRPr="006D1CDA">
        <w:t xml:space="preserve"> to </w:t>
      </w:r>
      <w:r w:rsidRPr="006D1CDA">
        <w:t xml:space="preserve">4 year </w:t>
      </w:r>
      <w:proofErr w:type="spellStart"/>
      <w:r w:rsidRPr="006D1CDA">
        <w:t>eoJIA</w:t>
      </w:r>
      <w:proofErr w:type="spellEnd"/>
      <w:r w:rsidRPr="006D1CDA">
        <w:t xml:space="preserve"> group, it was agreed</w:t>
      </w:r>
      <w:r w:rsidR="006D1CDA">
        <w:t xml:space="preserve"> </w:t>
      </w:r>
      <w:r w:rsidRPr="006D1CDA">
        <w:t>that a minimum of 2 subjects would be enrolled. The number of subjects to be enrolled in</w:t>
      </w:r>
      <w:r w:rsidR="006D1CDA">
        <w:t xml:space="preserve"> </w:t>
      </w:r>
      <w:r w:rsidRPr="006D1CDA">
        <w:t>each of the subtypes was based on the prevalence of the 3 JIA subtypes. A 2007 report</w:t>
      </w:r>
      <w:r w:rsidR="006D1CDA">
        <w:t xml:space="preserve"> </w:t>
      </w:r>
      <w:r w:rsidRPr="006D1CDA">
        <w:t>estimated that 13%</w:t>
      </w:r>
      <w:r w:rsidR="002040F3" w:rsidRPr="006D1CDA">
        <w:t xml:space="preserve"> to </w:t>
      </w:r>
      <w:r w:rsidRPr="006D1CDA">
        <w:t xml:space="preserve">28% of patients with JIA develop the </w:t>
      </w:r>
      <w:proofErr w:type="spellStart"/>
      <w:r w:rsidRPr="006D1CDA">
        <w:t>eoJIA</w:t>
      </w:r>
      <w:proofErr w:type="spellEnd"/>
      <w:r w:rsidRPr="006D1CDA">
        <w:t xml:space="preserve"> subtype (</w:t>
      </w:r>
      <w:proofErr w:type="spellStart"/>
      <w:r w:rsidRPr="006D1CDA">
        <w:t>Ravelli</w:t>
      </w:r>
      <w:proofErr w:type="spellEnd"/>
      <w:r w:rsidRPr="006D1CDA">
        <w:t xml:space="preserve"> et al, 2007).</w:t>
      </w:r>
    </w:p>
    <w:p w:rsidR="006D1CDA" w:rsidRDefault="000D5B9E" w:rsidP="006D1CDA">
      <w:r w:rsidRPr="006D1CDA">
        <w:t>Regarding the number of 2</w:t>
      </w:r>
      <w:r w:rsidR="002040F3" w:rsidRPr="006D1CDA">
        <w:t xml:space="preserve"> to </w:t>
      </w:r>
      <w:r w:rsidRPr="006D1CDA">
        <w:t xml:space="preserve">4 year old subjects with </w:t>
      </w:r>
      <w:proofErr w:type="spellStart"/>
      <w:r w:rsidRPr="006D1CDA">
        <w:t>eoJIA</w:t>
      </w:r>
      <w:proofErr w:type="spellEnd"/>
      <w:r w:rsidRPr="006D1CDA">
        <w:t>, literature reports regarding the</w:t>
      </w:r>
      <w:r w:rsidR="006D1CDA">
        <w:t xml:space="preserve"> </w:t>
      </w:r>
      <w:r w:rsidRPr="006D1CDA">
        <w:t xml:space="preserve">mean age of onset of </w:t>
      </w:r>
      <w:proofErr w:type="spellStart"/>
      <w:r w:rsidRPr="006D1CDA">
        <w:t>eoJIA</w:t>
      </w:r>
      <w:proofErr w:type="spellEnd"/>
      <w:r w:rsidRPr="006D1CDA">
        <w:t xml:space="preserve"> vary widely from 3.8 to 10.25 years, and do not provide age</w:t>
      </w:r>
      <w:r w:rsidR="006D1CDA">
        <w:t xml:space="preserve"> </w:t>
      </w:r>
      <w:r w:rsidRPr="006D1CDA">
        <w:t xml:space="preserve">distribution by age groups (Danner et al, 2006; </w:t>
      </w:r>
      <w:proofErr w:type="spellStart"/>
      <w:r w:rsidRPr="006D1CDA">
        <w:t>Saurenmann</w:t>
      </w:r>
      <w:proofErr w:type="spellEnd"/>
      <w:r w:rsidRPr="006D1CDA">
        <w:t xml:space="preserve"> et al, 2007; </w:t>
      </w:r>
      <w:proofErr w:type="spellStart"/>
      <w:r w:rsidRPr="006D1CDA">
        <w:t>Pruunsild</w:t>
      </w:r>
      <w:proofErr w:type="spellEnd"/>
      <w:r w:rsidRPr="006D1CDA">
        <w:t xml:space="preserve"> et al,</w:t>
      </w:r>
      <w:r w:rsidR="006D1CDA">
        <w:t xml:space="preserve"> </w:t>
      </w:r>
      <w:r w:rsidRPr="006D1CDA">
        <w:t xml:space="preserve">2007; Yilmaz et al, 2008). Although </w:t>
      </w:r>
      <w:proofErr w:type="spellStart"/>
      <w:r w:rsidRPr="006D1CDA">
        <w:t>eoJIA</w:t>
      </w:r>
      <w:proofErr w:type="spellEnd"/>
      <w:r w:rsidRPr="006D1CDA">
        <w:t xml:space="preserve"> is generally recognised as a disease of younger</w:t>
      </w:r>
      <w:r w:rsidR="006D1CDA">
        <w:t xml:space="preserve"> </w:t>
      </w:r>
      <w:r w:rsidRPr="006D1CDA">
        <w:t>children, numerous other considerations were factored into the proposed</w:t>
      </w:r>
      <w:r>
        <w:t xml:space="preserve"> minimum</w:t>
      </w:r>
      <w:r w:rsidR="006D1CDA">
        <w:t xml:space="preserve"> </w:t>
      </w:r>
      <w:proofErr w:type="spellStart"/>
      <w:r w:rsidR="002F31F5">
        <w:t>enrollment</w:t>
      </w:r>
      <w:proofErr w:type="spellEnd"/>
      <w:r w:rsidR="002F31F5">
        <w:t>:</w:t>
      </w:r>
    </w:p>
    <w:p w:rsidR="006D1CDA" w:rsidRDefault="006D1CDA" w:rsidP="006D1CDA">
      <w:pPr>
        <w:pStyle w:val="ListBullet"/>
      </w:pPr>
      <w:r>
        <w:t>B</w:t>
      </w:r>
      <w:r w:rsidR="000D5B9E" w:rsidRPr="006D1CDA">
        <w:t xml:space="preserve">ased upon the ILAR criteria, </w:t>
      </w:r>
      <w:proofErr w:type="spellStart"/>
      <w:r w:rsidR="000D5B9E" w:rsidRPr="006D1CDA">
        <w:t>oligoarticular</w:t>
      </w:r>
      <w:proofErr w:type="spellEnd"/>
      <w:r w:rsidR="000D5B9E" w:rsidRPr="006D1CDA">
        <w:t xml:space="preserve"> JIA is characterised as </w:t>
      </w:r>
      <w:r w:rsidR="00A03F2B">
        <w:t>“</w:t>
      </w:r>
      <w:r w:rsidR="000D5B9E" w:rsidRPr="006D1CDA">
        <w:t>extended</w:t>
      </w:r>
      <w:r w:rsidR="00A03F2B">
        <w:t>”</w:t>
      </w:r>
      <w:r>
        <w:t xml:space="preserve"> </w:t>
      </w:r>
      <w:r w:rsidR="000D5B9E" w:rsidRPr="006D1CDA">
        <w:t xml:space="preserve">if </w:t>
      </w:r>
      <w:r w:rsidR="002040F3" w:rsidRPr="006D1CDA">
        <w:t xml:space="preserve">greater than </w:t>
      </w:r>
      <w:r w:rsidR="000D5B9E" w:rsidRPr="006D1CDA">
        <w:t>4 active joints are affected beyond</w:t>
      </w:r>
      <w:r w:rsidR="002F31F5">
        <w:t xml:space="preserve"> the first 6 months of disease;</w:t>
      </w:r>
    </w:p>
    <w:p w:rsidR="000D5B9E" w:rsidRPr="006D1CDA" w:rsidRDefault="006D1CDA" w:rsidP="006D1CDA">
      <w:pPr>
        <w:pStyle w:val="ListBullet"/>
      </w:pPr>
      <w:r>
        <w:t>A</w:t>
      </w:r>
      <w:r w:rsidR="000D5B9E" w:rsidRPr="006D1CDA">
        <w:t>vailable treatment</w:t>
      </w:r>
      <w:r>
        <w:t xml:space="preserve"> </w:t>
      </w:r>
      <w:r w:rsidR="000D5B9E" w:rsidRPr="006D1CDA">
        <w:t>algorithms support progressive escalation of therapy, beginning with NSAIDs and</w:t>
      </w:r>
      <w:r>
        <w:t xml:space="preserve"> </w:t>
      </w:r>
      <w:r w:rsidR="000D5B9E" w:rsidRPr="006D1CDA">
        <w:t>corticosteroids injections followed by a 6</w:t>
      </w:r>
      <w:r w:rsidR="002040F3" w:rsidRPr="006D1CDA">
        <w:t xml:space="preserve"> </w:t>
      </w:r>
      <w:r w:rsidR="000D5B9E" w:rsidRPr="006D1CDA">
        <w:t xml:space="preserve">month course of </w:t>
      </w:r>
      <w:r w:rsidR="00904313" w:rsidRPr="006D1CDA">
        <w:t>non-biologic</w:t>
      </w:r>
      <w:r w:rsidR="000D5B9E" w:rsidRPr="006D1CDA">
        <w:t xml:space="preserve"> DMARDs prior to</w:t>
      </w:r>
      <w:r>
        <w:t xml:space="preserve"> </w:t>
      </w:r>
      <w:r w:rsidR="000D5B9E" w:rsidRPr="006D1CDA">
        <w:t>initiation of an anti</w:t>
      </w:r>
      <w:r w:rsidR="002040F3" w:rsidRPr="006D1CDA">
        <w:t xml:space="preserve"> </w:t>
      </w:r>
      <w:r w:rsidR="000D5B9E" w:rsidRPr="006D1CDA">
        <w:t>TNF agent. Thus, many patients would likely spend substantial amounts</w:t>
      </w:r>
      <w:r>
        <w:t xml:space="preserve"> </w:t>
      </w:r>
      <w:r w:rsidR="000D5B9E" w:rsidRPr="006D1CDA">
        <w:t xml:space="preserve">of time on such therapies before becoming eligible for treatment with </w:t>
      </w:r>
      <w:proofErr w:type="spellStart"/>
      <w:r w:rsidR="000D5B9E" w:rsidRPr="006D1CDA">
        <w:t>etanercept</w:t>
      </w:r>
      <w:proofErr w:type="spellEnd"/>
      <w:r w:rsidR="000D5B9E" w:rsidRPr="006D1CDA">
        <w:t>.</w:t>
      </w:r>
    </w:p>
    <w:p w:rsidR="000D5B9E" w:rsidRPr="006D1CDA" w:rsidRDefault="000D5B9E" w:rsidP="006D1CDA">
      <w:r w:rsidRPr="006D1CDA">
        <w:t>Based on the factors described above, it was expected that few patients younger than 5 years</w:t>
      </w:r>
      <w:r w:rsidR="006D1CDA">
        <w:t xml:space="preserve"> </w:t>
      </w:r>
      <w:r w:rsidRPr="006D1CDA">
        <w:t>of age would be candidates for biologic agents. These factors therefore limited recruitment of</w:t>
      </w:r>
      <w:r w:rsidR="006D1CDA">
        <w:t xml:space="preserve"> </w:t>
      </w:r>
      <w:r w:rsidRPr="006D1CDA">
        <w:t xml:space="preserve">this age range. Although the 15 </w:t>
      </w:r>
      <w:proofErr w:type="spellStart"/>
      <w:r w:rsidRPr="006D1CDA">
        <w:t>eoJIA</w:t>
      </w:r>
      <w:proofErr w:type="spellEnd"/>
      <w:r w:rsidRPr="006D1CDA">
        <w:t xml:space="preserve"> subjects aged 2</w:t>
      </w:r>
      <w:r w:rsidR="002040F3" w:rsidRPr="006D1CDA">
        <w:t xml:space="preserve"> to </w:t>
      </w:r>
      <w:r w:rsidRPr="006D1CDA">
        <w:t>4 years is a relative small sample size,</w:t>
      </w:r>
      <w:r w:rsidR="006D1CDA" w:rsidRPr="006D1CDA">
        <w:t xml:space="preserve"> </w:t>
      </w:r>
      <w:r w:rsidRPr="006D1CDA">
        <w:t xml:space="preserve">the safety and efficacy data in these subjects are similar to those for the older </w:t>
      </w:r>
      <w:proofErr w:type="spellStart"/>
      <w:r w:rsidRPr="006D1CDA">
        <w:t>eoJIA</w:t>
      </w:r>
      <w:proofErr w:type="spellEnd"/>
      <w:r w:rsidRPr="006D1CDA">
        <w:t xml:space="preserve"> subjects</w:t>
      </w:r>
      <w:r w:rsidR="006D1CDA">
        <w:t xml:space="preserve"> </w:t>
      </w:r>
      <w:r w:rsidRPr="006D1CDA">
        <w:t>as well as for the overall study population. In addition, up to 10 years of data will be</w:t>
      </w:r>
      <w:r w:rsidR="006D1CDA">
        <w:t xml:space="preserve"> </w:t>
      </w:r>
      <w:r w:rsidRPr="006D1CDA">
        <w:t xml:space="preserve">collected across </w:t>
      </w:r>
      <w:r w:rsidR="006D1CDA">
        <w:t>S</w:t>
      </w:r>
      <w:r w:rsidRPr="006D1CDA">
        <w:t>tudies B1801014 and B1801023, as d</w:t>
      </w:r>
      <w:r w:rsidR="006D1CDA">
        <w:t>escribed later in this response</w:t>
      </w:r>
      <w:r w:rsidRPr="006D1CDA">
        <w:t xml:space="preserve">. Regarding the RMP evaluation, it is noted that the </w:t>
      </w:r>
      <w:r w:rsidR="001F68DB" w:rsidRPr="006D1CDA">
        <w:t>sponsor</w:t>
      </w:r>
      <w:r w:rsidRPr="006D1CDA">
        <w:t xml:space="preserve"> has addressed all outstanding issues with the Office of Product Review and the </w:t>
      </w:r>
      <w:r w:rsidR="001F68DB" w:rsidRPr="006D1CDA">
        <w:t>sponsor</w:t>
      </w:r>
      <w:r w:rsidRPr="006D1CDA">
        <w:t xml:space="preserve"> agrees with the</w:t>
      </w:r>
      <w:r w:rsidR="006D1CDA">
        <w:t xml:space="preserve"> </w:t>
      </w:r>
      <w:r w:rsidRPr="006D1CDA">
        <w:t>Delegate</w:t>
      </w:r>
      <w:r w:rsidR="006D1CDA">
        <w:t>’</w:t>
      </w:r>
      <w:r w:rsidRPr="006D1CDA">
        <w:t>s conclusions regarding the RMP evaluation.</w:t>
      </w:r>
    </w:p>
    <w:p w:rsidR="000D5B9E" w:rsidRPr="006D1CDA" w:rsidRDefault="000D5B9E" w:rsidP="006D1CDA">
      <w:r w:rsidRPr="006D1CDA">
        <w:t>The Delegate notes:</w:t>
      </w:r>
    </w:p>
    <w:p w:rsidR="000D5B9E" w:rsidRPr="006D1CDA" w:rsidRDefault="006D1CDA" w:rsidP="006D1CDA">
      <w:pPr>
        <w:ind w:left="720"/>
        <w:rPr>
          <w:i/>
        </w:rPr>
      </w:pPr>
      <w:r w:rsidRPr="006D1CDA">
        <w:rPr>
          <w:i/>
        </w:rPr>
        <w:t>‘T</w:t>
      </w:r>
      <w:r w:rsidR="000D5B9E" w:rsidRPr="006D1CDA">
        <w:rPr>
          <w:i/>
        </w:rPr>
        <w:t>he pivotal study excluded patients who were at significant risk of infection, or who had</w:t>
      </w:r>
      <w:r w:rsidRPr="006D1CDA">
        <w:rPr>
          <w:i/>
        </w:rPr>
        <w:t xml:space="preserve"> </w:t>
      </w:r>
      <w:r w:rsidR="000D5B9E" w:rsidRPr="006D1CDA">
        <w:rPr>
          <w:i/>
        </w:rPr>
        <w:t>various abnormal laboratory results at baseline.”</w:t>
      </w:r>
    </w:p>
    <w:p w:rsidR="000D5B9E" w:rsidRDefault="000D5B9E" w:rsidP="006D1CDA">
      <w:pPr>
        <w:pStyle w:val="Heading7"/>
        <w:rPr>
          <w:rFonts w:eastAsia="TimesNewRoman"/>
        </w:rPr>
      </w:pPr>
      <w:r>
        <w:rPr>
          <w:rFonts w:eastAsia="TimesNewRoman"/>
        </w:rPr>
        <w:t>Pfizer’s response:</w:t>
      </w:r>
    </w:p>
    <w:p w:rsidR="000D5B9E" w:rsidRPr="006D1CDA" w:rsidRDefault="000D5B9E" w:rsidP="006D1CDA">
      <w:r w:rsidRPr="006D1CDA">
        <w:t>The safety-related exclusion criteria for the study were selected specifically for the protection</w:t>
      </w:r>
      <w:r w:rsidR="006D1CDA">
        <w:t xml:space="preserve"> </w:t>
      </w:r>
      <w:r w:rsidRPr="006D1CDA">
        <w:t>of the subject</w:t>
      </w:r>
      <w:r w:rsidR="006D1CDA">
        <w:t>’</w:t>
      </w:r>
      <w:r w:rsidRPr="006D1CDA">
        <w:t xml:space="preserve">s safety, based on known risks stated in the </w:t>
      </w:r>
      <w:proofErr w:type="spellStart"/>
      <w:r w:rsidRPr="006D1CDA">
        <w:t>etanercept</w:t>
      </w:r>
      <w:proofErr w:type="spellEnd"/>
      <w:r w:rsidRPr="006D1CDA">
        <w:t xml:space="preserve"> product labelling, as</w:t>
      </w:r>
      <w:r w:rsidR="006D1CDA">
        <w:t xml:space="preserve"> </w:t>
      </w:r>
      <w:r w:rsidRPr="006D1CDA">
        <w:t>well as good medical practice. Patients with an infection associated with hospitalisation</w:t>
      </w:r>
      <w:r w:rsidR="006D1CDA">
        <w:t xml:space="preserve"> </w:t>
      </w:r>
      <w:r w:rsidRPr="006D1CDA">
        <w:t>and/or parenteral antibiotics within 1 month before the baseline visit, were excluded from the</w:t>
      </w:r>
      <w:r w:rsidR="006D1CDA">
        <w:t xml:space="preserve"> </w:t>
      </w:r>
      <w:r w:rsidRPr="006D1CDA">
        <w:t xml:space="preserve">study. The </w:t>
      </w:r>
      <w:proofErr w:type="spellStart"/>
      <w:r w:rsidRPr="006D1CDA">
        <w:t>etanercept</w:t>
      </w:r>
      <w:proofErr w:type="spellEnd"/>
      <w:r w:rsidRPr="006D1CDA">
        <w:t xml:space="preserve"> product labelling states that treatment should not be initiated in</w:t>
      </w:r>
      <w:r w:rsidR="006D1CDA">
        <w:t xml:space="preserve"> </w:t>
      </w:r>
      <w:r w:rsidRPr="006D1CDA">
        <w:t>patients with active infections, including chronic or localised infections. This inclusion</w:t>
      </w:r>
      <w:r w:rsidR="006D1CDA">
        <w:t xml:space="preserve"> </w:t>
      </w:r>
      <w:r w:rsidRPr="006D1CDA">
        <w:t>criterion was included in consideration of the vulnerable populations enrolled in the study.</w:t>
      </w:r>
    </w:p>
    <w:p w:rsidR="000D5B9E" w:rsidRPr="006D1CDA" w:rsidRDefault="000D5B9E" w:rsidP="006D1CDA">
      <w:proofErr w:type="gramStart"/>
      <w:r w:rsidRPr="006D1CDA">
        <w:t>Patients</w:t>
      </w:r>
      <w:proofErr w:type="gramEnd"/>
      <w:r w:rsidRPr="006D1CDA">
        <w:t xml:space="preserve"> who had any of the laboratory abnormalities at screening, as listed in the exclusion</w:t>
      </w:r>
      <w:r w:rsidR="006D1CDA">
        <w:t xml:space="preserve"> </w:t>
      </w:r>
      <w:r w:rsidRPr="006D1CDA">
        <w:t>criteria of the study report, were excluded from the study to provide clearer distinction</w:t>
      </w:r>
      <w:r w:rsidR="006D1CDA">
        <w:t xml:space="preserve"> </w:t>
      </w:r>
      <w:r w:rsidRPr="006D1CDA">
        <w:t>between incident and prevalent reports of laboratory abnormalities in the study.</w:t>
      </w:r>
    </w:p>
    <w:p w:rsidR="000D5B9E" w:rsidRPr="006D1CDA" w:rsidRDefault="000D5B9E" w:rsidP="006D1CDA">
      <w:r w:rsidRPr="006D1CDA">
        <w:t>The Delegate has requested the following further information:</w:t>
      </w:r>
    </w:p>
    <w:p w:rsidR="000D5B9E" w:rsidRPr="006D1CDA" w:rsidRDefault="006D1CDA" w:rsidP="006D1CDA">
      <w:pPr>
        <w:ind w:left="720"/>
      </w:pPr>
      <w:r>
        <w:t>‘</w:t>
      </w:r>
      <w:r w:rsidR="000D5B9E" w:rsidRPr="006D1CDA">
        <w:t xml:space="preserve">Are any further studies being conducted in JIA using </w:t>
      </w:r>
      <w:proofErr w:type="spellStart"/>
      <w:r w:rsidR="000D5B9E" w:rsidRPr="006D1CDA">
        <w:t>etanercept</w:t>
      </w:r>
      <w:proofErr w:type="spellEnd"/>
      <w:r w:rsidR="000D5B9E" w:rsidRPr="006D1CDA">
        <w:t xml:space="preserve"> to provide further</w:t>
      </w:r>
      <w:r>
        <w:t xml:space="preserve"> </w:t>
      </w:r>
      <w:r w:rsidR="000D5B9E" w:rsidRPr="006D1CDA">
        <w:t>evidence of the efficacy and safety in the various JIA subtypes and patients aged</w:t>
      </w:r>
      <w:r>
        <w:t xml:space="preserve"> </w:t>
      </w:r>
      <w:r w:rsidR="000D5B9E" w:rsidRPr="006D1CDA">
        <w:t>2</w:t>
      </w:r>
      <w:r w:rsidR="002040F3" w:rsidRPr="006D1CDA">
        <w:t xml:space="preserve"> to </w:t>
      </w:r>
      <w:r>
        <w:t>4 years?’</w:t>
      </w:r>
    </w:p>
    <w:p w:rsidR="000D5B9E" w:rsidRDefault="000D5B9E" w:rsidP="006D1CDA">
      <w:pPr>
        <w:pStyle w:val="Heading7"/>
        <w:rPr>
          <w:rFonts w:eastAsia="TimesNewRoman"/>
        </w:rPr>
      </w:pPr>
      <w:r>
        <w:rPr>
          <w:rFonts w:eastAsia="TimesNewRoman"/>
        </w:rPr>
        <w:t>Pfizer’s response:</w:t>
      </w:r>
    </w:p>
    <w:p w:rsidR="006D1CDA" w:rsidRPr="006D1CDA" w:rsidRDefault="000D5B9E" w:rsidP="006D1CDA">
      <w:r w:rsidRPr="006D1CDA">
        <w:t xml:space="preserve">Pfizer is currently conducting </w:t>
      </w:r>
      <w:r w:rsidR="002040F3" w:rsidRPr="006D1CDA">
        <w:t>Study</w:t>
      </w:r>
      <w:r w:rsidRPr="006D1CDA">
        <w:t xml:space="preserve"> B1801023, which is an open</w:t>
      </w:r>
      <w:r w:rsidR="002040F3" w:rsidRPr="006D1CDA">
        <w:t xml:space="preserve"> </w:t>
      </w:r>
      <w:r w:rsidRPr="006D1CDA">
        <w:t>label, single treatment,</w:t>
      </w:r>
      <w:r w:rsidR="002F31F5">
        <w:t xml:space="preserve"> </w:t>
      </w:r>
      <w:r w:rsidRPr="006D1CDA">
        <w:t>multi</w:t>
      </w:r>
      <w:r w:rsidR="002040F3" w:rsidRPr="006D1CDA">
        <w:t xml:space="preserve"> </w:t>
      </w:r>
      <w:r w:rsidR="00904313" w:rsidRPr="006D1CDA">
        <w:t>centre</w:t>
      </w:r>
      <w:r w:rsidRPr="006D1CDA">
        <w:t>, 8</w:t>
      </w:r>
      <w:r w:rsidR="002040F3" w:rsidRPr="006D1CDA">
        <w:t xml:space="preserve"> </w:t>
      </w:r>
      <w:r w:rsidRPr="006D1CDA">
        <w:t xml:space="preserve">year extension study of </w:t>
      </w:r>
      <w:r w:rsidR="002040F3" w:rsidRPr="006D1CDA">
        <w:t>Study</w:t>
      </w:r>
      <w:r w:rsidRPr="006D1CDA">
        <w:t xml:space="preserve"> B1801014. Th</w:t>
      </w:r>
      <w:r w:rsidR="002F31F5">
        <w:t>is study consists of 3 periods:</w:t>
      </w:r>
    </w:p>
    <w:p w:rsidR="006D1CDA" w:rsidRDefault="000D5B9E" w:rsidP="006D1CDA">
      <w:pPr>
        <w:pStyle w:val="ListBullet"/>
      </w:pPr>
      <w:r w:rsidRPr="006D1CDA">
        <w:t>An Active Treatment Period in which subjects who completed 96 weeks of active treatment</w:t>
      </w:r>
      <w:r w:rsidR="006D1CDA" w:rsidRPr="006D1CDA">
        <w:t xml:space="preserve"> </w:t>
      </w:r>
      <w:r w:rsidRPr="006D1CDA">
        <w:t>with investigational product (</w:t>
      </w:r>
      <w:proofErr w:type="spellStart"/>
      <w:r w:rsidRPr="006D1CDA">
        <w:t>etanercept</w:t>
      </w:r>
      <w:proofErr w:type="spellEnd"/>
      <w:r w:rsidRPr="006D1CDA">
        <w:t xml:space="preserve">) in </w:t>
      </w:r>
      <w:r w:rsidR="002040F3" w:rsidRPr="006D1CDA">
        <w:t>Study</w:t>
      </w:r>
      <w:r w:rsidRPr="006D1CDA">
        <w:t xml:space="preserve"> B1801014 and are eligible, may continue</w:t>
      </w:r>
      <w:r w:rsidR="006D1CDA" w:rsidRPr="006D1CDA">
        <w:t xml:space="preserve"> </w:t>
      </w:r>
      <w:r w:rsidRPr="006D1CDA">
        <w:t xml:space="preserve">investigational product in </w:t>
      </w:r>
      <w:r w:rsidR="002040F3" w:rsidRPr="006D1CDA">
        <w:t>Study</w:t>
      </w:r>
      <w:r w:rsidRPr="006D1CDA">
        <w:t xml:space="preserve"> B180102</w:t>
      </w:r>
      <w:r w:rsidR="002F31F5">
        <w:t>3 for up to 8 additional years;</w:t>
      </w:r>
    </w:p>
    <w:p w:rsidR="006D1CDA" w:rsidRDefault="000D5B9E" w:rsidP="006D1CDA">
      <w:pPr>
        <w:pStyle w:val="ListBullet"/>
      </w:pPr>
      <w:r w:rsidRPr="006D1CDA">
        <w:t>A Withdrawal/Retreatment</w:t>
      </w:r>
      <w:r w:rsidR="006D1CDA">
        <w:t xml:space="preserve"> </w:t>
      </w:r>
      <w:r w:rsidRPr="006D1CDA">
        <w:t xml:space="preserve">Period for subjects who either completed 96 weeks of treatment in </w:t>
      </w:r>
      <w:r w:rsidR="002040F3" w:rsidRPr="006D1CDA">
        <w:t>Study</w:t>
      </w:r>
      <w:r w:rsidRPr="006D1CDA">
        <w:t xml:space="preserve"> B1801014</w:t>
      </w:r>
      <w:r w:rsidR="006D1CDA">
        <w:t xml:space="preserve"> </w:t>
      </w:r>
      <w:r w:rsidRPr="006D1CDA">
        <w:t xml:space="preserve">or were enrolled in the active treatment period of </w:t>
      </w:r>
      <w:r w:rsidR="002040F3" w:rsidRPr="006D1CDA">
        <w:t>Study</w:t>
      </w:r>
      <w:r w:rsidR="002F31F5">
        <w:t xml:space="preserve"> B1801023; and</w:t>
      </w:r>
    </w:p>
    <w:p w:rsidR="000D5B9E" w:rsidRPr="006D1CDA" w:rsidRDefault="000D5B9E" w:rsidP="006D1CDA">
      <w:pPr>
        <w:pStyle w:val="ListBullet"/>
      </w:pPr>
      <w:r w:rsidRPr="006D1CDA">
        <w:t>An Observational</w:t>
      </w:r>
      <w:r w:rsidR="006D1CDA">
        <w:t xml:space="preserve"> </w:t>
      </w:r>
      <w:r w:rsidRPr="006D1CDA">
        <w:t>Period in which all subjects, including those withdrawn from investigational product, are to</w:t>
      </w:r>
      <w:r w:rsidR="006D1CDA">
        <w:t xml:space="preserve"> </w:t>
      </w:r>
      <w:r w:rsidRPr="006D1CDA">
        <w:t>be followed for a total of 8 years from the time of initial entry into the study.</w:t>
      </w:r>
    </w:p>
    <w:p w:rsidR="000D5B9E" w:rsidRPr="006D1CDA" w:rsidRDefault="000D5B9E" w:rsidP="006D1CDA">
      <w:r w:rsidRPr="006D1CDA">
        <w:t xml:space="preserve">Therefore, there will be a total of up to 10 years of data collected between </w:t>
      </w:r>
      <w:r w:rsidR="002040F3" w:rsidRPr="006D1CDA">
        <w:t>Study</w:t>
      </w:r>
      <w:r w:rsidRPr="006D1CDA">
        <w:t xml:space="preserve"> B1801014</w:t>
      </w:r>
      <w:r w:rsidR="006D1CDA">
        <w:t xml:space="preserve"> </w:t>
      </w:r>
      <w:r w:rsidRPr="006D1CDA">
        <w:t xml:space="preserve">and </w:t>
      </w:r>
      <w:r w:rsidR="002040F3" w:rsidRPr="006D1CDA">
        <w:t>Study</w:t>
      </w:r>
      <w:r w:rsidRPr="006D1CDA">
        <w:t xml:space="preserve"> B1801023. Of the 15 subjects aged 2</w:t>
      </w:r>
      <w:r w:rsidR="002040F3" w:rsidRPr="006D1CDA">
        <w:t xml:space="preserve"> to </w:t>
      </w:r>
      <w:r w:rsidRPr="006D1CDA">
        <w:t xml:space="preserve">4 years with </w:t>
      </w:r>
      <w:proofErr w:type="spellStart"/>
      <w:r w:rsidRPr="006D1CDA">
        <w:t>eoJIA</w:t>
      </w:r>
      <w:proofErr w:type="spellEnd"/>
      <w:r w:rsidRPr="006D1CDA">
        <w:t xml:space="preserve"> enrolled in </w:t>
      </w:r>
      <w:r w:rsidR="002040F3" w:rsidRPr="006D1CDA">
        <w:t>Study</w:t>
      </w:r>
      <w:r w:rsidR="006D1CDA">
        <w:t xml:space="preserve"> </w:t>
      </w:r>
      <w:r w:rsidRPr="006D1CDA">
        <w:t xml:space="preserve">B1801014, 14 were enrolled into </w:t>
      </w:r>
      <w:r w:rsidR="002040F3" w:rsidRPr="006D1CDA">
        <w:t>Study</w:t>
      </w:r>
      <w:r w:rsidRPr="006D1CDA">
        <w:t xml:space="preserve"> B1801023. This currently includes 9 in the active</w:t>
      </w:r>
      <w:r w:rsidR="006D1CDA">
        <w:t xml:space="preserve"> </w:t>
      </w:r>
      <w:r w:rsidRPr="006D1CDA">
        <w:t>treatment period, 1 in the withdrawal period, and 4 in the observational period.</w:t>
      </w:r>
    </w:p>
    <w:p w:rsidR="000D5B9E" w:rsidRDefault="00561270" w:rsidP="006D1CDA">
      <w:pPr>
        <w:pStyle w:val="Heading5"/>
        <w:rPr>
          <w:rFonts w:eastAsiaTheme="minorHAnsi"/>
        </w:rPr>
      </w:pPr>
      <w:r>
        <w:rPr>
          <w:rFonts w:eastAsiaTheme="minorHAnsi"/>
        </w:rPr>
        <w:t>Conclusion</w:t>
      </w:r>
    </w:p>
    <w:p w:rsidR="000D5B9E" w:rsidRPr="006D1CDA" w:rsidRDefault="006D1CDA" w:rsidP="006D1CDA">
      <w:r>
        <w:t xml:space="preserve">In </w:t>
      </w:r>
      <w:r w:rsidR="00904313">
        <w:t>Pfizer’s</w:t>
      </w:r>
      <w:r>
        <w:t xml:space="preserve"> opinion, t</w:t>
      </w:r>
      <w:r w:rsidR="000D5B9E" w:rsidRPr="006D1CDA">
        <w:t>he data submitted by Pfizer demonstrate that Enbrel is effective in treating the additional</w:t>
      </w:r>
      <w:r>
        <w:t xml:space="preserve"> </w:t>
      </w:r>
      <w:r w:rsidR="000D5B9E" w:rsidRPr="006D1CDA">
        <w:t xml:space="preserve">subtypes of JIA, subject of this application, as well as in treating </w:t>
      </w:r>
      <w:proofErr w:type="spellStart"/>
      <w:r w:rsidR="000D5B9E" w:rsidRPr="006D1CDA">
        <w:t>polyarticular</w:t>
      </w:r>
      <w:proofErr w:type="spellEnd"/>
      <w:r w:rsidR="000D5B9E" w:rsidRPr="006D1CDA">
        <w:t xml:space="preserve"> JIA patients as</w:t>
      </w:r>
      <w:r>
        <w:t xml:space="preserve"> </w:t>
      </w:r>
      <w:r w:rsidR="000D5B9E" w:rsidRPr="006D1CDA">
        <w:t xml:space="preserve">young as 2 years of age. In addition, </w:t>
      </w:r>
      <w:r>
        <w:t xml:space="preserve">Pfizer believes </w:t>
      </w:r>
      <w:r w:rsidR="000D5B9E" w:rsidRPr="006D1CDA">
        <w:t>the safety profile in these patients has been shown to be</w:t>
      </w:r>
      <w:r>
        <w:t xml:space="preserve"> </w:t>
      </w:r>
      <w:r w:rsidR="000D5B9E" w:rsidRPr="006D1CDA">
        <w:t>consistent with that reported in older children, for which Enbrel is already indicated. Both</w:t>
      </w:r>
      <w:r>
        <w:t xml:space="preserve"> </w:t>
      </w:r>
      <w:r w:rsidR="000D5B9E" w:rsidRPr="006D1CDA">
        <w:t>the clinical evaluator and the Delegate are in support of approving these aspects of the</w:t>
      </w:r>
      <w:r>
        <w:t xml:space="preserve"> </w:t>
      </w:r>
      <w:r w:rsidR="000D5B9E" w:rsidRPr="006D1CDA">
        <w:t>application. Pfizer also agrees with the clinical evaluator and the Delegate, that Pfizer has</w:t>
      </w:r>
      <w:r>
        <w:t xml:space="preserve"> </w:t>
      </w:r>
      <w:r w:rsidR="000D5B9E" w:rsidRPr="006D1CDA">
        <w:t>provided sufficient data to support the safety and efficacy of a once</w:t>
      </w:r>
      <w:r w:rsidR="002040F3" w:rsidRPr="006D1CDA">
        <w:t xml:space="preserve"> </w:t>
      </w:r>
      <w:r w:rsidR="000D5B9E" w:rsidRPr="006D1CDA">
        <w:t>weekly dose regimen in</w:t>
      </w:r>
      <w:r>
        <w:t xml:space="preserve"> </w:t>
      </w:r>
      <w:r w:rsidR="000D5B9E" w:rsidRPr="006D1CDA">
        <w:t>treating patients with JIA.</w:t>
      </w:r>
    </w:p>
    <w:p w:rsidR="000D5B9E" w:rsidRPr="006D1CDA" w:rsidRDefault="000D5B9E" w:rsidP="006D1CDA">
      <w:r w:rsidRPr="006D1CDA">
        <w:t>Pfizer Australia looks forward to a favourable consideration of our application to:</w:t>
      </w:r>
    </w:p>
    <w:p w:rsidR="000D5B9E" w:rsidRPr="006D1CDA" w:rsidRDefault="000D5B9E" w:rsidP="006D1CDA">
      <w:pPr>
        <w:pStyle w:val="ListBullet"/>
      </w:pPr>
      <w:r w:rsidRPr="006D1CDA">
        <w:t>Extend the indication to include additional subtypes of JIA, such that the new JIA</w:t>
      </w:r>
      <w:r w:rsidR="006D1CDA">
        <w:t xml:space="preserve"> </w:t>
      </w:r>
      <w:r w:rsidRPr="006D1CDA">
        <w:t>indication would be:</w:t>
      </w:r>
    </w:p>
    <w:p w:rsidR="000D5B9E" w:rsidRPr="006D1CDA" w:rsidRDefault="000D5B9E" w:rsidP="006D1CDA">
      <w:pPr>
        <w:pStyle w:val="ListBullet2"/>
      </w:pPr>
      <w:r w:rsidRPr="006D1CDA">
        <w:t>Active polyarthritis (rheumatoid factor positive or negative) in children and</w:t>
      </w:r>
      <w:r w:rsidR="006D1CDA">
        <w:t xml:space="preserve"> </w:t>
      </w:r>
      <w:proofErr w:type="gramStart"/>
      <w:r w:rsidRPr="006D1CDA">
        <w:t>adolescents,</w:t>
      </w:r>
      <w:proofErr w:type="gramEnd"/>
      <w:r w:rsidRPr="006D1CDA">
        <w:t xml:space="preserve"> aged 2 to 17 years, who have had an inadequate response to one or more</w:t>
      </w:r>
      <w:r w:rsidR="006D1CDA">
        <w:t xml:space="preserve"> </w:t>
      </w:r>
      <w:r w:rsidRPr="006D1CDA">
        <w:t>DMARDs.</w:t>
      </w:r>
    </w:p>
    <w:p w:rsidR="000D5B9E" w:rsidRPr="006D1CDA" w:rsidRDefault="000D5B9E" w:rsidP="006D1CDA">
      <w:pPr>
        <w:pStyle w:val="ListBullet2"/>
      </w:pPr>
      <w:r w:rsidRPr="006D1CDA">
        <w:t xml:space="preserve">Active extended </w:t>
      </w:r>
      <w:proofErr w:type="spellStart"/>
      <w:r w:rsidRPr="006D1CDA">
        <w:t>oligoarthritis</w:t>
      </w:r>
      <w:proofErr w:type="spellEnd"/>
      <w:r w:rsidRPr="006D1CDA">
        <w:t xml:space="preserve"> in children and adolescents, aged 2 to 17 years, who</w:t>
      </w:r>
      <w:r w:rsidR="006D1CDA">
        <w:t xml:space="preserve"> </w:t>
      </w:r>
      <w:r w:rsidRPr="006D1CDA">
        <w:t>have had an inadequate response to, or who have proved intolerant to, methotrexate.</w:t>
      </w:r>
    </w:p>
    <w:p w:rsidR="006D1CDA" w:rsidRDefault="000D5B9E" w:rsidP="006D1CDA">
      <w:pPr>
        <w:pStyle w:val="ListBullet2"/>
      </w:pPr>
      <w:r w:rsidRPr="006D1CDA">
        <w:t xml:space="preserve">Active </w:t>
      </w:r>
      <w:proofErr w:type="spellStart"/>
      <w:r w:rsidRPr="006D1CDA">
        <w:t>enthesitis</w:t>
      </w:r>
      <w:proofErr w:type="spellEnd"/>
      <w:r w:rsidR="002040F3" w:rsidRPr="006D1CDA">
        <w:t xml:space="preserve"> </w:t>
      </w:r>
      <w:r w:rsidRPr="006D1CDA">
        <w:t>related arthritis in adolescents, aged 12 to 17 years, who have had an</w:t>
      </w:r>
      <w:r w:rsidR="006D1CDA">
        <w:t xml:space="preserve"> </w:t>
      </w:r>
      <w:r w:rsidRPr="006D1CDA">
        <w:t>inadequate response to, or who have proved intol</w:t>
      </w:r>
      <w:r w:rsidR="002F31F5">
        <w:t>erant to, conventional therapy.</w:t>
      </w:r>
    </w:p>
    <w:p w:rsidR="000D5B9E" w:rsidRPr="006D1CDA" w:rsidRDefault="000D5B9E" w:rsidP="006D1CDA">
      <w:pPr>
        <w:pStyle w:val="ListBullet2"/>
      </w:pPr>
      <w:r w:rsidRPr="006D1CDA">
        <w:t>Active psoriatic arthritis in adolescents, aged 12 to 17 years, who have had an</w:t>
      </w:r>
      <w:r w:rsidR="006D1CDA">
        <w:t xml:space="preserve"> </w:t>
      </w:r>
      <w:r w:rsidRPr="006D1CDA">
        <w:t>inadequate response to, or who have proved intolerant to, methotrexate.</w:t>
      </w:r>
    </w:p>
    <w:p w:rsidR="000D5B9E" w:rsidRPr="006D1CDA" w:rsidRDefault="001F68DB" w:rsidP="006D1CDA">
      <w:r w:rsidRPr="006D1CDA">
        <w:t>Enbrel</w:t>
      </w:r>
      <w:r w:rsidR="000D5B9E" w:rsidRPr="006D1CDA">
        <w:t xml:space="preserve"> has not been studied in children aged less than 2 years.</w:t>
      </w:r>
    </w:p>
    <w:p w:rsidR="000D5B9E" w:rsidRPr="006D1CDA" w:rsidRDefault="000D5B9E" w:rsidP="006D1CDA">
      <w:pPr>
        <w:pStyle w:val="ListBullet"/>
      </w:pPr>
      <w:r w:rsidRPr="006D1CDA">
        <w:t>Add once</w:t>
      </w:r>
      <w:r w:rsidR="002040F3" w:rsidRPr="006D1CDA">
        <w:t xml:space="preserve"> </w:t>
      </w:r>
      <w:r w:rsidRPr="006D1CDA">
        <w:t>weekly dosing as an alternative dose regimen (0.8 mg/kg up to a maximum of</w:t>
      </w:r>
      <w:r w:rsidR="006D1CDA">
        <w:t xml:space="preserve"> </w:t>
      </w:r>
      <w:r w:rsidRPr="006D1CDA">
        <w:t>50 mg, given once</w:t>
      </w:r>
      <w:r w:rsidR="002040F3" w:rsidRPr="006D1CDA">
        <w:t xml:space="preserve"> </w:t>
      </w:r>
      <w:r w:rsidRPr="006D1CDA">
        <w:t>weekly) for JIA patients</w:t>
      </w:r>
    </w:p>
    <w:p w:rsidR="000D5B9E" w:rsidRPr="006D1CDA" w:rsidRDefault="000D5B9E" w:rsidP="006D1CDA">
      <w:pPr>
        <w:pStyle w:val="ListBullet"/>
      </w:pPr>
      <w:r w:rsidRPr="006D1CDA">
        <w:t xml:space="preserve">Lower the approved age limit for </w:t>
      </w:r>
      <w:proofErr w:type="spellStart"/>
      <w:r w:rsidRPr="006D1CDA">
        <w:t>polyarticular</w:t>
      </w:r>
      <w:proofErr w:type="spellEnd"/>
      <w:r w:rsidR="002040F3" w:rsidRPr="006D1CDA">
        <w:t xml:space="preserve"> </w:t>
      </w:r>
      <w:r w:rsidRPr="006D1CDA">
        <w:t>course JIA to 2 years of age.</w:t>
      </w:r>
    </w:p>
    <w:p w:rsidR="008E7846" w:rsidRDefault="002F31F5" w:rsidP="008E7846">
      <w:pPr>
        <w:pStyle w:val="Heading4"/>
      </w:pPr>
      <w:r>
        <w:t>Advisory c</w:t>
      </w:r>
      <w:r w:rsidR="008E7846">
        <w:t xml:space="preserve">ommittee </w:t>
      </w:r>
      <w:r>
        <w:t>c</w:t>
      </w:r>
      <w:r w:rsidR="008E7846">
        <w:t>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0D5B9E" w:rsidRPr="00236D22" w:rsidRDefault="000D5B9E" w:rsidP="000D5B9E">
      <w:pPr>
        <w:spacing w:after="240"/>
        <w:rPr>
          <w:rFonts w:cs="Calibri"/>
          <w:bCs/>
        </w:rPr>
      </w:pPr>
      <w:r w:rsidRPr="00236D22">
        <w:rPr>
          <w:rFonts w:cs="Calibri"/>
          <w:bCs/>
        </w:rPr>
        <w:t>The</w:t>
      </w:r>
      <w:r>
        <w:rPr>
          <w:rFonts w:cs="Calibri"/>
          <w:bCs/>
        </w:rPr>
        <w:t xml:space="preserve"> submission seeks to register an e</w:t>
      </w:r>
      <w:r w:rsidRPr="00236D22">
        <w:rPr>
          <w:rFonts w:cs="Calibri"/>
          <w:bCs/>
        </w:rPr>
        <w:t xml:space="preserve">xtension of indications </w:t>
      </w:r>
      <w:r w:rsidRPr="00CE1264">
        <w:rPr>
          <w:rFonts w:cs="Calibri"/>
          <w:bCs/>
        </w:rPr>
        <w:t>for a currently registered product.</w:t>
      </w:r>
    </w:p>
    <w:p w:rsidR="000D5B9E" w:rsidRPr="00236D22" w:rsidRDefault="000D5B9E" w:rsidP="000D5B9E">
      <w:pPr>
        <w:rPr>
          <w:rFonts w:cs="Calibri"/>
          <w:b/>
          <w:color w:val="000000" w:themeColor="text1"/>
        </w:rPr>
      </w:pPr>
      <w:r w:rsidRPr="00236D22">
        <w:rPr>
          <w:rFonts w:cs="Calibri"/>
          <w:color w:val="000000" w:themeColor="text1"/>
        </w:rPr>
        <w:t xml:space="preserve">The ACPM, taking into account the submitted evidence of efficacy, safety and quality, agreed with the </w:t>
      </w:r>
      <w:r w:rsidR="001F68DB">
        <w:rPr>
          <w:rFonts w:cs="Calibri"/>
          <w:color w:val="000000" w:themeColor="text1"/>
        </w:rPr>
        <w:t>Delegate</w:t>
      </w:r>
      <w:r w:rsidRPr="00236D22">
        <w:rPr>
          <w:rFonts w:cs="Calibri"/>
          <w:color w:val="000000" w:themeColor="text1"/>
        </w:rPr>
        <w:t xml:space="preserve"> and considered </w:t>
      </w:r>
      <w:r w:rsidR="001F68DB">
        <w:rPr>
          <w:bCs/>
        </w:rPr>
        <w:t>Enbrel</w:t>
      </w:r>
      <w:r w:rsidRPr="00236D22">
        <w:t xml:space="preserve"> </w:t>
      </w:r>
      <w:r w:rsidRPr="00236D22">
        <w:rPr>
          <w:bCs/>
        </w:rPr>
        <w:t xml:space="preserve">powders for injection 25 mg and 50 mg containing </w:t>
      </w:r>
      <w:proofErr w:type="spellStart"/>
      <w:r>
        <w:rPr>
          <w:bCs/>
        </w:rPr>
        <w:t>e</w:t>
      </w:r>
      <w:r w:rsidRPr="00236D22">
        <w:rPr>
          <w:bCs/>
        </w:rPr>
        <w:t>tanercept</w:t>
      </w:r>
      <w:proofErr w:type="spellEnd"/>
      <w:r w:rsidRPr="00236D22">
        <w:rPr>
          <w:bCs/>
        </w:rPr>
        <w:t xml:space="preserve"> (</w:t>
      </w:r>
      <w:proofErr w:type="spellStart"/>
      <w:r w:rsidRPr="00236D22">
        <w:rPr>
          <w:bCs/>
        </w:rPr>
        <w:t>rch</w:t>
      </w:r>
      <w:proofErr w:type="spellEnd"/>
      <w:r w:rsidRPr="00236D22">
        <w:rPr>
          <w:bCs/>
        </w:rPr>
        <w:t>)</w:t>
      </w:r>
      <w:r>
        <w:rPr>
          <w:bCs/>
        </w:rPr>
        <w:t xml:space="preserve"> </w:t>
      </w:r>
      <w:r w:rsidRPr="00236D22">
        <w:rPr>
          <w:bCs/>
        </w:rPr>
        <w:t>and</w:t>
      </w:r>
      <w:r>
        <w:rPr>
          <w:bCs/>
        </w:rPr>
        <w:t xml:space="preserve"> </w:t>
      </w:r>
      <w:r w:rsidRPr="00236D22">
        <w:rPr>
          <w:bCs/>
        </w:rPr>
        <w:t xml:space="preserve">50 mg solution for injection containing </w:t>
      </w:r>
      <w:proofErr w:type="spellStart"/>
      <w:r>
        <w:rPr>
          <w:bCs/>
        </w:rPr>
        <w:t>e</w:t>
      </w:r>
      <w:r w:rsidRPr="00236D22">
        <w:rPr>
          <w:bCs/>
        </w:rPr>
        <w:t>tanercept</w:t>
      </w:r>
      <w:proofErr w:type="spellEnd"/>
      <w:r w:rsidRPr="00236D22">
        <w:rPr>
          <w:bCs/>
        </w:rPr>
        <w:t xml:space="preserve"> (</w:t>
      </w:r>
      <w:proofErr w:type="spellStart"/>
      <w:r w:rsidRPr="00236D22">
        <w:rPr>
          <w:bCs/>
        </w:rPr>
        <w:t>rch</w:t>
      </w:r>
      <w:proofErr w:type="spellEnd"/>
      <w:r w:rsidRPr="00236D22">
        <w:rPr>
          <w:bCs/>
        </w:rPr>
        <w:t>)</w:t>
      </w:r>
      <w:r w:rsidRPr="00236D22">
        <w:rPr>
          <w:b/>
          <w:bCs/>
        </w:rPr>
        <w:t xml:space="preserve"> </w:t>
      </w:r>
      <w:r w:rsidRPr="00236D22">
        <w:rPr>
          <w:rFonts w:cs="Calibri"/>
          <w:color w:val="000000" w:themeColor="text1"/>
        </w:rPr>
        <w:t>to have an overall positive benefit–risk profile for the indication</w:t>
      </w:r>
      <w:r w:rsidR="002F31F5">
        <w:rPr>
          <w:rFonts w:cs="Calibri"/>
          <w:b/>
          <w:color w:val="000000" w:themeColor="text1"/>
        </w:rPr>
        <w:t>;</w:t>
      </w:r>
    </w:p>
    <w:p w:rsidR="000D5B9E" w:rsidRPr="00B52EED" w:rsidRDefault="000D5B9E" w:rsidP="000D5B9E">
      <w:pPr>
        <w:spacing w:after="60"/>
        <w:ind w:left="567"/>
        <w:rPr>
          <w:rFonts w:cs="Arial"/>
          <w:bCs/>
          <w:i/>
          <w:iCs/>
        </w:rPr>
      </w:pPr>
      <w:r w:rsidRPr="00B52EED">
        <w:rPr>
          <w:rFonts w:cs="Arial"/>
          <w:bCs/>
          <w:i/>
          <w:iCs/>
        </w:rPr>
        <w:t>Juvenile Idiopathic Arthritis</w:t>
      </w:r>
    </w:p>
    <w:p w:rsidR="000D5B9E" w:rsidRPr="00B52EED" w:rsidRDefault="000D5B9E" w:rsidP="002F31F5">
      <w:pPr>
        <w:pStyle w:val="ListBullet"/>
        <w:ind w:left="993"/>
        <w:rPr>
          <w:i/>
        </w:rPr>
      </w:pPr>
      <w:r w:rsidRPr="00B52EED">
        <w:rPr>
          <w:i/>
        </w:rPr>
        <w:t xml:space="preserve">Active polyarthritis (rheumatoid factor positive or negative) in children and </w:t>
      </w:r>
      <w:proofErr w:type="gramStart"/>
      <w:r w:rsidRPr="00B52EED">
        <w:rPr>
          <w:i/>
        </w:rPr>
        <w:t>adolescents,</w:t>
      </w:r>
      <w:proofErr w:type="gramEnd"/>
      <w:r w:rsidRPr="00B52EED">
        <w:rPr>
          <w:i/>
        </w:rPr>
        <w:t xml:space="preserve"> aged 2 to 17 years of age, who have had an inadequate response to one or more DMARDs.</w:t>
      </w:r>
    </w:p>
    <w:p w:rsidR="000D5B9E" w:rsidRPr="00B52EED" w:rsidRDefault="000D5B9E" w:rsidP="002F31F5">
      <w:pPr>
        <w:pStyle w:val="ListBullet"/>
        <w:ind w:left="993"/>
        <w:rPr>
          <w:i/>
        </w:rPr>
      </w:pPr>
      <w:r w:rsidRPr="00B52EED">
        <w:rPr>
          <w:i/>
        </w:rPr>
        <w:t xml:space="preserve">Active extended </w:t>
      </w:r>
      <w:proofErr w:type="spellStart"/>
      <w:r w:rsidRPr="00B52EED">
        <w:rPr>
          <w:i/>
        </w:rPr>
        <w:t>oligoarthritis</w:t>
      </w:r>
      <w:proofErr w:type="spellEnd"/>
      <w:r w:rsidRPr="00B52EED">
        <w:rPr>
          <w:i/>
        </w:rPr>
        <w:t xml:space="preserve"> in children and adolescents, aged 2 to 17 years of age, who have had an inadequate response to, or proved intolerant to, methotrexate.</w:t>
      </w:r>
    </w:p>
    <w:p w:rsidR="000D5B9E" w:rsidRPr="00B52EED" w:rsidRDefault="000D5B9E" w:rsidP="002F31F5">
      <w:pPr>
        <w:pStyle w:val="ListBullet"/>
        <w:ind w:left="993"/>
        <w:rPr>
          <w:i/>
        </w:rPr>
      </w:pPr>
      <w:r w:rsidRPr="00B52EED">
        <w:rPr>
          <w:i/>
        </w:rPr>
        <w:t xml:space="preserve">Active </w:t>
      </w:r>
      <w:proofErr w:type="spellStart"/>
      <w:r w:rsidRPr="00B52EED">
        <w:rPr>
          <w:i/>
        </w:rPr>
        <w:t>enthesitis</w:t>
      </w:r>
      <w:proofErr w:type="spellEnd"/>
      <w:r w:rsidR="002040F3" w:rsidRPr="00B52EED">
        <w:rPr>
          <w:i/>
        </w:rPr>
        <w:t xml:space="preserve"> </w:t>
      </w:r>
      <w:r w:rsidRPr="00B52EED">
        <w:rPr>
          <w:i/>
        </w:rPr>
        <w:t>related arthritis in adolescents aged 12 to 17 years, who have had an inadequate response to, or proved intolerant to, conventional therapy.</w:t>
      </w:r>
    </w:p>
    <w:p w:rsidR="000D5B9E" w:rsidRPr="00B52EED" w:rsidRDefault="000D5B9E" w:rsidP="002F31F5">
      <w:pPr>
        <w:pStyle w:val="ListBullet"/>
        <w:ind w:left="993"/>
        <w:rPr>
          <w:i/>
        </w:rPr>
      </w:pPr>
      <w:r w:rsidRPr="00B52EED">
        <w:rPr>
          <w:i/>
        </w:rPr>
        <w:t>Active psoriatic arthritis in adolescents aged 12 to 17 years, who have had an inadequate response to, or proved intolerant to, methotrexate.</w:t>
      </w:r>
    </w:p>
    <w:p w:rsidR="000D5B9E" w:rsidRPr="000F6635" w:rsidRDefault="001F68DB" w:rsidP="000D5B9E">
      <w:pPr>
        <w:spacing w:after="240"/>
        <w:ind w:left="567"/>
        <w:rPr>
          <w:rFonts w:cs="Arial"/>
          <w:bCs/>
          <w:i/>
          <w:iCs/>
        </w:rPr>
      </w:pPr>
      <w:r>
        <w:rPr>
          <w:rFonts w:cs="Arial"/>
          <w:bCs/>
          <w:i/>
          <w:iCs/>
        </w:rPr>
        <w:t>Enbrel</w:t>
      </w:r>
      <w:r w:rsidR="000D5B9E" w:rsidRPr="000F6635">
        <w:rPr>
          <w:rFonts w:cs="Arial"/>
          <w:bCs/>
          <w:i/>
          <w:iCs/>
        </w:rPr>
        <w:t xml:space="preserve"> has not been studied in children less than 2 years.</w:t>
      </w:r>
    </w:p>
    <w:p w:rsidR="000D5B9E" w:rsidRPr="00236D22" w:rsidRDefault="000D5B9E" w:rsidP="000D5B9E">
      <w:pPr>
        <w:spacing w:before="0"/>
        <w:rPr>
          <w:bCs/>
          <w:iCs/>
        </w:rPr>
      </w:pPr>
      <w:r w:rsidRPr="00236D22">
        <w:rPr>
          <w:bCs/>
          <w:iCs/>
        </w:rPr>
        <w:t>In maki</w:t>
      </w:r>
      <w:r w:rsidR="002F31F5">
        <w:rPr>
          <w:bCs/>
          <w:iCs/>
        </w:rPr>
        <w:t>ng this recommendation the ACPM</w:t>
      </w:r>
    </w:p>
    <w:p w:rsidR="000D5B9E" w:rsidRPr="00236D22" w:rsidRDefault="00904313" w:rsidP="00B52EED">
      <w:pPr>
        <w:pStyle w:val="ListBullet"/>
        <w:rPr>
          <w:lang w:val="en-GB"/>
        </w:rPr>
      </w:pPr>
      <w:r w:rsidRPr="00236D22">
        <w:rPr>
          <w:lang w:val="en-GB"/>
        </w:rPr>
        <w:t>Noted</w:t>
      </w:r>
      <w:r w:rsidR="000D5B9E" w:rsidRPr="00236D22">
        <w:rPr>
          <w:lang w:val="en-GB"/>
        </w:rPr>
        <w:t xml:space="preserve"> </w:t>
      </w:r>
      <w:r w:rsidR="000D5B9E">
        <w:rPr>
          <w:lang w:val="en-GB"/>
        </w:rPr>
        <w:t>the relatively small numbers of children in the relevant age groups in the trials</w:t>
      </w:r>
      <w:r w:rsidR="000D5B9E" w:rsidRPr="00794D64">
        <w:rPr>
          <w:lang w:val="en-GB"/>
        </w:rPr>
        <w:t xml:space="preserve"> </w:t>
      </w:r>
      <w:r w:rsidR="000D5B9E">
        <w:rPr>
          <w:lang w:val="en-GB"/>
        </w:rPr>
        <w:t>particularly noted the limited data in 2</w:t>
      </w:r>
      <w:r w:rsidR="002040F3">
        <w:rPr>
          <w:lang w:val="en-GB"/>
        </w:rPr>
        <w:t xml:space="preserve"> to </w:t>
      </w:r>
      <w:r w:rsidR="000D5B9E">
        <w:rPr>
          <w:lang w:val="en-GB"/>
        </w:rPr>
        <w:t>4 year olds</w:t>
      </w:r>
      <w:r w:rsidR="00B52EED">
        <w:rPr>
          <w:lang w:val="en-GB"/>
        </w:rPr>
        <w:t>.</w:t>
      </w:r>
    </w:p>
    <w:p w:rsidR="000D5B9E" w:rsidRDefault="00904313" w:rsidP="00B52EED">
      <w:pPr>
        <w:pStyle w:val="ListBullet"/>
        <w:rPr>
          <w:lang w:val="en-GB"/>
        </w:rPr>
      </w:pPr>
      <w:r w:rsidRPr="00CC54CC">
        <w:rPr>
          <w:lang w:val="en-GB"/>
        </w:rPr>
        <w:t>Expressed</w:t>
      </w:r>
      <w:r w:rsidR="000D5B9E" w:rsidRPr="00CC54CC">
        <w:rPr>
          <w:lang w:val="en-GB"/>
        </w:rPr>
        <w:t xml:space="preserve"> some concern the extensive exclusion criteria, which may bias safety observations</w:t>
      </w:r>
      <w:r w:rsidR="000D5B9E" w:rsidRPr="00794D64">
        <w:rPr>
          <w:lang w:val="en-GB"/>
        </w:rPr>
        <w:t>.</w:t>
      </w:r>
    </w:p>
    <w:p w:rsidR="000D5B9E" w:rsidRPr="00191FF3" w:rsidRDefault="002F31F5" w:rsidP="00B52EED">
      <w:pPr>
        <w:pStyle w:val="Heading5"/>
        <w:rPr>
          <w:lang w:val="en-GB"/>
        </w:rPr>
      </w:pPr>
      <w:r>
        <w:rPr>
          <w:lang w:val="en-GB"/>
        </w:rPr>
        <w:t>Specific a</w:t>
      </w:r>
      <w:r w:rsidR="000D5B9E" w:rsidRPr="00191FF3">
        <w:rPr>
          <w:lang w:val="en-GB"/>
        </w:rPr>
        <w:t>dvice:</w:t>
      </w:r>
    </w:p>
    <w:p w:rsidR="000D5B9E" w:rsidRPr="00236D22" w:rsidRDefault="000D5B9E" w:rsidP="000D5B9E">
      <w:pPr>
        <w:adjustRightInd w:val="0"/>
        <w:snapToGrid w:val="0"/>
        <w:spacing w:before="0"/>
        <w:rPr>
          <w:rFonts w:eastAsia="MS Mincho"/>
          <w:bCs/>
          <w:iCs/>
          <w:szCs w:val="20"/>
          <w:lang w:eastAsia="ja-JP"/>
        </w:rPr>
      </w:pPr>
      <w:r w:rsidRPr="00236D22">
        <w:rPr>
          <w:rFonts w:eastAsia="MS Mincho"/>
          <w:bCs/>
          <w:iCs/>
          <w:szCs w:val="20"/>
          <w:lang w:eastAsia="ja-JP"/>
        </w:rPr>
        <w:t>The ACPM provided the following specifically requested advice:</w:t>
      </w:r>
    </w:p>
    <w:p w:rsidR="000D5B9E" w:rsidRPr="00B52EED" w:rsidRDefault="000D5B9E" w:rsidP="00561270">
      <w:pPr>
        <w:pStyle w:val="ListBullet"/>
        <w:rPr>
          <w:lang w:val="en-GB"/>
        </w:rPr>
      </w:pPr>
      <w:r w:rsidRPr="00B52EED">
        <w:rPr>
          <w:lang w:val="en-GB"/>
        </w:rPr>
        <w:t>Does the open</w:t>
      </w:r>
      <w:r w:rsidR="002040F3" w:rsidRPr="00B52EED">
        <w:rPr>
          <w:lang w:val="en-GB"/>
        </w:rPr>
        <w:t xml:space="preserve"> </w:t>
      </w:r>
      <w:r w:rsidRPr="00B52EED">
        <w:rPr>
          <w:lang w:val="en-GB"/>
        </w:rPr>
        <w:t>label pivotal study and use of historical controls provide sufficient and reliable safety and efficacy data, particularly in children aged 2</w:t>
      </w:r>
      <w:r w:rsidR="002040F3" w:rsidRPr="00B52EED">
        <w:rPr>
          <w:lang w:val="en-GB"/>
        </w:rPr>
        <w:t xml:space="preserve"> to </w:t>
      </w:r>
      <w:r w:rsidRPr="00B52EED">
        <w:rPr>
          <w:lang w:val="en-GB"/>
        </w:rPr>
        <w:t>4 years to support the proposed indication?</w:t>
      </w:r>
    </w:p>
    <w:p w:rsidR="000D5B9E" w:rsidRDefault="000D5B9E" w:rsidP="000D5B9E">
      <w:r>
        <w:t xml:space="preserve">The ACPM advised that the data submitted was not adequate to support the extension of indication by itself. The pivotal trial, </w:t>
      </w:r>
      <w:r w:rsidR="002040F3">
        <w:t>Study</w:t>
      </w:r>
      <w:r w:rsidRPr="000F6635">
        <w:t xml:space="preserve"> 0881A1-3338, was a 96</w:t>
      </w:r>
      <w:r w:rsidR="002040F3">
        <w:t xml:space="preserve"> </w:t>
      </w:r>
      <w:r w:rsidRPr="000F6635">
        <w:t>week 2</w:t>
      </w:r>
      <w:r w:rsidR="002040F3">
        <w:t xml:space="preserve"> </w:t>
      </w:r>
      <w:r w:rsidRPr="000F6635">
        <w:t>part, open</w:t>
      </w:r>
      <w:r w:rsidR="002040F3">
        <w:t xml:space="preserve"> </w:t>
      </w:r>
      <w:r w:rsidRPr="000F6635">
        <w:t xml:space="preserve">label, historical control, </w:t>
      </w:r>
      <w:r w:rsidR="002040F3">
        <w:t>Phase</w:t>
      </w:r>
      <w:r w:rsidRPr="000F6635">
        <w:t xml:space="preserve"> III study</w:t>
      </w:r>
      <w:r w:rsidR="002F31F5">
        <w:t xml:space="preserve"> and showed;</w:t>
      </w:r>
    </w:p>
    <w:p w:rsidR="000D5B9E" w:rsidRPr="00794D64" w:rsidRDefault="00B52EED" w:rsidP="00B52EED">
      <w:pPr>
        <w:pStyle w:val="ListBullet"/>
      </w:pPr>
      <w:r>
        <w:t>C</w:t>
      </w:r>
      <w:r w:rsidR="000D5B9E" w:rsidRPr="00794D64">
        <w:t xml:space="preserve">ompared to historical controls </w:t>
      </w:r>
      <w:proofErr w:type="spellStart"/>
      <w:r w:rsidR="000D5B9E">
        <w:rPr>
          <w:bCs/>
          <w:lang w:val="en-GB"/>
        </w:rPr>
        <w:t>e</w:t>
      </w:r>
      <w:r w:rsidR="000D5B9E" w:rsidRPr="00236D22">
        <w:rPr>
          <w:bCs/>
          <w:lang w:val="en-GB"/>
        </w:rPr>
        <w:t>tanercept</w:t>
      </w:r>
      <w:proofErr w:type="spellEnd"/>
      <w:r w:rsidR="000D5B9E" w:rsidRPr="00236D22">
        <w:rPr>
          <w:bCs/>
          <w:lang w:val="en-GB"/>
        </w:rPr>
        <w:t xml:space="preserve"> </w:t>
      </w:r>
      <w:r w:rsidR="002F31F5">
        <w:t>was superior to placebo.</w:t>
      </w:r>
    </w:p>
    <w:p w:rsidR="000D5B9E" w:rsidRDefault="00B52EED" w:rsidP="00B52EED">
      <w:pPr>
        <w:pStyle w:val="ListBullet"/>
      </w:pPr>
      <w:r>
        <w:rPr>
          <w:bCs/>
        </w:rPr>
        <w:t>I</w:t>
      </w:r>
      <w:r w:rsidR="000D5B9E" w:rsidRPr="00794D64">
        <w:rPr>
          <w:bCs/>
        </w:rPr>
        <w:t>n Part II of the study</w:t>
      </w:r>
      <w:r w:rsidR="000D5B9E">
        <w:t>, which continued up to 96 weeks, responses were maintained or improved in the 3 JIA group</w:t>
      </w:r>
      <w:r w:rsidR="002F31F5">
        <w:t>s compared to the 12 week data.</w:t>
      </w:r>
    </w:p>
    <w:p w:rsidR="000D5B9E" w:rsidRDefault="000D5B9E" w:rsidP="000D5B9E">
      <w:pPr>
        <w:spacing w:after="240"/>
        <w:ind w:left="284"/>
      </w:pPr>
      <w:r>
        <w:t>However;</w:t>
      </w:r>
    </w:p>
    <w:p w:rsidR="000D5B9E" w:rsidRDefault="00B52EED" w:rsidP="00B52EED">
      <w:pPr>
        <w:pStyle w:val="ListBullet"/>
      </w:pPr>
      <w:r>
        <w:t>T</w:t>
      </w:r>
      <w:r w:rsidR="000D5B9E" w:rsidRPr="000F6635">
        <w:t xml:space="preserve">he overall study design is not consistent with the </w:t>
      </w:r>
      <w:r w:rsidR="000D5B9E">
        <w:t xml:space="preserve">relevant </w:t>
      </w:r>
      <w:r w:rsidR="000D5B9E" w:rsidRPr="000F6635">
        <w:t>TGA adopted EU guideline</w:t>
      </w:r>
      <w:r w:rsidR="000D5B9E">
        <w:t>s.</w:t>
      </w:r>
    </w:p>
    <w:p w:rsidR="000D5B9E" w:rsidRDefault="000D5B9E" w:rsidP="00B52EED">
      <w:pPr>
        <w:pStyle w:val="ListBullet"/>
      </w:pPr>
      <w:r>
        <w:t>The subject numbers were small</w:t>
      </w:r>
      <w:r w:rsidR="00B52EED">
        <w:t>.</w:t>
      </w:r>
    </w:p>
    <w:p w:rsidR="000D5B9E" w:rsidRPr="00794D64" w:rsidRDefault="00B52EED" w:rsidP="00B52EED">
      <w:pPr>
        <w:pStyle w:val="ListBullet"/>
      </w:pPr>
      <w:r>
        <w:t>A</w:t>
      </w:r>
      <w:r w:rsidR="000D5B9E">
        <w:t>s 11% of the children did not complete the 96 weeks, the tru</w:t>
      </w:r>
      <w:r w:rsidR="002F31F5">
        <w:t>e response rates will be lower.</w:t>
      </w:r>
    </w:p>
    <w:p w:rsidR="000D5B9E" w:rsidRPr="00B52EED" w:rsidRDefault="000D5B9E" w:rsidP="00561270">
      <w:pPr>
        <w:pStyle w:val="ListBullet"/>
        <w:rPr>
          <w:lang w:val="en-GB"/>
        </w:rPr>
      </w:pPr>
      <w:r w:rsidRPr="00B52EED">
        <w:rPr>
          <w:lang w:val="en-GB"/>
        </w:rPr>
        <w:t xml:space="preserve">Is it reasonable to extrapolate safety and efficacy data in other subtypes of JIA to support the limited results in </w:t>
      </w:r>
      <w:proofErr w:type="spellStart"/>
      <w:r w:rsidRPr="00B52EED">
        <w:rPr>
          <w:lang w:val="en-GB"/>
        </w:rPr>
        <w:t>eoJIA</w:t>
      </w:r>
      <w:proofErr w:type="spellEnd"/>
      <w:r w:rsidRPr="00B52EED">
        <w:rPr>
          <w:lang w:val="en-GB"/>
        </w:rPr>
        <w:t xml:space="preserve">, ERA, and </w:t>
      </w:r>
      <w:proofErr w:type="spellStart"/>
      <w:r w:rsidRPr="00B52EED">
        <w:rPr>
          <w:lang w:val="en-GB"/>
        </w:rPr>
        <w:t>PsA</w:t>
      </w:r>
      <w:proofErr w:type="spellEnd"/>
      <w:r w:rsidRPr="00B52EED">
        <w:rPr>
          <w:lang w:val="en-GB"/>
        </w:rPr>
        <w:t>?</w:t>
      </w:r>
    </w:p>
    <w:p w:rsidR="000D5B9E" w:rsidRDefault="000D5B9E" w:rsidP="000D5B9E">
      <w:pPr>
        <w:spacing w:after="240"/>
        <w:rPr>
          <w:bCs/>
          <w:iCs/>
        </w:rPr>
      </w:pPr>
      <w:r>
        <w:rPr>
          <w:bCs/>
          <w:iCs/>
        </w:rPr>
        <w:t>The ACPM advised that extrapolation is reasonable.</w:t>
      </w:r>
      <w:r w:rsidRPr="00CE1264">
        <w:rPr>
          <w:bCs/>
          <w:iCs/>
        </w:rPr>
        <w:t xml:space="preserve"> </w:t>
      </w:r>
      <w:r>
        <w:rPr>
          <w:bCs/>
          <w:iCs/>
        </w:rPr>
        <w:t>T</w:t>
      </w:r>
      <w:r w:rsidRPr="00CE1264">
        <w:rPr>
          <w:bCs/>
          <w:iCs/>
        </w:rPr>
        <w:t xml:space="preserve">he </w:t>
      </w:r>
      <w:r>
        <w:rPr>
          <w:bCs/>
          <w:iCs/>
        </w:rPr>
        <w:t>product</w:t>
      </w:r>
      <w:r w:rsidRPr="00CE1264">
        <w:rPr>
          <w:bCs/>
          <w:iCs/>
        </w:rPr>
        <w:t xml:space="preserve"> will be used infrequently by experienced clinicians so it is reasonable, in the light of the data submitted, to extrapolate </w:t>
      </w:r>
      <w:r>
        <w:rPr>
          <w:bCs/>
          <w:iCs/>
        </w:rPr>
        <w:t xml:space="preserve">on logical and previous data grounds </w:t>
      </w:r>
      <w:r w:rsidRPr="00CE1264">
        <w:rPr>
          <w:bCs/>
          <w:iCs/>
        </w:rPr>
        <w:t>regarding potential efficacy and</w:t>
      </w:r>
      <w:r>
        <w:rPr>
          <w:bCs/>
          <w:iCs/>
        </w:rPr>
        <w:t xml:space="preserve"> the likely</w:t>
      </w:r>
      <w:r w:rsidRPr="00CE1264">
        <w:rPr>
          <w:bCs/>
          <w:iCs/>
        </w:rPr>
        <w:t xml:space="preserve"> benefit</w:t>
      </w:r>
      <w:r>
        <w:rPr>
          <w:bCs/>
          <w:iCs/>
        </w:rPr>
        <w:t>-</w:t>
      </w:r>
      <w:r w:rsidRPr="00CE1264">
        <w:rPr>
          <w:bCs/>
          <w:iCs/>
        </w:rPr>
        <w:t xml:space="preserve">risk </w:t>
      </w:r>
      <w:r>
        <w:rPr>
          <w:bCs/>
          <w:iCs/>
        </w:rPr>
        <w:t>profile</w:t>
      </w:r>
      <w:r w:rsidRPr="00CE1264">
        <w:rPr>
          <w:bCs/>
          <w:iCs/>
        </w:rPr>
        <w:t>.</w:t>
      </w:r>
    </w:p>
    <w:p w:rsidR="000D5B9E" w:rsidRPr="00236D22" w:rsidRDefault="000D5B9E" w:rsidP="00B52EED">
      <w:pPr>
        <w:pStyle w:val="Heading5"/>
      </w:pPr>
      <w:r w:rsidRPr="00236D22">
        <w:t>Proposed conditions of registration:</w:t>
      </w:r>
    </w:p>
    <w:p w:rsidR="000D5B9E" w:rsidRPr="00236D22" w:rsidRDefault="000D5B9E" w:rsidP="000D5B9E">
      <w:pPr>
        <w:ind w:left="-142"/>
        <w:rPr>
          <w:bCs/>
          <w:highlight w:val="yellow"/>
        </w:rPr>
      </w:pPr>
      <w:r w:rsidRPr="00236D22">
        <w:rPr>
          <w:rFonts w:cs="Calibri"/>
          <w:color w:val="000000" w:themeColor="text1"/>
        </w:rPr>
        <w:t>T</w:t>
      </w:r>
      <w:r w:rsidRPr="00236D22">
        <w:rPr>
          <w:bCs/>
        </w:rPr>
        <w:t xml:space="preserve">he ACPM agreed with the </w:t>
      </w:r>
      <w:r w:rsidR="001F68DB">
        <w:rPr>
          <w:bCs/>
        </w:rPr>
        <w:t>Delegate</w:t>
      </w:r>
      <w:r w:rsidRPr="00236D22">
        <w:rPr>
          <w:bCs/>
        </w:rPr>
        <w:t xml:space="preserve"> on the proposed conditions of registration and specifically advised on the inclusion of the following:</w:t>
      </w:r>
      <w:r w:rsidR="002040F3">
        <w:rPr>
          <w:bCs/>
        </w:rPr>
        <w:t xml:space="preserve"> </w:t>
      </w:r>
    </w:p>
    <w:p w:rsidR="000D5B9E" w:rsidRPr="00CC54CC" w:rsidRDefault="000D5B9E" w:rsidP="00B52EED">
      <w:pPr>
        <w:pStyle w:val="ListBullet"/>
        <w:rPr>
          <w:lang w:val="en-GB"/>
        </w:rPr>
      </w:pPr>
      <w:r w:rsidRPr="00CC54CC">
        <w:rPr>
          <w:lang w:val="en-GB"/>
        </w:rPr>
        <w:t xml:space="preserve">Negotiation of Product Information and Consumer Medicines Information to the satisfaction of the TGA. </w:t>
      </w:r>
    </w:p>
    <w:p w:rsidR="000D5B9E" w:rsidRPr="00236D22" w:rsidRDefault="000D5B9E" w:rsidP="00B52EED">
      <w:pPr>
        <w:pStyle w:val="Heading5"/>
        <w:rPr>
          <w:u w:val="single"/>
        </w:rPr>
      </w:pPr>
      <w:r w:rsidRPr="00236D22">
        <w:t>Proposed Product Information (PI)/Consumer Medicine Information (CMI) amendments:</w:t>
      </w:r>
    </w:p>
    <w:p w:rsidR="000D5B9E" w:rsidRPr="00236D22" w:rsidRDefault="000D5B9E" w:rsidP="000D5B9E">
      <w:pPr>
        <w:rPr>
          <w:bCs/>
        </w:rPr>
      </w:pPr>
      <w:r w:rsidRPr="00236D22">
        <w:rPr>
          <w:bCs/>
        </w:rPr>
        <w:t xml:space="preserve">The ACPM agreed with the </w:t>
      </w:r>
      <w:r w:rsidR="001F68DB">
        <w:rPr>
          <w:bCs/>
        </w:rPr>
        <w:t>Delegate</w:t>
      </w:r>
      <w:r w:rsidRPr="00236D22">
        <w:rPr>
          <w:bCs/>
        </w:rPr>
        <w:t xml:space="preserve"> to the proposed amendments to the Product Information (PI) and Consumer Medicine Information (CMI) and specifically advised on the inclusion </w:t>
      </w:r>
      <w:r w:rsidR="002F31F5">
        <w:rPr>
          <w:bCs/>
        </w:rPr>
        <w:t>of the following:</w:t>
      </w:r>
    </w:p>
    <w:p w:rsidR="000D5B9E" w:rsidRPr="00CC54CC" w:rsidRDefault="00B52EED" w:rsidP="00B52EED">
      <w:pPr>
        <w:pStyle w:val="ListBullet"/>
        <w:rPr>
          <w:lang w:val="en-GB"/>
        </w:rPr>
      </w:pPr>
      <w:r>
        <w:rPr>
          <w:lang w:val="en-GB"/>
        </w:rPr>
        <w:t>A</w:t>
      </w:r>
      <w:r w:rsidR="000D5B9E" w:rsidRPr="00CC54CC">
        <w:rPr>
          <w:lang w:val="en-GB"/>
        </w:rPr>
        <w:t xml:space="preserve"> statement in the </w:t>
      </w:r>
      <w:r w:rsidR="000D5B9E" w:rsidRPr="00561270">
        <w:rPr>
          <w:lang w:val="en-GB"/>
        </w:rPr>
        <w:t>relevant sections of the PI and of the CMI recommending varicella</w:t>
      </w:r>
      <w:r w:rsidR="000D5B9E" w:rsidRPr="00CC54CC">
        <w:rPr>
          <w:lang w:val="en-GB"/>
        </w:rPr>
        <w:t xml:space="preserve"> immunisation pri</w:t>
      </w:r>
      <w:r w:rsidR="002F31F5">
        <w:rPr>
          <w:lang w:val="en-GB"/>
        </w:rPr>
        <w:t>or to commencement of treatment.</w:t>
      </w:r>
    </w:p>
    <w:p w:rsidR="002040F3" w:rsidRPr="00B52EED" w:rsidRDefault="000D5B9E" w:rsidP="00B52EED">
      <w:r w:rsidRPr="00B52EED">
        <w:t>The ACPM advised that the implementation by the sponsor of the recommendations outlined above to the satisfaction of the TGA, in addition to the evidence of efficacy and safety provided would support the safe and e</w:t>
      </w:r>
      <w:r w:rsidR="002F31F5">
        <w:t>ffective use of these products.</w:t>
      </w:r>
    </w:p>
    <w:p w:rsidR="008E7846" w:rsidRPr="002E238E" w:rsidRDefault="008E7846" w:rsidP="00D90E2F">
      <w:pPr>
        <w:pStyle w:val="Heading3"/>
      </w:pPr>
      <w:bookmarkStart w:id="174" w:name="_Toc247691532"/>
      <w:bookmarkStart w:id="175" w:name="_Toc314842516"/>
      <w:bookmarkStart w:id="176" w:name="_Toc390330081"/>
      <w:bookmarkEnd w:id="105"/>
      <w:bookmarkEnd w:id="171"/>
      <w:bookmarkEnd w:id="172"/>
      <w:r>
        <w:t>Outcome</w:t>
      </w:r>
      <w:bookmarkEnd w:id="174"/>
      <w:bookmarkEnd w:id="175"/>
      <w:bookmarkEnd w:id="176"/>
    </w:p>
    <w:p w:rsidR="00B52EED" w:rsidRDefault="008E7846" w:rsidP="00B52EED">
      <w:r>
        <w:t xml:space="preserve">Based on a review of quality, safety and efficacy, TGA approved the registration of </w:t>
      </w:r>
      <w:r w:rsidR="000D5B9E">
        <w:t xml:space="preserve">Enbrel </w:t>
      </w:r>
      <w:proofErr w:type="spellStart"/>
      <w:r w:rsidR="000D5B9E">
        <w:t>etanercept</w:t>
      </w:r>
      <w:proofErr w:type="spellEnd"/>
      <w:r w:rsidR="000D5B9E">
        <w:t xml:space="preserve"> (</w:t>
      </w:r>
      <w:proofErr w:type="spellStart"/>
      <w:r w:rsidR="000D5B9E">
        <w:t>rch</w:t>
      </w:r>
      <w:proofErr w:type="spellEnd"/>
      <w:r w:rsidR="000D5B9E">
        <w:t xml:space="preserve">) for the new indication: </w:t>
      </w:r>
    </w:p>
    <w:p w:rsidR="00B52EED" w:rsidRPr="00561270" w:rsidRDefault="00B52EED" w:rsidP="00B52EED">
      <w:pPr>
        <w:ind w:firstLine="720"/>
        <w:rPr>
          <w:b/>
          <w:i/>
        </w:rPr>
      </w:pPr>
      <w:r w:rsidRPr="00561270">
        <w:rPr>
          <w:b/>
          <w:i/>
        </w:rPr>
        <w:t>Juvenile Idiopathic Arthritis</w:t>
      </w:r>
    </w:p>
    <w:p w:rsidR="00B52EED" w:rsidRPr="00B52EED" w:rsidRDefault="00B52EED" w:rsidP="00B52EED">
      <w:pPr>
        <w:pStyle w:val="ListBullet"/>
        <w:ind w:left="993"/>
        <w:rPr>
          <w:i/>
        </w:rPr>
      </w:pPr>
      <w:r w:rsidRPr="00B52EED">
        <w:rPr>
          <w:i/>
        </w:rPr>
        <w:t xml:space="preserve">Active polyarthritis (rheumatoid factor positive or negative) in children and </w:t>
      </w:r>
      <w:proofErr w:type="gramStart"/>
      <w:r w:rsidRPr="00B52EED">
        <w:rPr>
          <w:i/>
        </w:rPr>
        <w:t>adolescents,</w:t>
      </w:r>
      <w:proofErr w:type="gramEnd"/>
      <w:r w:rsidRPr="00B52EED">
        <w:rPr>
          <w:i/>
        </w:rPr>
        <w:t xml:space="preserve"> aged 2 to 17 years, who have had an inadequate response to one or more DMARDs.</w:t>
      </w:r>
    </w:p>
    <w:p w:rsidR="00B52EED" w:rsidRPr="00B52EED" w:rsidRDefault="00B52EED" w:rsidP="00B52EED">
      <w:pPr>
        <w:pStyle w:val="ListBullet"/>
        <w:ind w:left="993"/>
        <w:rPr>
          <w:i/>
        </w:rPr>
      </w:pPr>
      <w:r w:rsidRPr="00B52EED">
        <w:rPr>
          <w:i/>
        </w:rPr>
        <w:t xml:space="preserve">Active extended </w:t>
      </w:r>
      <w:proofErr w:type="spellStart"/>
      <w:r w:rsidRPr="00B52EED">
        <w:rPr>
          <w:i/>
        </w:rPr>
        <w:t>oligoarthritis</w:t>
      </w:r>
      <w:proofErr w:type="spellEnd"/>
      <w:r w:rsidRPr="00B52EED">
        <w:rPr>
          <w:i/>
        </w:rPr>
        <w:t xml:space="preserve"> in children and adolescents, aged 2 to 17 years, who have had an inadequate response to, or who have proved intolerant to, methotrexate.</w:t>
      </w:r>
    </w:p>
    <w:p w:rsidR="00B52EED" w:rsidRDefault="00B52EED" w:rsidP="00B52EED">
      <w:pPr>
        <w:pStyle w:val="ListBullet"/>
        <w:ind w:left="993"/>
        <w:rPr>
          <w:i/>
        </w:rPr>
      </w:pPr>
      <w:r w:rsidRPr="00B52EED">
        <w:rPr>
          <w:i/>
        </w:rPr>
        <w:t xml:space="preserve">Active </w:t>
      </w:r>
      <w:proofErr w:type="spellStart"/>
      <w:r w:rsidRPr="00B52EED">
        <w:rPr>
          <w:i/>
        </w:rPr>
        <w:t>enthesitis</w:t>
      </w:r>
      <w:proofErr w:type="spellEnd"/>
      <w:r w:rsidRPr="00B52EED">
        <w:rPr>
          <w:i/>
        </w:rPr>
        <w:t xml:space="preserve"> related arthritis in adolescents, aged 12 to 17 years, who have had an inadequate response </w:t>
      </w:r>
      <w:r>
        <w:rPr>
          <w:i/>
        </w:rPr>
        <w:t>to or, who have proved intolerant to, conventional therapy.</w:t>
      </w:r>
    </w:p>
    <w:p w:rsidR="00B52EED" w:rsidRDefault="00B52EED" w:rsidP="00B52EED">
      <w:pPr>
        <w:pStyle w:val="ListBullet"/>
        <w:ind w:left="993"/>
        <w:rPr>
          <w:i/>
        </w:rPr>
      </w:pPr>
      <w:r>
        <w:rPr>
          <w:i/>
        </w:rPr>
        <w:t>Active psoriatic arthritis in adolescents, aged 12 to 17 years, who have had an inadequate response to, or who have proved intolerant to, methotrexate.</w:t>
      </w:r>
    </w:p>
    <w:p w:rsidR="00B52EED" w:rsidRDefault="00B52EED" w:rsidP="00B52EED">
      <w:pPr>
        <w:ind w:left="633"/>
        <w:rPr>
          <w:i/>
        </w:rPr>
      </w:pPr>
      <w:r w:rsidRPr="00B52EED">
        <w:rPr>
          <w:i/>
        </w:rPr>
        <w:t>Enbrel has not been studied in children aged less than 2 years.</w:t>
      </w:r>
    </w:p>
    <w:p w:rsidR="004D571C" w:rsidRPr="004D571C" w:rsidRDefault="004D571C" w:rsidP="004D571C">
      <w:r w:rsidRPr="004D571C">
        <w:t>The full indications are now:</w:t>
      </w:r>
    </w:p>
    <w:p w:rsidR="002F31F5" w:rsidRDefault="002F31F5">
      <w:pPr>
        <w:spacing w:before="0" w:after="200" w:line="0" w:lineRule="auto"/>
        <w:rPr>
          <w:i/>
          <w:noProof/>
          <w:lang w:eastAsia="en-AU"/>
        </w:rPr>
      </w:pPr>
      <w:r>
        <w:rPr>
          <w:i/>
          <w:noProof/>
          <w:lang w:eastAsia="en-AU"/>
        </w:rPr>
        <w:br w:type="page"/>
      </w:r>
    </w:p>
    <w:p w:rsidR="004D571C" w:rsidRPr="004D571C" w:rsidRDefault="004D571C" w:rsidP="004D571C">
      <w:pPr>
        <w:ind w:firstLine="720"/>
        <w:rPr>
          <w:i/>
          <w:noProof/>
          <w:lang w:eastAsia="en-AU"/>
        </w:rPr>
      </w:pPr>
      <w:r w:rsidRPr="004D571C">
        <w:rPr>
          <w:i/>
          <w:noProof/>
          <w:lang w:eastAsia="en-AU"/>
        </w:rPr>
        <w:t>Enbrel is</w:t>
      </w:r>
      <w:r w:rsidR="002F31F5">
        <w:rPr>
          <w:i/>
          <w:noProof/>
          <w:lang w:eastAsia="en-AU"/>
        </w:rPr>
        <w:t xml:space="preserve"> indicated for the treatment of</w:t>
      </w:r>
    </w:p>
    <w:p w:rsidR="004D571C" w:rsidRPr="00561270" w:rsidRDefault="004D571C" w:rsidP="002F31F5">
      <w:pPr>
        <w:ind w:firstLine="720"/>
        <w:rPr>
          <w:b/>
          <w:i/>
          <w:noProof/>
          <w:lang w:eastAsia="en-AU"/>
        </w:rPr>
      </w:pPr>
      <w:r w:rsidRPr="00561270">
        <w:rPr>
          <w:b/>
          <w:i/>
          <w:noProof/>
          <w:lang w:eastAsia="en-AU"/>
        </w:rPr>
        <w:t>AdultsRheumatoid Arthritis</w:t>
      </w:r>
    </w:p>
    <w:p w:rsidR="00B52EED" w:rsidRDefault="004D571C" w:rsidP="004D571C">
      <w:pPr>
        <w:pStyle w:val="ListBullet"/>
        <w:ind w:left="1701"/>
        <w:rPr>
          <w:i/>
          <w:noProof/>
          <w:lang w:eastAsia="en-AU"/>
        </w:rPr>
      </w:pPr>
      <w:r w:rsidRPr="004D571C">
        <w:rPr>
          <w:i/>
          <w:noProof/>
          <w:lang w:eastAsia="en-AU"/>
        </w:rPr>
        <w:t xml:space="preserve">Active, adult rheumatoid arthritis (RA) in patiens who have had inadequate response to one or more </w:t>
      </w:r>
      <w:r>
        <w:rPr>
          <w:i/>
          <w:noProof/>
          <w:lang w:eastAsia="en-AU"/>
        </w:rPr>
        <w:t>disease modifying antirheumatic drugs (DMARDs). Enbrel can be used in combination with methotrexate.</w:t>
      </w:r>
    </w:p>
    <w:p w:rsidR="004D571C" w:rsidRDefault="004D571C" w:rsidP="004D571C">
      <w:pPr>
        <w:pStyle w:val="ListBullet"/>
        <w:ind w:left="1701"/>
        <w:rPr>
          <w:i/>
          <w:noProof/>
          <w:lang w:eastAsia="en-AU"/>
        </w:rPr>
      </w:pPr>
      <w:r>
        <w:rPr>
          <w:i/>
          <w:noProof/>
          <w:lang w:eastAsia="en-AU"/>
        </w:rPr>
        <w:t>Severe, active rheumatoid arthritis in adults to slow progression of disease associated structural damage in patients at high risk of erosive disease (see CLINICAL TRIALS).</w:t>
      </w:r>
    </w:p>
    <w:p w:rsidR="004D571C" w:rsidRPr="00561270" w:rsidRDefault="004D571C" w:rsidP="004D571C">
      <w:pPr>
        <w:pStyle w:val="ListBullet"/>
        <w:numPr>
          <w:ilvl w:val="0"/>
          <w:numId w:val="0"/>
        </w:numPr>
        <w:ind w:left="1341"/>
        <w:rPr>
          <w:b/>
          <w:i/>
          <w:noProof/>
          <w:lang w:eastAsia="en-AU"/>
        </w:rPr>
      </w:pPr>
      <w:r w:rsidRPr="00561270">
        <w:rPr>
          <w:b/>
          <w:i/>
          <w:noProof/>
          <w:lang w:eastAsia="en-AU"/>
        </w:rPr>
        <w:t>Psoriatic Arthritis</w:t>
      </w:r>
    </w:p>
    <w:p w:rsidR="004D571C" w:rsidRDefault="004D571C" w:rsidP="004D571C">
      <w:pPr>
        <w:pStyle w:val="ListBullet"/>
        <w:ind w:left="1701"/>
        <w:rPr>
          <w:i/>
          <w:noProof/>
          <w:lang w:eastAsia="en-AU"/>
        </w:rPr>
      </w:pPr>
      <w:r w:rsidRPr="004D571C">
        <w:rPr>
          <w:i/>
          <w:noProof/>
          <w:lang w:eastAsia="en-AU"/>
        </w:rPr>
        <w:t>The signs and symptoms of active and progressive psoriatic arthritis in adults, when the response to previous disease modifying antirheumatic therapy has been inadequate.  Enbrel has been shown to reduce the rate of progression of joint damage as measured by X ray and to improve physical function (see CLINICAL TRIALS.)</w:t>
      </w:r>
    </w:p>
    <w:p w:rsidR="004D571C" w:rsidRPr="00561270" w:rsidRDefault="004D571C" w:rsidP="004D571C">
      <w:pPr>
        <w:pStyle w:val="ListBullet"/>
        <w:numPr>
          <w:ilvl w:val="0"/>
          <w:numId w:val="0"/>
        </w:numPr>
        <w:ind w:left="1341"/>
        <w:rPr>
          <w:b/>
          <w:i/>
          <w:noProof/>
          <w:lang w:eastAsia="en-AU"/>
        </w:rPr>
      </w:pPr>
      <w:r w:rsidRPr="00561270">
        <w:rPr>
          <w:b/>
          <w:i/>
          <w:noProof/>
          <w:lang w:eastAsia="en-AU"/>
        </w:rPr>
        <w:t>Ankylosing Spondylitis</w:t>
      </w:r>
    </w:p>
    <w:p w:rsidR="004D571C" w:rsidRDefault="004D571C" w:rsidP="004D571C">
      <w:pPr>
        <w:pStyle w:val="ListBullet"/>
        <w:ind w:left="1701"/>
        <w:rPr>
          <w:i/>
          <w:noProof/>
          <w:lang w:eastAsia="en-AU"/>
        </w:rPr>
      </w:pPr>
      <w:r w:rsidRPr="004D571C">
        <w:rPr>
          <w:i/>
          <w:noProof/>
          <w:lang w:eastAsia="en-AU"/>
        </w:rPr>
        <w:t>The signs and symptoms of active ankylosing spondylitis in adults.</w:t>
      </w:r>
    </w:p>
    <w:p w:rsidR="004D571C" w:rsidRPr="00C12402" w:rsidRDefault="00A81B59" w:rsidP="004D571C">
      <w:pPr>
        <w:ind w:left="1341"/>
        <w:rPr>
          <w:b/>
          <w:i/>
        </w:rPr>
      </w:pPr>
      <w:r w:rsidRPr="00C12402">
        <w:rPr>
          <w:b/>
          <w:i/>
        </w:rPr>
        <w:t>Plaque Psoriasis</w:t>
      </w:r>
    </w:p>
    <w:p w:rsidR="004D571C" w:rsidRDefault="004D571C" w:rsidP="004D571C">
      <w:pPr>
        <w:pStyle w:val="ListBullet"/>
        <w:ind w:left="1701"/>
        <w:rPr>
          <w:i/>
        </w:rPr>
      </w:pPr>
      <w:r w:rsidRPr="004D571C">
        <w:rPr>
          <w:i/>
        </w:rPr>
        <w:t>Adult patients with moderate to severe chronic plaque psoriasis, who are candidates for phototherapy or systemic therapy.</w:t>
      </w:r>
    </w:p>
    <w:p w:rsidR="004D571C" w:rsidRPr="00561270" w:rsidRDefault="004D571C" w:rsidP="004D571C">
      <w:pPr>
        <w:ind w:left="720"/>
        <w:rPr>
          <w:b/>
          <w:i/>
        </w:rPr>
      </w:pPr>
      <w:r w:rsidRPr="00561270">
        <w:rPr>
          <w:b/>
          <w:i/>
        </w:rPr>
        <w:t xml:space="preserve">Children and </w:t>
      </w:r>
      <w:r w:rsidR="002F31F5">
        <w:rPr>
          <w:b/>
          <w:i/>
        </w:rPr>
        <w:t>a</w:t>
      </w:r>
      <w:r w:rsidRPr="00561270">
        <w:rPr>
          <w:b/>
          <w:i/>
        </w:rPr>
        <w:t>dolescents</w:t>
      </w:r>
    </w:p>
    <w:p w:rsidR="004D571C" w:rsidRPr="00561270" w:rsidRDefault="004D571C" w:rsidP="00561270">
      <w:pPr>
        <w:tabs>
          <w:tab w:val="left" w:pos="1418"/>
        </w:tabs>
        <w:ind w:left="993" w:firstLine="414"/>
        <w:rPr>
          <w:b/>
          <w:i/>
        </w:rPr>
      </w:pPr>
      <w:r w:rsidRPr="00561270">
        <w:rPr>
          <w:b/>
          <w:i/>
        </w:rPr>
        <w:t>Juvenile Idiopathic Arthritis</w:t>
      </w:r>
    </w:p>
    <w:p w:rsidR="004D571C" w:rsidRPr="004D571C" w:rsidRDefault="004D571C" w:rsidP="00561270">
      <w:pPr>
        <w:pStyle w:val="ListBullet"/>
        <w:ind w:left="1701"/>
        <w:rPr>
          <w:i/>
        </w:rPr>
      </w:pPr>
      <w:r w:rsidRPr="004D571C">
        <w:rPr>
          <w:i/>
        </w:rPr>
        <w:t xml:space="preserve">Active polyarthritis (rheumatoid factor positive or negative) in children and </w:t>
      </w:r>
      <w:proofErr w:type="gramStart"/>
      <w:r w:rsidRPr="004D571C">
        <w:rPr>
          <w:i/>
        </w:rPr>
        <w:t>adolescents,</w:t>
      </w:r>
      <w:proofErr w:type="gramEnd"/>
      <w:r w:rsidRPr="004D571C">
        <w:rPr>
          <w:i/>
        </w:rPr>
        <w:t xml:space="preserve"> aged 2 to 17 years, who have had an inadequate response to one or more DMARDs.</w:t>
      </w:r>
    </w:p>
    <w:p w:rsidR="004D571C" w:rsidRPr="004D571C" w:rsidRDefault="004D571C" w:rsidP="00561270">
      <w:pPr>
        <w:pStyle w:val="ListBullet"/>
        <w:ind w:left="1701"/>
        <w:rPr>
          <w:i/>
        </w:rPr>
      </w:pPr>
      <w:r w:rsidRPr="004D571C">
        <w:rPr>
          <w:i/>
        </w:rPr>
        <w:t xml:space="preserve">Active extended </w:t>
      </w:r>
      <w:proofErr w:type="spellStart"/>
      <w:r w:rsidRPr="004D571C">
        <w:rPr>
          <w:i/>
        </w:rPr>
        <w:t>oligoarthritis</w:t>
      </w:r>
      <w:proofErr w:type="spellEnd"/>
      <w:r w:rsidRPr="004D571C">
        <w:rPr>
          <w:i/>
        </w:rPr>
        <w:t xml:space="preserve"> in children and adolescents, aged 2 to 17 years, who have had an inadequate response to, or who have proved intolerant to, methotrexate.</w:t>
      </w:r>
    </w:p>
    <w:p w:rsidR="004D571C" w:rsidRPr="004D571C" w:rsidRDefault="004D571C" w:rsidP="00561270">
      <w:pPr>
        <w:pStyle w:val="ListBullet"/>
        <w:ind w:left="1701"/>
        <w:rPr>
          <w:i/>
        </w:rPr>
      </w:pPr>
      <w:r w:rsidRPr="004D571C">
        <w:rPr>
          <w:i/>
        </w:rPr>
        <w:t xml:space="preserve">Active </w:t>
      </w:r>
      <w:proofErr w:type="spellStart"/>
      <w:r w:rsidRPr="004D571C">
        <w:rPr>
          <w:i/>
        </w:rPr>
        <w:t>enthesitis</w:t>
      </w:r>
      <w:proofErr w:type="spellEnd"/>
      <w:r w:rsidRPr="004D571C">
        <w:rPr>
          <w:i/>
        </w:rPr>
        <w:t xml:space="preserve"> related arthritis in adolescents, aged 12 to 17 years, who have had an inadequate response to or, who have proved intolerant to, conventional therapy.</w:t>
      </w:r>
    </w:p>
    <w:p w:rsidR="004D571C" w:rsidRPr="004D571C" w:rsidRDefault="004D571C" w:rsidP="00561270">
      <w:pPr>
        <w:pStyle w:val="ListBullet"/>
        <w:ind w:left="1701"/>
        <w:rPr>
          <w:i/>
        </w:rPr>
      </w:pPr>
      <w:r w:rsidRPr="004D571C">
        <w:rPr>
          <w:i/>
        </w:rPr>
        <w:t>Active psoriatic arthritis in adolescents, aged 12 to 17 years, who have had an inadequate response to, or who have proved intolerant to, methotrexate.</w:t>
      </w:r>
    </w:p>
    <w:p w:rsidR="00B52EED" w:rsidRDefault="004D571C" w:rsidP="00561270">
      <w:pPr>
        <w:ind w:left="621" w:firstLine="720"/>
        <w:rPr>
          <w:i/>
        </w:rPr>
      </w:pPr>
      <w:r w:rsidRPr="004D571C">
        <w:rPr>
          <w:i/>
        </w:rPr>
        <w:t>Enbrel has not been studied in children aged less than 2 years.</w:t>
      </w:r>
    </w:p>
    <w:p w:rsidR="004D571C" w:rsidRPr="00561270" w:rsidRDefault="004D571C" w:rsidP="00561270">
      <w:pPr>
        <w:ind w:left="709" w:firstLine="720"/>
        <w:rPr>
          <w:b/>
          <w:i/>
        </w:rPr>
      </w:pPr>
      <w:r w:rsidRPr="00561270">
        <w:rPr>
          <w:b/>
          <w:i/>
        </w:rPr>
        <w:t>Paediatric Plaque Psoriasis</w:t>
      </w:r>
    </w:p>
    <w:p w:rsidR="004D571C" w:rsidRPr="004D571C" w:rsidRDefault="004D571C" w:rsidP="00561270">
      <w:pPr>
        <w:pStyle w:val="ListBullet"/>
        <w:ind w:left="1701"/>
        <w:rPr>
          <w:i/>
        </w:rPr>
      </w:pPr>
      <w:r w:rsidRPr="004D571C">
        <w:rPr>
          <w:i/>
          <w:noProof/>
          <w:lang w:eastAsia="en-AU"/>
        </w:rPr>
        <w:t>Chronic, severe plaque psoriasis in children and adolescents from 4 to 17 years, who are inadequately controlled by, or are intolerant to, othe systemic therapies or phototherapies. Duration of therapy to be no longer than 24 weeks and treatment to be ceased after 12 weeks if a significant PASI response is not achieved.</w:t>
      </w:r>
    </w:p>
    <w:p w:rsidR="002040F3" w:rsidRDefault="00D90E2F" w:rsidP="00D90E2F">
      <w:pPr>
        <w:pStyle w:val="Heading4"/>
      </w:pPr>
      <w:r>
        <w:t>Specific conditions of registration applying to these goods</w:t>
      </w:r>
    </w:p>
    <w:p w:rsidR="0043578A" w:rsidRPr="004D571C" w:rsidRDefault="0043578A" w:rsidP="004D571C">
      <w:r w:rsidRPr="004D571C">
        <w:t xml:space="preserve">The </w:t>
      </w:r>
      <w:r w:rsidR="001F68DB" w:rsidRPr="004D571C">
        <w:t>Enbrel</w:t>
      </w:r>
      <w:r w:rsidRPr="004D571C">
        <w:t xml:space="preserve"> Risk Management Plan (RMP), version 5.0, dated 12 April</w:t>
      </w:r>
      <w:r w:rsidR="004D571C">
        <w:t xml:space="preserve"> </w:t>
      </w:r>
      <w:r w:rsidRPr="004D571C">
        <w:t>2013 and your</w:t>
      </w:r>
      <w:r w:rsidR="004D571C">
        <w:t xml:space="preserve"> </w:t>
      </w:r>
      <w:r w:rsidRPr="004D571C">
        <w:t>correspondence of 8</w:t>
      </w:r>
      <w:r w:rsidR="004D571C">
        <w:t xml:space="preserve"> </w:t>
      </w:r>
      <w:r w:rsidR="00904313" w:rsidRPr="004D571C">
        <w:t>January</w:t>
      </w:r>
      <w:r w:rsidRPr="004D571C">
        <w:t xml:space="preserve"> 2014, included with submission PM</w:t>
      </w:r>
      <w:r w:rsidR="00561270">
        <w:t>-</w:t>
      </w:r>
      <w:r w:rsidRPr="004D571C">
        <w:t>2012-04135-1-3, and</w:t>
      </w:r>
      <w:r w:rsidR="004D571C">
        <w:t xml:space="preserve"> </w:t>
      </w:r>
      <w:r w:rsidRPr="004D571C">
        <w:t>any subsequent revisions, as agreed with the TGA will be implemented in Australia.</w:t>
      </w:r>
    </w:p>
    <w:p w:rsidR="008E7846" w:rsidRDefault="004D571C" w:rsidP="008E7846">
      <w:pPr>
        <w:pStyle w:val="Heading2"/>
      </w:pPr>
      <w:bookmarkStart w:id="177" w:name="_Toc247691533"/>
      <w:bookmarkStart w:id="178" w:name="_Toc314842517"/>
      <w:bookmarkStart w:id="179" w:name="_Toc390330082"/>
      <w:proofErr w:type="gramStart"/>
      <w:r>
        <w:t>A</w:t>
      </w:r>
      <w:r w:rsidR="008E7846">
        <w:t>ttachment 1.</w:t>
      </w:r>
      <w:proofErr w:type="gramEnd"/>
      <w:r w:rsidR="008E7846">
        <w:tab/>
        <w:t xml:space="preserve">Product </w:t>
      </w:r>
      <w:r w:rsidR="00AA0ED0">
        <w:t>I</w:t>
      </w:r>
      <w:r w:rsidR="008E7846">
        <w:t>nformation</w:t>
      </w:r>
      <w:bookmarkEnd w:id="177"/>
      <w:bookmarkEnd w:id="178"/>
      <w:bookmarkEnd w:id="179"/>
    </w:p>
    <w:p w:rsidR="00C80137" w:rsidRDefault="00C80137" w:rsidP="00C80137">
      <w:pPr>
        <w:rPr>
          <w:color w:val="000000"/>
          <w:lang w:eastAsia="en-AU"/>
        </w:rPr>
      </w:pPr>
      <w:r w:rsidRPr="0037352E">
        <w:t xml:space="preserve">The Product Information approved </w:t>
      </w:r>
      <w:r w:rsidR="00D90E2F">
        <w:t xml:space="preserve">for main </w:t>
      </w:r>
      <w:r w:rsidR="00C35A3A">
        <w:t>Enbrel</w:t>
      </w:r>
      <w:r w:rsidR="00D90E2F">
        <w:t xml:space="preserve"> </w:t>
      </w:r>
      <w:r w:rsidRPr="0037352E">
        <w:t xml:space="preserve">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w:t>
      </w:r>
      <w:r w:rsidR="002040F3">
        <w:t xml:space="preserve">&lt; </w:t>
      </w:r>
      <w:hyperlink r:id="rId38" w:history="1">
        <w:r w:rsidR="00722B57" w:rsidRPr="00625A6E">
          <w:rPr>
            <w:rStyle w:val="Hyperlink"/>
          </w:rPr>
          <w:t>http://www.tga.gov.au/hp/information-medicines-pi.htm</w:t>
        </w:r>
      </w:hyperlink>
      <w:hyperlink w:history="1"/>
      <w:r w:rsidR="008F6943">
        <w:rPr>
          <w:color w:val="000000"/>
          <w:lang w:eastAsia="en-AU"/>
        </w:rPr>
        <w:t>&gt;</w:t>
      </w:r>
      <w:r w:rsidR="008F6943" w:rsidRPr="003211EF">
        <w:rPr>
          <w:color w:val="000000"/>
          <w:lang w:eastAsia="en-AU"/>
        </w:rPr>
        <w:t>.</w:t>
      </w:r>
      <w:r w:rsidR="00D90E2F" w:rsidRPr="003211EF">
        <w:rPr>
          <w:color w:val="000000"/>
          <w:lang w:eastAsia="en-AU"/>
        </w:rPr>
        <w:t xml:space="preserve"> </w:t>
      </w:r>
    </w:p>
    <w:p w:rsidR="002040F3" w:rsidRDefault="00C80137" w:rsidP="002F31F5">
      <w:pPr>
        <w:pStyle w:val="Heading2"/>
        <w:rPr>
          <w:lang w:eastAsia="ja-JP"/>
        </w:rPr>
      </w:pPr>
      <w:bookmarkStart w:id="180" w:name="_Toc390330083"/>
      <w:proofErr w:type="gramStart"/>
      <w:r>
        <w:rPr>
          <w:lang w:eastAsia="en-AU"/>
        </w:rPr>
        <w:t>Attachment 2.</w:t>
      </w:r>
      <w:proofErr w:type="gramEnd"/>
      <w:r>
        <w:rPr>
          <w:lang w:eastAsia="en-AU"/>
        </w:rPr>
        <w:t xml:space="preserve"> Extract from the Clinical Evaluation Report</w:t>
      </w:r>
      <w:bookmarkEnd w:id="180"/>
    </w:p>
    <w:p w:rsidR="00C80137" w:rsidRPr="001D043B" w:rsidRDefault="00C80137" w:rsidP="003A7F6C">
      <w:pPr>
        <w:pStyle w:val="TableTitle"/>
        <w:sectPr w:rsidR="00C80137" w:rsidRPr="001D043B" w:rsidSect="00B04E0A">
          <w:headerReference w:type="even" r:id="rId39"/>
          <w:headerReference w:type="default" r:id="rId40"/>
          <w:footerReference w:type="default" r:id="rId41"/>
          <w:headerReference w:type="first" r:id="rId42"/>
          <w:footerReference w:type="first" r:id="rId43"/>
          <w:type w:val="continuous"/>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525E14">
        <w:trPr>
          <w:trHeight w:hRule="exact" w:val="704"/>
        </w:trPr>
        <w:tc>
          <w:tcPr>
            <w:tcW w:w="9175" w:type="dxa"/>
          </w:tcPr>
          <w:p w:rsidR="001C32CD" w:rsidRPr="00487162" w:rsidRDefault="001C32CD" w:rsidP="00525E14">
            <w:pPr>
              <w:pStyle w:val="TGASignoff"/>
            </w:pPr>
            <w:r w:rsidRPr="00487162">
              <w:t>Therapeutic Goods Administration</w:t>
            </w:r>
          </w:p>
        </w:tc>
      </w:tr>
      <w:tr w:rsidR="001C32CD" w:rsidRPr="004C239D" w:rsidTr="00525E14">
        <w:trPr>
          <w:trHeight w:val="1221"/>
        </w:trPr>
        <w:tc>
          <w:tcPr>
            <w:tcW w:w="9175" w:type="dxa"/>
            <w:tcMar>
              <w:top w:w="28" w:type="dxa"/>
            </w:tcMar>
          </w:tcPr>
          <w:p w:rsidR="001C32CD" w:rsidRPr="00487162" w:rsidRDefault="001C32CD" w:rsidP="00525E14">
            <w:pPr>
              <w:pStyle w:val="Address"/>
            </w:pPr>
            <w:r w:rsidRPr="00487162">
              <w:t>PO Box 100 Woden ACT 2606 Australia</w:t>
            </w:r>
          </w:p>
          <w:p w:rsidR="001C32CD" w:rsidRPr="00487162" w:rsidRDefault="001C32CD" w:rsidP="00525E14">
            <w:pPr>
              <w:pStyle w:val="Address"/>
            </w:pPr>
            <w:r w:rsidRPr="00487162">
              <w:t xml:space="preserve">Email: </w:t>
            </w:r>
            <w:hyperlink r:id="rId44" w:history="1">
              <w:r w:rsidRPr="004C239D">
                <w:rPr>
                  <w:rStyle w:val="Hyperlink"/>
                </w:rPr>
                <w:t>info@tga.gov.au</w:t>
              </w:r>
            </w:hyperlink>
            <w:r w:rsidR="002040F3">
              <w:t xml:space="preserve"> </w:t>
            </w:r>
            <w:r w:rsidRPr="00487162">
              <w:t>Phone: 1800 020 653</w:t>
            </w:r>
            <w:r w:rsidR="002040F3">
              <w:t xml:space="preserve"> </w:t>
            </w:r>
            <w:r w:rsidRPr="00487162">
              <w:t>Fax: 02 6232 8605</w:t>
            </w:r>
          </w:p>
          <w:p w:rsidR="001C32CD" w:rsidRPr="004C239D" w:rsidRDefault="00A36E52" w:rsidP="00525E14">
            <w:pPr>
              <w:pStyle w:val="Address"/>
              <w:spacing w:line="260" w:lineRule="atLeast"/>
              <w:rPr>
                <w:b/>
                <w:color w:val="0000FF"/>
                <w:u w:val="single"/>
              </w:rPr>
            </w:pPr>
            <w:hyperlink r:id="rId45"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9FF" w:rsidRDefault="00A449FF" w:rsidP="00C40A36">
      <w:pPr>
        <w:spacing w:after="0"/>
      </w:pPr>
      <w:r>
        <w:separator/>
      </w:r>
    </w:p>
  </w:endnote>
  <w:endnote w:type="continuationSeparator" w:id="0">
    <w:p w:rsidR="00A449FF" w:rsidRDefault="00A449F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8070000" w:usb2="00000010" w:usb3="00000000" w:csb0="00020009"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449FF" w:rsidRPr="00487162" w:rsidTr="0053625B">
      <w:trPr>
        <w:trHeight w:val="269"/>
      </w:trPr>
      <w:tc>
        <w:tcPr>
          <w:tcW w:w="7938" w:type="dxa"/>
          <w:tcMar>
            <w:top w:w="142" w:type="dxa"/>
            <w:bottom w:w="0" w:type="dxa"/>
          </w:tcMar>
        </w:tcPr>
        <w:p w:rsidR="00A449FF" w:rsidRPr="00487162" w:rsidRDefault="00A449FF" w:rsidP="009F3B59">
          <w:pPr>
            <w:pStyle w:val="Footer"/>
          </w:pPr>
          <w:proofErr w:type="spellStart"/>
          <w:r w:rsidRPr="00487162">
            <w:t>AusPAR</w:t>
          </w:r>
          <w:proofErr w:type="spellEnd"/>
          <w:r w:rsidRPr="00487162">
            <w:t xml:space="preserve"> </w:t>
          </w:r>
          <w:proofErr w:type="spellStart"/>
          <w:r>
            <w:t>etanercept</w:t>
          </w:r>
          <w:proofErr w:type="spellEnd"/>
          <w:r>
            <w:t xml:space="preserve"> (</w:t>
          </w:r>
          <w:proofErr w:type="spellStart"/>
          <w:r>
            <w:t>rch</w:t>
          </w:r>
          <w:proofErr w:type="spellEnd"/>
          <w:r>
            <w:t>) Enbrel Pfizer PM-2012-04135-1-3</w:t>
          </w:r>
          <w:r w:rsidRPr="00487162">
            <w:t xml:space="preserve"> Date of Finalisation</w:t>
          </w:r>
          <w:r>
            <w:t xml:space="preserve"> 24 April 2014</w:t>
          </w:r>
        </w:p>
      </w:tc>
      <w:tc>
        <w:tcPr>
          <w:tcW w:w="923" w:type="dxa"/>
          <w:tcMar>
            <w:top w:w="142" w:type="dxa"/>
            <w:bottom w:w="0" w:type="dxa"/>
          </w:tcMar>
        </w:tcPr>
        <w:p w:rsidR="00A449FF" w:rsidRPr="00487162" w:rsidRDefault="00A449FF" w:rsidP="00D855D4">
          <w:pPr>
            <w:pStyle w:val="Footer"/>
            <w:jc w:val="right"/>
          </w:pPr>
          <w:r w:rsidRPr="00487162">
            <w:t xml:space="preserve">Page </w:t>
          </w:r>
          <w:r>
            <w:t>2</w:t>
          </w:r>
          <w:r w:rsidRPr="00487162">
            <w:t xml:space="preserve"> of </w:t>
          </w:r>
          <w:fldSimple w:instr=" NUMPAGES  \* Arabic ">
            <w:r w:rsidR="00A36E52">
              <w:rPr>
                <w:noProof/>
              </w:rPr>
              <w:t>77</w:t>
            </w:r>
          </w:fldSimple>
        </w:p>
      </w:tc>
    </w:tr>
  </w:tbl>
  <w:p w:rsidR="00A449FF" w:rsidRDefault="00A449F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4519"/>
      <w:gridCol w:w="4342"/>
    </w:tblGrid>
    <w:tr w:rsidR="00A449FF" w:rsidRPr="00487162" w:rsidTr="00E26130">
      <w:trPr>
        <w:trHeight w:val="269"/>
      </w:trPr>
      <w:tc>
        <w:tcPr>
          <w:tcW w:w="4519" w:type="dxa"/>
          <w:tcMar>
            <w:top w:w="142" w:type="dxa"/>
            <w:bottom w:w="0" w:type="dxa"/>
          </w:tcMar>
        </w:tcPr>
        <w:p w:rsidR="00A449FF" w:rsidRPr="00487162" w:rsidRDefault="00A449FF" w:rsidP="009F3B59">
          <w:pPr>
            <w:pStyle w:val="Footer"/>
          </w:pPr>
          <w:proofErr w:type="spellStart"/>
          <w:r w:rsidRPr="009F3B59">
            <w:t>AusPAR</w:t>
          </w:r>
          <w:proofErr w:type="spellEnd"/>
          <w:r w:rsidRPr="009F3B59">
            <w:t xml:space="preserve"> </w:t>
          </w:r>
          <w:proofErr w:type="spellStart"/>
          <w:r w:rsidRPr="009F3B59">
            <w:t>etanercept</w:t>
          </w:r>
          <w:proofErr w:type="spellEnd"/>
          <w:r w:rsidRPr="009F3B59">
            <w:t xml:space="preserve"> (</w:t>
          </w:r>
          <w:proofErr w:type="spellStart"/>
          <w:r w:rsidRPr="009F3B59">
            <w:t>rch</w:t>
          </w:r>
          <w:proofErr w:type="spellEnd"/>
          <w:r w:rsidRPr="009F3B59">
            <w:t>) Enbrel Pfizer PM-2012-04135-1-3 Date of Finalisation</w:t>
          </w:r>
          <w:r>
            <w:t xml:space="preserve"> 24 April 2014</w:t>
          </w:r>
          <w:r w:rsidRPr="009F3B59">
            <w:tab/>
          </w:r>
        </w:p>
      </w:tc>
      <w:tc>
        <w:tcPr>
          <w:tcW w:w="4342" w:type="dxa"/>
          <w:tcMar>
            <w:top w:w="142" w:type="dxa"/>
            <w:bottom w:w="0" w:type="dxa"/>
          </w:tcMar>
        </w:tcPr>
        <w:p w:rsidR="00A449FF" w:rsidRPr="00487162" w:rsidRDefault="00A449FF" w:rsidP="00E45619">
          <w:pPr>
            <w:pStyle w:val="Footer"/>
            <w:jc w:val="right"/>
          </w:pPr>
          <w:r w:rsidRPr="00487162">
            <w:t xml:space="preserve">Page </w:t>
          </w:r>
          <w:r>
            <w:fldChar w:fldCharType="begin"/>
          </w:r>
          <w:r>
            <w:instrText>PAGE</w:instrText>
          </w:r>
          <w:r>
            <w:fldChar w:fldCharType="separate"/>
          </w:r>
          <w:r w:rsidR="00A36E52">
            <w:rPr>
              <w:noProof/>
            </w:rPr>
            <w:t>4</w:t>
          </w:r>
          <w:r>
            <w:rPr>
              <w:noProof/>
            </w:rPr>
            <w:fldChar w:fldCharType="end"/>
          </w:r>
          <w:r w:rsidRPr="00487162">
            <w:t xml:space="preserve"> of </w:t>
          </w:r>
          <w:fldSimple w:instr=" NUMPAGES  \* Arabic ">
            <w:r w:rsidR="00A36E52">
              <w:rPr>
                <w:noProof/>
              </w:rPr>
              <w:t>77</w:t>
            </w:r>
          </w:fldSimple>
        </w:p>
      </w:tc>
    </w:tr>
  </w:tbl>
  <w:p w:rsidR="00A449FF" w:rsidRDefault="00A449FF"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449FF" w:rsidRPr="00487162" w:rsidTr="00E45619">
      <w:trPr>
        <w:trHeight w:val="269"/>
      </w:trPr>
      <w:tc>
        <w:tcPr>
          <w:tcW w:w="4519" w:type="dxa"/>
          <w:tcBorders>
            <w:top w:val="single" w:sz="4" w:space="0" w:color="auto"/>
          </w:tcBorders>
          <w:tcMar>
            <w:top w:w="142" w:type="dxa"/>
            <w:bottom w:w="0" w:type="dxa"/>
          </w:tcMar>
        </w:tcPr>
        <w:p w:rsidR="00A449FF" w:rsidRPr="00487162" w:rsidRDefault="00A449FF" w:rsidP="00FE1DEE">
          <w:pPr>
            <w:pStyle w:val="Footer"/>
          </w:pPr>
          <w:r w:rsidRPr="00487162">
            <w:t>Document title, Part #, Section # - Section title</w:t>
          </w:r>
        </w:p>
        <w:p w:rsidR="00A449FF" w:rsidRPr="00487162" w:rsidRDefault="00A449FF" w:rsidP="00FE1DEE">
          <w:pPr>
            <w:pStyle w:val="Footer"/>
          </w:pPr>
          <w:r w:rsidRPr="00487162">
            <w:t>V1.0 October 2010</w:t>
          </w:r>
        </w:p>
      </w:tc>
      <w:tc>
        <w:tcPr>
          <w:tcW w:w="4342" w:type="dxa"/>
          <w:tcBorders>
            <w:top w:val="single" w:sz="4" w:space="0" w:color="auto"/>
          </w:tcBorders>
          <w:tcMar>
            <w:top w:w="142" w:type="dxa"/>
            <w:bottom w:w="0" w:type="dxa"/>
          </w:tcMar>
        </w:tcPr>
        <w:p w:rsidR="00A449FF" w:rsidRPr="00487162" w:rsidRDefault="00A449F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77</w:t>
            </w:r>
          </w:fldSimple>
        </w:p>
      </w:tc>
    </w:tr>
  </w:tbl>
  <w:p w:rsidR="00A449FF" w:rsidRDefault="00A449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Pr="001C32CD" w:rsidRDefault="00A449FF" w:rsidP="001C3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449FF" w:rsidTr="0010601F">
      <w:trPr>
        <w:trHeight w:val="108"/>
      </w:trPr>
      <w:tc>
        <w:tcPr>
          <w:tcW w:w="8875" w:type="dxa"/>
          <w:gridSpan w:val="2"/>
          <w:tcBorders>
            <w:bottom w:val="single" w:sz="4" w:space="0" w:color="auto"/>
          </w:tcBorders>
          <w:tcMar>
            <w:right w:w="284" w:type="dxa"/>
          </w:tcMar>
        </w:tcPr>
        <w:p w:rsidR="00A449FF" w:rsidRDefault="00A449FF" w:rsidP="006E08B3">
          <w:pPr>
            <w:pStyle w:val="Heading3"/>
          </w:pPr>
          <w:r>
            <w:t>Copyright</w:t>
          </w:r>
        </w:p>
        <w:p w:rsidR="00A449FF" w:rsidRDefault="00A449FF" w:rsidP="006E08B3">
          <w:r>
            <w:rPr>
              <w:rFonts w:cs="Arial"/>
            </w:rPr>
            <w:t>©</w:t>
          </w:r>
          <w:r>
            <w:t xml:space="preserve"> Commonwealth of Australia (add year)</w:t>
          </w:r>
        </w:p>
        <w:p w:rsidR="00A449FF" w:rsidRDefault="00A449FF" w:rsidP="006E08B3"/>
        <w:p w:rsidR="00A449FF" w:rsidRDefault="00A449F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449FF" w:rsidRDefault="00A449FF" w:rsidP="006E08B3"/>
        <w:p w:rsidR="00A449FF" w:rsidRDefault="00A449FF" w:rsidP="006E08B3">
          <w:pPr>
            <w:pStyle w:val="Heading3"/>
          </w:pPr>
          <w:r>
            <w:t>Confidentiality</w:t>
          </w:r>
        </w:p>
        <w:p w:rsidR="00A449FF" w:rsidRDefault="00A449F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449FF" w:rsidRDefault="00A449FF" w:rsidP="006E08B3"/>
        <w:p w:rsidR="00A449FF" w:rsidRDefault="00A449FF" w:rsidP="006E08B3">
          <w:r>
            <w:t>For submission made by individuals, all personal details, other than your name, will be removed from your submission before it is published on the TGA’s Internet site.</w:t>
          </w:r>
        </w:p>
        <w:p w:rsidR="00A449FF" w:rsidRDefault="00A449FF" w:rsidP="006E08B3"/>
        <w:p w:rsidR="00A449FF" w:rsidRDefault="00A449FF" w:rsidP="006E08B3">
          <w:r>
            <w:t>In addition, a list of parties making submissions will be published. If you do not wish to be identified with your submission you must specifically request this in the space provided in the submission coversheet.</w:t>
          </w:r>
        </w:p>
      </w:tc>
    </w:tr>
    <w:tr w:rsidR="00A449FF" w:rsidTr="0010601F">
      <w:trPr>
        <w:trHeight w:val="417"/>
      </w:trPr>
      <w:tc>
        <w:tcPr>
          <w:tcW w:w="4519" w:type="dxa"/>
          <w:tcBorders>
            <w:top w:val="single" w:sz="4" w:space="0" w:color="auto"/>
          </w:tcBorders>
          <w:tcMar>
            <w:top w:w="142" w:type="dxa"/>
            <w:bottom w:w="0" w:type="dxa"/>
          </w:tcMar>
        </w:tcPr>
        <w:p w:rsidR="00A449FF" w:rsidRDefault="00A449FF" w:rsidP="006E08B3">
          <w:r>
            <w:t>Document title, Part #, Section # - Section title</w:t>
          </w:r>
        </w:p>
        <w:p w:rsidR="00A449FF" w:rsidRDefault="00A449FF" w:rsidP="006E08B3">
          <w:r>
            <w:t>V1.0 October 2010</w:t>
          </w:r>
        </w:p>
      </w:tc>
      <w:tc>
        <w:tcPr>
          <w:tcW w:w="4356" w:type="dxa"/>
          <w:tcBorders>
            <w:top w:val="single" w:sz="4" w:space="0" w:color="auto"/>
          </w:tcBorders>
          <w:tcMar>
            <w:top w:w="142" w:type="dxa"/>
            <w:bottom w:w="0" w:type="dxa"/>
          </w:tcMar>
        </w:tcPr>
        <w:p w:rsidR="00A449FF" w:rsidRDefault="00A449F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77</w:t>
            </w:r>
          </w:fldSimple>
          <w:r>
            <w:t xml:space="preserve"> </w:t>
          </w:r>
        </w:p>
      </w:tc>
    </w:tr>
  </w:tbl>
  <w:p w:rsidR="00A449FF" w:rsidRDefault="00A449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9FF" w:rsidRDefault="00A449FF" w:rsidP="00C40A36">
      <w:pPr>
        <w:spacing w:after="0"/>
      </w:pPr>
      <w:r>
        <w:separator/>
      </w:r>
    </w:p>
  </w:footnote>
  <w:footnote w:type="continuationSeparator" w:id="0">
    <w:p w:rsidR="00A449FF" w:rsidRDefault="00A449FF" w:rsidP="00C40A36">
      <w:pPr>
        <w:spacing w:after="0"/>
      </w:pPr>
      <w:r>
        <w:continuationSeparator/>
      </w:r>
    </w:p>
  </w:footnote>
  <w:footnote w:id="1">
    <w:p w:rsidR="00A449FF" w:rsidRDefault="00A449FF" w:rsidP="00783828">
      <w:pPr>
        <w:pStyle w:val="FootnoteText"/>
      </w:pPr>
      <w:r>
        <w:rPr>
          <w:rStyle w:val="FootnoteReference"/>
        </w:rPr>
        <w:footnoteRef/>
      </w:r>
      <w:r>
        <w:t xml:space="preserve"> </w:t>
      </w:r>
      <w:proofErr w:type="spellStart"/>
      <w:r w:rsidRPr="007B261C">
        <w:t>Ruperto</w:t>
      </w:r>
      <w:proofErr w:type="spellEnd"/>
      <w:r w:rsidRPr="007B261C">
        <w:t xml:space="preserve"> N, </w:t>
      </w:r>
      <w:proofErr w:type="spellStart"/>
      <w:r w:rsidRPr="007B261C">
        <w:t>Pistorio</w:t>
      </w:r>
      <w:proofErr w:type="spellEnd"/>
      <w:r w:rsidRPr="007B261C">
        <w:t xml:space="preserve"> A, Martini A, et al. </w:t>
      </w:r>
      <w:proofErr w:type="gramStart"/>
      <w:r w:rsidRPr="007B261C">
        <w:t xml:space="preserve">A meta-analysis to estimate the “real” placebo effect in juvenile rheumatoid arthritis (JRA) trials </w:t>
      </w:r>
      <w:r>
        <w:t>(</w:t>
      </w:r>
      <w:r w:rsidRPr="007B261C">
        <w:t>abstract</w:t>
      </w:r>
      <w:r>
        <w:t>)</w:t>
      </w:r>
      <w:r w:rsidRPr="007B261C">
        <w:t>.</w:t>
      </w:r>
      <w:proofErr w:type="gramEnd"/>
      <w:r w:rsidRPr="007B261C">
        <w:t xml:space="preserve"> Arthritis Rheum 2003; 48 </w:t>
      </w:r>
      <w:proofErr w:type="spellStart"/>
      <w:r w:rsidRPr="007B261C">
        <w:t>Suppl</w:t>
      </w:r>
      <w:proofErr w:type="spellEnd"/>
      <w:r w:rsidRPr="007B261C">
        <w:t xml:space="preserve"> 9: S90.</w:t>
      </w:r>
    </w:p>
  </w:footnote>
  <w:footnote w:id="2">
    <w:p w:rsidR="00A449FF" w:rsidRDefault="00A449FF" w:rsidP="00783828">
      <w:pPr>
        <w:pStyle w:val="FootnoteText"/>
      </w:pPr>
      <w:r>
        <w:rPr>
          <w:rStyle w:val="FootnoteReference"/>
        </w:rPr>
        <w:footnoteRef/>
      </w:r>
      <w:r>
        <w:t xml:space="preserve"> </w:t>
      </w:r>
      <w:r w:rsidRPr="00985216">
        <w:rPr>
          <w:szCs w:val="18"/>
        </w:rPr>
        <w:t xml:space="preserve">Lovell DJ, </w:t>
      </w:r>
      <w:proofErr w:type="spellStart"/>
      <w:r w:rsidRPr="00985216">
        <w:rPr>
          <w:szCs w:val="18"/>
        </w:rPr>
        <w:t>Giannini</w:t>
      </w:r>
      <w:proofErr w:type="spellEnd"/>
      <w:r w:rsidRPr="00985216">
        <w:rPr>
          <w:szCs w:val="18"/>
        </w:rPr>
        <w:t xml:space="preserve"> EH, </w:t>
      </w:r>
      <w:proofErr w:type="spellStart"/>
      <w:r w:rsidRPr="00985216">
        <w:rPr>
          <w:szCs w:val="18"/>
        </w:rPr>
        <w:t>Reiff</w:t>
      </w:r>
      <w:proofErr w:type="spellEnd"/>
      <w:r w:rsidRPr="00985216">
        <w:rPr>
          <w:szCs w:val="18"/>
        </w:rPr>
        <w:t xml:space="preserve"> A, et al. </w:t>
      </w:r>
      <w:proofErr w:type="spellStart"/>
      <w:r w:rsidRPr="00985216">
        <w:rPr>
          <w:szCs w:val="18"/>
        </w:rPr>
        <w:t>Etanercept</w:t>
      </w:r>
      <w:proofErr w:type="spellEnd"/>
      <w:r w:rsidRPr="00985216">
        <w:rPr>
          <w:szCs w:val="18"/>
        </w:rPr>
        <w:t xml:space="preserve"> in children with </w:t>
      </w:r>
      <w:proofErr w:type="spellStart"/>
      <w:r w:rsidRPr="00985216">
        <w:rPr>
          <w:szCs w:val="18"/>
        </w:rPr>
        <w:t>polyarticular</w:t>
      </w:r>
      <w:proofErr w:type="spellEnd"/>
      <w:r w:rsidRPr="00985216">
        <w:rPr>
          <w:szCs w:val="18"/>
        </w:rPr>
        <w:t xml:space="preserve"> juvenile rheumatoid arthritis. N </w:t>
      </w:r>
      <w:proofErr w:type="spellStart"/>
      <w:r w:rsidRPr="00985216">
        <w:rPr>
          <w:szCs w:val="18"/>
        </w:rPr>
        <w:t>Engl</w:t>
      </w:r>
      <w:proofErr w:type="spellEnd"/>
      <w:r w:rsidRPr="00985216">
        <w:rPr>
          <w:szCs w:val="18"/>
        </w:rPr>
        <w:t xml:space="preserve"> J Med 2000; 342: 763-769.</w:t>
      </w:r>
    </w:p>
  </w:footnote>
  <w:footnote w:id="3">
    <w:p w:rsidR="00A449FF" w:rsidRDefault="00A449FF" w:rsidP="00480747">
      <w:pPr>
        <w:pStyle w:val="FootnoteText"/>
      </w:pPr>
      <w:r>
        <w:rPr>
          <w:rStyle w:val="FootnoteReference"/>
        </w:rPr>
        <w:footnoteRef/>
      </w:r>
      <w:r>
        <w:t xml:space="preserve"> </w:t>
      </w:r>
      <w:proofErr w:type="spellStart"/>
      <w:r w:rsidRPr="00DC309B">
        <w:t>Schober's</w:t>
      </w:r>
      <w:proofErr w:type="spellEnd"/>
      <w:r w:rsidRPr="00DC309B">
        <w:t xml:space="preserve"> test is </w:t>
      </w:r>
      <w:proofErr w:type="gramStart"/>
      <w:r w:rsidRPr="00DC309B">
        <w:t xml:space="preserve">a test </w:t>
      </w:r>
      <w:r w:rsidRPr="00480747">
        <w:t>used</w:t>
      </w:r>
      <w:r w:rsidRPr="00DC309B">
        <w:t xml:space="preserve"> in </w:t>
      </w:r>
      <w:hyperlink r:id="rId1" w:tooltip="Rheumatology" w:history="1">
        <w:r w:rsidRPr="00DC309B">
          <w:t>rheumatology</w:t>
        </w:r>
      </w:hyperlink>
      <w:r w:rsidRPr="00DC309B">
        <w:t xml:space="preserve"> to measure the ability of a patient to flex his/her </w:t>
      </w:r>
      <w:hyperlink r:id="rId2" w:tooltip="Lower back" w:history="1">
        <w:r w:rsidRPr="00DC309B">
          <w:t>lower</w:t>
        </w:r>
        <w:proofErr w:type="gramEnd"/>
        <w:r w:rsidRPr="00DC309B">
          <w:t xml:space="preserve"> back</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449FF" w:rsidRDefault="00A449FF" w:rsidP="00593AD1">
    <w:pPr>
      <w:pStyle w:val="HeaderNoLine"/>
    </w:pPr>
    <w:r>
      <w:rPr>
        <w:noProof/>
        <w:lang w:eastAsia="en-AU"/>
      </w:rPr>
      <w:drawing>
        <wp:inline distT="0" distB="0" distL="0" distR="0">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FF" w:rsidRDefault="00A449FF" w:rsidP="006E08B3">
    <w:r>
      <w:t>Therapeutic Goods Administration</w:t>
    </w:r>
  </w:p>
  <w:p w:rsidR="00A449FF" w:rsidRDefault="00A449F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3BCDCB2"/>
    <w:lvl w:ilvl="0">
      <w:start w:val="1"/>
      <w:numFmt w:val="decimal"/>
      <w:lvlText w:val="%1."/>
      <w:lvlJc w:val="left"/>
      <w:pPr>
        <w:tabs>
          <w:tab w:val="num" w:pos="1492"/>
        </w:tabs>
        <w:ind w:left="1492" w:hanging="360"/>
      </w:pPr>
    </w:lvl>
  </w:abstractNum>
  <w:abstractNum w:abstractNumId="1">
    <w:nsid w:val="FFFFFF7D"/>
    <w:multiLevelType w:val="singleLevel"/>
    <w:tmpl w:val="833AB342"/>
    <w:lvl w:ilvl="0">
      <w:start w:val="1"/>
      <w:numFmt w:val="decimal"/>
      <w:lvlText w:val="%1."/>
      <w:lvlJc w:val="left"/>
      <w:pPr>
        <w:tabs>
          <w:tab w:val="num" w:pos="1209"/>
        </w:tabs>
        <w:ind w:left="1209" w:hanging="360"/>
      </w:pPr>
    </w:lvl>
  </w:abstractNum>
  <w:abstractNum w:abstractNumId="2">
    <w:nsid w:val="FFFFFF7E"/>
    <w:multiLevelType w:val="singleLevel"/>
    <w:tmpl w:val="11649D92"/>
    <w:lvl w:ilvl="0">
      <w:start w:val="1"/>
      <w:numFmt w:val="decimal"/>
      <w:lvlText w:val="%1."/>
      <w:lvlJc w:val="left"/>
      <w:pPr>
        <w:tabs>
          <w:tab w:val="num" w:pos="926"/>
        </w:tabs>
        <w:ind w:left="926" w:hanging="360"/>
      </w:pPr>
    </w:lvl>
  </w:abstractNum>
  <w:abstractNum w:abstractNumId="3">
    <w:nsid w:val="FFFFFF7F"/>
    <w:multiLevelType w:val="singleLevel"/>
    <w:tmpl w:val="586EC59C"/>
    <w:lvl w:ilvl="0">
      <w:start w:val="1"/>
      <w:numFmt w:val="decimal"/>
      <w:lvlText w:val="%1."/>
      <w:lvlJc w:val="left"/>
      <w:pPr>
        <w:tabs>
          <w:tab w:val="num" w:pos="643"/>
        </w:tabs>
        <w:ind w:left="643" w:hanging="360"/>
      </w:pPr>
    </w:lvl>
  </w:abstractNum>
  <w:abstractNum w:abstractNumId="4">
    <w:nsid w:val="FFFFFF80"/>
    <w:multiLevelType w:val="singleLevel"/>
    <w:tmpl w:val="1E1C8C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58325E"/>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19042F12"/>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6728ED94"/>
    <w:lvl w:ilvl="0">
      <w:start w:val="1"/>
      <w:numFmt w:val="decimal"/>
      <w:lvlText w:val="%1."/>
      <w:lvlJc w:val="left"/>
      <w:pPr>
        <w:tabs>
          <w:tab w:val="num" w:pos="360"/>
        </w:tabs>
        <w:ind w:left="360" w:hanging="360"/>
      </w:pPr>
    </w:lvl>
  </w:abstractNum>
  <w:abstractNum w:abstractNumId="8">
    <w:nsid w:val="FFFFFF89"/>
    <w:multiLevelType w:val="singleLevel"/>
    <w:tmpl w:val="94283324"/>
    <w:lvl w:ilvl="0">
      <w:start w:val="1"/>
      <w:numFmt w:val="bullet"/>
      <w:lvlText w:val=""/>
      <w:lvlJc w:val="left"/>
      <w:pPr>
        <w:tabs>
          <w:tab w:val="num" w:pos="360"/>
        </w:tabs>
        <w:ind w:left="360" w:hanging="360"/>
      </w:pPr>
      <w:rPr>
        <w:rFonts w:ascii="Symbol" w:hAnsi="Symbol"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0860786"/>
    <w:multiLevelType w:val="hybridMultilevel"/>
    <w:tmpl w:val="98E4D8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133766A5"/>
    <w:multiLevelType w:val="hybridMultilevel"/>
    <w:tmpl w:val="EC74E3E8"/>
    <w:lvl w:ilvl="0" w:tplc="C3F416FC">
      <w:start w:val="1"/>
      <w:numFmt w:val="decimal"/>
      <w:lvlText w:val="%1."/>
      <w:lvlJc w:val="left"/>
      <w:pPr>
        <w:ind w:left="4613" w:hanging="360"/>
      </w:pPr>
      <w:rPr>
        <w:rFonts w:hint="default"/>
      </w:rPr>
    </w:lvl>
    <w:lvl w:ilvl="1" w:tplc="1DCA5466">
      <w:start w:val="1"/>
      <w:numFmt w:val="decimal"/>
      <w:lvlText w:val="%2."/>
      <w:lvlJc w:val="left"/>
      <w:pPr>
        <w:ind w:left="5333" w:hanging="360"/>
      </w:pPr>
      <w:rPr>
        <w:rFonts w:hint="default"/>
      </w:rPr>
    </w:lvl>
    <w:lvl w:ilvl="2" w:tplc="0C09001B" w:tentative="1">
      <w:start w:val="1"/>
      <w:numFmt w:val="lowerRoman"/>
      <w:lvlText w:val="%3."/>
      <w:lvlJc w:val="right"/>
      <w:pPr>
        <w:ind w:left="6053" w:hanging="180"/>
      </w:pPr>
    </w:lvl>
    <w:lvl w:ilvl="3" w:tplc="0C09000F" w:tentative="1">
      <w:start w:val="1"/>
      <w:numFmt w:val="decimal"/>
      <w:lvlText w:val="%4."/>
      <w:lvlJc w:val="left"/>
      <w:pPr>
        <w:ind w:left="6773" w:hanging="360"/>
      </w:pPr>
    </w:lvl>
    <w:lvl w:ilvl="4" w:tplc="0C090019" w:tentative="1">
      <w:start w:val="1"/>
      <w:numFmt w:val="lowerLetter"/>
      <w:lvlText w:val="%5."/>
      <w:lvlJc w:val="left"/>
      <w:pPr>
        <w:ind w:left="7493" w:hanging="360"/>
      </w:pPr>
    </w:lvl>
    <w:lvl w:ilvl="5" w:tplc="0C09001B" w:tentative="1">
      <w:start w:val="1"/>
      <w:numFmt w:val="lowerRoman"/>
      <w:lvlText w:val="%6."/>
      <w:lvlJc w:val="right"/>
      <w:pPr>
        <w:ind w:left="8213" w:hanging="180"/>
      </w:pPr>
    </w:lvl>
    <w:lvl w:ilvl="6" w:tplc="0C09000F" w:tentative="1">
      <w:start w:val="1"/>
      <w:numFmt w:val="decimal"/>
      <w:lvlText w:val="%7."/>
      <w:lvlJc w:val="left"/>
      <w:pPr>
        <w:ind w:left="8933" w:hanging="360"/>
      </w:pPr>
    </w:lvl>
    <w:lvl w:ilvl="7" w:tplc="0C090019" w:tentative="1">
      <w:start w:val="1"/>
      <w:numFmt w:val="lowerLetter"/>
      <w:lvlText w:val="%8."/>
      <w:lvlJc w:val="left"/>
      <w:pPr>
        <w:ind w:left="9653" w:hanging="360"/>
      </w:pPr>
    </w:lvl>
    <w:lvl w:ilvl="8" w:tplc="0C09001B" w:tentative="1">
      <w:start w:val="1"/>
      <w:numFmt w:val="lowerRoman"/>
      <w:lvlText w:val="%9."/>
      <w:lvlJc w:val="right"/>
      <w:pPr>
        <w:ind w:left="10373" w:hanging="180"/>
      </w:pPr>
    </w:lvl>
  </w:abstractNum>
  <w:abstractNum w:abstractNumId="12">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771"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A9664F"/>
    <w:multiLevelType w:val="multilevel"/>
    <w:tmpl w:val="3E9EBBAC"/>
    <w:lvl w:ilvl="0">
      <w:start w:val="1"/>
      <w:numFmt w:val="bullet"/>
      <w:lvlText w:val=""/>
      <w:lvlJc w:val="left"/>
      <w:pPr>
        <w:ind w:left="1145" w:hanging="425"/>
      </w:pPr>
      <w:rPr>
        <w:rFonts w:ascii="Symbol" w:hAnsi="Symbol" w:hint="default"/>
      </w:rPr>
    </w:lvl>
    <w:lvl w:ilvl="1">
      <w:start w:val="1"/>
      <w:numFmt w:val="bullet"/>
      <w:lvlText w:val="o"/>
      <w:lvlJc w:val="left"/>
      <w:pPr>
        <w:ind w:left="1571" w:hanging="426"/>
      </w:pPr>
      <w:rPr>
        <w:rFonts w:ascii="Courier New" w:hAnsi="Courier New" w:cs="Courier New" w:hint="default"/>
      </w:rPr>
    </w:lvl>
    <w:lvl w:ilvl="2">
      <w:start w:val="1"/>
      <w:numFmt w:val="lowerRoman"/>
      <w:lvlText w:val="%3."/>
      <w:lvlJc w:val="left"/>
      <w:pPr>
        <w:ind w:left="1996" w:hanging="425"/>
      </w:pPr>
      <w:rPr>
        <w:rFonts w:hint="default"/>
      </w:rPr>
    </w:lvl>
    <w:lvl w:ilvl="3">
      <w:start w:val="1"/>
      <w:numFmt w:val="none"/>
      <w:lvlText w:val=""/>
      <w:lvlJc w:val="left"/>
      <w:pPr>
        <w:ind w:left="1996" w:hanging="425"/>
      </w:pPr>
      <w:rPr>
        <w:rFonts w:hint="default"/>
      </w:rPr>
    </w:lvl>
    <w:lvl w:ilvl="4">
      <w:start w:val="1"/>
      <w:numFmt w:val="none"/>
      <w:lvlText w:val=""/>
      <w:lvlJc w:val="left"/>
      <w:pPr>
        <w:ind w:left="1996" w:hanging="425"/>
      </w:pPr>
      <w:rPr>
        <w:rFonts w:hint="default"/>
      </w:rPr>
    </w:lvl>
    <w:lvl w:ilvl="5">
      <w:start w:val="1"/>
      <w:numFmt w:val="none"/>
      <w:lvlText w:val=""/>
      <w:lvlJc w:val="left"/>
      <w:pPr>
        <w:ind w:left="1996" w:hanging="425"/>
      </w:pPr>
      <w:rPr>
        <w:rFonts w:hint="default"/>
      </w:rPr>
    </w:lvl>
    <w:lvl w:ilvl="6">
      <w:start w:val="1"/>
      <w:numFmt w:val="none"/>
      <w:lvlText w:val="%7"/>
      <w:lvlJc w:val="left"/>
      <w:pPr>
        <w:ind w:left="1996" w:hanging="425"/>
      </w:pPr>
      <w:rPr>
        <w:rFonts w:hint="default"/>
      </w:rPr>
    </w:lvl>
    <w:lvl w:ilvl="7">
      <w:start w:val="1"/>
      <w:numFmt w:val="none"/>
      <w:lvlText w:val=""/>
      <w:lvlJc w:val="left"/>
      <w:pPr>
        <w:ind w:left="1996" w:hanging="425"/>
      </w:pPr>
      <w:rPr>
        <w:rFonts w:hint="default"/>
      </w:rPr>
    </w:lvl>
    <w:lvl w:ilvl="8">
      <w:start w:val="1"/>
      <w:numFmt w:val="none"/>
      <w:lvlText w:val=""/>
      <w:lvlJc w:val="left"/>
      <w:pPr>
        <w:ind w:left="1996" w:hanging="425"/>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26CF0ED5"/>
    <w:multiLevelType w:val="hybridMultilevel"/>
    <w:tmpl w:val="64DA630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2B453520"/>
    <w:multiLevelType w:val="hybridMultilevel"/>
    <w:tmpl w:val="716232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BC302D8"/>
    <w:multiLevelType w:val="singleLevel"/>
    <w:tmpl w:val="8460FF20"/>
    <w:lvl w:ilvl="0">
      <w:start w:val="1"/>
      <w:numFmt w:val="lowerRoman"/>
      <w:lvlText w:val="%1)"/>
      <w:lvlJc w:val="left"/>
      <w:pPr>
        <w:tabs>
          <w:tab w:val="num" w:pos="720"/>
        </w:tabs>
        <w:ind w:left="720" w:hanging="720"/>
      </w:pPr>
      <w:rPr>
        <w:rFonts w:hint="default"/>
      </w:rPr>
    </w:lvl>
  </w:abstractNum>
  <w:abstractNum w:abstractNumId="18">
    <w:nsid w:val="3066740A"/>
    <w:multiLevelType w:val="hybridMultilevel"/>
    <w:tmpl w:val="CA50DC32"/>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3754CA4"/>
    <w:multiLevelType w:val="multilevel"/>
    <w:tmpl w:val="F482D696"/>
    <w:lvl w:ilvl="0">
      <w:start w:val="1"/>
      <w:numFmt w:val="bullet"/>
      <w:lvlText w:val=""/>
      <w:lvlJc w:val="left"/>
      <w:pPr>
        <w:ind w:left="1145" w:hanging="425"/>
      </w:pPr>
      <w:rPr>
        <w:rFonts w:ascii="Symbol" w:hAnsi="Symbol" w:hint="default"/>
      </w:rPr>
    </w:lvl>
    <w:lvl w:ilvl="1">
      <w:start w:val="1"/>
      <w:numFmt w:val="lowerLetter"/>
      <w:lvlText w:val="%2."/>
      <w:lvlJc w:val="left"/>
      <w:pPr>
        <w:ind w:left="1571" w:hanging="426"/>
      </w:pPr>
      <w:rPr>
        <w:rFonts w:hint="default"/>
      </w:rPr>
    </w:lvl>
    <w:lvl w:ilvl="2">
      <w:start w:val="1"/>
      <w:numFmt w:val="lowerRoman"/>
      <w:lvlText w:val="%3."/>
      <w:lvlJc w:val="left"/>
      <w:pPr>
        <w:ind w:left="1996" w:hanging="425"/>
      </w:pPr>
      <w:rPr>
        <w:rFonts w:hint="default"/>
      </w:rPr>
    </w:lvl>
    <w:lvl w:ilvl="3">
      <w:start w:val="1"/>
      <w:numFmt w:val="none"/>
      <w:lvlText w:val=""/>
      <w:lvlJc w:val="left"/>
      <w:pPr>
        <w:ind w:left="1996" w:hanging="425"/>
      </w:pPr>
      <w:rPr>
        <w:rFonts w:hint="default"/>
      </w:rPr>
    </w:lvl>
    <w:lvl w:ilvl="4">
      <w:start w:val="1"/>
      <w:numFmt w:val="none"/>
      <w:lvlText w:val=""/>
      <w:lvlJc w:val="left"/>
      <w:pPr>
        <w:ind w:left="1996" w:hanging="425"/>
      </w:pPr>
      <w:rPr>
        <w:rFonts w:hint="default"/>
      </w:rPr>
    </w:lvl>
    <w:lvl w:ilvl="5">
      <w:start w:val="1"/>
      <w:numFmt w:val="none"/>
      <w:lvlText w:val=""/>
      <w:lvlJc w:val="left"/>
      <w:pPr>
        <w:ind w:left="1996" w:hanging="425"/>
      </w:pPr>
      <w:rPr>
        <w:rFonts w:hint="default"/>
      </w:rPr>
    </w:lvl>
    <w:lvl w:ilvl="6">
      <w:start w:val="1"/>
      <w:numFmt w:val="none"/>
      <w:lvlText w:val="%7"/>
      <w:lvlJc w:val="left"/>
      <w:pPr>
        <w:ind w:left="1996" w:hanging="425"/>
      </w:pPr>
      <w:rPr>
        <w:rFonts w:hint="default"/>
      </w:rPr>
    </w:lvl>
    <w:lvl w:ilvl="7">
      <w:start w:val="1"/>
      <w:numFmt w:val="none"/>
      <w:lvlText w:val=""/>
      <w:lvlJc w:val="left"/>
      <w:pPr>
        <w:ind w:left="1996" w:hanging="425"/>
      </w:pPr>
      <w:rPr>
        <w:rFonts w:hint="default"/>
      </w:rPr>
    </w:lvl>
    <w:lvl w:ilvl="8">
      <w:start w:val="1"/>
      <w:numFmt w:val="none"/>
      <w:lvlText w:val=""/>
      <w:lvlJc w:val="left"/>
      <w:pPr>
        <w:ind w:left="1996" w:hanging="425"/>
      </w:pPr>
      <w:rPr>
        <w:rFonts w:hint="default"/>
      </w:rPr>
    </w:lvl>
  </w:abstractNum>
  <w:abstractNum w:abstractNumId="20">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0D2C2B"/>
    <w:multiLevelType w:val="hybridMultilevel"/>
    <w:tmpl w:val="32CC403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643B6F1B"/>
    <w:multiLevelType w:val="hybridMultilevel"/>
    <w:tmpl w:val="9918D36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6C27CEE"/>
    <w:multiLevelType w:val="hybridMultilevel"/>
    <w:tmpl w:val="0562D81E"/>
    <w:lvl w:ilvl="0" w:tplc="5FB666BC">
      <w:start w:val="1"/>
      <w:numFmt w:val="decimal"/>
      <w:lvlText w:val="%1)"/>
      <w:lvlJc w:val="left"/>
      <w:pPr>
        <w:tabs>
          <w:tab w:val="num" w:pos="1440"/>
        </w:tabs>
        <w:ind w:left="1440" w:hanging="720"/>
      </w:pPr>
      <w:rPr>
        <w:rFonts w:hint="default"/>
      </w:rPr>
    </w:lvl>
    <w:lvl w:ilvl="1" w:tplc="0C090019">
      <w:start w:val="1"/>
      <w:numFmt w:val="lowerLetter"/>
      <w:lvlText w:val="%2."/>
      <w:lvlJc w:val="left"/>
      <w:pPr>
        <w:ind w:left="2171" w:hanging="360"/>
      </w:pPr>
    </w:lvl>
    <w:lvl w:ilvl="2" w:tplc="0C09001B" w:tentative="1">
      <w:start w:val="1"/>
      <w:numFmt w:val="lowerRoman"/>
      <w:lvlText w:val="%3."/>
      <w:lvlJc w:val="right"/>
      <w:pPr>
        <w:ind w:left="2891" w:hanging="180"/>
      </w:pPr>
    </w:lvl>
    <w:lvl w:ilvl="3" w:tplc="0C09000F" w:tentative="1">
      <w:start w:val="1"/>
      <w:numFmt w:val="decimal"/>
      <w:lvlText w:val="%4."/>
      <w:lvlJc w:val="left"/>
      <w:pPr>
        <w:ind w:left="3611" w:hanging="360"/>
      </w:pPr>
    </w:lvl>
    <w:lvl w:ilvl="4" w:tplc="0C090019" w:tentative="1">
      <w:start w:val="1"/>
      <w:numFmt w:val="lowerLetter"/>
      <w:lvlText w:val="%5."/>
      <w:lvlJc w:val="left"/>
      <w:pPr>
        <w:ind w:left="4331" w:hanging="360"/>
      </w:pPr>
    </w:lvl>
    <w:lvl w:ilvl="5" w:tplc="0C09001B" w:tentative="1">
      <w:start w:val="1"/>
      <w:numFmt w:val="lowerRoman"/>
      <w:lvlText w:val="%6."/>
      <w:lvlJc w:val="right"/>
      <w:pPr>
        <w:ind w:left="5051" w:hanging="180"/>
      </w:pPr>
    </w:lvl>
    <w:lvl w:ilvl="6" w:tplc="0C09000F" w:tentative="1">
      <w:start w:val="1"/>
      <w:numFmt w:val="decimal"/>
      <w:lvlText w:val="%7."/>
      <w:lvlJc w:val="left"/>
      <w:pPr>
        <w:ind w:left="5771" w:hanging="360"/>
      </w:pPr>
    </w:lvl>
    <w:lvl w:ilvl="7" w:tplc="0C090019" w:tentative="1">
      <w:start w:val="1"/>
      <w:numFmt w:val="lowerLetter"/>
      <w:lvlText w:val="%8."/>
      <w:lvlJc w:val="left"/>
      <w:pPr>
        <w:ind w:left="6491" w:hanging="360"/>
      </w:pPr>
    </w:lvl>
    <w:lvl w:ilvl="8" w:tplc="0C09001B" w:tentative="1">
      <w:start w:val="1"/>
      <w:numFmt w:val="lowerRoman"/>
      <w:lvlText w:val="%9."/>
      <w:lvlJc w:val="right"/>
      <w:pPr>
        <w:ind w:left="7211" w:hanging="180"/>
      </w:pPr>
    </w:lvl>
  </w:abstractNum>
  <w:abstractNum w:abstractNumId="24">
    <w:nsid w:val="74A062C8"/>
    <w:multiLevelType w:val="hybridMultilevel"/>
    <w:tmpl w:val="C43832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4B52126"/>
    <w:multiLevelType w:val="hybridMultilevel"/>
    <w:tmpl w:val="BAA03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3822B8"/>
    <w:multiLevelType w:val="hybridMultilevel"/>
    <w:tmpl w:val="59F6CE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8843618"/>
    <w:multiLevelType w:val="hybridMultilevel"/>
    <w:tmpl w:val="B9AA2806"/>
    <w:lvl w:ilvl="0" w:tplc="0C090001">
      <w:start w:val="1"/>
      <w:numFmt w:val="bullet"/>
      <w:lvlText w:val=""/>
      <w:lvlJc w:val="left"/>
      <w:pPr>
        <w:tabs>
          <w:tab w:val="num" w:pos="1494"/>
        </w:tabs>
        <w:ind w:left="1494" w:hanging="360"/>
      </w:pPr>
      <w:rPr>
        <w:rFonts w:ascii="Symbol" w:hAnsi="Symbol" w:hint="default"/>
      </w:rPr>
    </w:lvl>
    <w:lvl w:ilvl="1" w:tplc="0C090003" w:tentative="1">
      <w:start w:val="1"/>
      <w:numFmt w:val="bullet"/>
      <w:lvlText w:val="o"/>
      <w:lvlJc w:val="left"/>
      <w:pPr>
        <w:tabs>
          <w:tab w:val="num" w:pos="2214"/>
        </w:tabs>
        <w:ind w:left="2214" w:hanging="360"/>
      </w:pPr>
      <w:rPr>
        <w:rFonts w:ascii="Courier New" w:hAnsi="Courier New" w:cs="Courier New" w:hint="default"/>
      </w:rPr>
    </w:lvl>
    <w:lvl w:ilvl="2" w:tplc="0C090005" w:tentative="1">
      <w:start w:val="1"/>
      <w:numFmt w:val="bullet"/>
      <w:lvlText w:val=""/>
      <w:lvlJc w:val="left"/>
      <w:pPr>
        <w:tabs>
          <w:tab w:val="num" w:pos="2934"/>
        </w:tabs>
        <w:ind w:left="2934" w:hanging="360"/>
      </w:pPr>
      <w:rPr>
        <w:rFonts w:ascii="Wingdings" w:hAnsi="Wingdings" w:hint="default"/>
      </w:rPr>
    </w:lvl>
    <w:lvl w:ilvl="3" w:tplc="0C090001" w:tentative="1">
      <w:start w:val="1"/>
      <w:numFmt w:val="bullet"/>
      <w:lvlText w:val=""/>
      <w:lvlJc w:val="left"/>
      <w:pPr>
        <w:tabs>
          <w:tab w:val="num" w:pos="3654"/>
        </w:tabs>
        <w:ind w:left="3654" w:hanging="360"/>
      </w:pPr>
      <w:rPr>
        <w:rFonts w:ascii="Symbol" w:hAnsi="Symbol" w:hint="default"/>
      </w:rPr>
    </w:lvl>
    <w:lvl w:ilvl="4" w:tplc="0C090003" w:tentative="1">
      <w:start w:val="1"/>
      <w:numFmt w:val="bullet"/>
      <w:lvlText w:val="o"/>
      <w:lvlJc w:val="left"/>
      <w:pPr>
        <w:tabs>
          <w:tab w:val="num" w:pos="4374"/>
        </w:tabs>
        <w:ind w:left="4374" w:hanging="360"/>
      </w:pPr>
      <w:rPr>
        <w:rFonts w:ascii="Courier New" w:hAnsi="Courier New" w:cs="Courier New" w:hint="default"/>
      </w:rPr>
    </w:lvl>
    <w:lvl w:ilvl="5" w:tplc="0C090005" w:tentative="1">
      <w:start w:val="1"/>
      <w:numFmt w:val="bullet"/>
      <w:lvlText w:val=""/>
      <w:lvlJc w:val="left"/>
      <w:pPr>
        <w:tabs>
          <w:tab w:val="num" w:pos="5094"/>
        </w:tabs>
        <w:ind w:left="5094" w:hanging="360"/>
      </w:pPr>
      <w:rPr>
        <w:rFonts w:ascii="Wingdings" w:hAnsi="Wingdings" w:hint="default"/>
      </w:rPr>
    </w:lvl>
    <w:lvl w:ilvl="6" w:tplc="0C090001" w:tentative="1">
      <w:start w:val="1"/>
      <w:numFmt w:val="bullet"/>
      <w:lvlText w:val=""/>
      <w:lvlJc w:val="left"/>
      <w:pPr>
        <w:tabs>
          <w:tab w:val="num" w:pos="5814"/>
        </w:tabs>
        <w:ind w:left="5814" w:hanging="360"/>
      </w:pPr>
      <w:rPr>
        <w:rFonts w:ascii="Symbol" w:hAnsi="Symbol" w:hint="default"/>
      </w:rPr>
    </w:lvl>
    <w:lvl w:ilvl="7" w:tplc="0C090003" w:tentative="1">
      <w:start w:val="1"/>
      <w:numFmt w:val="bullet"/>
      <w:lvlText w:val="o"/>
      <w:lvlJc w:val="left"/>
      <w:pPr>
        <w:tabs>
          <w:tab w:val="num" w:pos="6534"/>
        </w:tabs>
        <w:ind w:left="6534" w:hanging="360"/>
      </w:pPr>
      <w:rPr>
        <w:rFonts w:ascii="Courier New" w:hAnsi="Courier New" w:cs="Courier New" w:hint="default"/>
      </w:rPr>
    </w:lvl>
    <w:lvl w:ilvl="8" w:tplc="0C090005" w:tentative="1">
      <w:start w:val="1"/>
      <w:numFmt w:val="bullet"/>
      <w:lvlText w:val=""/>
      <w:lvlJc w:val="left"/>
      <w:pPr>
        <w:tabs>
          <w:tab w:val="num" w:pos="7254"/>
        </w:tabs>
        <w:ind w:left="7254" w:hanging="360"/>
      </w:pPr>
      <w:rPr>
        <w:rFonts w:ascii="Wingdings" w:hAnsi="Wingdings" w:hint="default"/>
      </w:rPr>
    </w:lvl>
  </w:abstractNum>
  <w:num w:numId="1">
    <w:abstractNumId w:val="14"/>
  </w:num>
  <w:num w:numId="2">
    <w:abstractNumId w:val="9"/>
  </w:num>
  <w:num w:numId="3">
    <w:abstractNumId w:val="14"/>
  </w:num>
  <w:num w:numId="4">
    <w:abstractNumId w:val="9"/>
  </w:num>
  <w:num w:numId="5">
    <w:abstractNumId w:val="21"/>
  </w:num>
  <w:num w:numId="6">
    <w:abstractNumId w:val="26"/>
  </w:num>
  <w:num w:numId="7">
    <w:abstractNumId w:val="18"/>
  </w:num>
  <w:num w:numId="8">
    <w:abstractNumId w:val="27"/>
  </w:num>
  <w:num w:numId="9">
    <w:abstractNumId w:val="17"/>
  </w:num>
  <w:num w:numId="10">
    <w:abstractNumId w:val="28"/>
  </w:num>
  <w:num w:numId="11">
    <w:abstractNumId w:val="19"/>
  </w:num>
  <w:num w:numId="12">
    <w:abstractNumId w:val="23"/>
  </w:num>
  <w:num w:numId="13">
    <w:abstractNumId w:val="13"/>
  </w:num>
  <w:num w:numId="14">
    <w:abstractNumId w:val="15"/>
  </w:num>
  <w:num w:numId="15">
    <w:abstractNumId w:val="16"/>
  </w:num>
  <w:num w:numId="16">
    <w:abstractNumId w:val="20"/>
  </w:num>
  <w:num w:numId="17">
    <w:abstractNumId w:val="11"/>
  </w:num>
  <w:num w:numId="18">
    <w:abstractNumId w:val="24"/>
  </w:num>
  <w:num w:numId="19">
    <w:abstractNumId w:val="22"/>
  </w:num>
  <w:num w:numId="20">
    <w:abstractNumId w:val="12"/>
  </w:num>
  <w:num w:numId="21">
    <w:abstractNumId w:val="25"/>
  </w:num>
  <w:num w:numId="22">
    <w:abstractNumId w:val="10"/>
  </w:num>
  <w:num w:numId="23">
    <w:abstractNumId w:val="8"/>
  </w:num>
  <w:num w:numId="24">
    <w:abstractNumId w:val="6"/>
  </w:num>
  <w:num w:numId="25">
    <w:abstractNumId w:val="5"/>
  </w:num>
  <w:num w:numId="26">
    <w:abstractNumId w:val="4"/>
  </w:num>
  <w:num w:numId="27">
    <w:abstractNumId w:val="7"/>
  </w:num>
  <w:num w:numId="28">
    <w:abstractNumId w:val="3"/>
  </w:num>
  <w:num w:numId="29">
    <w:abstractNumId w:val="2"/>
  </w:num>
  <w:num w:numId="30">
    <w:abstractNumId w:val="1"/>
  </w:num>
  <w:num w:numId="3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685B42"/>
    <w:rsid w:val="0000155F"/>
    <w:rsid w:val="00002031"/>
    <w:rsid w:val="00004734"/>
    <w:rsid w:val="00006B22"/>
    <w:rsid w:val="0001276A"/>
    <w:rsid w:val="000246AE"/>
    <w:rsid w:val="00025C67"/>
    <w:rsid w:val="000328A6"/>
    <w:rsid w:val="000341A6"/>
    <w:rsid w:val="00044D97"/>
    <w:rsid w:val="0005559E"/>
    <w:rsid w:val="00056BFA"/>
    <w:rsid w:val="00077775"/>
    <w:rsid w:val="00090471"/>
    <w:rsid w:val="00096AA7"/>
    <w:rsid w:val="00097602"/>
    <w:rsid w:val="000A3AED"/>
    <w:rsid w:val="000B3532"/>
    <w:rsid w:val="000B3A75"/>
    <w:rsid w:val="000C6353"/>
    <w:rsid w:val="000C690F"/>
    <w:rsid w:val="000D1295"/>
    <w:rsid w:val="000D391B"/>
    <w:rsid w:val="000D3D6D"/>
    <w:rsid w:val="000D4FC7"/>
    <w:rsid w:val="000D5B9E"/>
    <w:rsid w:val="000F4869"/>
    <w:rsid w:val="000F5B42"/>
    <w:rsid w:val="000F6E6F"/>
    <w:rsid w:val="0010601F"/>
    <w:rsid w:val="0010788A"/>
    <w:rsid w:val="00107A31"/>
    <w:rsid w:val="00110EA5"/>
    <w:rsid w:val="00112F56"/>
    <w:rsid w:val="00120F84"/>
    <w:rsid w:val="00125318"/>
    <w:rsid w:val="001305A2"/>
    <w:rsid w:val="00133238"/>
    <w:rsid w:val="0014197B"/>
    <w:rsid w:val="001447CD"/>
    <w:rsid w:val="001516B1"/>
    <w:rsid w:val="00151E3E"/>
    <w:rsid w:val="00154EBB"/>
    <w:rsid w:val="00156316"/>
    <w:rsid w:val="00162D14"/>
    <w:rsid w:val="00165389"/>
    <w:rsid w:val="0017693F"/>
    <w:rsid w:val="0018110E"/>
    <w:rsid w:val="00181684"/>
    <w:rsid w:val="001843C6"/>
    <w:rsid w:val="001850E0"/>
    <w:rsid w:val="0019010D"/>
    <w:rsid w:val="001A2158"/>
    <w:rsid w:val="001A525F"/>
    <w:rsid w:val="001B09F9"/>
    <w:rsid w:val="001B5C90"/>
    <w:rsid w:val="001B6448"/>
    <w:rsid w:val="001C32CD"/>
    <w:rsid w:val="001E07CF"/>
    <w:rsid w:val="001E59F1"/>
    <w:rsid w:val="001F49EB"/>
    <w:rsid w:val="001F68DB"/>
    <w:rsid w:val="001F6CBA"/>
    <w:rsid w:val="00201D4E"/>
    <w:rsid w:val="002040F3"/>
    <w:rsid w:val="002075AF"/>
    <w:rsid w:val="002076C9"/>
    <w:rsid w:val="00220B8A"/>
    <w:rsid w:val="002257F3"/>
    <w:rsid w:val="00233456"/>
    <w:rsid w:val="002339A5"/>
    <w:rsid w:val="00257848"/>
    <w:rsid w:val="0027084A"/>
    <w:rsid w:val="00277CC3"/>
    <w:rsid w:val="00281DCD"/>
    <w:rsid w:val="00286434"/>
    <w:rsid w:val="00286C59"/>
    <w:rsid w:val="00290BD2"/>
    <w:rsid w:val="00291957"/>
    <w:rsid w:val="002942D1"/>
    <w:rsid w:val="0029501A"/>
    <w:rsid w:val="002B1638"/>
    <w:rsid w:val="002E4C9A"/>
    <w:rsid w:val="002F11F8"/>
    <w:rsid w:val="002F31F5"/>
    <w:rsid w:val="002F3F56"/>
    <w:rsid w:val="002F44B5"/>
    <w:rsid w:val="0030798B"/>
    <w:rsid w:val="00311AC0"/>
    <w:rsid w:val="003211EF"/>
    <w:rsid w:val="0032527B"/>
    <w:rsid w:val="0032583B"/>
    <w:rsid w:val="00327883"/>
    <w:rsid w:val="00335504"/>
    <w:rsid w:val="00346813"/>
    <w:rsid w:val="00347824"/>
    <w:rsid w:val="00350567"/>
    <w:rsid w:val="003521E8"/>
    <w:rsid w:val="003728F3"/>
    <w:rsid w:val="0037496E"/>
    <w:rsid w:val="00386150"/>
    <w:rsid w:val="003874CE"/>
    <w:rsid w:val="00390900"/>
    <w:rsid w:val="003912E0"/>
    <w:rsid w:val="0039405C"/>
    <w:rsid w:val="003A7F6C"/>
    <w:rsid w:val="003B355A"/>
    <w:rsid w:val="003B4D60"/>
    <w:rsid w:val="003B7E39"/>
    <w:rsid w:val="003C58DC"/>
    <w:rsid w:val="003D1E62"/>
    <w:rsid w:val="003E2486"/>
    <w:rsid w:val="003E3208"/>
    <w:rsid w:val="003F0465"/>
    <w:rsid w:val="003F0B04"/>
    <w:rsid w:val="0040134E"/>
    <w:rsid w:val="0040180E"/>
    <w:rsid w:val="0043578A"/>
    <w:rsid w:val="00440A2D"/>
    <w:rsid w:val="00446293"/>
    <w:rsid w:val="004564A7"/>
    <w:rsid w:val="004617BF"/>
    <w:rsid w:val="00463658"/>
    <w:rsid w:val="004722CC"/>
    <w:rsid w:val="00480747"/>
    <w:rsid w:val="004936E4"/>
    <w:rsid w:val="00494E60"/>
    <w:rsid w:val="00497487"/>
    <w:rsid w:val="004B405F"/>
    <w:rsid w:val="004B7B76"/>
    <w:rsid w:val="004C239D"/>
    <w:rsid w:val="004C2DCA"/>
    <w:rsid w:val="004D571C"/>
    <w:rsid w:val="004E654A"/>
    <w:rsid w:val="004F0F38"/>
    <w:rsid w:val="00501921"/>
    <w:rsid w:val="00515286"/>
    <w:rsid w:val="005221E5"/>
    <w:rsid w:val="00525E14"/>
    <w:rsid w:val="00530354"/>
    <w:rsid w:val="0053625B"/>
    <w:rsid w:val="005434C6"/>
    <w:rsid w:val="00543B39"/>
    <w:rsid w:val="00550096"/>
    <w:rsid w:val="00557FF9"/>
    <w:rsid w:val="00561270"/>
    <w:rsid w:val="00576378"/>
    <w:rsid w:val="00577130"/>
    <w:rsid w:val="00577945"/>
    <w:rsid w:val="00577E38"/>
    <w:rsid w:val="00585322"/>
    <w:rsid w:val="005857C6"/>
    <w:rsid w:val="00592F6E"/>
    <w:rsid w:val="00593AD1"/>
    <w:rsid w:val="005A68B6"/>
    <w:rsid w:val="005B5627"/>
    <w:rsid w:val="005C5570"/>
    <w:rsid w:val="005C79A4"/>
    <w:rsid w:val="005D5442"/>
    <w:rsid w:val="005D7F47"/>
    <w:rsid w:val="005E0635"/>
    <w:rsid w:val="005E23C8"/>
    <w:rsid w:val="00603F32"/>
    <w:rsid w:val="006060C8"/>
    <w:rsid w:val="00625A6E"/>
    <w:rsid w:val="00632398"/>
    <w:rsid w:val="00640FC3"/>
    <w:rsid w:val="00642020"/>
    <w:rsid w:val="0065337B"/>
    <w:rsid w:val="0065419D"/>
    <w:rsid w:val="006604D8"/>
    <w:rsid w:val="00664A5B"/>
    <w:rsid w:val="0066663B"/>
    <w:rsid w:val="00673193"/>
    <w:rsid w:val="006763D2"/>
    <w:rsid w:val="00680C08"/>
    <w:rsid w:val="00685B42"/>
    <w:rsid w:val="006931B1"/>
    <w:rsid w:val="006A15C0"/>
    <w:rsid w:val="006C3E2A"/>
    <w:rsid w:val="006C642F"/>
    <w:rsid w:val="006D03E5"/>
    <w:rsid w:val="006D1CDA"/>
    <w:rsid w:val="006D5D3E"/>
    <w:rsid w:val="006E08B3"/>
    <w:rsid w:val="006E1B9E"/>
    <w:rsid w:val="006F17AC"/>
    <w:rsid w:val="006F1E35"/>
    <w:rsid w:val="006F572E"/>
    <w:rsid w:val="007046D6"/>
    <w:rsid w:val="00705DB0"/>
    <w:rsid w:val="00722B57"/>
    <w:rsid w:val="00731591"/>
    <w:rsid w:val="0074253D"/>
    <w:rsid w:val="0074429B"/>
    <w:rsid w:val="00760904"/>
    <w:rsid w:val="007615BC"/>
    <w:rsid w:val="00762F05"/>
    <w:rsid w:val="007652FF"/>
    <w:rsid w:val="00770EF1"/>
    <w:rsid w:val="00773EF7"/>
    <w:rsid w:val="00774E1D"/>
    <w:rsid w:val="0077675A"/>
    <w:rsid w:val="00780355"/>
    <w:rsid w:val="00783828"/>
    <w:rsid w:val="00785721"/>
    <w:rsid w:val="00793A59"/>
    <w:rsid w:val="007A14D1"/>
    <w:rsid w:val="007B6E9F"/>
    <w:rsid w:val="007C1216"/>
    <w:rsid w:val="007C1AF7"/>
    <w:rsid w:val="007C5CD6"/>
    <w:rsid w:val="007C696B"/>
    <w:rsid w:val="00805D27"/>
    <w:rsid w:val="00821776"/>
    <w:rsid w:val="008245AE"/>
    <w:rsid w:val="008321F5"/>
    <w:rsid w:val="00832369"/>
    <w:rsid w:val="00834660"/>
    <w:rsid w:val="00836BC2"/>
    <w:rsid w:val="0084185F"/>
    <w:rsid w:val="0085641B"/>
    <w:rsid w:val="00857136"/>
    <w:rsid w:val="00882435"/>
    <w:rsid w:val="00885B11"/>
    <w:rsid w:val="00886D15"/>
    <w:rsid w:val="00887DD8"/>
    <w:rsid w:val="00896018"/>
    <w:rsid w:val="008960DD"/>
    <w:rsid w:val="0089635C"/>
    <w:rsid w:val="008A2B9D"/>
    <w:rsid w:val="008A5E0B"/>
    <w:rsid w:val="008A6D59"/>
    <w:rsid w:val="008B42CB"/>
    <w:rsid w:val="008B4B03"/>
    <w:rsid w:val="008B596F"/>
    <w:rsid w:val="008C159F"/>
    <w:rsid w:val="008C1623"/>
    <w:rsid w:val="008C1850"/>
    <w:rsid w:val="008C51A9"/>
    <w:rsid w:val="008E58AF"/>
    <w:rsid w:val="008E7846"/>
    <w:rsid w:val="008F1CCC"/>
    <w:rsid w:val="008F2967"/>
    <w:rsid w:val="008F6943"/>
    <w:rsid w:val="00902A21"/>
    <w:rsid w:val="00904313"/>
    <w:rsid w:val="00920330"/>
    <w:rsid w:val="00920C88"/>
    <w:rsid w:val="009219D7"/>
    <w:rsid w:val="00922D53"/>
    <w:rsid w:val="00923B70"/>
    <w:rsid w:val="00924482"/>
    <w:rsid w:val="00930237"/>
    <w:rsid w:val="00946EA5"/>
    <w:rsid w:val="00963C08"/>
    <w:rsid w:val="00985216"/>
    <w:rsid w:val="0098585A"/>
    <w:rsid w:val="00990922"/>
    <w:rsid w:val="009952E6"/>
    <w:rsid w:val="009A4CED"/>
    <w:rsid w:val="009A690D"/>
    <w:rsid w:val="009B1D12"/>
    <w:rsid w:val="009B21C1"/>
    <w:rsid w:val="009B416B"/>
    <w:rsid w:val="009C4BD5"/>
    <w:rsid w:val="009C58E2"/>
    <w:rsid w:val="009D7B77"/>
    <w:rsid w:val="009E0BB0"/>
    <w:rsid w:val="009E3FBB"/>
    <w:rsid w:val="009F3B59"/>
    <w:rsid w:val="00A03F2B"/>
    <w:rsid w:val="00A102E4"/>
    <w:rsid w:val="00A12C42"/>
    <w:rsid w:val="00A14DF7"/>
    <w:rsid w:val="00A3246D"/>
    <w:rsid w:val="00A36E52"/>
    <w:rsid w:val="00A36FA7"/>
    <w:rsid w:val="00A449FF"/>
    <w:rsid w:val="00A475B7"/>
    <w:rsid w:val="00A47AF7"/>
    <w:rsid w:val="00A47C3E"/>
    <w:rsid w:val="00A50226"/>
    <w:rsid w:val="00A60BAD"/>
    <w:rsid w:val="00A81B59"/>
    <w:rsid w:val="00A84E36"/>
    <w:rsid w:val="00A964D1"/>
    <w:rsid w:val="00AA0ED0"/>
    <w:rsid w:val="00AC2B40"/>
    <w:rsid w:val="00AC2BB2"/>
    <w:rsid w:val="00AC2C3C"/>
    <w:rsid w:val="00AC393B"/>
    <w:rsid w:val="00AC512D"/>
    <w:rsid w:val="00AD0083"/>
    <w:rsid w:val="00AD767D"/>
    <w:rsid w:val="00AE5046"/>
    <w:rsid w:val="00AE65EB"/>
    <w:rsid w:val="00AE67A7"/>
    <w:rsid w:val="00AF1D94"/>
    <w:rsid w:val="00AF60C5"/>
    <w:rsid w:val="00B009C6"/>
    <w:rsid w:val="00B01548"/>
    <w:rsid w:val="00B04E0A"/>
    <w:rsid w:val="00B21D29"/>
    <w:rsid w:val="00B25034"/>
    <w:rsid w:val="00B3316E"/>
    <w:rsid w:val="00B33588"/>
    <w:rsid w:val="00B33863"/>
    <w:rsid w:val="00B35F45"/>
    <w:rsid w:val="00B35F99"/>
    <w:rsid w:val="00B37D17"/>
    <w:rsid w:val="00B4175E"/>
    <w:rsid w:val="00B452CE"/>
    <w:rsid w:val="00B52EED"/>
    <w:rsid w:val="00B54C25"/>
    <w:rsid w:val="00B76B91"/>
    <w:rsid w:val="00B77EB1"/>
    <w:rsid w:val="00B811C6"/>
    <w:rsid w:val="00B855B0"/>
    <w:rsid w:val="00B92E08"/>
    <w:rsid w:val="00BB50FE"/>
    <w:rsid w:val="00BC622A"/>
    <w:rsid w:val="00BC6F0F"/>
    <w:rsid w:val="00BE0A78"/>
    <w:rsid w:val="00BE79F0"/>
    <w:rsid w:val="00BF046D"/>
    <w:rsid w:val="00BF1190"/>
    <w:rsid w:val="00BF285C"/>
    <w:rsid w:val="00BF5D04"/>
    <w:rsid w:val="00BF5DA3"/>
    <w:rsid w:val="00C1164D"/>
    <w:rsid w:val="00C12402"/>
    <w:rsid w:val="00C16861"/>
    <w:rsid w:val="00C26864"/>
    <w:rsid w:val="00C35A3A"/>
    <w:rsid w:val="00C404A6"/>
    <w:rsid w:val="00C40A36"/>
    <w:rsid w:val="00C44419"/>
    <w:rsid w:val="00C45E7B"/>
    <w:rsid w:val="00C471B1"/>
    <w:rsid w:val="00C47FB3"/>
    <w:rsid w:val="00C52823"/>
    <w:rsid w:val="00C6316B"/>
    <w:rsid w:val="00C634A9"/>
    <w:rsid w:val="00C64586"/>
    <w:rsid w:val="00C70D53"/>
    <w:rsid w:val="00C73D0B"/>
    <w:rsid w:val="00C75174"/>
    <w:rsid w:val="00C772FF"/>
    <w:rsid w:val="00C80137"/>
    <w:rsid w:val="00C801AF"/>
    <w:rsid w:val="00C80256"/>
    <w:rsid w:val="00C8266C"/>
    <w:rsid w:val="00CA1376"/>
    <w:rsid w:val="00CB6BC0"/>
    <w:rsid w:val="00CC1B7C"/>
    <w:rsid w:val="00CC42CD"/>
    <w:rsid w:val="00CC727F"/>
    <w:rsid w:val="00CD2097"/>
    <w:rsid w:val="00CF15C3"/>
    <w:rsid w:val="00CF2B6F"/>
    <w:rsid w:val="00CF58B6"/>
    <w:rsid w:val="00D017ED"/>
    <w:rsid w:val="00D040D3"/>
    <w:rsid w:val="00D04C65"/>
    <w:rsid w:val="00D11886"/>
    <w:rsid w:val="00D224FE"/>
    <w:rsid w:val="00D25CF9"/>
    <w:rsid w:val="00D31E62"/>
    <w:rsid w:val="00D6493E"/>
    <w:rsid w:val="00D7195D"/>
    <w:rsid w:val="00D7301E"/>
    <w:rsid w:val="00D83AE1"/>
    <w:rsid w:val="00D855D4"/>
    <w:rsid w:val="00D86836"/>
    <w:rsid w:val="00D90E2F"/>
    <w:rsid w:val="00D93466"/>
    <w:rsid w:val="00DA1124"/>
    <w:rsid w:val="00DB6124"/>
    <w:rsid w:val="00DB75B7"/>
    <w:rsid w:val="00DC309B"/>
    <w:rsid w:val="00DC6E02"/>
    <w:rsid w:val="00DE02AE"/>
    <w:rsid w:val="00DF1D7F"/>
    <w:rsid w:val="00DF4BE4"/>
    <w:rsid w:val="00E02FB4"/>
    <w:rsid w:val="00E20571"/>
    <w:rsid w:val="00E235F7"/>
    <w:rsid w:val="00E23659"/>
    <w:rsid w:val="00E239D4"/>
    <w:rsid w:val="00E26130"/>
    <w:rsid w:val="00E40B22"/>
    <w:rsid w:val="00E44545"/>
    <w:rsid w:val="00E45619"/>
    <w:rsid w:val="00E4588F"/>
    <w:rsid w:val="00E46DA3"/>
    <w:rsid w:val="00E51BB1"/>
    <w:rsid w:val="00E624A5"/>
    <w:rsid w:val="00E7344E"/>
    <w:rsid w:val="00EB0798"/>
    <w:rsid w:val="00EB09E6"/>
    <w:rsid w:val="00EB40AD"/>
    <w:rsid w:val="00EB586E"/>
    <w:rsid w:val="00EB5FC8"/>
    <w:rsid w:val="00EC7A85"/>
    <w:rsid w:val="00ED3CAD"/>
    <w:rsid w:val="00ED5A41"/>
    <w:rsid w:val="00EE1DE8"/>
    <w:rsid w:val="00EF3DC8"/>
    <w:rsid w:val="00EF4642"/>
    <w:rsid w:val="00F033EC"/>
    <w:rsid w:val="00F04F68"/>
    <w:rsid w:val="00F06DAB"/>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382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character" w:styleId="CommentReference">
    <w:name w:val="annotation reference"/>
    <w:basedOn w:val="DefaultParagraphFont"/>
    <w:uiPriority w:val="99"/>
    <w:semiHidden/>
    <w:unhideWhenUsed/>
    <w:rsid w:val="005E23C8"/>
    <w:rPr>
      <w:sz w:val="16"/>
      <w:szCs w:val="16"/>
    </w:rPr>
  </w:style>
  <w:style w:type="paragraph" w:styleId="CommentText">
    <w:name w:val="annotation text"/>
    <w:basedOn w:val="Normal"/>
    <w:link w:val="CommentTextChar"/>
    <w:uiPriority w:val="99"/>
    <w:semiHidden/>
    <w:unhideWhenUsed/>
    <w:rsid w:val="005E23C8"/>
    <w:pPr>
      <w:spacing w:line="240" w:lineRule="auto"/>
    </w:pPr>
    <w:rPr>
      <w:sz w:val="20"/>
      <w:szCs w:val="20"/>
    </w:rPr>
  </w:style>
  <w:style w:type="character" w:customStyle="1" w:styleId="CommentTextChar">
    <w:name w:val="Comment Text Char"/>
    <w:basedOn w:val="DefaultParagraphFont"/>
    <w:link w:val="CommentText"/>
    <w:uiPriority w:val="99"/>
    <w:semiHidden/>
    <w:rsid w:val="005E23C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E23C8"/>
    <w:rPr>
      <w:b/>
      <w:bCs/>
    </w:rPr>
  </w:style>
  <w:style w:type="character" w:customStyle="1" w:styleId="CommentSubjectChar">
    <w:name w:val="Comment Subject Char"/>
    <w:basedOn w:val="CommentTextChar"/>
    <w:link w:val="CommentSubject"/>
    <w:uiPriority w:val="99"/>
    <w:semiHidden/>
    <w:rsid w:val="005E23C8"/>
    <w:rPr>
      <w:rFonts w:ascii="Cambria" w:eastAsia="Cambria" w:hAnsi="Cambria" w:cs="Times New Roman"/>
      <w:b/>
      <w:bCs/>
      <w:sz w:val="20"/>
      <w:szCs w:val="20"/>
    </w:rPr>
  </w:style>
  <w:style w:type="paragraph" w:styleId="ListParagraph">
    <w:name w:val="List Paragraph"/>
    <w:basedOn w:val="Normal"/>
    <w:uiPriority w:val="34"/>
    <w:qFormat/>
    <w:rsid w:val="00F06DAB"/>
    <w:pPr>
      <w:ind w:left="720"/>
      <w:contextualSpacing/>
    </w:pPr>
  </w:style>
  <w:style w:type="paragraph" w:customStyle="1" w:styleId="Bullet1">
    <w:name w:val="Bullet 1"/>
    <w:basedOn w:val="Normal"/>
    <w:uiPriority w:val="99"/>
    <w:rsid w:val="00120F84"/>
    <w:pPr>
      <w:numPr>
        <w:numId w:val="7"/>
      </w:numPr>
      <w:spacing w:after="0" w:line="240" w:lineRule="auto"/>
    </w:pPr>
    <w:rPr>
      <w:rFonts w:eastAsia="Times New Roman"/>
      <w:kern w:val="24"/>
      <w:szCs w:val="24"/>
      <w:lang w:eastAsia="en-AU"/>
    </w:rPr>
  </w:style>
  <w:style w:type="character" w:customStyle="1" w:styleId="st1">
    <w:name w:val="st1"/>
    <w:basedOn w:val="DefaultParagraphFont"/>
    <w:rsid w:val="000D5B9E"/>
  </w:style>
  <w:style w:type="paragraph" w:styleId="Index1">
    <w:name w:val="index 1"/>
    <w:basedOn w:val="Normal"/>
    <w:next w:val="Normal"/>
    <w:autoRedefine/>
    <w:uiPriority w:val="99"/>
    <w:semiHidden/>
    <w:unhideWhenUsed/>
    <w:rsid w:val="00B04E0A"/>
    <w:pPr>
      <w:spacing w:before="0" w:after="0" w:line="240" w:lineRule="auto"/>
      <w:ind w:left="220" w:hanging="220"/>
    </w:pPr>
  </w:style>
  <w:style w:type="paragraph" w:styleId="TOAHeading">
    <w:name w:val="toa heading"/>
    <w:basedOn w:val="Normal"/>
    <w:next w:val="Normal"/>
    <w:uiPriority w:val="99"/>
    <w:semiHidden/>
    <w:unhideWhenUsed/>
    <w:rsid w:val="0040180E"/>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40180E"/>
    <w:pPr>
      <w:spacing w:after="0"/>
      <w:ind w:left="220" w:hanging="220"/>
    </w:pPr>
  </w:style>
  <w:style w:type="character" w:styleId="Emphasis">
    <w:name w:val="Emphasis"/>
    <w:basedOn w:val="DefaultParagraphFont"/>
    <w:uiPriority w:val="20"/>
    <w:qFormat/>
    <w:rsid w:val="00C35A3A"/>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3"/>
      </w:numPr>
    </w:pPr>
  </w:style>
  <w:style w:type="paragraph" w:customStyle="1" w:styleId="Numberbullet2">
    <w:name w:val="Number bullet 2"/>
    <w:basedOn w:val="ListBullet2"/>
    <w:qFormat/>
    <w:rsid w:val="004C2DCA"/>
    <w:pPr>
      <w:numPr>
        <w:numId w:val="23"/>
      </w:numPr>
    </w:pPr>
  </w:style>
  <w:style w:type="paragraph" w:customStyle="1" w:styleId="Numberbullet3">
    <w:name w:val="Number bullet 3"/>
    <w:basedOn w:val="ListBullet3"/>
    <w:qFormat/>
    <w:rsid w:val="004C2DCA"/>
    <w:pPr>
      <w:numPr>
        <w:numId w:val="23"/>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www.tga.gov.au/hp/information-medicines-pi.htm"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hyperlink" Target="http://www.tga.gov.au"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Lower_back" TargetMode="External"/><Relationship Id="rId1" Type="http://schemas.openxmlformats.org/officeDocument/2006/relationships/hyperlink" Target="http://en.wikipedia.org/wiki/Rheumatolog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FE3E5-0154-4962-B799-6037301B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Aclasta(2).dotx</Template>
  <TotalTime>46</TotalTime>
  <Pages>77</Pages>
  <Words>24675</Words>
  <Characters>140650</Characters>
  <Application>Microsoft Office Word</Application>
  <DocSecurity>0</DocSecurity>
  <Lines>1172</Lines>
  <Paragraphs>329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164996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etanercept (rch) (Enbrel)</dc:title>
  <dc:subject>prescription medicine regulation</dc:subject>
  <dc:creator>Therapeutic Goods Administration</dc:creator>
  <cp:keywords>auspar, prescription, medicine, assessment, regulation, australia, etanercept (rch), enbrel, pfizer</cp:keywords>
  <cp:lastModifiedBy>Sheppard, Fran</cp:lastModifiedBy>
  <cp:revision>14</cp:revision>
  <cp:lastPrinted>2014-04-24T04:31:00Z</cp:lastPrinted>
  <dcterms:created xsi:type="dcterms:W3CDTF">2014-04-24T04:28:00Z</dcterms:created>
  <dcterms:modified xsi:type="dcterms:W3CDTF">2014-06-11T23:52:00Z</dcterms:modified>
</cp:coreProperties>
</file>