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FD64CC" w14:paraId="62E0A949" w14:textId="77777777" w:rsidTr="00BF1190">
        <w:trPr>
          <w:trHeight w:val="1863"/>
        </w:trPr>
        <w:tc>
          <w:tcPr>
            <w:tcW w:w="3652" w:type="dxa"/>
            <w:tcBorders>
              <w:top w:val="nil"/>
              <w:left w:val="nil"/>
              <w:bottom w:val="nil"/>
              <w:right w:val="nil"/>
            </w:tcBorders>
          </w:tcPr>
          <w:p w14:paraId="7FCFD30D" w14:textId="21D47790" w:rsidR="008E7846" w:rsidRPr="00FD64CC" w:rsidRDefault="008B4C50" w:rsidP="00BE301A">
            <w:pPr>
              <w:rPr>
                <w:rFonts w:ascii="Arial" w:hAnsi="Arial" w:cs="Arial"/>
                <w:b/>
                <w:color w:val="002C47"/>
                <w:sz w:val="36"/>
                <w:szCs w:val="36"/>
              </w:rPr>
            </w:pPr>
            <w:r>
              <w:rPr>
                <w:rFonts w:ascii="Arial" w:hAnsi="Arial" w:cs="Arial"/>
                <w:b/>
                <w:color w:val="002C47"/>
                <w:sz w:val="36"/>
                <w:szCs w:val="36"/>
              </w:rPr>
              <w:t>September</w:t>
            </w:r>
            <w:r w:rsidR="00885225" w:rsidRPr="00FD64CC">
              <w:rPr>
                <w:rFonts w:ascii="Arial" w:hAnsi="Arial" w:cs="Arial"/>
                <w:b/>
                <w:color w:val="002C47"/>
                <w:sz w:val="36"/>
                <w:szCs w:val="36"/>
              </w:rPr>
              <w:t xml:space="preserve"> 2021</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FD64CC" w14:paraId="11072C8C" w14:textId="77777777" w:rsidTr="0032583B">
        <w:trPr>
          <w:trHeight w:val="868"/>
        </w:trPr>
        <w:tc>
          <w:tcPr>
            <w:tcW w:w="9079" w:type="dxa"/>
          </w:tcPr>
          <w:p w14:paraId="5FCB3042" w14:textId="77777777" w:rsidR="0032583B" w:rsidRPr="00FD64CC" w:rsidRDefault="0032583B" w:rsidP="00380510">
            <w:pPr>
              <w:pStyle w:val="Title"/>
              <w:rPr>
                <w:color w:val="FFFFFF" w:themeColor="background1"/>
              </w:rPr>
            </w:pPr>
            <w:r w:rsidRPr="00FD64CC">
              <w:rPr>
                <w:color w:val="FFFFFF" w:themeColor="background1"/>
              </w:rPr>
              <w:t>Australia</w:t>
            </w:r>
            <w:r w:rsidR="00380510" w:rsidRPr="00FD64CC">
              <w:rPr>
                <w:color w:val="FFFFFF" w:themeColor="background1"/>
              </w:rPr>
              <w:t>n Public Assessment Report for Eslicarbazepine acetate</w:t>
            </w:r>
          </w:p>
        </w:tc>
      </w:tr>
      <w:tr w:rsidR="0032583B" w:rsidRPr="00FD64CC" w14:paraId="728CCAD4" w14:textId="77777777" w:rsidTr="0032583B">
        <w:tc>
          <w:tcPr>
            <w:tcW w:w="9079" w:type="dxa"/>
          </w:tcPr>
          <w:p w14:paraId="5B449ECB" w14:textId="77777777" w:rsidR="0032583B" w:rsidRPr="00FD64CC" w:rsidRDefault="0032583B" w:rsidP="00460036">
            <w:pPr>
              <w:pStyle w:val="Subtitle"/>
              <w:rPr>
                <w:color w:val="FFFFFF" w:themeColor="background1"/>
              </w:rPr>
            </w:pPr>
            <w:r w:rsidRPr="00FD64CC">
              <w:rPr>
                <w:color w:val="FFFFFF" w:themeColor="background1"/>
              </w:rPr>
              <w:t xml:space="preserve">Proprietary Product Name: </w:t>
            </w:r>
            <w:proofErr w:type="spellStart"/>
            <w:r w:rsidR="00380510" w:rsidRPr="00FD64CC">
              <w:rPr>
                <w:color w:val="FFFFFF" w:themeColor="background1"/>
              </w:rPr>
              <w:t>Zebinix</w:t>
            </w:r>
            <w:proofErr w:type="spellEnd"/>
          </w:p>
        </w:tc>
      </w:tr>
      <w:tr w:rsidR="0032583B" w:rsidRPr="00FD64CC" w14:paraId="34918021" w14:textId="77777777" w:rsidTr="0032583B">
        <w:trPr>
          <w:trHeight w:val="486"/>
        </w:trPr>
        <w:tc>
          <w:tcPr>
            <w:tcW w:w="9079" w:type="dxa"/>
          </w:tcPr>
          <w:p w14:paraId="1E4E153D" w14:textId="77777777" w:rsidR="0032583B" w:rsidRPr="00FD64CC" w:rsidRDefault="00460036" w:rsidP="00380510">
            <w:pPr>
              <w:pStyle w:val="Subtitle"/>
              <w:rPr>
                <w:color w:val="FFFFFF" w:themeColor="background1"/>
              </w:rPr>
            </w:pPr>
            <w:r w:rsidRPr="00FD64CC">
              <w:rPr>
                <w:color w:val="FFFFFF" w:themeColor="background1"/>
              </w:rPr>
              <w:t xml:space="preserve">Sponsor: </w:t>
            </w:r>
            <w:r w:rsidR="00380510" w:rsidRPr="00FD64CC">
              <w:rPr>
                <w:color w:val="FFFFFF" w:themeColor="background1"/>
              </w:rPr>
              <w:t>Maxx Pharma Pty Ltd</w:t>
            </w:r>
          </w:p>
        </w:tc>
      </w:tr>
    </w:tbl>
    <w:p w14:paraId="4CED49F4" w14:textId="77777777" w:rsidR="008E7846" w:rsidRPr="00FD64CC" w:rsidRDefault="008E7846" w:rsidP="0085156D">
      <w:r w:rsidRPr="00FD64CC">
        <w:br w:type="page"/>
      </w:r>
    </w:p>
    <w:p w14:paraId="463AF8EC" w14:textId="77777777" w:rsidR="008E7846" w:rsidRPr="00FD64CC" w:rsidRDefault="008E7846" w:rsidP="008E7846">
      <w:pPr>
        <w:pStyle w:val="NonTOCHeading2"/>
      </w:pPr>
      <w:r w:rsidRPr="00FD64CC">
        <w:lastRenderedPageBreak/>
        <w:t>About the Therapeutic Goods Administration (TGA)</w:t>
      </w:r>
    </w:p>
    <w:p w14:paraId="5F6C430F" w14:textId="77777777" w:rsidR="008E7846" w:rsidRPr="00FD64CC" w:rsidRDefault="008E7846" w:rsidP="008E7846">
      <w:pPr>
        <w:pStyle w:val="ListBullet"/>
        <w:numPr>
          <w:ilvl w:val="0"/>
          <w:numId w:val="3"/>
        </w:numPr>
        <w:ind w:left="357" w:hanging="357"/>
      </w:pPr>
      <w:r w:rsidRPr="00FD64CC">
        <w:t xml:space="preserve">The Therapeutic Goods Administration (TGA) is </w:t>
      </w:r>
      <w:r w:rsidR="00E624A5" w:rsidRPr="00FD64CC">
        <w:t xml:space="preserve">part </w:t>
      </w:r>
      <w:r w:rsidRPr="00FD64CC">
        <w:t>of the Australian Government Department of Health and is responsible for regulating medicines and medical devices.</w:t>
      </w:r>
    </w:p>
    <w:p w14:paraId="575581AC" w14:textId="77777777" w:rsidR="008E7846" w:rsidRPr="00FD64CC" w:rsidRDefault="00C80137" w:rsidP="008E7846">
      <w:pPr>
        <w:pStyle w:val="ListBullet"/>
        <w:numPr>
          <w:ilvl w:val="0"/>
          <w:numId w:val="3"/>
        </w:numPr>
        <w:ind w:left="357" w:hanging="357"/>
      </w:pPr>
      <w:r w:rsidRPr="00FD64CC">
        <w:t xml:space="preserve">The </w:t>
      </w:r>
      <w:r w:rsidR="008E7846" w:rsidRPr="00FD64CC">
        <w:t xml:space="preserve">TGA administers the </w:t>
      </w:r>
      <w:r w:rsidR="008E7846" w:rsidRPr="00FD64CC">
        <w:rPr>
          <w:i/>
        </w:rPr>
        <w:t>Therapeutic Goods Act 1989</w:t>
      </w:r>
      <w:r w:rsidR="00785717" w:rsidRPr="00FD64CC">
        <w:rPr>
          <w:i/>
        </w:rPr>
        <w:t xml:space="preserve"> </w:t>
      </w:r>
      <w:r w:rsidR="00785717" w:rsidRPr="00FD64CC">
        <w:t>(the Act)</w:t>
      </w:r>
      <w:r w:rsidR="008E7846" w:rsidRPr="00FD64CC">
        <w:t xml:space="preserve">, applying a risk management approach designed to ensure therapeutic goods supplied in Australia meet acceptable standards of quality, </w:t>
      </w:r>
      <w:proofErr w:type="gramStart"/>
      <w:r w:rsidR="008E7846" w:rsidRPr="00FD64CC">
        <w:t>safety</w:t>
      </w:r>
      <w:proofErr w:type="gramEnd"/>
      <w:r w:rsidR="008E7846" w:rsidRPr="00FD64CC">
        <w:t xml:space="preserve"> and efficacy (performance) when necessary.</w:t>
      </w:r>
    </w:p>
    <w:p w14:paraId="065C7A8E" w14:textId="77777777" w:rsidR="008E7846" w:rsidRPr="00FD64CC" w:rsidRDefault="008E7846" w:rsidP="008E7846">
      <w:pPr>
        <w:pStyle w:val="ListBullet"/>
        <w:numPr>
          <w:ilvl w:val="0"/>
          <w:numId w:val="3"/>
        </w:numPr>
        <w:ind w:left="357" w:hanging="357"/>
      </w:pPr>
      <w:r w:rsidRPr="00FD64CC">
        <w:t>The work of the TGA is based on applying scientific and clinical expertise to decision-making, to ensure that the benefits to consumers outweigh any risks associated with the use of medicines and medical devices.</w:t>
      </w:r>
    </w:p>
    <w:p w14:paraId="24D64F9C" w14:textId="77777777" w:rsidR="008E7846" w:rsidRPr="00FD64CC" w:rsidRDefault="008E7846" w:rsidP="008E7846">
      <w:pPr>
        <w:pStyle w:val="ListBullet"/>
        <w:numPr>
          <w:ilvl w:val="0"/>
          <w:numId w:val="3"/>
        </w:numPr>
        <w:ind w:left="357" w:hanging="357"/>
      </w:pPr>
      <w:r w:rsidRPr="00FD64CC">
        <w:t>The TGA relies on the public, healthcare professionals and industry to report problems with medicines or medical devices. TGA investigates reports received by it to determine any necessary regulatory action.</w:t>
      </w:r>
    </w:p>
    <w:p w14:paraId="4CB8EC16" w14:textId="6145F145" w:rsidR="00441C3F" w:rsidRPr="00FD64CC" w:rsidRDefault="008E7846" w:rsidP="00441C3F">
      <w:pPr>
        <w:pStyle w:val="ListBullet"/>
        <w:numPr>
          <w:ilvl w:val="0"/>
          <w:numId w:val="3"/>
        </w:numPr>
        <w:ind w:left="357" w:hanging="357"/>
      </w:pPr>
      <w:r w:rsidRPr="00FD64CC">
        <w:t xml:space="preserve">To report a problem with a medicine or medical device, please see the information on </w:t>
      </w:r>
      <w:r w:rsidR="00441C3F" w:rsidRPr="00FD64CC">
        <w:t>the TGA website &lt;</w:t>
      </w:r>
      <w:hyperlink r:id="rId8" w:history="1">
        <w:r w:rsidR="00441C3F" w:rsidRPr="00FD64CC">
          <w:rPr>
            <w:rStyle w:val="Hyperlink"/>
          </w:rPr>
          <w:t>https://www.tga.gov.au</w:t>
        </w:r>
      </w:hyperlink>
      <w:r w:rsidR="00441C3F" w:rsidRPr="00FD64CC">
        <w:t>&gt;.</w:t>
      </w:r>
    </w:p>
    <w:p w14:paraId="6D45EEB7" w14:textId="77777777" w:rsidR="008E7846" w:rsidRPr="00FD64CC" w:rsidRDefault="008E7846" w:rsidP="00875A6B">
      <w:pPr>
        <w:pStyle w:val="NonTOCHeading2"/>
      </w:pPr>
      <w:r w:rsidRPr="00FD64CC">
        <w:t xml:space="preserve">About </w:t>
      </w:r>
      <w:proofErr w:type="spellStart"/>
      <w:r w:rsidRPr="00FD64CC">
        <w:t>AusPARs</w:t>
      </w:r>
      <w:proofErr w:type="spellEnd"/>
    </w:p>
    <w:p w14:paraId="2EE3E3CF" w14:textId="77777777" w:rsidR="008E7846" w:rsidRPr="00FD64CC" w:rsidRDefault="008E7846" w:rsidP="008E7846">
      <w:pPr>
        <w:pStyle w:val="ListBullet"/>
        <w:numPr>
          <w:ilvl w:val="0"/>
          <w:numId w:val="3"/>
        </w:numPr>
        <w:ind w:left="357" w:hanging="357"/>
      </w:pPr>
      <w:r w:rsidRPr="00FD64CC">
        <w:t>An Australian Public Assessment Re</w:t>
      </w:r>
      <w:r w:rsidR="00133A1B" w:rsidRPr="00FD64CC">
        <w:t>port</w:t>
      </w:r>
      <w:r w:rsidRPr="00FD64CC">
        <w:t xml:space="preserve"> (</w:t>
      </w:r>
      <w:proofErr w:type="spellStart"/>
      <w:r w:rsidRPr="00FD64CC">
        <w:t>AusPAR</w:t>
      </w:r>
      <w:proofErr w:type="spellEnd"/>
      <w:r w:rsidRPr="00FD64CC">
        <w:t>) provides information about the evaluation of a prescription medicine and the considerations that led the TGA to approve or not approve a pr</w:t>
      </w:r>
      <w:r w:rsidR="00441C3F" w:rsidRPr="00FD64CC">
        <w:t>escription medicine submission.</w:t>
      </w:r>
    </w:p>
    <w:p w14:paraId="77A74374" w14:textId="77777777" w:rsidR="008E7846" w:rsidRPr="00FD64CC" w:rsidRDefault="008E7846" w:rsidP="008E7846">
      <w:pPr>
        <w:pStyle w:val="ListBullet"/>
        <w:numPr>
          <w:ilvl w:val="0"/>
          <w:numId w:val="3"/>
        </w:numPr>
        <w:ind w:left="357" w:hanging="357"/>
      </w:pPr>
      <w:proofErr w:type="spellStart"/>
      <w:r w:rsidRPr="00FD64CC">
        <w:t>AusPARs</w:t>
      </w:r>
      <w:proofErr w:type="spellEnd"/>
      <w:r w:rsidRPr="00FD64CC">
        <w:t xml:space="preserve"> are prepared and published by the TGA.</w:t>
      </w:r>
    </w:p>
    <w:p w14:paraId="66D3AF60" w14:textId="77777777" w:rsidR="008E7846" w:rsidRPr="00FD64CC" w:rsidRDefault="008E7846" w:rsidP="008E7846">
      <w:pPr>
        <w:pStyle w:val="ListBullet"/>
        <w:numPr>
          <w:ilvl w:val="0"/>
          <w:numId w:val="3"/>
        </w:numPr>
        <w:ind w:left="357" w:hanging="357"/>
      </w:pPr>
      <w:r w:rsidRPr="00FD64CC">
        <w:t xml:space="preserve">An </w:t>
      </w:r>
      <w:proofErr w:type="spellStart"/>
      <w:r w:rsidRPr="00FD64CC">
        <w:t>AusPAR</w:t>
      </w:r>
      <w:proofErr w:type="spellEnd"/>
      <w:r w:rsidRPr="00FD64CC">
        <w:t xml:space="preserve"> is prepared for submissions that relate to new chemical entities, generic medicines, major </w:t>
      </w:r>
      <w:proofErr w:type="gramStart"/>
      <w:r w:rsidRPr="00FD64CC">
        <w:t>variations</w:t>
      </w:r>
      <w:proofErr w:type="gramEnd"/>
      <w:r w:rsidRPr="00FD64CC">
        <w:t xml:space="preserve"> and extensions of indications.</w:t>
      </w:r>
    </w:p>
    <w:p w14:paraId="61FBE7FD" w14:textId="77777777" w:rsidR="008E7846" w:rsidRPr="00FD64CC" w:rsidRDefault="008E7846" w:rsidP="008E7846">
      <w:pPr>
        <w:pStyle w:val="ListBullet"/>
        <w:numPr>
          <w:ilvl w:val="0"/>
          <w:numId w:val="3"/>
        </w:numPr>
        <w:ind w:left="357" w:hanging="357"/>
      </w:pPr>
      <w:r w:rsidRPr="00FD64CC">
        <w:t xml:space="preserve">An </w:t>
      </w:r>
      <w:proofErr w:type="spellStart"/>
      <w:r w:rsidRPr="00FD64CC">
        <w:t>AusPAR</w:t>
      </w:r>
      <w:proofErr w:type="spellEnd"/>
      <w:r w:rsidRPr="00FD64CC">
        <w:t xml:space="preserve"> is a static document</w:t>
      </w:r>
      <w:r w:rsidR="00133A1B" w:rsidRPr="00FD64CC">
        <w:t>;</w:t>
      </w:r>
      <w:r w:rsidRPr="00FD64CC">
        <w:t xml:space="preserve"> it provide</w:t>
      </w:r>
      <w:r w:rsidR="00133A1B" w:rsidRPr="00FD64CC">
        <w:t>s</w:t>
      </w:r>
      <w:r w:rsidRPr="00FD64CC">
        <w:t xml:space="preserve"> information that relates to a submission at a particular point in time.</w:t>
      </w:r>
    </w:p>
    <w:p w14:paraId="17FFC741" w14:textId="77777777" w:rsidR="00B452CE" w:rsidRPr="00FD64CC" w:rsidRDefault="008E7846" w:rsidP="00FF5755">
      <w:pPr>
        <w:pStyle w:val="ListBullet"/>
        <w:numPr>
          <w:ilvl w:val="0"/>
          <w:numId w:val="3"/>
        </w:numPr>
        <w:ind w:left="357" w:hanging="357"/>
      </w:pPr>
      <w:r w:rsidRPr="00FD64CC">
        <w:t xml:space="preserve">A new </w:t>
      </w:r>
      <w:proofErr w:type="spellStart"/>
      <w:r w:rsidRPr="00FD64CC">
        <w:t>AusPAR</w:t>
      </w:r>
      <w:proofErr w:type="spellEnd"/>
      <w:r w:rsidRPr="00FD64CC">
        <w:t xml:space="preserve"> will be developed to reflect changes to indications and/or major variations to a prescription medicine subject to evaluation by the TGA.</w:t>
      </w:r>
    </w:p>
    <w:p w14:paraId="4A8BC322" w14:textId="77777777" w:rsidR="00924482" w:rsidRPr="00FD64CC" w:rsidRDefault="00924482" w:rsidP="00F54B65">
      <w:pPr>
        <w:pStyle w:val="LegalSubheading"/>
        <w:spacing w:before="3120"/>
      </w:pPr>
      <w:r w:rsidRPr="00FD64CC">
        <w:t>Copyright</w:t>
      </w:r>
    </w:p>
    <w:p w14:paraId="6EC9C3DE" w14:textId="5345BE34" w:rsidR="00924482" w:rsidRPr="00FD64CC" w:rsidRDefault="00924482" w:rsidP="00924482">
      <w:pPr>
        <w:pStyle w:val="LegalCopy"/>
      </w:pPr>
      <w:r w:rsidRPr="00FD64CC">
        <w:rPr>
          <w:rFonts w:cs="Arial"/>
          <w:lang w:val="en-GB"/>
        </w:rPr>
        <w:t>© Commonwealth of Australia 20</w:t>
      </w:r>
      <w:r w:rsidR="00460036" w:rsidRPr="00FD64CC">
        <w:rPr>
          <w:rFonts w:cs="Arial"/>
          <w:lang w:val="en-GB"/>
        </w:rPr>
        <w:t>2</w:t>
      </w:r>
      <w:r w:rsidR="00324E45" w:rsidRPr="00FD64CC">
        <w:rPr>
          <w:rFonts w:cs="Arial"/>
          <w:lang w:val="en-GB"/>
        </w:rPr>
        <w:t>1</w:t>
      </w:r>
      <w:r w:rsidRPr="00FD64CC">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FD64CC">
        <w:rPr>
          <w:rFonts w:cs="Arial"/>
          <w:i/>
          <w:lang w:val="en-GB"/>
        </w:rPr>
        <w:t>Copyright Act 1968</w:t>
      </w:r>
      <w:r w:rsidRPr="00FD64CC">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FD64CC">
        <w:rPr>
          <w:rFonts w:cs="Arial"/>
          <w:lang w:val="en-GB"/>
        </w:rPr>
        <w:t>Woden</w:t>
      </w:r>
      <w:proofErr w:type="spellEnd"/>
      <w:r w:rsidRPr="00FD64CC">
        <w:rPr>
          <w:rFonts w:cs="Arial"/>
          <w:lang w:val="en-GB"/>
        </w:rPr>
        <w:t xml:space="preserve"> ACT 2606 or emailed to &lt;</w:t>
      </w:r>
      <w:hyperlink r:id="rId9" w:history="1">
        <w:r w:rsidRPr="00FD64CC">
          <w:rPr>
            <w:rStyle w:val="Hyperlink"/>
            <w:rFonts w:cs="Arial"/>
            <w:lang w:val="en-GB"/>
          </w:rPr>
          <w:t>tga.copyright@tga.gov.au</w:t>
        </w:r>
      </w:hyperlink>
      <w:r w:rsidRPr="00FD64CC">
        <w:rPr>
          <w:rFonts w:cs="Arial"/>
        </w:rPr>
        <w:t>&gt;.</w:t>
      </w:r>
    </w:p>
    <w:p w14:paraId="4D6C17A7" w14:textId="77777777" w:rsidR="00924482" w:rsidRPr="00FD64CC" w:rsidRDefault="00924482" w:rsidP="00924482">
      <w:pPr>
        <w:pStyle w:val="LegalCopy"/>
        <w:sectPr w:rsidR="00924482" w:rsidRPr="00FD64CC" w:rsidSect="003D1E62">
          <w:headerReference w:type="even" r:id="rId10"/>
          <w:headerReference w:type="default" r:id="rId11"/>
          <w:footerReference w:type="even" r:id="rId12"/>
          <w:footerReference w:type="default" r:id="rId13"/>
          <w:headerReference w:type="first" r:id="rId14"/>
          <w:footerReference w:type="first" r:id="rId15"/>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46D4532F" w14:textId="77777777" w:rsidR="0089635C" w:rsidRPr="00FD64CC" w:rsidRDefault="0089635C" w:rsidP="0010788A">
          <w:pPr>
            <w:pStyle w:val="Contents"/>
          </w:pPr>
          <w:r w:rsidRPr="00FD64CC">
            <w:t>Contents</w:t>
          </w:r>
        </w:p>
        <w:p w14:paraId="3A2AE9FE" w14:textId="5FD7A233" w:rsidR="00713E52" w:rsidRDefault="00C525A2">
          <w:pPr>
            <w:pStyle w:val="TOC1"/>
            <w:rPr>
              <w:rFonts w:asciiTheme="minorHAnsi" w:eastAsiaTheme="minorEastAsia" w:hAnsiTheme="minorHAnsi" w:cstheme="minorBidi"/>
              <w:b w:val="0"/>
              <w:noProof/>
              <w:sz w:val="22"/>
              <w:lang w:eastAsia="en-AU"/>
            </w:rPr>
          </w:pPr>
          <w:r w:rsidRPr="00FD64CC">
            <w:fldChar w:fldCharType="begin"/>
          </w:r>
          <w:r w:rsidRPr="00FD64CC">
            <w:instrText xml:space="preserve"> TOC \h \z \t "Heading 2,1,Heading 3,2" </w:instrText>
          </w:r>
          <w:r w:rsidRPr="00FD64CC">
            <w:fldChar w:fldCharType="separate"/>
          </w:r>
          <w:hyperlink w:anchor="_Toc84514209" w:history="1">
            <w:r w:rsidR="00713E52" w:rsidRPr="00B03C00">
              <w:rPr>
                <w:rStyle w:val="Hyperlink"/>
                <w:noProof/>
              </w:rPr>
              <w:t>List of abbreviations</w:t>
            </w:r>
            <w:r w:rsidR="00713E52">
              <w:rPr>
                <w:noProof/>
                <w:webHidden/>
              </w:rPr>
              <w:tab/>
            </w:r>
            <w:r w:rsidR="00713E52">
              <w:rPr>
                <w:noProof/>
                <w:webHidden/>
              </w:rPr>
              <w:fldChar w:fldCharType="begin"/>
            </w:r>
            <w:r w:rsidR="00713E52">
              <w:rPr>
                <w:noProof/>
                <w:webHidden/>
              </w:rPr>
              <w:instrText xml:space="preserve"> PAGEREF _Toc84514209 \h </w:instrText>
            </w:r>
            <w:r w:rsidR="00713E52">
              <w:rPr>
                <w:noProof/>
                <w:webHidden/>
              </w:rPr>
            </w:r>
            <w:r w:rsidR="00713E52">
              <w:rPr>
                <w:noProof/>
                <w:webHidden/>
              </w:rPr>
              <w:fldChar w:fldCharType="separate"/>
            </w:r>
            <w:r w:rsidR="00713E52">
              <w:rPr>
                <w:noProof/>
                <w:webHidden/>
              </w:rPr>
              <w:t>4</w:t>
            </w:r>
            <w:r w:rsidR="00713E52">
              <w:rPr>
                <w:noProof/>
                <w:webHidden/>
              </w:rPr>
              <w:fldChar w:fldCharType="end"/>
            </w:r>
          </w:hyperlink>
        </w:p>
        <w:p w14:paraId="1B5F9137" w14:textId="10485F5A" w:rsidR="00713E52" w:rsidRDefault="00713E52">
          <w:pPr>
            <w:pStyle w:val="TOC1"/>
            <w:rPr>
              <w:rFonts w:asciiTheme="minorHAnsi" w:eastAsiaTheme="minorEastAsia" w:hAnsiTheme="minorHAnsi" w:cstheme="minorBidi"/>
              <w:b w:val="0"/>
              <w:noProof/>
              <w:sz w:val="22"/>
              <w:lang w:eastAsia="en-AU"/>
            </w:rPr>
          </w:pPr>
          <w:hyperlink w:anchor="_Toc84514210" w:history="1">
            <w:r w:rsidRPr="00B03C00">
              <w:rPr>
                <w:rStyle w:val="Hyperlink"/>
                <w:noProof/>
              </w:rPr>
              <w:t>I. Introduction to product submission</w:t>
            </w:r>
            <w:r>
              <w:rPr>
                <w:noProof/>
                <w:webHidden/>
              </w:rPr>
              <w:tab/>
            </w:r>
            <w:r>
              <w:rPr>
                <w:noProof/>
                <w:webHidden/>
              </w:rPr>
              <w:fldChar w:fldCharType="begin"/>
            </w:r>
            <w:r>
              <w:rPr>
                <w:noProof/>
                <w:webHidden/>
              </w:rPr>
              <w:instrText xml:space="preserve"> PAGEREF _Toc84514210 \h </w:instrText>
            </w:r>
            <w:r>
              <w:rPr>
                <w:noProof/>
                <w:webHidden/>
              </w:rPr>
            </w:r>
            <w:r>
              <w:rPr>
                <w:noProof/>
                <w:webHidden/>
              </w:rPr>
              <w:fldChar w:fldCharType="separate"/>
            </w:r>
            <w:r>
              <w:rPr>
                <w:noProof/>
                <w:webHidden/>
              </w:rPr>
              <w:t>6</w:t>
            </w:r>
            <w:r>
              <w:rPr>
                <w:noProof/>
                <w:webHidden/>
              </w:rPr>
              <w:fldChar w:fldCharType="end"/>
            </w:r>
          </w:hyperlink>
        </w:p>
        <w:p w14:paraId="3C529996" w14:textId="03C88BBB" w:rsidR="00713E52" w:rsidRDefault="00713E52">
          <w:pPr>
            <w:pStyle w:val="TOC2"/>
            <w:rPr>
              <w:rFonts w:asciiTheme="minorHAnsi" w:eastAsiaTheme="minorEastAsia" w:hAnsiTheme="minorHAnsi" w:cstheme="minorBidi"/>
              <w:b w:val="0"/>
              <w:noProof/>
              <w:sz w:val="22"/>
              <w:lang w:eastAsia="en-AU"/>
            </w:rPr>
          </w:pPr>
          <w:hyperlink w:anchor="_Toc84514211" w:history="1">
            <w:r w:rsidRPr="00B03C00">
              <w:rPr>
                <w:rStyle w:val="Hyperlink"/>
                <w:noProof/>
                <w:lang w:eastAsia="en-AU"/>
              </w:rPr>
              <w:t>Submission details</w:t>
            </w:r>
            <w:r>
              <w:rPr>
                <w:noProof/>
                <w:webHidden/>
              </w:rPr>
              <w:tab/>
            </w:r>
            <w:r>
              <w:rPr>
                <w:noProof/>
                <w:webHidden/>
              </w:rPr>
              <w:fldChar w:fldCharType="begin"/>
            </w:r>
            <w:r>
              <w:rPr>
                <w:noProof/>
                <w:webHidden/>
              </w:rPr>
              <w:instrText xml:space="preserve"> PAGEREF _Toc84514211 \h </w:instrText>
            </w:r>
            <w:r>
              <w:rPr>
                <w:noProof/>
                <w:webHidden/>
              </w:rPr>
            </w:r>
            <w:r>
              <w:rPr>
                <w:noProof/>
                <w:webHidden/>
              </w:rPr>
              <w:fldChar w:fldCharType="separate"/>
            </w:r>
            <w:r>
              <w:rPr>
                <w:noProof/>
                <w:webHidden/>
              </w:rPr>
              <w:t>6</w:t>
            </w:r>
            <w:r>
              <w:rPr>
                <w:noProof/>
                <w:webHidden/>
              </w:rPr>
              <w:fldChar w:fldCharType="end"/>
            </w:r>
          </w:hyperlink>
        </w:p>
        <w:p w14:paraId="47DAE895" w14:textId="28A8049E" w:rsidR="00713E52" w:rsidRDefault="00713E52">
          <w:pPr>
            <w:pStyle w:val="TOC2"/>
            <w:rPr>
              <w:rFonts w:asciiTheme="minorHAnsi" w:eastAsiaTheme="minorEastAsia" w:hAnsiTheme="minorHAnsi" w:cstheme="minorBidi"/>
              <w:b w:val="0"/>
              <w:noProof/>
              <w:sz w:val="22"/>
              <w:lang w:eastAsia="en-AU"/>
            </w:rPr>
          </w:pPr>
          <w:hyperlink w:anchor="_Toc84514212" w:history="1">
            <w:r w:rsidRPr="00B03C00">
              <w:rPr>
                <w:rStyle w:val="Hyperlink"/>
                <w:noProof/>
              </w:rPr>
              <w:t>Product background</w:t>
            </w:r>
            <w:r>
              <w:rPr>
                <w:noProof/>
                <w:webHidden/>
              </w:rPr>
              <w:tab/>
            </w:r>
            <w:r>
              <w:rPr>
                <w:noProof/>
                <w:webHidden/>
              </w:rPr>
              <w:fldChar w:fldCharType="begin"/>
            </w:r>
            <w:r>
              <w:rPr>
                <w:noProof/>
                <w:webHidden/>
              </w:rPr>
              <w:instrText xml:space="preserve"> PAGEREF _Toc84514212 \h </w:instrText>
            </w:r>
            <w:r>
              <w:rPr>
                <w:noProof/>
                <w:webHidden/>
              </w:rPr>
            </w:r>
            <w:r>
              <w:rPr>
                <w:noProof/>
                <w:webHidden/>
              </w:rPr>
              <w:fldChar w:fldCharType="separate"/>
            </w:r>
            <w:r>
              <w:rPr>
                <w:noProof/>
                <w:webHidden/>
              </w:rPr>
              <w:t>7</w:t>
            </w:r>
            <w:r>
              <w:rPr>
                <w:noProof/>
                <w:webHidden/>
              </w:rPr>
              <w:fldChar w:fldCharType="end"/>
            </w:r>
          </w:hyperlink>
        </w:p>
        <w:p w14:paraId="341974D8" w14:textId="37F390CC" w:rsidR="00713E52" w:rsidRDefault="00713E52">
          <w:pPr>
            <w:pStyle w:val="TOC2"/>
            <w:rPr>
              <w:rFonts w:asciiTheme="minorHAnsi" w:eastAsiaTheme="minorEastAsia" w:hAnsiTheme="minorHAnsi" w:cstheme="minorBidi"/>
              <w:b w:val="0"/>
              <w:noProof/>
              <w:sz w:val="22"/>
              <w:lang w:eastAsia="en-AU"/>
            </w:rPr>
          </w:pPr>
          <w:hyperlink w:anchor="_Toc84514213" w:history="1">
            <w:r w:rsidRPr="00B03C00">
              <w:rPr>
                <w:rStyle w:val="Hyperlink"/>
                <w:noProof/>
              </w:rPr>
              <w:t>Regulatory status</w:t>
            </w:r>
            <w:r>
              <w:rPr>
                <w:noProof/>
                <w:webHidden/>
              </w:rPr>
              <w:tab/>
            </w:r>
            <w:r>
              <w:rPr>
                <w:noProof/>
                <w:webHidden/>
              </w:rPr>
              <w:fldChar w:fldCharType="begin"/>
            </w:r>
            <w:r>
              <w:rPr>
                <w:noProof/>
                <w:webHidden/>
              </w:rPr>
              <w:instrText xml:space="preserve"> PAGEREF _Toc84514213 \h </w:instrText>
            </w:r>
            <w:r>
              <w:rPr>
                <w:noProof/>
                <w:webHidden/>
              </w:rPr>
            </w:r>
            <w:r>
              <w:rPr>
                <w:noProof/>
                <w:webHidden/>
              </w:rPr>
              <w:fldChar w:fldCharType="separate"/>
            </w:r>
            <w:r>
              <w:rPr>
                <w:noProof/>
                <w:webHidden/>
              </w:rPr>
              <w:t>9</w:t>
            </w:r>
            <w:r>
              <w:rPr>
                <w:noProof/>
                <w:webHidden/>
              </w:rPr>
              <w:fldChar w:fldCharType="end"/>
            </w:r>
          </w:hyperlink>
        </w:p>
        <w:p w14:paraId="4FA45EB4" w14:textId="6A6F0FD2" w:rsidR="00713E52" w:rsidRDefault="00713E52">
          <w:pPr>
            <w:pStyle w:val="TOC2"/>
            <w:rPr>
              <w:rFonts w:asciiTheme="minorHAnsi" w:eastAsiaTheme="minorEastAsia" w:hAnsiTheme="minorHAnsi" w:cstheme="minorBidi"/>
              <w:b w:val="0"/>
              <w:noProof/>
              <w:sz w:val="22"/>
              <w:lang w:eastAsia="en-AU"/>
            </w:rPr>
          </w:pPr>
          <w:hyperlink w:anchor="_Toc84514214" w:history="1">
            <w:r w:rsidRPr="00B03C00">
              <w:rPr>
                <w:rStyle w:val="Hyperlink"/>
                <w:noProof/>
              </w:rPr>
              <w:t>Product Information</w:t>
            </w:r>
            <w:r>
              <w:rPr>
                <w:noProof/>
                <w:webHidden/>
              </w:rPr>
              <w:tab/>
            </w:r>
            <w:r>
              <w:rPr>
                <w:noProof/>
                <w:webHidden/>
              </w:rPr>
              <w:fldChar w:fldCharType="begin"/>
            </w:r>
            <w:r>
              <w:rPr>
                <w:noProof/>
                <w:webHidden/>
              </w:rPr>
              <w:instrText xml:space="preserve"> PAGEREF _Toc84514214 \h </w:instrText>
            </w:r>
            <w:r>
              <w:rPr>
                <w:noProof/>
                <w:webHidden/>
              </w:rPr>
            </w:r>
            <w:r>
              <w:rPr>
                <w:noProof/>
                <w:webHidden/>
              </w:rPr>
              <w:fldChar w:fldCharType="separate"/>
            </w:r>
            <w:r>
              <w:rPr>
                <w:noProof/>
                <w:webHidden/>
              </w:rPr>
              <w:t>10</w:t>
            </w:r>
            <w:r>
              <w:rPr>
                <w:noProof/>
                <w:webHidden/>
              </w:rPr>
              <w:fldChar w:fldCharType="end"/>
            </w:r>
          </w:hyperlink>
        </w:p>
        <w:p w14:paraId="6FD2103B" w14:textId="0CEFC471" w:rsidR="00713E52" w:rsidRDefault="00713E52">
          <w:pPr>
            <w:pStyle w:val="TOC1"/>
            <w:rPr>
              <w:rFonts w:asciiTheme="minorHAnsi" w:eastAsiaTheme="minorEastAsia" w:hAnsiTheme="minorHAnsi" w:cstheme="minorBidi"/>
              <w:b w:val="0"/>
              <w:noProof/>
              <w:sz w:val="22"/>
              <w:lang w:eastAsia="en-AU"/>
            </w:rPr>
          </w:pPr>
          <w:hyperlink w:anchor="_Toc84514215" w:history="1">
            <w:r w:rsidRPr="00B03C00">
              <w:rPr>
                <w:rStyle w:val="Hyperlink"/>
                <w:noProof/>
              </w:rPr>
              <w:t>II. Registration timeline</w:t>
            </w:r>
            <w:r>
              <w:rPr>
                <w:noProof/>
                <w:webHidden/>
              </w:rPr>
              <w:tab/>
            </w:r>
            <w:r>
              <w:rPr>
                <w:noProof/>
                <w:webHidden/>
              </w:rPr>
              <w:fldChar w:fldCharType="begin"/>
            </w:r>
            <w:r>
              <w:rPr>
                <w:noProof/>
                <w:webHidden/>
              </w:rPr>
              <w:instrText xml:space="preserve"> PAGEREF _Toc84514215 \h </w:instrText>
            </w:r>
            <w:r>
              <w:rPr>
                <w:noProof/>
                <w:webHidden/>
              </w:rPr>
            </w:r>
            <w:r>
              <w:rPr>
                <w:noProof/>
                <w:webHidden/>
              </w:rPr>
              <w:fldChar w:fldCharType="separate"/>
            </w:r>
            <w:r>
              <w:rPr>
                <w:noProof/>
                <w:webHidden/>
              </w:rPr>
              <w:t>10</w:t>
            </w:r>
            <w:r>
              <w:rPr>
                <w:noProof/>
                <w:webHidden/>
              </w:rPr>
              <w:fldChar w:fldCharType="end"/>
            </w:r>
          </w:hyperlink>
        </w:p>
        <w:p w14:paraId="68C59666" w14:textId="30E061B5" w:rsidR="00713E52" w:rsidRDefault="00713E52">
          <w:pPr>
            <w:pStyle w:val="TOC1"/>
            <w:rPr>
              <w:rFonts w:asciiTheme="minorHAnsi" w:eastAsiaTheme="minorEastAsia" w:hAnsiTheme="minorHAnsi" w:cstheme="minorBidi"/>
              <w:b w:val="0"/>
              <w:noProof/>
              <w:sz w:val="22"/>
              <w:lang w:eastAsia="en-AU"/>
            </w:rPr>
          </w:pPr>
          <w:hyperlink w:anchor="_Toc84514216" w:history="1">
            <w:r w:rsidRPr="00B03C00">
              <w:rPr>
                <w:rStyle w:val="Hyperlink"/>
                <w:noProof/>
              </w:rPr>
              <w:t>III. Submission overview and risk/benefit assessment</w:t>
            </w:r>
            <w:r>
              <w:rPr>
                <w:noProof/>
                <w:webHidden/>
              </w:rPr>
              <w:tab/>
            </w:r>
            <w:r>
              <w:rPr>
                <w:noProof/>
                <w:webHidden/>
              </w:rPr>
              <w:fldChar w:fldCharType="begin"/>
            </w:r>
            <w:r>
              <w:rPr>
                <w:noProof/>
                <w:webHidden/>
              </w:rPr>
              <w:instrText xml:space="preserve"> PAGEREF _Toc84514216 \h </w:instrText>
            </w:r>
            <w:r>
              <w:rPr>
                <w:noProof/>
                <w:webHidden/>
              </w:rPr>
            </w:r>
            <w:r>
              <w:rPr>
                <w:noProof/>
                <w:webHidden/>
              </w:rPr>
              <w:fldChar w:fldCharType="separate"/>
            </w:r>
            <w:r>
              <w:rPr>
                <w:noProof/>
                <w:webHidden/>
              </w:rPr>
              <w:t>11</w:t>
            </w:r>
            <w:r>
              <w:rPr>
                <w:noProof/>
                <w:webHidden/>
              </w:rPr>
              <w:fldChar w:fldCharType="end"/>
            </w:r>
          </w:hyperlink>
        </w:p>
        <w:p w14:paraId="7F27C7B4" w14:textId="5A2241DF" w:rsidR="00713E52" w:rsidRDefault="00713E52">
          <w:pPr>
            <w:pStyle w:val="TOC2"/>
            <w:rPr>
              <w:rFonts w:asciiTheme="minorHAnsi" w:eastAsiaTheme="minorEastAsia" w:hAnsiTheme="minorHAnsi" w:cstheme="minorBidi"/>
              <w:b w:val="0"/>
              <w:noProof/>
              <w:sz w:val="22"/>
              <w:lang w:eastAsia="en-AU"/>
            </w:rPr>
          </w:pPr>
          <w:hyperlink w:anchor="_Toc84514217" w:history="1">
            <w:r w:rsidRPr="00B03C00">
              <w:rPr>
                <w:rStyle w:val="Hyperlink"/>
                <w:noProof/>
              </w:rPr>
              <w:t>Quality</w:t>
            </w:r>
            <w:r>
              <w:rPr>
                <w:noProof/>
                <w:webHidden/>
              </w:rPr>
              <w:tab/>
            </w:r>
            <w:r>
              <w:rPr>
                <w:noProof/>
                <w:webHidden/>
              </w:rPr>
              <w:fldChar w:fldCharType="begin"/>
            </w:r>
            <w:r>
              <w:rPr>
                <w:noProof/>
                <w:webHidden/>
              </w:rPr>
              <w:instrText xml:space="preserve"> PAGEREF _Toc84514217 \h </w:instrText>
            </w:r>
            <w:r>
              <w:rPr>
                <w:noProof/>
                <w:webHidden/>
              </w:rPr>
            </w:r>
            <w:r>
              <w:rPr>
                <w:noProof/>
                <w:webHidden/>
              </w:rPr>
              <w:fldChar w:fldCharType="separate"/>
            </w:r>
            <w:r>
              <w:rPr>
                <w:noProof/>
                <w:webHidden/>
              </w:rPr>
              <w:t>11</w:t>
            </w:r>
            <w:r>
              <w:rPr>
                <w:noProof/>
                <w:webHidden/>
              </w:rPr>
              <w:fldChar w:fldCharType="end"/>
            </w:r>
          </w:hyperlink>
        </w:p>
        <w:p w14:paraId="34253FE0" w14:textId="4A1733F9" w:rsidR="00713E52" w:rsidRDefault="00713E52">
          <w:pPr>
            <w:pStyle w:val="TOC2"/>
            <w:rPr>
              <w:rFonts w:asciiTheme="minorHAnsi" w:eastAsiaTheme="minorEastAsia" w:hAnsiTheme="minorHAnsi" w:cstheme="minorBidi"/>
              <w:b w:val="0"/>
              <w:noProof/>
              <w:sz w:val="22"/>
              <w:lang w:eastAsia="en-AU"/>
            </w:rPr>
          </w:pPr>
          <w:hyperlink w:anchor="_Toc84514218" w:history="1">
            <w:r w:rsidRPr="00B03C00">
              <w:rPr>
                <w:rStyle w:val="Hyperlink"/>
                <w:noProof/>
              </w:rPr>
              <w:t>Nonclinical</w:t>
            </w:r>
            <w:r>
              <w:rPr>
                <w:noProof/>
                <w:webHidden/>
              </w:rPr>
              <w:tab/>
            </w:r>
            <w:r>
              <w:rPr>
                <w:noProof/>
                <w:webHidden/>
              </w:rPr>
              <w:fldChar w:fldCharType="begin"/>
            </w:r>
            <w:r>
              <w:rPr>
                <w:noProof/>
                <w:webHidden/>
              </w:rPr>
              <w:instrText xml:space="preserve"> PAGEREF _Toc84514218 \h </w:instrText>
            </w:r>
            <w:r>
              <w:rPr>
                <w:noProof/>
                <w:webHidden/>
              </w:rPr>
            </w:r>
            <w:r>
              <w:rPr>
                <w:noProof/>
                <w:webHidden/>
              </w:rPr>
              <w:fldChar w:fldCharType="separate"/>
            </w:r>
            <w:r>
              <w:rPr>
                <w:noProof/>
                <w:webHidden/>
              </w:rPr>
              <w:t>12</w:t>
            </w:r>
            <w:r>
              <w:rPr>
                <w:noProof/>
                <w:webHidden/>
              </w:rPr>
              <w:fldChar w:fldCharType="end"/>
            </w:r>
          </w:hyperlink>
        </w:p>
        <w:p w14:paraId="1410350B" w14:textId="2069CDD4" w:rsidR="00713E52" w:rsidRDefault="00713E52">
          <w:pPr>
            <w:pStyle w:val="TOC2"/>
            <w:rPr>
              <w:rFonts w:asciiTheme="minorHAnsi" w:eastAsiaTheme="minorEastAsia" w:hAnsiTheme="minorHAnsi" w:cstheme="minorBidi"/>
              <w:b w:val="0"/>
              <w:noProof/>
              <w:sz w:val="22"/>
              <w:lang w:eastAsia="en-AU"/>
            </w:rPr>
          </w:pPr>
          <w:hyperlink w:anchor="_Toc84514219" w:history="1">
            <w:r w:rsidRPr="00B03C00">
              <w:rPr>
                <w:rStyle w:val="Hyperlink"/>
                <w:noProof/>
              </w:rPr>
              <w:t>Clinical</w:t>
            </w:r>
            <w:r>
              <w:rPr>
                <w:noProof/>
                <w:webHidden/>
              </w:rPr>
              <w:tab/>
            </w:r>
            <w:r>
              <w:rPr>
                <w:noProof/>
                <w:webHidden/>
              </w:rPr>
              <w:fldChar w:fldCharType="begin"/>
            </w:r>
            <w:r>
              <w:rPr>
                <w:noProof/>
                <w:webHidden/>
              </w:rPr>
              <w:instrText xml:space="preserve"> PAGEREF _Toc84514219 \h </w:instrText>
            </w:r>
            <w:r>
              <w:rPr>
                <w:noProof/>
                <w:webHidden/>
              </w:rPr>
            </w:r>
            <w:r>
              <w:rPr>
                <w:noProof/>
                <w:webHidden/>
              </w:rPr>
              <w:fldChar w:fldCharType="separate"/>
            </w:r>
            <w:r>
              <w:rPr>
                <w:noProof/>
                <w:webHidden/>
              </w:rPr>
              <w:t>12</w:t>
            </w:r>
            <w:r>
              <w:rPr>
                <w:noProof/>
                <w:webHidden/>
              </w:rPr>
              <w:fldChar w:fldCharType="end"/>
            </w:r>
          </w:hyperlink>
        </w:p>
        <w:p w14:paraId="4CCF911B" w14:textId="03F2C799" w:rsidR="00713E52" w:rsidRDefault="00713E52">
          <w:pPr>
            <w:pStyle w:val="TOC2"/>
            <w:rPr>
              <w:rFonts w:asciiTheme="minorHAnsi" w:eastAsiaTheme="minorEastAsia" w:hAnsiTheme="minorHAnsi" w:cstheme="minorBidi"/>
              <w:b w:val="0"/>
              <w:noProof/>
              <w:sz w:val="22"/>
              <w:lang w:eastAsia="en-AU"/>
            </w:rPr>
          </w:pPr>
          <w:hyperlink w:anchor="_Toc84514220" w:history="1">
            <w:r w:rsidRPr="00B03C00">
              <w:rPr>
                <w:rStyle w:val="Hyperlink"/>
                <w:noProof/>
                <w:lang w:eastAsia="en-AU"/>
              </w:rPr>
              <w:t>Risk management plan</w:t>
            </w:r>
            <w:r>
              <w:rPr>
                <w:noProof/>
                <w:webHidden/>
              </w:rPr>
              <w:tab/>
            </w:r>
            <w:r>
              <w:rPr>
                <w:noProof/>
                <w:webHidden/>
              </w:rPr>
              <w:fldChar w:fldCharType="begin"/>
            </w:r>
            <w:r>
              <w:rPr>
                <w:noProof/>
                <w:webHidden/>
              </w:rPr>
              <w:instrText xml:space="preserve"> PAGEREF _Toc84514220 \h </w:instrText>
            </w:r>
            <w:r>
              <w:rPr>
                <w:noProof/>
                <w:webHidden/>
              </w:rPr>
            </w:r>
            <w:r>
              <w:rPr>
                <w:noProof/>
                <w:webHidden/>
              </w:rPr>
              <w:fldChar w:fldCharType="separate"/>
            </w:r>
            <w:r>
              <w:rPr>
                <w:noProof/>
                <w:webHidden/>
              </w:rPr>
              <w:t>24</w:t>
            </w:r>
            <w:r>
              <w:rPr>
                <w:noProof/>
                <w:webHidden/>
              </w:rPr>
              <w:fldChar w:fldCharType="end"/>
            </w:r>
          </w:hyperlink>
        </w:p>
        <w:p w14:paraId="51FE95CB" w14:textId="2555AE3C" w:rsidR="00713E52" w:rsidRDefault="00713E52">
          <w:pPr>
            <w:pStyle w:val="TOC2"/>
            <w:rPr>
              <w:rFonts w:asciiTheme="minorHAnsi" w:eastAsiaTheme="minorEastAsia" w:hAnsiTheme="minorHAnsi" w:cstheme="minorBidi"/>
              <w:b w:val="0"/>
              <w:noProof/>
              <w:sz w:val="22"/>
              <w:lang w:eastAsia="en-AU"/>
            </w:rPr>
          </w:pPr>
          <w:hyperlink w:anchor="_Toc84514221" w:history="1">
            <w:r w:rsidRPr="00B03C00">
              <w:rPr>
                <w:rStyle w:val="Hyperlink"/>
                <w:noProof/>
              </w:rPr>
              <w:t>Risk-benefit analysis</w:t>
            </w:r>
            <w:r>
              <w:rPr>
                <w:noProof/>
                <w:webHidden/>
              </w:rPr>
              <w:tab/>
            </w:r>
            <w:r>
              <w:rPr>
                <w:noProof/>
                <w:webHidden/>
              </w:rPr>
              <w:fldChar w:fldCharType="begin"/>
            </w:r>
            <w:r>
              <w:rPr>
                <w:noProof/>
                <w:webHidden/>
              </w:rPr>
              <w:instrText xml:space="preserve"> PAGEREF _Toc84514221 \h </w:instrText>
            </w:r>
            <w:r>
              <w:rPr>
                <w:noProof/>
                <w:webHidden/>
              </w:rPr>
            </w:r>
            <w:r>
              <w:rPr>
                <w:noProof/>
                <w:webHidden/>
              </w:rPr>
              <w:fldChar w:fldCharType="separate"/>
            </w:r>
            <w:r>
              <w:rPr>
                <w:noProof/>
                <w:webHidden/>
              </w:rPr>
              <w:t>25</w:t>
            </w:r>
            <w:r>
              <w:rPr>
                <w:noProof/>
                <w:webHidden/>
              </w:rPr>
              <w:fldChar w:fldCharType="end"/>
            </w:r>
          </w:hyperlink>
        </w:p>
        <w:p w14:paraId="2EC5768C" w14:textId="244C2942" w:rsidR="00713E52" w:rsidRDefault="00713E52">
          <w:pPr>
            <w:pStyle w:val="TOC2"/>
            <w:rPr>
              <w:rFonts w:asciiTheme="minorHAnsi" w:eastAsiaTheme="minorEastAsia" w:hAnsiTheme="minorHAnsi" w:cstheme="minorBidi"/>
              <w:b w:val="0"/>
              <w:noProof/>
              <w:sz w:val="22"/>
              <w:lang w:eastAsia="en-AU"/>
            </w:rPr>
          </w:pPr>
          <w:hyperlink w:anchor="_Toc84514222" w:history="1">
            <w:r w:rsidRPr="00B03C00">
              <w:rPr>
                <w:rStyle w:val="Hyperlink"/>
                <w:noProof/>
              </w:rPr>
              <w:t>Outcome</w:t>
            </w:r>
            <w:r>
              <w:rPr>
                <w:noProof/>
                <w:webHidden/>
              </w:rPr>
              <w:tab/>
            </w:r>
            <w:r>
              <w:rPr>
                <w:noProof/>
                <w:webHidden/>
              </w:rPr>
              <w:fldChar w:fldCharType="begin"/>
            </w:r>
            <w:r>
              <w:rPr>
                <w:noProof/>
                <w:webHidden/>
              </w:rPr>
              <w:instrText xml:space="preserve"> PAGEREF _Toc84514222 \h </w:instrText>
            </w:r>
            <w:r>
              <w:rPr>
                <w:noProof/>
                <w:webHidden/>
              </w:rPr>
            </w:r>
            <w:r>
              <w:rPr>
                <w:noProof/>
                <w:webHidden/>
              </w:rPr>
              <w:fldChar w:fldCharType="separate"/>
            </w:r>
            <w:r>
              <w:rPr>
                <w:noProof/>
                <w:webHidden/>
              </w:rPr>
              <w:t>26</w:t>
            </w:r>
            <w:r>
              <w:rPr>
                <w:noProof/>
                <w:webHidden/>
              </w:rPr>
              <w:fldChar w:fldCharType="end"/>
            </w:r>
          </w:hyperlink>
        </w:p>
        <w:p w14:paraId="68619E9E" w14:textId="4BC6CF0D" w:rsidR="00713E52" w:rsidRDefault="00713E52">
          <w:pPr>
            <w:pStyle w:val="TOC1"/>
            <w:rPr>
              <w:rFonts w:asciiTheme="minorHAnsi" w:eastAsiaTheme="minorEastAsia" w:hAnsiTheme="minorHAnsi" w:cstheme="minorBidi"/>
              <w:b w:val="0"/>
              <w:noProof/>
              <w:sz w:val="22"/>
              <w:lang w:eastAsia="en-AU"/>
            </w:rPr>
          </w:pPr>
          <w:hyperlink w:anchor="_Toc84514223" w:history="1">
            <w:r w:rsidRPr="00B03C00">
              <w:rPr>
                <w:rStyle w:val="Hyperlink"/>
                <w:noProof/>
              </w:rPr>
              <w:t>Attachment 1. Product Information</w:t>
            </w:r>
            <w:r>
              <w:rPr>
                <w:noProof/>
                <w:webHidden/>
              </w:rPr>
              <w:tab/>
            </w:r>
            <w:r>
              <w:rPr>
                <w:noProof/>
                <w:webHidden/>
              </w:rPr>
              <w:fldChar w:fldCharType="begin"/>
            </w:r>
            <w:r>
              <w:rPr>
                <w:noProof/>
                <w:webHidden/>
              </w:rPr>
              <w:instrText xml:space="preserve"> PAGEREF _Toc84514223 \h </w:instrText>
            </w:r>
            <w:r>
              <w:rPr>
                <w:noProof/>
                <w:webHidden/>
              </w:rPr>
            </w:r>
            <w:r>
              <w:rPr>
                <w:noProof/>
                <w:webHidden/>
              </w:rPr>
              <w:fldChar w:fldCharType="separate"/>
            </w:r>
            <w:r>
              <w:rPr>
                <w:noProof/>
                <w:webHidden/>
              </w:rPr>
              <w:t>27</w:t>
            </w:r>
            <w:r>
              <w:rPr>
                <w:noProof/>
                <w:webHidden/>
              </w:rPr>
              <w:fldChar w:fldCharType="end"/>
            </w:r>
          </w:hyperlink>
        </w:p>
        <w:p w14:paraId="3AF2B57C" w14:textId="040EF15D" w:rsidR="003A7F6C" w:rsidRPr="00FD64CC" w:rsidRDefault="00C525A2" w:rsidP="00B811C6">
          <w:pPr>
            <w:pStyle w:val="TOC2"/>
          </w:pPr>
          <w:r w:rsidRPr="00FD64CC">
            <w:fldChar w:fldCharType="end"/>
          </w:r>
        </w:p>
      </w:sdtContent>
    </w:sdt>
    <w:bookmarkStart w:id="2" w:name="_Toc314842482" w:displacedByCustomXml="prev"/>
    <w:p w14:paraId="0C291B0F" w14:textId="77777777" w:rsidR="00FD119B" w:rsidRPr="00FD64CC" w:rsidRDefault="00FD119B">
      <w:pPr>
        <w:spacing w:before="0" w:after="200" w:line="0" w:lineRule="auto"/>
      </w:pPr>
      <w:r w:rsidRPr="00FD64CC">
        <w:br w:type="page"/>
      </w:r>
    </w:p>
    <w:p w14:paraId="1FFFCD17" w14:textId="77777777" w:rsidR="00FD119B" w:rsidRPr="00FD64CC" w:rsidRDefault="00324E45" w:rsidP="004F0C4A">
      <w:pPr>
        <w:pStyle w:val="Heading2"/>
      </w:pPr>
      <w:bookmarkStart w:id="3" w:name="_Toc351716269"/>
      <w:bookmarkStart w:id="4" w:name="_Toc351718881"/>
      <w:bookmarkStart w:id="5" w:name="_Toc355338616"/>
      <w:bookmarkStart w:id="6" w:name="_Toc356306144"/>
      <w:bookmarkStart w:id="7" w:name="_Toc84514209"/>
      <w:r w:rsidRPr="00FD64CC">
        <w:lastRenderedPageBreak/>
        <w:t>List of</w:t>
      </w:r>
      <w:r w:rsidR="00FD119B" w:rsidRPr="00FD64CC">
        <w:t xml:space="preserve"> abbreviations</w:t>
      </w:r>
      <w:bookmarkEnd w:id="3"/>
      <w:bookmarkEnd w:id="4"/>
      <w:bookmarkEnd w:id="5"/>
      <w:bookmarkEnd w:id="6"/>
      <w:bookmarkEnd w:id="7"/>
    </w:p>
    <w:tbl>
      <w:tblPr>
        <w:tblStyle w:val="TableTGAblue"/>
        <w:tblW w:w="0" w:type="auto"/>
        <w:tblLook w:val="04A0" w:firstRow="1" w:lastRow="0" w:firstColumn="1" w:lastColumn="0" w:noHBand="0" w:noVBand="1"/>
      </w:tblPr>
      <w:tblGrid>
        <w:gridCol w:w="1890"/>
        <w:gridCol w:w="6604"/>
      </w:tblGrid>
      <w:tr w:rsidR="00FD119B" w:rsidRPr="00FD64CC" w14:paraId="236EDB71" w14:textId="77777777" w:rsidTr="004C5A05">
        <w:trPr>
          <w:cnfStyle w:val="100000000000" w:firstRow="1" w:lastRow="0" w:firstColumn="0" w:lastColumn="0" w:oddVBand="0" w:evenVBand="0" w:oddHBand="0" w:evenHBand="0" w:firstRowFirstColumn="0" w:firstRowLastColumn="0" w:lastRowFirstColumn="0" w:lastRowLastColumn="0"/>
        </w:trPr>
        <w:tc>
          <w:tcPr>
            <w:tcW w:w="1890" w:type="dxa"/>
            <w:tcBorders>
              <w:top w:val="single" w:sz="4" w:space="0" w:color="auto"/>
              <w:left w:val="single" w:sz="4" w:space="0" w:color="auto"/>
              <w:bottom w:val="single" w:sz="4" w:space="0" w:color="auto"/>
              <w:right w:val="single" w:sz="4" w:space="0" w:color="auto"/>
            </w:tcBorders>
          </w:tcPr>
          <w:p w14:paraId="336BBF80" w14:textId="77777777" w:rsidR="00FD119B" w:rsidRPr="00FD64CC" w:rsidRDefault="00FD119B" w:rsidP="00CC15B8">
            <w:r w:rsidRPr="00FD64CC">
              <w:t>Abbreviation</w:t>
            </w:r>
          </w:p>
        </w:tc>
        <w:tc>
          <w:tcPr>
            <w:tcW w:w="6604" w:type="dxa"/>
            <w:tcBorders>
              <w:top w:val="single" w:sz="4" w:space="0" w:color="auto"/>
              <w:left w:val="single" w:sz="4" w:space="0" w:color="auto"/>
              <w:bottom w:val="single" w:sz="4" w:space="0" w:color="auto"/>
              <w:right w:val="single" w:sz="4" w:space="0" w:color="auto"/>
            </w:tcBorders>
          </w:tcPr>
          <w:p w14:paraId="479E6AAA" w14:textId="77777777" w:rsidR="00FD119B" w:rsidRPr="00FD64CC" w:rsidRDefault="00FD119B" w:rsidP="00CC15B8">
            <w:r w:rsidRPr="00FD64CC">
              <w:t>Meaning</w:t>
            </w:r>
          </w:p>
        </w:tc>
      </w:tr>
      <w:tr w:rsidR="00CC15B8" w:rsidRPr="00FD64CC" w14:paraId="2A46C4F6" w14:textId="77777777" w:rsidTr="004C5A05">
        <w:tc>
          <w:tcPr>
            <w:tcW w:w="1890" w:type="dxa"/>
          </w:tcPr>
          <w:p w14:paraId="2C25D889" w14:textId="77777777" w:rsidR="00CC15B8" w:rsidRPr="00FD64CC" w:rsidRDefault="00CC15B8" w:rsidP="00CC15B8">
            <w:r w:rsidRPr="00FD64CC">
              <w:t>AE</w:t>
            </w:r>
          </w:p>
        </w:tc>
        <w:tc>
          <w:tcPr>
            <w:tcW w:w="6604" w:type="dxa"/>
          </w:tcPr>
          <w:p w14:paraId="42F0C873" w14:textId="77777777" w:rsidR="00CC15B8" w:rsidRPr="00FD64CC" w:rsidRDefault="00CC15B8" w:rsidP="00CC15B8">
            <w:r w:rsidRPr="00FD64CC">
              <w:t>Adverse event</w:t>
            </w:r>
          </w:p>
        </w:tc>
      </w:tr>
      <w:tr w:rsidR="00CC15B8" w:rsidRPr="00FD64CC" w14:paraId="622313A1" w14:textId="77777777" w:rsidTr="004C5A05">
        <w:tc>
          <w:tcPr>
            <w:tcW w:w="1890" w:type="dxa"/>
          </w:tcPr>
          <w:p w14:paraId="77FEDB65" w14:textId="77777777" w:rsidR="00CC15B8" w:rsidRPr="00FD64CC" w:rsidRDefault="00CC15B8" w:rsidP="00CC15B8">
            <w:r w:rsidRPr="00FD64CC">
              <w:t>AED</w:t>
            </w:r>
          </w:p>
        </w:tc>
        <w:tc>
          <w:tcPr>
            <w:tcW w:w="6604" w:type="dxa"/>
          </w:tcPr>
          <w:p w14:paraId="07339D38" w14:textId="2CDD87F9" w:rsidR="00CC15B8" w:rsidRPr="00FD64CC" w:rsidRDefault="005054AA" w:rsidP="00CC15B8">
            <w:r w:rsidRPr="00FD64CC">
              <w:t>Anti</w:t>
            </w:r>
            <w:r w:rsidR="00CC15B8" w:rsidRPr="00FD64CC">
              <w:t>epilep</w:t>
            </w:r>
            <w:r w:rsidR="00FD3F4A">
              <w:t>tic</w:t>
            </w:r>
            <w:r w:rsidR="00CC15B8" w:rsidRPr="00FD64CC">
              <w:t xml:space="preserve"> drug</w:t>
            </w:r>
          </w:p>
        </w:tc>
      </w:tr>
      <w:tr w:rsidR="00F263B0" w:rsidRPr="00FD64CC" w14:paraId="64EF81FE" w14:textId="77777777" w:rsidTr="004C5A05">
        <w:tc>
          <w:tcPr>
            <w:tcW w:w="1890" w:type="dxa"/>
          </w:tcPr>
          <w:p w14:paraId="374093AA" w14:textId="67283CDB" w:rsidR="00F263B0" w:rsidRPr="00FD64CC" w:rsidRDefault="00F263B0" w:rsidP="00CC15B8">
            <w:r w:rsidRPr="00FD64CC">
              <w:t>ALT</w:t>
            </w:r>
          </w:p>
        </w:tc>
        <w:tc>
          <w:tcPr>
            <w:tcW w:w="6604" w:type="dxa"/>
          </w:tcPr>
          <w:p w14:paraId="436DC370" w14:textId="43DC0AFA" w:rsidR="00F263B0" w:rsidRPr="00FD64CC" w:rsidRDefault="00F263B0" w:rsidP="00F263B0">
            <w:r w:rsidRPr="00FD64CC">
              <w:t>Alanine aminotransferase</w:t>
            </w:r>
          </w:p>
        </w:tc>
      </w:tr>
      <w:tr w:rsidR="00CC15B8" w:rsidRPr="00FD64CC" w14:paraId="531FCC17" w14:textId="77777777" w:rsidTr="004C5A05">
        <w:tc>
          <w:tcPr>
            <w:tcW w:w="1890" w:type="dxa"/>
          </w:tcPr>
          <w:p w14:paraId="76B500B8" w14:textId="77777777" w:rsidR="00CC15B8" w:rsidRPr="00FD64CC" w:rsidRDefault="00CC15B8" w:rsidP="00CC15B8">
            <w:r w:rsidRPr="00FD64CC">
              <w:t>ANCOVA</w:t>
            </w:r>
          </w:p>
        </w:tc>
        <w:tc>
          <w:tcPr>
            <w:tcW w:w="6604" w:type="dxa"/>
          </w:tcPr>
          <w:p w14:paraId="18E98F01" w14:textId="77777777" w:rsidR="00CC15B8" w:rsidRPr="00FD64CC" w:rsidRDefault="00CC15B8" w:rsidP="00CC15B8">
            <w:r w:rsidRPr="00FD64CC">
              <w:t>Analysis of covariance</w:t>
            </w:r>
          </w:p>
        </w:tc>
      </w:tr>
      <w:tr w:rsidR="00CC15B8" w:rsidRPr="00FD64CC" w14:paraId="160E11C6" w14:textId="77777777" w:rsidTr="004C5A05">
        <w:tc>
          <w:tcPr>
            <w:tcW w:w="1890" w:type="dxa"/>
          </w:tcPr>
          <w:p w14:paraId="05E56713" w14:textId="77777777" w:rsidR="00CC15B8" w:rsidRPr="00FD64CC" w:rsidRDefault="00CC15B8" w:rsidP="00CC15B8">
            <w:r w:rsidRPr="00FD64CC">
              <w:t>ARD</w:t>
            </w:r>
          </w:p>
        </w:tc>
        <w:tc>
          <w:tcPr>
            <w:tcW w:w="6604" w:type="dxa"/>
          </w:tcPr>
          <w:p w14:paraId="4CAFF9C6" w14:textId="77777777" w:rsidR="00CC15B8" w:rsidRPr="00FD64CC" w:rsidRDefault="00CC15B8" w:rsidP="00CC15B8">
            <w:r w:rsidRPr="00FD64CC">
              <w:t>Average risk difference</w:t>
            </w:r>
          </w:p>
        </w:tc>
      </w:tr>
      <w:tr w:rsidR="00CC15B8" w:rsidRPr="00FD64CC" w14:paraId="114037B3" w14:textId="77777777" w:rsidTr="004C5A05">
        <w:tc>
          <w:tcPr>
            <w:tcW w:w="1890" w:type="dxa"/>
          </w:tcPr>
          <w:p w14:paraId="34CCA189" w14:textId="77777777" w:rsidR="00CC15B8" w:rsidRPr="00FD64CC" w:rsidRDefault="00CC15B8" w:rsidP="00CC15B8">
            <w:r w:rsidRPr="00FD64CC">
              <w:t>ARTG</w:t>
            </w:r>
          </w:p>
        </w:tc>
        <w:tc>
          <w:tcPr>
            <w:tcW w:w="6604" w:type="dxa"/>
          </w:tcPr>
          <w:p w14:paraId="295DDEFC" w14:textId="77777777" w:rsidR="00CC15B8" w:rsidRPr="00FD64CC" w:rsidRDefault="00CC15B8" w:rsidP="00CC15B8">
            <w:r w:rsidRPr="00FD64CC">
              <w:t>Australian Register of Therapeutic Goods</w:t>
            </w:r>
          </w:p>
        </w:tc>
      </w:tr>
      <w:tr w:rsidR="006F4512" w:rsidRPr="00FD64CC" w14:paraId="1F67A0A4" w14:textId="77777777" w:rsidTr="004C5A05">
        <w:tc>
          <w:tcPr>
            <w:tcW w:w="1890" w:type="dxa"/>
          </w:tcPr>
          <w:p w14:paraId="10969435" w14:textId="4BCD0780" w:rsidR="006F4512" w:rsidRPr="00FD64CC" w:rsidRDefault="006F4512" w:rsidP="00CC15B8">
            <w:r w:rsidRPr="00FD64CC">
              <w:t>ASA</w:t>
            </w:r>
          </w:p>
        </w:tc>
        <w:tc>
          <w:tcPr>
            <w:tcW w:w="6604" w:type="dxa"/>
          </w:tcPr>
          <w:p w14:paraId="7BC06820" w14:textId="49B6195A" w:rsidR="006F4512" w:rsidRPr="00FD64CC" w:rsidRDefault="006F4512" w:rsidP="00CC15B8">
            <w:r w:rsidRPr="00FD64CC">
              <w:t>Australian-</w:t>
            </w:r>
            <w:r w:rsidR="008B4C50">
              <w:t>s</w:t>
            </w:r>
            <w:r w:rsidRPr="00FD64CC">
              <w:t>pecific annex</w:t>
            </w:r>
          </w:p>
        </w:tc>
      </w:tr>
      <w:tr w:rsidR="00F263B0" w:rsidRPr="00FD64CC" w14:paraId="3733A2B5" w14:textId="77777777" w:rsidTr="004C5A05">
        <w:tc>
          <w:tcPr>
            <w:tcW w:w="1890" w:type="dxa"/>
          </w:tcPr>
          <w:p w14:paraId="6CC30F4F" w14:textId="7D5C89EC" w:rsidR="00F263B0" w:rsidRPr="00FD64CC" w:rsidRDefault="00F263B0" w:rsidP="00CC15B8">
            <w:r w:rsidRPr="00FD64CC">
              <w:t>AST</w:t>
            </w:r>
          </w:p>
        </w:tc>
        <w:tc>
          <w:tcPr>
            <w:tcW w:w="6604" w:type="dxa"/>
          </w:tcPr>
          <w:p w14:paraId="122F2F3B" w14:textId="460E3811" w:rsidR="00F263B0" w:rsidRPr="00FD64CC" w:rsidRDefault="00F263B0" w:rsidP="00F263B0">
            <w:r w:rsidRPr="00FD64CC">
              <w:t>Aspartate aminotransferase</w:t>
            </w:r>
          </w:p>
        </w:tc>
      </w:tr>
      <w:tr w:rsidR="00CC15B8" w:rsidRPr="00FD64CC" w14:paraId="27D1BE23" w14:textId="77777777" w:rsidTr="004C5A05">
        <w:tc>
          <w:tcPr>
            <w:tcW w:w="1890" w:type="dxa"/>
          </w:tcPr>
          <w:p w14:paraId="3FB971F8" w14:textId="77777777" w:rsidR="00CC15B8" w:rsidRPr="00FD64CC" w:rsidRDefault="00CC15B8" w:rsidP="00CC15B8">
            <w:r w:rsidRPr="00FD64CC">
              <w:t>BMI</w:t>
            </w:r>
          </w:p>
        </w:tc>
        <w:tc>
          <w:tcPr>
            <w:tcW w:w="6604" w:type="dxa"/>
          </w:tcPr>
          <w:p w14:paraId="48560A30" w14:textId="77777777" w:rsidR="00CC15B8" w:rsidRPr="00FD64CC" w:rsidRDefault="00CC15B8" w:rsidP="00CC15B8">
            <w:r w:rsidRPr="00FD64CC">
              <w:t>Body mass index</w:t>
            </w:r>
          </w:p>
        </w:tc>
      </w:tr>
      <w:tr w:rsidR="00E2379A" w:rsidRPr="00FD64CC" w14:paraId="3F77990B" w14:textId="77777777" w:rsidTr="004C5A05">
        <w:tc>
          <w:tcPr>
            <w:tcW w:w="1890" w:type="dxa"/>
          </w:tcPr>
          <w:p w14:paraId="4A890FF5" w14:textId="0B8DC5D2" w:rsidR="00E2379A" w:rsidRPr="00FD64CC" w:rsidRDefault="00E2379A" w:rsidP="00CC15B8">
            <w:r w:rsidRPr="00FD64CC">
              <w:t>CGI</w:t>
            </w:r>
          </w:p>
        </w:tc>
        <w:tc>
          <w:tcPr>
            <w:tcW w:w="6604" w:type="dxa"/>
          </w:tcPr>
          <w:p w14:paraId="07360C04" w14:textId="529B5CA9" w:rsidR="00E2379A" w:rsidRPr="00FD64CC" w:rsidRDefault="00E2379A" w:rsidP="00E2379A">
            <w:r w:rsidRPr="00FD64CC">
              <w:t xml:space="preserve">Clinical </w:t>
            </w:r>
            <w:r w:rsidR="008B4C50">
              <w:t>G</w:t>
            </w:r>
            <w:r w:rsidRPr="00FD64CC">
              <w:t xml:space="preserve">lobal </w:t>
            </w:r>
            <w:r w:rsidR="008B4C50">
              <w:t>I</w:t>
            </w:r>
            <w:r w:rsidRPr="00FD64CC">
              <w:t>mpression</w:t>
            </w:r>
          </w:p>
        </w:tc>
      </w:tr>
      <w:tr w:rsidR="00CC15B8" w:rsidRPr="00FD64CC" w14:paraId="27E4E997" w14:textId="77777777" w:rsidTr="004C5A05">
        <w:tc>
          <w:tcPr>
            <w:tcW w:w="1890" w:type="dxa"/>
          </w:tcPr>
          <w:p w14:paraId="3F760306" w14:textId="77777777" w:rsidR="00CC15B8" w:rsidRPr="00FD64CC" w:rsidRDefault="00CC15B8" w:rsidP="00CC15B8">
            <w:r w:rsidRPr="00FD64CC">
              <w:t>CI</w:t>
            </w:r>
          </w:p>
        </w:tc>
        <w:tc>
          <w:tcPr>
            <w:tcW w:w="6604" w:type="dxa"/>
          </w:tcPr>
          <w:p w14:paraId="2D5EC629" w14:textId="77777777" w:rsidR="00CC15B8" w:rsidRPr="00FD64CC" w:rsidRDefault="00CC15B8" w:rsidP="00CC15B8">
            <w:r w:rsidRPr="00FD64CC">
              <w:t>Confidence interval</w:t>
            </w:r>
          </w:p>
        </w:tc>
      </w:tr>
      <w:tr w:rsidR="00CC15B8" w:rsidRPr="00FD64CC" w14:paraId="5B0792C1" w14:textId="77777777" w:rsidTr="004C5A05">
        <w:tc>
          <w:tcPr>
            <w:tcW w:w="1890" w:type="dxa"/>
          </w:tcPr>
          <w:p w14:paraId="13E1FF67" w14:textId="77777777" w:rsidR="00CC15B8" w:rsidRPr="00FD64CC" w:rsidRDefault="00CC15B8" w:rsidP="00CC15B8">
            <w:r w:rsidRPr="00FD64CC">
              <w:t>CL</w:t>
            </w:r>
            <w:r w:rsidRPr="00E9053A">
              <w:rPr>
                <w:vertAlign w:val="subscript"/>
              </w:rPr>
              <w:t>CR</w:t>
            </w:r>
          </w:p>
        </w:tc>
        <w:tc>
          <w:tcPr>
            <w:tcW w:w="6604" w:type="dxa"/>
          </w:tcPr>
          <w:p w14:paraId="600FD913" w14:textId="77777777" w:rsidR="00CC15B8" w:rsidRPr="00FD64CC" w:rsidRDefault="00CC15B8" w:rsidP="00CC15B8">
            <w:r w:rsidRPr="00FD64CC">
              <w:t>Creatinine clearance</w:t>
            </w:r>
          </w:p>
        </w:tc>
      </w:tr>
      <w:tr w:rsidR="002D09A0" w:rsidRPr="00FD64CC" w14:paraId="73D1F1A5" w14:textId="77777777" w:rsidTr="004C5A05">
        <w:tc>
          <w:tcPr>
            <w:tcW w:w="1890" w:type="dxa"/>
          </w:tcPr>
          <w:p w14:paraId="17D4DD6A" w14:textId="58068569" w:rsidR="002D09A0" w:rsidRPr="00FD64CC" w:rsidRDefault="002D09A0" w:rsidP="00CC15B8">
            <w:r w:rsidRPr="00FD64CC">
              <w:t>CMI</w:t>
            </w:r>
          </w:p>
        </w:tc>
        <w:tc>
          <w:tcPr>
            <w:tcW w:w="6604" w:type="dxa"/>
          </w:tcPr>
          <w:p w14:paraId="5C3EE487" w14:textId="32AEA732" w:rsidR="002D09A0" w:rsidRPr="00FD64CC" w:rsidRDefault="002D09A0" w:rsidP="002D09A0">
            <w:r w:rsidRPr="00FD64CC">
              <w:t>Consumer Medicines Information</w:t>
            </w:r>
          </w:p>
        </w:tc>
      </w:tr>
      <w:tr w:rsidR="00C80347" w:rsidRPr="00FD64CC" w14:paraId="3A93B63E" w14:textId="77777777" w:rsidTr="004C5A05">
        <w:tc>
          <w:tcPr>
            <w:tcW w:w="1890" w:type="dxa"/>
          </w:tcPr>
          <w:p w14:paraId="0A402197" w14:textId="5F0EBFBC" w:rsidR="00C80347" w:rsidRPr="00FD64CC" w:rsidRDefault="00CF6EB8" w:rsidP="00CC15B8">
            <w:r>
              <w:t>CR</w:t>
            </w:r>
          </w:p>
        </w:tc>
        <w:tc>
          <w:tcPr>
            <w:tcW w:w="6604" w:type="dxa"/>
          </w:tcPr>
          <w:p w14:paraId="59555B12" w14:textId="00ACCD68" w:rsidR="00C80347" w:rsidRPr="00FD64CC" w:rsidRDefault="00CF6EB8" w:rsidP="00397747">
            <w:r>
              <w:t>Controlled release (formulation)</w:t>
            </w:r>
          </w:p>
        </w:tc>
      </w:tr>
      <w:tr w:rsidR="00397747" w:rsidRPr="00FD64CC" w14:paraId="1950A4FD" w14:textId="77777777" w:rsidTr="004C5A05">
        <w:tc>
          <w:tcPr>
            <w:tcW w:w="1890" w:type="dxa"/>
          </w:tcPr>
          <w:p w14:paraId="48A9E6D0" w14:textId="68D90DC8" w:rsidR="00397747" w:rsidRPr="00FD64CC" w:rsidRDefault="00397747" w:rsidP="00CC15B8">
            <w:r w:rsidRPr="00FD64CC">
              <w:t>CYP</w:t>
            </w:r>
          </w:p>
        </w:tc>
        <w:tc>
          <w:tcPr>
            <w:tcW w:w="6604" w:type="dxa"/>
          </w:tcPr>
          <w:p w14:paraId="39089533" w14:textId="0DCE02F1" w:rsidR="00397747" w:rsidRPr="00FD64CC" w:rsidRDefault="00397747" w:rsidP="00397747">
            <w:r w:rsidRPr="00FD64CC">
              <w:t>Cytochrome P450</w:t>
            </w:r>
          </w:p>
        </w:tc>
      </w:tr>
      <w:tr w:rsidR="006F4512" w:rsidRPr="00FD64CC" w14:paraId="794A5EB2" w14:textId="77777777" w:rsidTr="004C5A05">
        <w:tc>
          <w:tcPr>
            <w:tcW w:w="1890" w:type="dxa"/>
          </w:tcPr>
          <w:p w14:paraId="3B455838" w14:textId="4A5092D8" w:rsidR="006F4512" w:rsidRPr="00FD64CC" w:rsidRDefault="006F4512" w:rsidP="00CC15B8">
            <w:r w:rsidRPr="00FD64CC">
              <w:t>DLP</w:t>
            </w:r>
          </w:p>
        </w:tc>
        <w:tc>
          <w:tcPr>
            <w:tcW w:w="6604" w:type="dxa"/>
          </w:tcPr>
          <w:p w14:paraId="6E56215A" w14:textId="3DB1C975" w:rsidR="006F4512" w:rsidRPr="00FD64CC" w:rsidRDefault="006F4512" w:rsidP="006F4512">
            <w:r w:rsidRPr="00FD64CC">
              <w:t>Data lock point</w:t>
            </w:r>
          </w:p>
        </w:tc>
      </w:tr>
      <w:tr w:rsidR="0041655D" w:rsidRPr="00FD64CC" w14:paraId="2FA993BE" w14:textId="77777777" w:rsidTr="004C5A05">
        <w:tc>
          <w:tcPr>
            <w:tcW w:w="1890" w:type="dxa"/>
          </w:tcPr>
          <w:p w14:paraId="669094CF" w14:textId="112D2E7A" w:rsidR="0041655D" w:rsidRPr="00FD64CC" w:rsidRDefault="0041655D" w:rsidP="00CC15B8">
            <w:r w:rsidRPr="00FD64CC">
              <w:t>EU</w:t>
            </w:r>
          </w:p>
        </w:tc>
        <w:tc>
          <w:tcPr>
            <w:tcW w:w="6604" w:type="dxa"/>
          </w:tcPr>
          <w:p w14:paraId="53A9AEF3" w14:textId="05986B90" w:rsidR="0041655D" w:rsidRPr="00FD64CC" w:rsidRDefault="0041655D" w:rsidP="00CC15B8">
            <w:r w:rsidRPr="00FD64CC">
              <w:t>European Union</w:t>
            </w:r>
          </w:p>
        </w:tc>
      </w:tr>
      <w:tr w:rsidR="00CC15B8" w:rsidRPr="00FD64CC" w14:paraId="1D0012C2" w14:textId="77777777" w:rsidTr="004C5A05">
        <w:tc>
          <w:tcPr>
            <w:tcW w:w="1890" w:type="dxa"/>
          </w:tcPr>
          <w:p w14:paraId="401D8CA3" w14:textId="77777777" w:rsidR="00CC15B8" w:rsidRPr="00FD64CC" w:rsidRDefault="00CC15B8" w:rsidP="00CC15B8">
            <w:r w:rsidRPr="00FD64CC">
              <w:t>FAS</w:t>
            </w:r>
          </w:p>
        </w:tc>
        <w:tc>
          <w:tcPr>
            <w:tcW w:w="6604" w:type="dxa"/>
          </w:tcPr>
          <w:p w14:paraId="48A92BBF" w14:textId="77777777" w:rsidR="00CC15B8" w:rsidRPr="00FD64CC" w:rsidRDefault="00CC15B8" w:rsidP="00CC15B8">
            <w:r w:rsidRPr="00FD64CC">
              <w:t>Full analysis set</w:t>
            </w:r>
          </w:p>
        </w:tc>
      </w:tr>
      <w:tr w:rsidR="00EA6F21" w:rsidRPr="00FD64CC" w14:paraId="38022487" w14:textId="77777777" w:rsidTr="004C5A05">
        <w:tc>
          <w:tcPr>
            <w:tcW w:w="1890" w:type="dxa"/>
          </w:tcPr>
          <w:p w14:paraId="078A0231" w14:textId="77777777" w:rsidR="00EA6F21" w:rsidRPr="00FD64CC" w:rsidRDefault="00EA6F21" w:rsidP="00CC15B8">
            <w:r w:rsidRPr="00FD64CC">
              <w:t>GABA</w:t>
            </w:r>
          </w:p>
        </w:tc>
        <w:tc>
          <w:tcPr>
            <w:tcW w:w="6604" w:type="dxa"/>
          </w:tcPr>
          <w:p w14:paraId="5482C666" w14:textId="6D536B24" w:rsidR="00EA6F21" w:rsidRPr="00FD64CC" w:rsidRDefault="00EA6F21" w:rsidP="00CC15B8">
            <w:r w:rsidRPr="00FD64CC">
              <w:t>Gamma</w:t>
            </w:r>
            <w:r w:rsidR="008B4C50">
              <w:noBreakHyphen/>
            </w:r>
            <w:r w:rsidRPr="00FD64CC">
              <w:t>aminobutyric acid</w:t>
            </w:r>
          </w:p>
        </w:tc>
      </w:tr>
      <w:tr w:rsidR="00CC15B8" w:rsidRPr="00FD64CC" w14:paraId="14438D33" w14:textId="77777777" w:rsidTr="004C5A05">
        <w:tc>
          <w:tcPr>
            <w:tcW w:w="1890" w:type="dxa"/>
          </w:tcPr>
          <w:p w14:paraId="454010FB" w14:textId="77777777" w:rsidR="00CC15B8" w:rsidRPr="00FD64CC" w:rsidRDefault="00CC15B8" w:rsidP="00CC15B8">
            <w:r w:rsidRPr="00FD64CC">
              <w:t>GGT</w:t>
            </w:r>
          </w:p>
        </w:tc>
        <w:tc>
          <w:tcPr>
            <w:tcW w:w="6604" w:type="dxa"/>
          </w:tcPr>
          <w:p w14:paraId="45D84107" w14:textId="25FD14DB" w:rsidR="00CC15B8" w:rsidRPr="00FD64CC" w:rsidRDefault="00CC15B8" w:rsidP="006F4512">
            <w:r w:rsidRPr="00FD64CC">
              <w:t>Gamma</w:t>
            </w:r>
            <w:r w:rsidR="006F4512" w:rsidRPr="00FD64CC">
              <w:t xml:space="preserve"> </w:t>
            </w:r>
            <w:proofErr w:type="spellStart"/>
            <w:r w:rsidRPr="00FD64CC">
              <w:t>glutamyltransferase</w:t>
            </w:r>
            <w:proofErr w:type="spellEnd"/>
          </w:p>
        </w:tc>
      </w:tr>
      <w:tr w:rsidR="00A40688" w:rsidRPr="00FD64CC" w14:paraId="303C4BC4" w14:textId="77777777" w:rsidTr="004C5A05">
        <w:tc>
          <w:tcPr>
            <w:tcW w:w="1890" w:type="dxa"/>
          </w:tcPr>
          <w:p w14:paraId="4556D1C3" w14:textId="15C3E39C" w:rsidR="00A40688" w:rsidRPr="00FD64CC" w:rsidRDefault="00A40688" w:rsidP="00CC15B8">
            <w:r w:rsidRPr="00FD64CC">
              <w:t>GVP</w:t>
            </w:r>
          </w:p>
        </w:tc>
        <w:tc>
          <w:tcPr>
            <w:tcW w:w="6604" w:type="dxa"/>
          </w:tcPr>
          <w:p w14:paraId="2EB9FD6F" w14:textId="6CA3B630" w:rsidR="00A40688" w:rsidRPr="00FD64CC" w:rsidRDefault="00A40688" w:rsidP="00A40688">
            <w:r w:rsidRPr="00FD64CC">
              <w:t>Good Pharmacovigilance Practices</w:t>
            </w:r>
          </w:p>
        </w:tc>
      </w:tr>
      <w:tr w:rsidR="00185313" w:rsidRPr="00FD64CC" w14:paraId="6D6378D0" w14:textId="77777777" w:rsidTr="004C5A05">
        <w:tc>
          <w:tcPr>
            <w:tcW w:w="1890" w:type="dxa"/>
          </w:tcPr>
          <w:p w14:paraId="3C26BA00" w14:textId="1294F920" w:rsidR="00185313" w:rsidRPr="00FD64CC" w:rsidRDefault="00185313" w:rsidP="00CC15B8">
            <w:proofErr w:type="spellStart"/>
            <w:r w:rsidRPr="00FD64CC">
              <w:t>HRQoL</w:t>
            </w:r>
            <w:proofErr w:type="spellEnd"/>
          </w:p>
        </w:tc>
        <w:tc>
          <w:tcPr>
            <w:tcW w:w="6604" w:type="dxa"/>
          </w:tcPr>
          <w:p w14:paraId="34BA628D" w14:textId="00CD6499" w:rsidR="00185313" w:rsidRPr="00FD64CC" w:rsidRDefault="00185313" w:rsidP="00185313">
            <w:r w:rsidRPr="00FD64CC">
              <w:t>Health-related quality of life</w:t>
            </w:r>
          </w:p>
        </w:tc>
      </w:tr>
      <w:tr w:rsidR="00CC15B8" w:rsidRPr="00FD64CC" w14:paraId="22DF1CBF" w14:textId="77777777" w:rsidTr="004C5A05">
        <w:tc>
          <w:tcPr>
            <w:tcW w:w="1890" w:type="dxa"/>
          </w:tcPr>
          <w:p w14:paraId="5FE1D031" w14:textId="30FBBAB7" w:rsidR="00CC15B8" w:rsidRPr="00FD64CC" w:rsidRDefault="002D09A0" w:rsidP="00CC15B8">
            <w:r w:rsidRPr="00FD64CC">
              <w:t>LS</w:t>
            </w:r>
          </w:p>
        </w:tc>
        <w:tc>
          <w:tcPr>
            <w:tcW w:w="6604" w:type="dxa"/>
          </w:tcPr>
          <w:p w14:paraId="74FCD75E" w14:textId="2FE63200" w:rsidR="00CC15B8" w:rsidRPr="00FD64CC" w:rsidRDefault="002D09A0" w:rsidP="00CC15B8">
            <w:r w:rsidRPr="00FD64CC">
              <w:t>Least squares</w:t>
            </w:r>
          </w:p>
        </w:tc>
      </w:tr>
      <w:tr w:rsidR="00E2379A" w:rsidRPr="00FD64CC" w14:paraId="7475B411" w14:textId="77777777" w:rsidTr="004C5A05">
        <w:tc>
          <w:tcPr>
            <w:tcW w:w="1890" w:type="dxa"/>
          </w:tcPr>
          <w:p w14:paraId="0DC54778" w14:textId="0186B79D" w:rsidR="00E2379A" w:rsidRPr="00FD64CC" w:rsidRDefault="00E2379A" w:rsidP="00CC15B8">
            <w:r w:rsidRPr="00FD64CC">
              <w:t>MADRS</w:t>
            </w:r>
          </w:p>
        </w:tc>
        <w:tc>
          <w:tcPr>
            <w:tcW w:w="6604" w:type="dxa"/>
          </w:tcPr>
          <w:p w14:paraId="64538DD9" w14:textId="6D594EDE" w:rsidR="00E2379A" w:rsidRPr="00FD64CC" w:rsidRDefault="00E2379A" w:rsidP="00DE08B9">
            <w:r w:rsidRPr="00FD64CC">
              <w:t>Montgomery</w:t>
            </w:r>
            <w:r w:rsidR="00DE08B9">
              <w:noBreakHyphen/>
            </w:r>
            <w:proofErr w:type="spellStart"/>
            <w:r w:rsidR="00DE08B9">
              <w:t>Å</w:t>
            </w:r>
            <w:r w:rsidRPr="00FD64CC">
              <w:t>sberg</w:t>
            </w:r>
            <w:proofErr w:type="spellEnd"/>
            <w:r w:rsidRPr="00FD64CC">
              <w:t xml:space="preserve"> Depression Rating Scale</w:t>
            </w:r>
          </w:p>
        </w:tc>
      </w:tr>
      <w:tr w:rsidR="00597B04" w:rsidRPr="00FD64CC" w14:paraId="4C210958" w14:textId="77777777" w:rsidTr="004C5A05">
        <w:tc>
          <w:tcPr>
            <w:tcW w:w="1890" w:type="dxa"/>
          </w:tcPr>
          <w:p w14:paraId="31B0AC78" w14:textId="29C7CC22" w:rsidR="00597B04" w:rsidRPr="00FD64CC" w:rsidRDefault="00597B04" w:rsidP="00CC15B8">
            <w:r w:rsidRPr="00FD64CC">
              <w:t>OLE</w:t>
            </w:r>
          </w:p>
        </w:tc>
        <w:tc>
          <w:tcPr>
            <w:tcW w:w="6604" w:type="dxa"/>
          </w:tcPr>
          <w:p w14:paraId="61D53A0E" w14:textId="5ED74D40" w:rsidR="00597B04" w:rsidRPr="00FD64CC" w:rsidRDefault="00597B04" w:rsidP="00597B04">
            <w:r w:rsidRPr="00FD64CC">
              <w:t>Open label extension</w:t>
            </w:r>
          </w:p>
        </w:tc>
      </w:tr>
      <w:tr w:rsidR="00113E42" w:rsidRPr="00FD64CC" w14:paraId="52962820" w14:textId="77777777" w:rsidTr="004C5A05">
        <w:tc>
          <w:tcPr>
            <w:tcW w:w="1890" w:type="dxa"/>
          </w:tcPr>
          <w:p w14:paraId="11842F1A" w14:textId="2F8CC9BF" w:rsidR="00113E42" w:rsidRPr="00FD64CC" w:rsidRDefault="00113E42" w:rsidP="00CC15B8">
            <w:r w:rsidRPr="00FD64CC">
              <w:lastRenderedPageBreak/>
              <w:t>PD</w:t>
            </w:r>
          </w:p>
        </w:tc>
        <w:tc>
          <w:tcPr>
            <w:tcW w:w="6604" w:type="dxa"/>
          </w:tcPr>
          <w:p w14:paraId="170FC21A" w14:textId="653BFB41" w:rsidR="00113E42" w:rsidRPr="00FD64CC" w:rsidRDefault="00113E42" w:rsidP="00CC15B8">
            <w:r w:rsidRPr="00FD64CC">
              <w:t>Pharmacodynamic(s)</w:t>
            </w:r>
          </w:p>
        </w:tc>
      </w:tr>
      <w:tr w:rsidR="0041655D" w:rsidRPr="00FD64CC" w14:paraId="4B50E3A3" w14:textId="77777777" w:rsidTr="004C5A05">
        <w:tc>
          <w:tcPr>
            <w:tcW w:w="1890" w:type="dxa"/>
          </w:tcPr>
          <w:p w14:paraId="161BB38B" w14:textId="749174C0" w:rsidR="0041655D" w:rsidRPr="00FD64CC" w:rsidRDefault="0041655D" w:rsidP="00CC15B8">
            <w:r w:rsidRPr="00FD64CC">
              <w:t>PI</w:t>
            </w:r>
          </w:p>
        </w:tc>
        <w:tc>
          <w:tcPr>
            <w:tcW w:w="6604" w:type="dxa"/>
          </w:tcPr>
          <w:p w14:paraId="3FC3884E" w14:textId="21234F1A" w:rsidR="0041655D" w:rsidRPr="00FD64CC" w:rsidRDefault="0041655D" w:rsidP="00CC15B8">
            <w:r w:rsidRPr="00FD64CC">
              <w:t>Product Information</w:t>
            </w:r>
          </w:p>
        </w:tc>
      </w:tr>
      <w:tr w:rsidR="00CC15B8" w:rsidRPr="00FD64CC" w14:paraId="22B8B416" w14:textId="77777777" w:rsidTr="004C5A05">
        <w:tc>
          <w:tcPr>
            <w:tcW w:w="1890" w:type="dxa"/>
          </w:tcPr>
          <w:p w14:paraId="0D4E5A11" w14:textId="77777777" w:rsidR="00CC15B8" w:rsidRPr="00FD64CC" w:rsidRDefault="00CC15B8" w:rsidP="00CC15B8">
            <w:r w:rsidRPr="00FD64CC">
              <w:t>PK</w:t>
            </w:r>
          </w:p>
        </w:tc>
        <w:tc>
          <w:tcPr>
            <w:tcW w:w="6604" w:type="dxa"/>
          </w:tcPr>
          <w:p w14:paraId="11E1E91D" w14:textId="238ADC08" w:rsidR="00CC15B8" w:rsidRPr="00FD64CC" w:rsidRDefault="00CC15B8" w:rsidP="00CC15B8">
            <w:r w:rsidRPr="00FD64CC">
              <w:t>Pharmacokinetic</w:t>
            </w:r>
            <w:r w:rsidR="00113E42" w:rsidRPr="00FD64CC">
              <w:t>(</w:t>
            </w:r>
            <w:r w:rsidRPr="00FD64CC">
              <w:t>s</w:t>
            </w:r>
            <w:r w:rsidR="00113E42" w:rsidRPr="00FD64CC">
              <w:t>)</w:t>
            </w:r>
          </w:p>
        </w:tc>
      </w:tr>
      <w:tr w:rsidR="00185313" w:rsidRPr="00FD64CC" w14:paraId="2F120F21" w14:textId="77777777" w:rsidTr="004C5A05">
        <w:tc>
          <w:tcPr>
            <w:tcW w:w="1890" w:type="dxa"/>
          </w:tcPr>
          <w:p w14:paraId="40086BC9" w14:textId="20D99343" w:rsidR="00185313" w:rsidRPr="00FD64CC" w:rsidRDefault="00185313" w:rsidP="00CC15B8">
            <w:r w:rsidRPr="00FD64CC">
              <w:t>POS</w:t>
            </w:r>
          </w:p>
        </w:tc>
        <w:tc>
          <w:tcPr>
            <w:tcW w:w="6604" w:type="dxa"/>
          </w:tcPr>
          <w:p w14:paraId="1E1BE44D" w14:textId="172373D0" w:rsidR="00185313" w:rsidRPr="00FD64CC" w:rsidRDefault="00185313" w:rsidP="00185313">
            <w:r w:rsidRPr="00FD64CC">
              <w:t>Partial-onset seizure</w:t>
            </w:r>
            <w:r w:rsidR="00FD3F4A">
              <w:t>(</w:t>
            </w:r>
            <w:r w:rsidR="002D09A0" w:rsidRPr="00FD64CC">
              <w:t>s</w:t>
            </w:r>
            <w:r w:rsidR="00FD3F4A">
              <w:t>)</w:t>
            </w:r>
          </w:p>
        </w:tc>
      </w:tr>
      <w:tr w:rsidR="00A40688" w:rsidRPr="00FD64CC" w14:paraId="6ED6E922" w14:textId="77777777" w:rsidTr="004C5A05">
        <w:tc>
          <w:tcPr>
            <w:tcW w:w="1890" w:type="dxa"/>
          </w:tcPr>
          <w:p w14:paraId="72D00548" w14:textId="112718E1" w:rsidR="00A40688" w:rsidRPr="00FD64CC" w:rsidRDefault="00A40688" w:rsidP="00CC15B8">
            <w:r w:rsidRPr="00FD64CC">
              <w:t>PSUR</w:t>
            </w:r>
          </w:p>
        </w:tc>
        <w:tc>
          <w:tcPr>
            <w:tcW w:w="6604" w:type="dxa"/>
          </w:tcPr>
          <w:p w14:paraId="31679BF6" w14:textId="58DEF3B0" w:rsidR="00A40688" w:rsidRPr="00FD64CC" w:rsidRDefault="00A40688" w:rsidP="00A40688">
            <w:r w:rsidRPr="00FD64CC">
              <w:t>Periodic safety update report</w:t>
            </w:r>
          </w:p>
        </w:tc>
      </w:tr>
      <w:tr w:rsidR="00CC15B8" w:rsidRPr="00FD64CC" w14:paraId="2F84B9D8" w14:textId="77777777" w:rsidTr="004C5A05">
        <w:tc>
          <w:tcPr>
            <w:tcW w:w="1890" w:type="dxa"/>
          </w:tcPr>
          <w:p w14:paraId="706AFF51" w14:textId="4B14AD46" w:rsidR="00CC15B8" w:rsidRPr="00FD64CC" w:rsidRDefault="00E2379A" w:rsidP="00CC15B8">
            <w:r w:rsidRPr="00FD64CC">
              <w:t>QOLIE-31</w:t>
            </w:r>
          </w:p>
        </w:tc>
        <w:tc>
          <w:tcPr>
            <w:tcW w:w="6604" w:type="dxa"/>
          </w:tcPr>
          <w:p w14:paraId="53D1B7CB" w14:textId="144A13CC" w:rsidR="00CC15B8" w:rsidRPr="00FD64CC" w:rsidRDefault="00E2379A" w:rsidP="00E2379A">
            <w:r w:rsidRPr="00FD64CC">
              <w:t>Quality of Life in Epilepsy-31 Inventory</w:t>
            </w:r>
          </w:p>
        </w:tc>
      </w:tr>
      <w:tr w:rsidR="00185313" w:rsidRPr="00FD64CC" w14:paraId="2479B8DB" w14:textId="77777777" w:rsidTr="004C5A05">
        <w:tc>
          <w:tcPr>
            <w:tcW w:w="1890" w:type="dxa"/>
          </w:tcPr>
          <w:p w14:paraId="609B26CA" w14:textId="5D5B05F6" w:rsidR="00185313" w:rsidRPr="00FD64CC" w:rsidRDefault="00185313" w:rsidP="00CC15B8">
            <w:r w:rsidRPr="00FD64CC">
              <w:t>RCT</w:t>
            </w:r>
          </w:p>
        </w:tc>
        <w:tc>
          <w:tcPr>
            <w:tcW w:w="6604" w:type="dxa"/>
          </w:tcPr>
          <w:p w14:paraId="3B2C104A" w14:textId="2D447971" w:rsidR="00185313" w:rsidRPr="00FD64CC" w:rsidRDefault="00185313" w:rsidP="00185313">
            <w:r w:rsidRPr="00FD64CC">
              <w:t>Randomised clinical trial</w:t>
            </w:r>
          </w:p>
        </w:tc>
      </w:tr>
      <w:tr w:rsidR="006F4512" w:rsidRPr="00FD64CC" w14:paraId="19A77959" w14:textId="77777777" w:rsidTr="004C5A05">
        <w:tc>
          <w:tcPr>
            <w:tcW w:w="1890" w:type="dxa"/>
          </w:tcPr>
          <w:p w14:paraId="0709D251" w14:textId="075AA5AA" w:rsidR="006F4512" w:rsidRPr="00FD64CC" w:rsidRDefault="006F4512" w:rsidP="00CC15B8">
            <w:r w:rsidRPr="00FD64CC">
              <w:t>RMP</w:t>
            </w:r>
          </w:p>
        </w:tc>
        <w:tc>
          <w:tcPr>
            <w:tcW w:w="6604" w:type="dxa"/>
          </w:tcPr>
          <w:p w14:paraId="1ED62DCB" w14:textId="71A0CCEB" w:rsidR="006F4512" w:rsidRPr="00FD64CC" w:rsidRDefault="006F4512" w:rsidP="006F4512">
            <w:r w:rsidRPr="00FD64CC">
              <w:t>Risk management plan</w:t>
            </w:r>
          </w:p>
        </w:tc>
      </w:tr>
      <w:tr w:rsidR="00CC15B8" w:rsidRPr="00FD64CC" w14:paraId="74B458E8" w14:textId="77777777" w:rsidTr="004C5A05">
        <w:tc>
          <w:tcPr>
            <w:tcW w:w="1890" w:type="dxa"/>
          </w:tcPr>
          <w:p w14:paraId="6AC90A54" w14:textId="77777777" w:rsidR="00CC15B8" w:rsidRPr="00FD64CC" w:rsidRDefault="00CC15B8" w:rsidP="00CC15B8">
            <w:r w:rsidRPr="00FD64CC">
              <w:t>SOC</w:t>
            </w:r>
          </w:p>
        </w:tc>
        <w:tc>
          <w:tcPr>
            <w:tcW w:w="6604" w:type="dxa"/>
          </w:tcPr>
          <w:p w14:paraId="3D9E15BA" w14:textId="50D1BCAB" w:rsidR="00CC15B8" w:rsidRPr="00FD64CC" w:rsidRDefault="00CC15B8" w:rsidP="00CC15B8">
            <w:r w:rsidRPr="00FD64CC">
              <w:t xml:space="preserve">System </w:t>
            </w:r>
            <w:r w:rsidR="00DE08B9">
              <w:t>O</w:t>
            </w:r>
            <w:r w:rsidRPr="00FD64CC">
              <w:t xml:space="preserve">rgan </w:t>
            </w:r>
            <w:r w:rsidR="00DE08B9">
              <w:t>C</w:t>
            </w:r>
            <w:r w:rsidRPr="00FD64CC">
              <w:t>lass</w:t>
            </w:r>
          </w:p>
        </w:tc>
      </w:tr>
      <w:tr w:rsidR="00EB6211" w:rsidRPr="00FD64CC" w14:paraId="2E5532ED" w14:textId="77777777" w:rsidTr="004C5A05">
        <w:tc>
          <w:tcPr>
            <w:tcW w:w="1890" w:type="dxa"/>
          </w:tcPr>
          <w:p w14:paraId="6F197B5A" w14:textId="468E3581" w:rsidR="00EB6211" w:rsidRPr="00FD64CC" w:rsidRDefault="00EB6211" w:rsidP="00CC15B8">
            <w:r w:rsidRPr="00FD64CC">
              <w:t>SPC</w:t>
            </w:r>
          </w:p>
        </w:tc>
        <w:tc>
          <w:tcPr>
            <w:tcW w:w="6604" w:type="dxa"/>
          </w:tcPr>
          <w:p w14:paraId="3F9E133F" w14:textId="6A6E8E14" w:rsidR="00EB6211" w:rsidRPr="00FD64CC" w:rsidRDefault="00EB6211" w:rsidP="00EB6211">
            <w:r w:rsidRPr="00FD64CC">
              <w:t xml:space="preserve">Summary </w:t>
            </w:r>
            <w:r w:rsidR="00C80347">
              <w:t xml:space="preserve">of </w:t>
            </w:r>
            <w:r w:rsidRPr="00FD64CC">
              <w:t>product characteristics</w:t>
            </w:r>
          </w:p>
        </w:tc>
      </w:tr>
      <w:tr w:rsidR="00CC15B8" w:rsidRPr="00FD64CC" w14:paraId="32875072" w14:textId="77777777" w:rsidTr="004C5A05">
        <w:tc>
          <w:tcPr>
            <w:tcW w:w="1890" w:type="dxa"/>
          </w:tcPr>
          <w:p w14:paraId="298E5DD3" w14:textId="77777777" w:rsidR="00CC15B8" w:rsidRPr="00FD64CC" w:rsidRDefault="00CC15B8" w:rsidP="00CC15B8">
            <w:r w:rsidRPr="00FD64CC">
              <w:t>T</w:t>
            </w:r>
            <w:r w:rsidRPr="00E9053A">
              <w:rPr>
                <w:vertAlign w:val="subscript"/>
              </w:rPr>
              <w:t>4</w:t>
            </w:r>
          </w:p>
        </w:tc>
        <w:tc>
          <w:tcPr>
            <w:tcW w:w="6604" w:type="dxa"/>
          </w:tcPr>
          <w:p w14:paraId="55B2417E" w14:textId="77777777" w:rsidR="00CC15B8" w:rsidRPr="00FD64CC" w:rsidRDefault="00CC15B8" w:rsidP="00CC15B8">
            <w:r w:rsidRPr="00FD64CC">
              <w:t>Thyroxine</w:t>
            </w:r>
          </w:p>
        </w:tc>
      </w:tr>
      <w:tr w:rsidR="00CC15B8" w:rsidRPr="00FD64CC" w14:paraId="0DF57892" w14:textId="77777777" w:rsidTr="004C5A05">
        <w:tc>
          <w:tcPr>
            <w:tcW w:w="1890" w:type="dxa"/>
          </w:tcPr>
          <w:p w14:paraId="0C25FECF" w14:textId="77777777" w:rsidR="00CC15B8" w:rsidRPr="00FD64CC" w:rsidRDefault="00CC15B8" w:rsidP="00CC15B8">
            <w:r w:rsidRPr="00FD64CC">
              <w:t>TEAE</w:t>
            </w:r>
          </w:p>
        </w:tc>
        <w:tc>
          <w:tcPr>
            <w:tcW w:w="6604" w:type="dxa"/>
          </w:tcPr>
          <w:p w14:paraId="28ACF310" w14:textId="77777777" w:rsidR="00CC15B8" w:rsidRPr="00FD64CC" w:rsidRDefault="00CC15B8" w:rsidP="00CC15B8">
            <w:r w:rsidRPr="00FD64CC">
              <w:t>Treatment-emergent adverse event</w:t>
            </w:r>
          </w:p>
        </w:tc>
      </w:tr>
      <w:tr w:rsidR="0041655D" w:rsidRPr="00FD64CC" w14:paraId="2634484B" w14:textId="77777777" w:rsidTr="004C5A05">
        <w:tc>
          <w:tcPr>
            <w:tcW w:w="1890" w:type="dxa"/>
          </w:tcPr>
          <w:p w14:paraId="411DDE43" w14:textId="398AB699" w:rsidR="0041655D" w:rsidRPr="00FD64CC" w:rsidRDefault="0041655D" w:rsidP="00CC15B8">
            <w:r w:rsidRPr="00FD64CC">
              <w:t>USA</w:t>
            </w:r>
          </w:p>
        </w:tc>
        <w:tc>
          <w:tcPr>
            <w:tcW w:w="6604" w:type="dxa"/>
          </w:tcPr>
          <w:p w14:paraId="31E480F7" w14:textId="006EB069" w:rsidR="0041655D" w:rsidRPr="00FD64CC" w:rsidRDefault="0041655D" w:rsidP="00CC15B8">
            <w:r w:rsidRPr="00FD64CC">
              <w:t>United States of America</w:t>
            </w:r>
          </w:p>
        </w:tc>
      </w:tr>
      <w:tr w:rsidR="00CC15B8" w:rsidRPr="00FD64CC" w14:paraId="66F712D7" w14:textId="77777777" w:rsidTr="004C5A05">
        <w:tc>
          <w:tcPr>
            <w:tcW w:w="1890" w:type="dxa"/>
          </w:tcPr>
          <w:p w14:paraId="369EC490" w14:textId="77777777" w:rsidR="00CC15B8" w:rsidRPr="00FD64CC" w:rsidRDefault="00CC15B8" w:rsidP="00CC15B8">
            <w:r w:rsidRPr="00FD64CC">
              <w:t>VGSC</w:t>
            </w:r>
          </w:p>
        </w:tc>
        <w:tc>
          <w:tcPr>
            <w:tcW w:w="6604" w:type="dxa"/>
          </w:tcPr>
          <w:p w14:paraId="03E79977" w14:textId="4E0BA751" w:rsidR="00CC15B8" w:rsidRPr="00FD64CC" w:rsidRDefault="00DB33AC" w:rsidP="00CC15B8">
            <w:r w:rsidRPr="00FD64CC">
              <w:t>Voltage-</w:t>
            </w:r>
            <w:r w:rsidR="00CC15B8" w:rsidRPr="00FD64CC">
              <w:t>gated sodium channel</w:t>
            </w:r>
          </w:p>
        </w:tc>
      </w:tr>
      <w:tr w:rsidR="007456BD" w:rsidRPr="00FD64CC" w14:paraId="16C85885" w14:textId="77777777" w:rsidTr="004C5A05">
        <w:tc>
          <w:tcPr>
            <w:tcW w:w="1890" w:type="dxa"/>
          </w:tcPr>
          <w:p w14:paraId="3900DE90" w14:textId="614E4FF5" w:rsidR="007456BD" w:rsidRPr="00FD64CC" w:rsidRDefault="007456BD" w:rsidP="00CC15B8">
            <w:r w:rsidRPr="00FD64CC">
              <w:t>VNS</w:t>
            </w:r>
          </w:p>
        </w:tc>
        <w:tc>
          <w:tcPr>
            <w:tcW w:w="6604" w:type="dxa"/>
          </w:tcPr>
          <w:p w14:paraId="7166FB6C" w14:textId="21A7C298" w:rsidR="007456BD" w:rsidRPr="00FD64CC" w:rsidRDefault="007456BD" w:rsidP="007456BD">
            <w:r w:rsidRPr="00FD64CC">
              <w:t>Vagal nerve stimulation</w:t>
            </w:r>
          </w:p>
        </w:tc>
      </w:tr>
    </w:tbl>
    <w:p w14:paraId="650D65F6" w14:textId="77777777" w:rsidR="00FD119B" w:rsidRPr="00FD64CC" w:rsidRDefault="00FD119B" w:rsidP="00FD119B">
      <w:pPr>
        <w:spacing w:before="0" w:after="200" w:line="0" w:lineRule="auto"/>
        <w:rPr>
          <w:b/>
          <w:i/>
          <w:sz w:val="24"/>
          <w:szCs w:val="24"/>
        </w:rPr>
      </w:pPr>
      <w:r w:rsidRPr="00FD64CC">
        <w:rPr>
          <w:b/>
          <w:i/>
          <w:sz w:val="24"/>
          <w:szCs w:val="24"/>
        </w:rPr>
        <w:br w:type="page"/>
      </w:r>
    </w:p>
    <w:p w14:paraId="4E0D7C24" w14:textId="77777777" w:rsidR="008E7846" w:rsidRPr="00FD64CC" w:rsidRDefault="00F53C07" w:rsidP="008E7846">
      <w:pPr>
        <w:pStyle w:val="Heading2"/>
      </w:pPr>
      <w:bookmarkStart w:id="8" w:name="_Toc84514210"/>
      <w:r w:rsidRPr="00FD64CC">
        <w:lastRenderedPageBreak/>
        <w:t>I.</w:t>
      </w:r>
      <w:r w:rsidR="008E7846" w:rsidRPr="00FD64CC">
        <w:t xml:space="preserve"> Introduction to product submission</w:t>
      </w:r>
      <w:bookmarkEnd w:id="0"/>
      <w:bookmarkEnd w:id="2"/>
      <w:bookmarkEnd w:id="8"/>
    </w:p>
    <w:p w14:paraId="76603F86" w14:textId="77777777" w:rsidR="008E7846" w:rsidRPr="00FD64CC" w:rsidRDefault="008E7846" w:rsidP="008E7846">
      <w:pPr>
        <w:pStyle w:val="Heading3"/>
        <w:rPr>
          <w:lang w:eastAsia="en-AU"/>
        </w:rPr>
      </w:pPr>
      <w:bookmarkStart w:id="9" w:name="_Toc247691502"/>
      <w:bookmarkStart w:id="10" w:name="_Toc314842483"/>
      <w:bookmarkStart w:id="11" w:name="_Toc84514211"/>
      <w:r w:rsidRPr="00FD64CC">
        <w:rPr>
          <w:lang w:eastAsia="en-AU"/>
        </w:rPr>
        <w:t>Submission details</w:t>
      </w:r>
      <w:bookmarkEnd w:id="9"/>
      <w:bookmarkEnd w:id="10"/>
      <w:bookmarkEnd w:id="11"/>
    </w:p>
    <w:tbl>
      <w:tblPr>
        <w:tblW w:w="9214" w:type="dxa"/>
        <w:tblInd w:w="108" w:type="dxa"/>
        <w:tblLook w:val="01E0" w:firstRow="1" w:lastRow="1" w:firstColumn="1" w:lastColumn="1" w:noHBand="0" w:noVBand="0"/>
      </w:tblPr>
      <w:tblGrid>
        <w:gridCol w:w="2907"/>
        <w:gridCol w:w="6307"/>
      </w:tblGrid>
      <w:tr w:rsidR="008E7846" w:rsidRPr="00FD64CC" w14:paraId="2EFD6B1D" w14:textId="77777777" w:rsidTr="003735BC">
        <w:tc>
          <w:tcPr>
            <w:tcW w:w="2907" w:type="dxa"/>
          </w:tcPr>
          <w:p w14:paraId="6571FEB3" w14:textId="77777777" w:rsidR="008E7846" w:rsidRPr="00FD64CC" w:rsidRDefault="001B5C90" w:rsidP="001B5C90">
            <w:pPr>
              <w:rPr>
                <w:i/>
              </w:rPr>
            </w:pPr>
            <w:r w:rsidRPr="00FD64CC">
              <w:rPr>
                <w:i/>
              </w:rPr>
              <w:t>Type of s</w:t>
            </w:r>
            <w:r w:rsidR="008E7846" w:rsidRPr="00FD64CC">
              <w:rPr>
                <w:i/>
              </w:rPr>
              <w:t>ubmission</w:t>
            </w:r>
            <w:r w:rsidRPr="00FD64CC">
              <w:rPr>
                <w:i/>
              </w:rPr>
              <w:t>:</w:t>
            </w:r>
          </w:p>
        </w:tc>
        <w:tc>
          <w:tcPr>
            <w:tcW w:w="6307" w:type="dxa"/>
          </w:tcPr>
          <w:p w14:paraId="6144FF27" w14:textId="77777777" w:rsidR="008E7846" w:rsidRPr="00FD64CC" w:rsidRDefault="008E7846" w:rsidP="00885225">
            <w:bookmarkStart w:id="12" w:name="_Hlk84514016"/>
            <w:r w:rsidRPr="00FD64CC">
              <w:t xml:space="preserve">New </w:t>
            </w:r>
            <w:r w:rsidR="001B5C90" w:rsidRPr="00FD64CC">
              <w:t>c</w:t>
            </w:r>
            <w:r w:rsidRPr="00FD64CC">
              <w:t xml:space="preserve">hemical </w:t>
            </w:r>
            <w:r w:rsidR="001B5C90" w:rsidRPr="00FD64CC">
              <w:t>e</w:t>
            </w:r>
            <w:r w:rsidR="00885225" w:rsidRPr="00FD64CC">
              <w:t>ntity</w:t>
            </w:r>
            <w:bookmarkEnd w:id="12"/>
          </w:p>
        </w:tc>
      </w:tr>
      <w:tr w:rsidR="00460036" w:rsidRPr="00FD64CC" w14:paraId="211FE075" w14:textId="77777777" w:rsidTr="003735BC">
        <w:tc>
          <w:tcPr>
            <w:tcW w:w="2907" w:type="dxa"/>
          </w:tcPr>
          <w:p w14:paraId="4B02F93F" w14:textId="77777777" w:rsidR="00460036" w:rsidRPr="00FD64CC" w:rsidRDefault="00460036" w:rsidP="00380510">
            <w:pPr>
              <w:rPr>
                <w:i/>
              </w:rPr>
            </w:pPr>
            <w:r w:rsidRPr="00FD64CC">
              <w:rPr>
                <w:i/>
              </w:rPr>
              <w:t>Product name:</w:t>
            </w:r>
          </w:p>
        </w:tc>
        <w:tc>
          <w:tcPr>
            <w:tcW w:w="6307" w:type="dxa"/>
          </w:tcPr>
          <w:p w14:paraId="4C20CB30" w14:textId="77777777" w:rsidR="00460036" w:rsidRPr="00FD64CC" w:rsidRDefault="00380510" w:rsidP="001B5C90">
            <w:proofErr w:type="spellStart"/>
            <w:r w:rsidRPr="00FD64CC">
              <w:t>Zebinix</w:t>
            </w:r>
            <w:proofErr w:type="spellEnd"/>
          </w:p>
        </w:tc>
      </w:tr>
      <w:tr w:rsidR="00460036" w:rsidRPr="00FD64CC" w14:paraId="2E956302" w14:textId="77777777" w:rsidTr="003735BC">
        <w:tc>
          <w:tcPr>
            <w:tcW w:w="2907" w:type="dxa"/>
          </w:tcPr>
          <w:p w14:paraId="5EF2B12F" w14:textId="77777777" w:rsidR="00460036" w:rsidRPr="00FD64CC" w:rsidRDefault="00460036" w:rsidP="00380510">
            <w:pPr>
              <w:rPr>
                <w:i/>
              </w:rPr>
            </w:pPr>
            <w:r w:rsidRPr="00FD64CC">
              <w:rPr>
                <w:i/>
              </w:rPr>
              <w:t>Active ingredient:</w:t>
            </w:r>
          </w:p>
        </w:tc>
        <w:tc>
          <w:tcPr>
            <w:tcW w:w="6307" w:type="dxa"/>
          </w:tcPr>
          <w:p w14:paraId="1F843942" w14:textId="77777777" w:rsidR="00460036" w:rsidRPr="00FD64CC" w:rsidRDefault="00380510" w:rsidP="001B5C90">
            <w:r w:rsidRPr="00FD64CC">
              <w:t>Eslicarbazepine acetate</w:t>
            </w:r>
          </w:p>
        </w:tc>
      </w:tr>
      <w:tr w:rsidR="008E7846" w:rsidRPr="00FD64CC" w14:paraId="3728A6E6" w14:textId="77777777" w:rsidTr="003735BC">
        <w:tc>
          <w:tcPr>
            <w:tcW w:w="2907" w:type="dxa"/>
          </w:tcPr>
          <w:p w14:paraId="340408E3" w14:textId="77777777" w:rsidR="008E7846" w:rsidRPr="00FD64CC" w:rsidRDefault="008E7846" w:rsidP="003D1E62">
            <w:r w:rsidRPr="00FD64CC">
              <w:rPr>
                <w:i/>
              </w:rPr>
              <w:t>Decision</w:t>
            </w:r>
            <w:r w:rsidRPr="00FD64CC">
              <w:t>:</w:t>
            </w:r>
          </w:p>
        </w:tc>
        <w:tc>
          <w:tcPr>
            <w:tcW w:w="6307" w:type="dxa"/>
          </w:tcPr>
          <w:p w14:paraId="19D5B90B" w14:textId="77777777" w:rsidR="008E7846" w:rsidRPr="00FD64CC" w:rsidRDefault="00CC15B8" w:rsidP="00CC15B8">
            <w:r w:rsidRPr="00FD64CC">
              <w:t>Approved</w:t>
            </w:r>
          </w:p>
        </w:tc>
      </w:tr>
      <w:tr w:rsidR="008E7846" w:rsidRPr="00FD64CC" w14:paraId="662FAE10" w14:textId="77777777" w:rsidTr="003735BC">
        <w:tc>
          <w:tcPr>
            <w:tcW w:w="2907" w:type="dxa"/>
          </w:tcPr>
          <w:p w14:paraId="2D979F78" w14:textId="77777777" w:rsidR="008E7846" w:rsidRPr="00FD64CC" w:rsidRDefault="008E7846" w:rsidP="001B5C90">
            <w:pPr>
              <w:rPr>
                <w:i/>
              </w:rPr>
            </w:pPr>
            <w:r w:rsidRPr="00FD64CC">
              <w:rPr>
                <w:i/>
              </w:rPr>
              <w:t xml:space="preserve">Date of </w:t>
            </w:r>
            <w:r w:rsidR="001B5C90" w:rsidRPr="00FD64CC">
              <w:rPr>
                <w:i/>
              </w:rPr>
              <w:t>d</w:t>
            </w:r>
            <w:r w:rsidRPr="00FD64CC">
              <w:rPr>
                <w:i/>
              </w:rPr>
              <w:t>ecision:</w:t>
            </w:r>
          </w:p>
        </w:tc>
        <w:tc>
          <w:tcPr>
            <w:tcW w:w="6307" w:type="dxa"/>
          </w:tcPr>
          <w:p w14:paraId="2CCD973C" w14:textId="77777777" w:rsidR="008E7846" w:rsidRPr="00FD64CC" w:rsidRDefault="00380510" w:rsidP="001B5C90">
            <w:r w:rsidRPr="00FD64CC">
              <w:t>10 May 2021</w:t>
            </w:r>
          </w:p>
        </w:tc>
      </w:tr>
      <w:tr w:rsidR="00ED2922" w:rsidRPr="00FD64CC" w14:paraId="2FD4F46B" w14:textId="77777777" w:rsidTr="003735BC">
        <w:tc>
          <w:tcPr>
            <w:tcW w:w="2907" w:type="dxa"/>
          </w:tcPr>
          <w:p w14:paraId="4E3590C6" w14:textId="77777777" w:rsidR="00ED2922" w:rsidRPr="00FD64CC" w:rsidRDefault="00ED2922" w:rsidP="001B5C90">
            <w:pPr>
              <w:rPr>
                <w:i/>
              </w:rPr>
            </w:pPr>
            <w:r w:rsidRPr="00FD64CC">
              <w:rPr>
                <w:i/>
              </w:rPr>
              <w:t>Date of entry onto ARTG</w:t>
            </w:r>
            <w:r w:rsidR="00500337" w:rsidRPr="00FD64CC">
              <w:rPr>
                <w:i/>
              </w:rPr>
              <w:t>:</w:t>
            </w:r>
          </w:p>
        </w:tc>
        <w:tc>
          <w:tcPr>
            <w:tcW w:w="6307" w:type="dxa"/>
          </w:tcPr>
          <w:p w14:paraId="77FFEA85" w14:textId="77777777" w:rsidR="00ED2922" w:rsidRPr="00FD64CC" w:rsidRDefault="002B4375" w:rsidP="002B4375">
            <w:pPr>
              <w:rPr>
                <w:i/>
              </w:rPr>
            </w:pPr>
            <w:r w:rsidRPr="00FD64CC">
              <w:t>18 May 2021</w:t>
            </w:r>
          </w:p>
        </w:tc>
      </w:tr>
      <w:tr w:rsidR="00500337" w:rsidRPr="00FD64CC" w14:paraId="34A38AA2" w14:textId="77777777" w:rsidTr="003735BC">
        <w:tc>
          <w:tcPr>
            <w:tcW w:w="2907" w:type="dxa"/>
          </w:tcPr>
          <w:p w14:paraId="17B16957" w14:textId="77777777" w:rsidR="00500337" w:rsidRPr="00FD64CC" w:rsidRDefault="00500337" w:rsidP="00380510">
            <w:pPr>
              <w:rPr>
                <w:i/>
              </w:rPr>
            </w:pPr>
            <w:r w:rsidRPr="00FD64CC">
              <w:rPr>
                <w:i/>
              </w:rPr>
              <w:t>ARTG numbers:</w:t>
            </w:r>
          </w:p>
        </w:tc>
        <w:tc>
          <w:tcPr>
            <w:tcW w:w="6307" w:type="dxa"/>
          </w:tcPr>
          <w:p w14:paraId="0C22F87D" w14:textId="77777777" w:rsidR="00500337" w:rsidRPr="00FD64CC" w:rsidRDefault="00380510" w:rsidP="00EC463D">
            <w:r w:rsidRPr="00FD64CC">
              <w:t>335289 and 335290</w:t>
            </w:r>
          </w:p>
        </w:tc>
      </w:tr>
      <w:tr w:rsidR="003735BC" w:rsidRPr="00FD64CC" w14:paraId="4664DEF9" w14:textId="77777777" w:rsidTr="003735BC">
        <w:tc>
          <w:tcPr>
            <w:tcW w:w="2907" w:type="dxa"/>
          </w:tcPr>
          <w:p w14:paraId="010A3DAD" w14:textId="77777777" w:rsidR="003735BC" w:rsidRPr="00FD64CC" w:rsidRDefault="00FA5069" w:rsidP="001B5C90">
            <w:pPr>
              <w:rPr>
                <w:i/>
              </w:rPr>
            </w:pPr>
            <w:r w:rsidRPr="00FD64CC">
              <w:rPr>
                <w:rFonts w:ascii="Wingdings 3" w:hAnsi="Wingdings 3"/>
                <w:sz w:val="34"/>
                <w:szCs w:val="34"/>
                <w:lang w:eastAsia="en-AU"/>
              </w:rPr>
              <w:t></w:t>
            </w:r>
            <w:r w:rsidR="003735BC" w:rsidRPr="00FD64CC">
              <w:rPr>
                <w:i/>
              </w:rPr>
              <w:t>Black Triangle Scheme</w:t>
            </w:r>
            <w:r w:rsidR="004C4FBE" w:rsidRPr="00FD64CC">
              <w:rPr>
                <w:i/>
              </w:rPr>
              <w:t>:</w:t>
            </w:r>
            <w:r w:rsidR="00460036" w:rsidRPr="00FD64CC">
              <w:rPr>
                <w:rStyle w:val="FootnoteReference"/>
                <w:i/>
              </w:rPr>
              <w:footnoteReference w:id="1"/>
            </w:r>
          </w:p>
        </w:tc>
        <w:tc>
          <w:tcPr>
            <w:tcW w:w="6307" w:type="dxa"/>
          </w:tcPr>
          <w:p w14:paraId="00ECBAA4" w14:textId="77777777" w:rsidR="003735BC" w:rsidRPr="00FD64CC" w:rsidRDefault="00380510" w:rsidP="003735BC">
            <w:r w:rsidRPr="00FD64CC">
              <w:t>Yes</w:t>
            </w:r>
          </w:p>
          <w:p w14:paraId="14C0E02D" w14:textId="77777777" w:rsidR="003735BC" w:rsidRPr="00FD64CC" w:rsidRDefault="003735BC" w:rsidP="00380510">
            <w:r w:rsidRPr="00FD64CC">
              <w:t xml:space="preserve">This product will remain in the scheme for 5 years, starting on the date the product is first supplied in </w:t>
            </w:r>
            <w:r w:rsidR="00380510" w:rsidRPr="00FD64CC">
              <w:t>Australia.</w:t>
            </w:r>
          </w:p>
        </w:tc>
      </w:tr>
      <w:tr w:rsidR="008E7846" w:rsidRPr="00FD64CC" w14:paraId="3411E93F" w14:textId="77777777" w:rsidTr="00BF1190">
        <w:tc>
          <w:tcPr>
            <w:tcW w:w="2907" w:type="dxa"/>
          </w:tcPr>
          <w:p w14:paraId="26CABFA0" w14:textId="77777777" w:rsidR="008E7846" w:rsidRPr="00FD64CC" w:rsidRDefault="008E7846" w:rsidP="001B5C90">
            <w:pPr>
              <w:rPr>
                <w:i/>
              </w:rPr>
            </w:pPr>
            <w:r w:rsidRPr="00FD64CC">
              <w:rPr>
                <w:i/>
              </w:rPr>
              <w:t xml:space="preserve">Sponsor’s </w:t>
            </w:r>
            <w:r w:rsidR="001B5C90" w:rsidRPr="00FD64CC">
              <w:rPr>
                <w:i/>
              </w:rPr>
              <w:t>n</w:t>
            </w:r>
            <w:r w:rsidRPr="00FD64CC">
              <w:rPr>
                <w:i/>
              </w:rPr>
              <w:t xml:space="preserve">ame and </w:t>
            </w:r>
            <w:r w:rsidR="001B5C90" w:rsidRPr="00FD64CC">
              <w:rPr>
                <w:i/>
              </w:rPr>
              <w:t>a</w:t>
            </w:r>
            <w:r w:rsidRPr="00FD64CC">
              <w:rPr>
                <w:i/>
              </w:rPr>
              <w:t>ddress:</w:t>
            </w:r>
          </w:p>
        </w:tc>
        <w:tc>
          <w:tcPr>
            <w:tcW w:w="6307" w:type="dxa"/>
          </w:tcPr>
          <w:p w14:paraId="4B263218" w14:textId="77777777" w:rsidR="00380510" w:rsidRPr="00FD64CC" w:rsidRDefault="00380510" w:rsidP="00380510">
            <w:r w:rsidRPr="00FD64CC">
              <w:t>Maxx Pharma Pty Ltd</w:t>
            </w:r>
          </w:p>
          <w:p w14:paraId="135C9BD0" w14:textId="77777777" w:rsidR="00380510" w:rsidRPr="00FD64CC" w:rsidRDefault="00380510" w:rsidP="00380510">
            <w:r w:rsidRPr="00FD64CC">
              <w:t>Level 11, 500 Collins Street</w:t>
            </w:r>
          </w:p>
          <w:p w14:paraId="62D22CEA" w14:textId="77777777" w:rsidR="008E7846" w:rsidRPr="00FD64CC" w:rsidRDefault="00380510" w:rsidP="00380510">
            <w:r w:rsidRPr="00FD64CC">
              <w:t>Melbourne, VIC, 3000</w:t>
            </w:r>
          </w:p>
        </w:tc>
      </w:tr>
      <w:tr w:rsidR="008E7846" w:rsidRPr="00FD64CC" w14:paraId="31454C54" w14:textId="77777777" w:rsidTr="00BF1190">
        <w:tc>
          <w:tcPr>
            <w:tcW w:w="2907" w:type="dxa"/>
          </w:tcPr>
          <w:p w14:paraId="2E2DE05E" w14:textId="77777777" w:rsidR="008E7846" w:rsidRPr="00FD64CC" w:rsidRDefault="001B5C90" w:rsidP="00380510">
            <w:pPr>
              <w:rPr>
                <w:i/>
              </w:rPr>
            </w:pPr>
            <w:r w:rsidRPr="00FD64CC">
              <w:rPr>
                <w:i/>
              </w:rPr>
              <w:t>Dose form:</w:t>
            </w:r>
          </w:p>
        </w:tc>
        <w:tc>
          <w:tcPr>
            <w:tcW w:w="6307" w:type="dxa"/>
          </w:tcPr>
          <w:p w14:paraId="31053EC1" w14:textId="77777777" w:rsidR="008E7846" w:rsidRPr="00FD64CC" w:rsidRDefault="002B4375" w:rsidP="00380510">
            <w:r w:rsidRPr="00FD64CC">
              <w:t>T</w:t>
            </w:r>
            <w:r w:rsidR="00380510" w:rsidRPr="00FD64CC">
              <w:t>ablet</w:t>
            </w:r>
          </w:p>
        </w:tc>
      </w:tr>
      <w:tr w:rsidR="008E7846" w:rsidRPr="00FD64CC" w14:paraId="0A77E862" w14:textId="77777777" w:rsidTr="00BF1190">
        <w:tc>
          <w:tcPr>
            <w:tcW w:w="2907" w:type="dxa"/>
          </w:tcPr>
          <w:p w14:paraId="4A8E00AA" w14:textId="77777777" w:rsidR="008E7846" w:rsidRPr="00FD64CC" w:rsidRDefault="00324E45" w:rsidP="00380510">
            <w:pPr>
              <w:rPr>
                <w:i/>
              </w:rPr>
            </w:pPr>
            <w:r w:rsidRPr="00FD64CC">
              <w:rPr>
                <w:i/>
              </w:rPr>
              <w:t>Strengths:</w:t>
            </w:r>
          </w:p>
        </w:tc>
        <w:tc>
          <w:tcPr>
            <w:tcW w:w="6307" w:type="dxa"/>
          </w:tcPr>
          <w:p w14:paraId="44BC64E8" w14:textId="77777777" w:rsidR="008E7846" w:rsidRPr="00FD64CC" w:rsidRDefault="00380510" w:rsidP="00E45619">
            <w:r w:rsidRPr="00FD64CC">
              <w:t xml:space="preserve">200 mg </w:t>
            </w:r>
            <w:r w:rsidR="008E7846" w:rsidRPr="00FD64CC">
              <w:t xml:space="preserve">and </w:t>
            </w:r>
            <w:r w:rsidRPr="00FD64CC">
              <w:t>800 mg</w:t>
            </w:r>
          </w:p>
        </w:tc>
      </w:tr>
      <w:tr w:rsidR="008E7846" w:rsidRPr="00FD64CC" w14:paraId="167973D9" w14:textId="77777777" w:rsidTr="00BF1190">
        <w:tc>
          <w:tcPr>
            <w:tcW w:w="2907" w:type="dxa"/>
          </w:tcPr>
          <w:p w14:paraId="351AB1BF" w14:textId="77777777" w:rsidR="008E7846" w:rsidRPr="00FD64CC" w:rsidRDefault="008E7846" w:rsidP="00380510">
            <w:pPr>
              <w:rPr>
                <w:i/>
              </w:rPr>
            </w:pPr>
            <w:r w:rsidRPr="00FD64CC">
              <w:rPr>
                <w:i/>
              </w:rPr>
              <w:t>Container:</w:t>
            </w:r>
          </w:p>
        </w:tc>
        <w:tc>
          <w:tcPr>
            <w:tcW w:w="6307" w:type="dxa"/>
          </w:tcPr>
          <w:p w14:paraId="5C21C46D" w14:textId="77777777" w:rsidR="008E7846" w:rsidRPr="00FD64CC" w:rsidRDefault="00380510" w:rsidP="00E45619">
            <w:r w:rsidRPr="00FD64CC">
              <w:t>Blister pack</w:t>
            </w:r>
          </w:p>
        </w:tc>
      </w:tr>
      <w:tr w:rsidR="008E7846" w:rsidRPr="00FD64CC" w14:paraId="2208CAF3" w14:textId="77777777" w:rsidTr="00BF1190">
        <w:tc>
          <w:tcPr>
            <w:tcW w:w="2907" w:type="dxa"/>
          </w:tcPr>
          <w:p w14:paraId="4C5E1509" w14:textId="77777777" w:rsidR="008E7846" w:rsidRPr="00FD64CC" w:rsidRDefault="008E7846" w:rsidP="00380510">
            <w:pPr>
              <w:rPr>
                <w:i/>
              </w:rPr>
            </w:pPr>
            <w:r w:rsidRPr="00FD64CC">
              <w:rPr>
                <w:i/>
              </w:rPr>
              <w:t>Pack sizes:</w:t>
            </w:r>
          </w:p>
        </w:tc>
        <w:tc>
          <w:tcPr>
            <w:tcW w:w="6307" w:type="dxa"/>
          </w:tcPr>
          <w:p w14:paraId="5059E5DE" w14:textId="77777777" w:rsidR="008E7846" w:rsidRPr="00FD64CC" w:rsidRDefault="002B4375" w:rsidP="00E45619">
            <w:r w:rsidRPr="00FD64CC">
              <w:t xml:space="preserve">200 mg: </w:t>
            </w:r>
            <w:r w:rsidR="00380510" w:rsidRPr="00FD64CC">
              <w:t>20 and 60</w:t>
            </w:r>
            <w:r w:rsidRPr="00FD64CC">
              <w:t xml:space="preserve"> tablets</w:t>
            </w:r>
          </w:p>
          <w:p w14:paraId="23D44932" w14:textId="77777777" w:rsidR="00380510" w:rsidRPr="00FD64CC" w:rsidRDefault="002B4375" w:rsidP="00E45619">
            <w:r w:rsidRPr="00FD64CC">
              <w:t xml:space="preserve">800 mg: </w:t>
            </w:r>
            <w:r w:rsidR="00380510" w:rsidRPr="00FD64CC">
              <w:t>20, 30, 60, 90 and 180</w:t>
            </w:r>
            <w:r w:rsidRPr="00FD64CC">
              <w:t xml:space="preserve"> tablets</w:t>
            </w:r>
          </w:p>
        </w:tc>
      </w:tr>
      <w:tr w:rsidR="008E7846" w:rsidRPr="00FD64CC" w14:paraId="31464E7B" w14:textId="77777777" w:rsidTr="00BF1190">
        <w:tc>
          <w:tcPr>
            <w:tcW w:w="2907" w:type="dxa"/>
          </w:tcPr>
          <w:p w14:paraId="465E8034" w14:textId="77777777" w:rsidR="008E7846" w:rsidRPr="00FD64CC" w:rsidRDefault="008E7846" w:rsidP="001B5C90">
            <w:pPr>
              <w:rPr>
                <w:i/>
              </w:rPr>
            </w:pPr>
            <w:r w:rsidRPr="00FD64CC">
              <w:rPr>
                <w:i/>
              </w:rPr>
              <w:t xml:space="preserve">Approved </w:t>
            </w:r>
            <w:r w:rsidR="001B5C90" w:rsidRPr="00FD64CC">
              <w:rPr>
                <w:i/>
              </w:rPr>
              <w:t>t</w:t>
            </w:r>
            <w:r w:rsidRPr="00FD64CC">
              <w:rPr>
                <w:i/>
              </w:rPr>
              <w:t>herapeutic use:</w:t>
            </w:r>
          </w:p>
        </w:tc>
        <w:tc>
          <w:tcPr>
            <w:tcW w:w="6307" w:type="dxa"/>
          </w:tcPr>
          <w:p w14:paraId="32692003" w14:textId="77777777" w:rsidR="00380510" w:rsidRPr="00FD64CC" w:rsidRDefault="00EA5DB4" w:rsidP="00EA5DB4">
            <w:pPr>
              <w:rPr>
                <w:i/>
              </w:rPr>
            </w:pPr>
            <w:proofErr w:type="spellStart"/>
            <w:r w:rsidRPr="00FD64CC">
              <w:rPr>
                <w:i/>
              </w:rPr>
              <w:t>Zebinix</w:t>
            </w:r>
            <w:proofErr w:type="spellEnd"/>
            <w:r w:rsidRPr="00FD64CC">
              <w:rPr>
                <w:i/>
              </w:rPr>
              <w:t xml:space="preserve"> </w:t>
            </w:r>
            <w:r w:rsidR="00380510" w:rsidRPr="00FD64CC">
              <w:rPr>
                <w:i/>
              </w:rPr>
              <w:t>is indicated as:</w:t>
            </w:r>
          </w:p>
          <w:p w14:paraId="05FDD3C2" w14:textId="77777777" w:rsidR="00380510" w:rsidRPr="00FD64CC" w:rsidRDefault="00380510" w:rsidP="00EA5DB4">
            <w:pPr>
              <w:pStyle w:val="ListBullet"/>
              <w:rPr>
                <w:i/>
              </w:rPr>
            </w:pPr>
            <w:r w:rsidRPr="00FD64CC">
              <w:rPr>
                <w:i/>
              </w:rPr>
              <w:t xml:space="preserve">monotherapy in the treatment of partial-onset seizures, with or without secondary generalisation, in adults with newly diagnosed </w:t>
            </w:r>
            <w:proofErr w:type="gramStart"/>
            <w:r w:rsidRPr="00FD64CC">
              <w:rPr>
                <w:i/>
              </w:rPr>
              <w:t>epilepsy;</w:t>
            </w:r>
            <w:proofErr w:type="gramEnd"/>
          </w:p>
          <w:p w14:paraId="75B16395" w14:textId="77777777" w:rsidR="008E7846" w:rsidRPr="00FD64CC" w:rsidRDefault="00380510" w:rsidP="00EA5DB4">
            <w:pPr>
              <w:pStyle w:val="ListBullet"/>
              <w:rPr>
                <w:rFonts w:eastAsia="MS Mincho"/>
                <w:lang w:eastAsia="ja-JP"/>
              </w:rPr>
            </w:pPr>
            <w:r w:rsidRPr="00FD64CC">
              <w:rPr>
                <w:i/>
              </w:rPr>
              <w:t>adjunctive therapy in adults, adolescents and children aged above 6 years, with partial</w:t>
            </w:r>
            <w:r w:rsidR="00EA5DB4" w:rsidRPr="00FD64CC">
              <w:rPr>
                <w:i/>
              </w:rPr>
              <w:t>-</w:t>
            </w:r>
            <w:r w:rsidRPr="00FD64CC">
              <w:rPr>
                <w:i/>
              </w:rPr>
              <w:t>onset seizures with or without secondary generalisation.</w:t>
            </w:r>
          </w:p>
        </w:tc>
      </w:tr>
      <w:tr w:rsidR="008E7846" w:rsidRPr="00FD64CC" w14:paraId="4341AEAB" w14:textId="77777777" w:rsidTr="00713E52">
        <w:trPr>
          <w:trHeight w:val="664"/>
        </w:trPr>
        <w:tc>
          <w:tcPr>
            <w:tcW w:w="2907" w:type="dxa"/>
          </w:tcPr>
          <w:p w14:paraId="713D8831" w14:textId="77777777" w:rsidR="008E7846" w:rsidRPr="00FD64CC" w:rsidRDefault="008E7846" w:rsidP="00380510">
            <w:pPr>
              <w:rPr>
                <w:i/>
              </w:rPr>
            </w:pPr>
            <w:r w:rsidRPr="00FD64CC">
              <w:rPr>
                <w:i/>
              </w:rPr>
              <w:t>Route of administration:</w:t>
            </w:r>
          </w:p>
        </w:tc>
        <w:tc>
          <w:tcPr>
            <w:tcW w:w="6307" w:type="dxa"/>
          </w:tcPr>
          <w:p w14:paraId="609EB2E4" w14:textId="77777777" w:rsidR="008E7846" w:rsidRPr="00FD64CC" w:rsidRDefault="00380510" w:rsidP="00E45619">
            <w:r w:rsidRPr="00FD64CC">
              <w:t>Oral</w:t>
            </w:r>
          </w:p>
        </w:tc>
      </w:tr>
      <w:tr w:rsidR="008E7846" w:rsidRPr="00FD64CC" w14:paraId="2585912A" w14:textId="77777777" w:rsidTr="00BF1190">
        <w:tc>
          <w:tcPr>
            <w:tcW w:w="2907" w:type="dxa"/>
          </w:tcPr>
          <w:p w14:paraId="49D6A7CB" w14:textId="77777777" w:rsidR="008E7846" w:rsidRPr="00FD64CC" w:rsidRDefault="008E7846" w:rsidP="00E45619">
            <w:pPr>
              <w:rPr>
                <w:i/>
              </w:rPr>
            </w:pPr>
            <w:r w:rsidRPr="00FD64CC">
              <w:rPr>
                <w:i/>
              </w:rPr>
              <w:lastRenderedPageBreak/>
              <w:t>Dosage:</w:t>
            </w:r>
          </w:p>
        </w:tc>
        <w:tc>
          <w:tcPr>
            <w:tcW w:w="6307" w:type="dxa"/>
          </w:tcPr>
          <w:p w14:paraId="4AEFF023" w14:textId="193FD061" w:rsidR="00EA5DB4" w:rsidRPr="00FD64CC" w:rsidRDefault="00FD3F4A" w:rsidP="00EA5DB4">
            <w:pPr>
              <w:rPr>
                <w:b/>
              </w:rPr>
            </w:pPr>
            <w:r>
              <w:rPr>
                <w:b/>
              </w:rPr>
              <w:t>Use in a</w:t>
            </w:r>
            <w:r w:rsidR="00EA5DB4" w:rsidRPr="00FD64CC">
              <w:rPr>
                <w:b/>
              </w:rPr>
              <w:t>dults</w:t>
            </w:r>
            <w:r>
              <w:rPr>
                <w:b/>
              </w:rPr>
              <w:t>:</w:t>
            </w:r>
          </w:p>
          <w:p w14:paraId="71DC3CF0" w14:textId="4029CE10" w:rsidR="00EA5DB4" w:rsidRPr="00FD64CC" w:rsidRDefault="00EA5DB4" w:rsidP="00EA5DB4">
            <w:proofErr w:type="spellStart"/>
            <w:r w:rsidRPr="00FD64CC">
              <w:t>Zebinix</w:t>
            </w:r>
            <w:proofErr w:type="spellEnd"/>
            <w:r w:rsidRPr="00FD64CC">
              <w:t xml:space="preserve"> may be taken as monotherapy or added to existing anticonvulsant therapy. The recommended starting dose is 400</w:t>
            </w:r>
            <w:r w:rsidR="00FD3F4A">
              <w:t> </w:t>
            </w:r>
            <w:r w:rsidRPr="00FD64CC">
              <w:t>mg once daily which should be increased to 800 mg once daily after one or two weeks. Based on individual response, the dose may be increased to 1,200 mg once daily. Some patients on monotherapy regimen may benefit from a dose of 1,600 mg once daily (see Section 5.1 Pharmacodynamic properties</w:t>
            </w:r>
            <w:r w:rsidR="002B4375" w:rsidRPr="00FD64CC">
              <w:t xml:space="preserve"> in the Product Information</w:t>
            </w:r>
            <w:r w:rsidRPr="00FD64CC">
              <w:t>).</w:t>
            </w:r>
          </w:p>
          <w:p w14:paraId="291AB54E" w14:textId="1ED317D4" w:rsidR="00EA5DB4" w:rsidRPr="00FD64CC" w:rsidRDefault="00FD3F4A" w:rsidP="00EA5DB4">
            <w:pPr>
              <w:rPr>
                <w:b/>
              </w:rPr>
            </w:pPr>
            <w:r>
              <w:rPr>
                <w:b/>
              </w:rPr>
              <w:t>Use in the p</w:t>
            </w:r>
            <w:r w:rsidR="00EA5DB4" w:rsidRPr="00FD64CC">
              <w:rPr>
                <w:b/>
              </w:rPr>
              <w:t>aediatric population</w:t>
            </w:r>
          </w:p>
          <w:p w14:paraId="00AA3D64" w14:textId="77777777" w:rsidR="00EA5DB4" w:rsidRPr="00FD64CC" w:rsidRDefault="00EA5DB4" w:rsidP="00EA5DB4">
            <w:r w:rsidRPr="00FD64CC">
              <w:rPr>
                <w:i/>
              </w:rPr>
              <w:t>Children above 6 years of age</w:t>
            </w:r>
            <w:r w:rsidRPr="00FD64CC">
              <w:t>:</w:t>
            </w:r>
          </w:p>
          <w:p w14:paraId="1E01E6D1" w14:textId="491FD6D3" w:rsidR="00EA5DB4" w:rsidRPr="00FD64CC" w:rsidRDefault="00EA5DB4" w:rsidP="00EA5DB4">
            <w:r w:rsidRPr="00FD64CC">
              <w:t>The recommended starting dose is 10 mg/kg/day once daily. Dosage should be increased in weekly or bi-weekly increments of 10 mg/kg/day up to 30 mg/kg/day, based on individual response. The maximum dose is 1,200 mg once daily (see</w:t>
            </w:r>
            <w:r w:rsidR="00FD3F4A">
              <w:t> </w:t>
            </w:r>
            <w:r w:rsidRPr="00FD64CC">
              <w:t>Section 5.1 Pharmacodynamic properties</w:t>
            </w:r>
            <w:r w:rsidR="002B4375" w:rsidRPr="00FD64CC">
              <w:t xml:space="preserve"> in the Product</w:t>
            </w:r>
            <w:r w:rsidR="00FD3F4A">
              <w:t> </w:t>
            </w:r>
            <w:r w:rsidR="002B4375" w:rsidRPr="00FD64CC">
              <w:t>Information</w:t>
            </w:r>
            <w:r w:rsidRPr="00FD64CC">
              <w:t>).</w:t>
            </w:r>
          </w:p>
          <w:p w14:paraId="4A00B053" w14:textId="658135BD" w:rsidR="00EA5DB4" w:rsidRPr="00FD64CC" w:rsidRDefault="00EA5DB4" w:rsidP="00EA5DB4">
            <w:r w:rsidRPr="00FD64CC">
              <w:rPr>
                <w:i/>
              </w:rPr>
              <w:t>Children with a body weight of 60 kg</w:t>
            </w:r>
            <w:r w:rsidR="00FD3F4A">
              <w:rPr>
                <w:i/>
              </w:rPr>
              <w:t xml:space="preserve"> or more</w:t>
            </w:r>
            <w:r w:rsidRPr="00FD64CC">
              <w:t>:</w:t>
            </w:r>
          </w:p>
          <w:p w14:paraId="177941AD" w14:textId="77777777" w:rsidR="00EA6F21" w:rsidRPr="00FD64CC" w:rsidRDefault="00EA5DB4" w:rsidP="00EA5DB4">
            <w:r w:rsidRPr="00FD64CC">
              <w:t>Children with a body weight of 60 kg or more should be given the same dose as for adults.</w:t>
            </w:r>
          </w:p>
          <w:p w14:paraId="21D939A7" w14:textId="77777777" w:rsidR="00460036" w:rsidRPr="00FD64CC" w:rsidRDefault="00460036" w:rsidP="00EA5DB4">
            <w:r w:rsidRPr="00FD64CC">
              <w:t>For further information regarding dosage, refer to the Product Information.</w:t>
            </w:r>
          </w:p>
        </w:tc>
      </w:tr>
      <w:tr w:rsidR="00460036" w:rsidRPr="00FD64CC" w14:paraId="6D03ADC8" w14:textId="77777777" w:rsidTr="00BF1190">
        <w:tc>
          <w:tcPr>
            <w:tcW w:w="2907" w:type="dxa"/>
          </w:tcPr>
          <w:p w14:paraId="101EB567" w14:textId="77777777" w:rsidR="00460036" w:rsidRPr="00FD64CC" w:rsidRDefault="00460036" w:rsidP="00E45619">
            <w:pPr>
              <w:rPr>
                <w:i/>
              </w:rPr>
            </w:pPr>
            <w:r w:rsidRPr="00FD64CC">
              <w:rPr>
                <w:i/>
              </w:rPr>
              <w:t>Pregnancy category:</w:t>
            </w:r>
          </w:p>
        </w:tc>
        <w:tc>
          <w:tcPr>
            <w:tcW w:w="6307" w:type="dxa"/>
          </w:tcPr>
          <w:p w14:paraId="0521EC4A" w14:textId="77777777" w:rsidR="00EA5DB4" w:rsidRPr="00FD64CC" w:rsidRDefault="00EA5DB4" w:rsidP="00EA5DB4">
            <w:r w:rsidRPr="00FD64CC">
              <w:t>D</w:t>
            </w:r>
          </w:p>
          <w:p w14:paraId="01728B62" w14:textId="77777777" w:rsidR="00EA5DB4" w:rsidRPr="00FD64CC" w:rsidRDefault="00EA5DB4" w:rsidP="00EA5DB4">
            <w:r w:rsidRPr="00FD64CC">
              <w:t xml:space="preserve">Drugs which have caused, are suspected to have caused or may be expected to cause, an increased incidence of human </w:t>
            </w:r>
            <w:proofErr w:type="spellStart"/>
            <w:r w:rsidRPr="00FD64CC">
              <w:t>fetal</w:t>
            </w:r>
            <w:proofErr w:type="spellEnd"/>
            <w:r w:rsidRPr="00FD64CC">
              <w:t xml:space="preserve"> malformations or irreversible damage. These drugs may also have adverse pharmacological effects. Accompanying texts should be consulted for further details.</w:t>
            </w:r>
          </w:p>
          <w:p w14:paraId="2259E06E" w14:textId="77777777" w:rsidR="00460036" w:rsidRPr="00FD64CC" w:rsidRDefault="00460036" w:rsidP="00EA5DB4">
            <w:r w:rsidRPr="00FD64CC">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w:t>
            </w:r>
            <w:r w:rsidR="00EA5DB4" w:rsidRPr="00FD64CC">
              <w:t>ces in your State or Territory.</w:t>
            </w:r>
          </w:p>
        </w:tc>
      </w:tr>
    </w:tbl>
    <w:p w14:paraId="412EC47C" w14:textId="77777777" w:rsidR="008E7846" w:rsidRPr="00FD64CC" w:rsidRDefault="008E7846" w:rsidP="008E7846">
      <w:pPr>
        <w:pStyle w:val="Heading3"/>
      </w:pPr>
      <w:bookmarkStart w:id="13" w:name="_Toc247691503"/>
      <w:bookmarkStart w:id="14" w:name="_Toc314842484"/>
      <w:bookmarkStart w:id="15" w:name="_Toc84514212"/>
      <w:r w:rsidRPr="00FD64CC">
        <w:t>Product background</w:t>
      </w:r>
      <w:bookmarkEnd w:id="13"/>
      <w:bookmarkEnd w:id="14"/>
      <w:bookmarkEnd w:id="15"/>
    </w:p>
    <w:p w14:paraId="3A349DCB" w14:textId="77777777" w:rsidR="008E7846" w:rsidRPr="00FD64CC" w:rsidRDefault="00250271" w:rsidP="00940A89">
      <w:r w:rsidRPr="00FD64CC">
        <w:t xml:space="preserve">This </w:t>
      </w:r>
      <w:proofErr w:type="spellStart"/>
      <w:r w:rsidRPr="00FD64CC">
        <w:t>AusPAR</w:t>
      </w:r>
      <w:proofErr w:type="spellEnd"/>
      <w:r w:rsidRPr="00FD64CC">
        <w:t xml:space="preserve"> describes the application by </w:t>
      </w:r>
      <w:r w:rsidR="00CC15B8" w:rsidRPr="00FD64CC">
        <w:t xml:space="preserve">Maxx Pharma Pty Ltd (the sponsor) to register </w:t>
      </w:r>
      <w:proofErr w:type="spellStart"/>
      <w:r w:rsidR="00380510" w:rsidRPr="00FD64CC">
        <w:t>Zebinix</w:t>
      </w:r>
      <w:proofErr w:type="spellEnd"/>
      <w:r w:rsidR="00380510" w:rsidRPr="00FD64CC">
        <w:t xml:space="preserve"> </w:t>
      </w:r>
      <w:r w:rsidRPr="00FD64CC">
        <w:t>(</w:t>
      </w:r>
      <w:proofErr w:type="spellStart"/>
      <w:r w:rsidR="00CC15B8" w:rsidRPr="00FD64CC">
        <w:t>eslicarbazepine</w:t>
      </w:r>
      <w:proofErr w:type="spellEnd"/>
      <w:r w:rsidR="00CC15B8" w:rsidRPr="00FD64CC">
        <w:t xml:space="preserve"> acetate</w:t>
      </w:r>
      <w:r w:rsidRPr="00FD64CC">
        <w:t xml:space="preserve">) </w:t>
      </w:r>
      <w:r w:rsidR="00CC15B8" w:rsidRPr="00FD64CC">
        <w:t>200 mg and 800 mg</w:t>
      </w:r>
      <w:r w:rsidRPr="00FD64CC">
        <w:t xml:space="preserve">, </w:t>
      </w:r>
      <w:r w:rsidR="00CC15B8" w:rsidRPr="00FD64CC">
        <w:t>tablet</w:t>
      </w:r>
      <w:r w:rsidRPr="00FD64CC">
        <w:t xml:space="preserve"> for the following proposed indication</w:t>
      </w:r>
      <w:r w:rsidR="00CF5DAD" w:rsidRPr="00FD64CC">
        <w:t>:</w:t>
      </w:r>
    </w:p>
    <w:p w14:paraId="0F9638EF" w14:textId="77777777" w:rsidR="00CC15B8" w:rsidRPr="00FD64CC" w:rsidRDefault="00CC15B8" w:rsidP="008C6054">
      <w:pPr>
        <w:pStyle w:val="ListBullet2"/>
        <w:rPr>
          <w:i/>
        </w:rPr>
      </w:pPr>
      <w:r w:rsidRPr="00FD64CC">
        <w:rPr>
          <w:i/>
        </w:rPr>
        <w:t>monotherapy in the treatment of partial-onset seizures, with or without secondary generalisation, in adults with newly diagnosed epilepsy; and</w:t>
      </w:r>
    </w:p>
    <w:p w14:paraId="1112E78B" w14:textId="77777777" w:rsidR="00CC15B8" w:rsidRPr="00FD64CC" w:rsidRDefault="00CC15B8" w:rsidP="008C6054">
      <w:pPr>
        <w:pStyle w:val="ListBullet2"/>
        <w:rPr>
          <w:i/>
        </w:rPr>
      </w:pPr>
      <w:r w:rsidRPr="00FD64CC">
        <w:rPr>
          <w:i/>
        </w:rPr>
        <w:t>adjunctive therapy in adults, adolescents and children aged above 6 years, with partial-onset seizures with or without secondary generalisation.</w:t>
      </w:r>
    </w:p>
    <w:p w14:paraId="1D497440" w14:textId="77777777" w:rsidR="00970113" w:rsidRPr="00FD64CC" w:rsidRDefault="00970113" w:rsidP="00CF62A6">
      <w:r w:rsidRPr="00FD64CC">
        <w:lastRenderedPageBreak/>
        <w:t>Epilepsy is a common disorder of the brain affecting 1</w:t>
      </w:r>
      <w:r w:rsidR="005054AA" w:rsidRPr="00FD64CC">
        <w:t xml:space="preserve"> to </w:t>
      </w:r>
      <w:r w:rsidRPr="00FD64CC">
        <w:t>2% of the world’s population. Epilepsy is characterised by seizures, which are episodes of abnormal, synchronous neuronal firing usually accompanied by a reduction in awareness or by focal neurological symptoms. Seizures are usually classified into focal seizures, which begin in one part of the brain, or primary generalised seizures, which involve the whole brain network from the onset of the seizure. Focal seizures may spread, eventually involving the whole brain as the seizure progresses and these are known as secondarily generalised seizures. Focal seizures are the most common form of seizures, though the seizures may spread so rapidly that the initial focal phase is not clinically apparent. A person is considered to have epilepsy when two or more unprovoked seizures occur that can’t be explained by a medical condition such as fever or substance withdrawal.</w:t>
      </w:r>
    </w:p>
    <w:p w14:paraId="25FD69EF" w14:textId="77777777" w:rsidR="00970113" w:rsidRPr="00FD64CC" w:rsidRDefault="00970113" w:rsidP="00CF62A6">
      <w:r w:rsidRPr="00FD64CC">
        <w:t>Each distinct form of epilepsy has its own natural history and response to treatment. This diversity probably reflects the many different underlying causes of epilepsy and the variety of epilepsy syndromes in which the clinical and pathological characteristics are distinctive and suggest a specific underlying etiologic mechanism.</w:t>
      </w:r>
    </w:p>
    <w:p w14:paraId="05D5AF86" w14:textId="7A6118E0" w:rsidR="00970113" w:rsidRPr="00FD64CC" w:rsidRDefault="00970113" w:rsidP="00CF62A6">
      <w:r w:rsidRPr="00FD64CC">
        <w:t>Antiepileptic drug (AED) therapy, the mainstay of treatment for most patients, has four goals: to eliminate seizures or reduce their frequency to the maximum degree possible</w:t>
      </w:r>
      <w:r w:rsidR="00FD3F4A">
        <w:t>;</w:t>
      </w:r>
      <w:r w:rsidRPr="00FD64CC">
        <w:t xml:space="preserve"> to evade the adverse effects associated with long</w:t>
      </w:r>
      <w:r w:rsidR="00EA6F21" w:rsidRPr="00FD64CC">
        <w:t xml:space="preserve"> </w:t>
      </w:r>
      <w:r w:rsidRPr="00FD64CC">
        <w:t>term treatment</w:t>
      </w:r>
      <w:r w:rsidR="007A0BAA">
        <w:t>;</w:t>
      </w:r>
      <w:r w:rsidRPr="00FD64CC">
        <w:t xml:space="preserve"> to aid patients in maintaining or restoring their usual psychosocial and vocational activities</w:t>
      </w:r>
      <w:r w:rsidR="007A0BAA">
        <w:t>;</w:t>
      </w:r>
      <w:r w:rsidRPr="00FD64CC">
        <w:t xml:space="preserve"> and</w:t>
      </w:r>
      <w:r w:rsidR="007A0BAA">
        <w:t>,</w:t>
      </w:r>
      <w:r w:rsidRPr="00FD64CC">
        <w:t xml:space="preserve"> </w:t>
      </w:r>
      <w:r w:rsidR="007A0BAA">
        <w:t>to aid patients in</w:t>
      </w:r>
      <w:r w:rsidRPr="00FD64CC">
        <w:t xml:space="preserve"> maintaining a normal lifestyle. Most existing anticonvulsants work by inhibiting sodium channels, by enhancing or mimicking the inhibition mediated by endogenous gamma</w:t>
      </w:r>
      <w:r w:rsidR="007A0BAA">
        <w:noBreakHyphen/>
      </w:r>
      <w:r w:rsidRPr="00FD64CC">
        <w:t>aminobutyric acid (GABA) or by inhibiting the release of excitatory neurotransmitters. Inhibiting voltage-gated calcium channels can also be useful for some seizure types. Despite the rapid development of a range of AEDs, seizures are not adequately controlled in a third of cases, no disease-modifying therapies exist, and comorbidities are a major burden on quality of life. There is an urgent demand to address the unmet clinical needs of patients</w:t>
      </w:r>
      <w:r w:rsidR="00EA6F21" w:rsidRPr="00FD64CC">
        <w:t xml:space="preserve">, </w:t>
      </w:r>
      <w:r w:rsidRPr="00FD64CC">
        <w:t>specifically, treatments for drug</w:t>
      </w:r>
      <w:r w:rsidR="00EA6F21" w:rsidRPr="00FD64CC">
        <w:t xml:space="preserve"> </w:t>
      </w:r>
      <w:r w:rsidRPr="00FD64CC">
        <w:t xml:space="preserve">resistant seizures, treatments with improved tolerability, and treatments that prevent or attenuate </w:t>
      </w:r>
      <w:proofErr w:type="spellStart"/>
      <w:r w:rsidRPr="00FD64CC">
        <w:t>epileptogenesis</w:t>
      </w:r>
      <w:proofErr w:type="spellEnd"/>
      <w:r w:rsidRPr="00FD64CC">
        <w:t>.</w:t>
      </w:r>
    </w:p>
    <w:p w14:paraId="71BB55E8" w14:textId="0CEF4A98" w:rsidR="00BD31E1" w:rsidRPr="00FD64CC" w:rsidRDefault="00BD31E1" w:rsidP="00CF62A6">
      <w:r w:rsidRPr="00FD64CC">
        <w:t xml:space="preserve">In Australia there are over 20 AEDs are used to treat seizures. The AEDs prescribed are often selected </w:t>
      </w:r>
      <w:proofErr w:type="gramStart"/>
      <w:r w:rsidRPr="00FD64CC">
        <w:t>on the basis of</w:t>
      </w:r>
      <w:proofErr w:type="gramEnd"/>
      <w:r w:rsidRPr="00FD64CC">
        <w:t xml:space="preserve"> the seizure type, age, gender and side effects. AEDs may be prescribed as tablets, </w:t>
      </w:r>
      <w:proofErr w:type="gramStart"/>
      <w:r w:rsidRPr="00FD64CC">
        <w:t>syrups</w:t>
      </w:r>
      <w:proofErr w:type="gramEnd"/>
      <w:r w:rsidRPr="00FD64CC">
        <w:t xml:space="preserve"> and liquids.</w:t>
      </w:r>
    </w:p>
    <w:p w14:paraId="3ADBA842" w14:textId="53447CD8" w:rsidR="00BD31E1" w:rsidRDefault="00EA6F21" w:rsidP="00CF62A6">
      <w:r w:rsidRPr="00FD64CC">
        <w:t xml:space="preserve">Carbamazepine </w:t>
      </w:r>
      <w:r w:rsidR="00BD31E1" w:rsidRPr="00FD64CC">
        <w:t>is one of the most important AEDs, but its effectiveness is compromised by a complicated metabolism and relatively high incidence of adverse events (AEs). The toxic effects are thought to be at least partly due to the formation of a meso-epoxide metabolite (carbamazepine-10, 11-epoxide) via the inducible cytochrome</w:t>
      </w:r>
      <w:r w:rsidR="00397747" w:rsidRPr="00FD64CC">
        <w:t xml:space="preserve"> </w:t>
      </w:r>
      <w:r w:rsidR="00BD31E1" w:rsidRPr="00FD64CC">
        <w:t xml:space="preserve">P450 </w:t>
      </w:r>
      <w:r w:rsidR="00397747" w:rsidRPr="00FD64CC">
        <w:t>(CYP)</w:t>
      </w:r>
      <w:r w:rsidR="004D4D3A" w:rsidRPr="00FD64CC">
        <w:t>;</w:t>
      </w:r>
      <w:bookmarkStart w:id="16" w:name="_Ref81187398"/>
      <w:r w:rsidR="004D4D3A" w:rsidRPr="00E9053A">
        <w:rPr>
          <w:vertAlign w:val="superscript"/>
        </w:rPr>
        <w:footnoteReference w:id="2"/>
      </w:r>
      <w:bookmarkEnd w:id="16"/>
      <w:r w:rsidR="00397747" w:rsidRPr="00FD64CC">
        <w:t xml:space="preserve"> </w:t>
      </w:r>
      <w:r w:rsidR="00BD31E1" w:rsidRPr="00FD64CC">
        <w:t xml:space="preserve">isoform CYP3A. In order to circumvent the formation of the epoxide metabolite, </w:t>
      </w:r>
      <w:r w:rsidR="00397747" w:rsidRPr="00FD64CC">
        <w:t xml:space="preserve">oxcarbazepine </w:t>
      </w:r>
      <w:r w:rsidR="00BD31E1" w:rsidRPr="00FD64CC">
        <w:t xml:space="preserve">was developed as a </w:t>
      </w:r>
      <w:proofErr w:type="gramStart"/>
      <w:r w:rsidR="00BD31E1" w:rsidRPr="00FD64CC">
        <w:t>second</w:t>
      </w:r>
      <w:r w:rsidR="008627BD" w:rsidRPr="00FD64CC">
        <w:t xml:space="preserve"> </w:t>
      </w:r>
      <w:r w:rsidR="00BD31E1" w:rsidRPr="00FD64CC">
        <w:t>generation</w:t>
      </w:r>
      <w:proofErr w:type="gramEnd"/>
      <w:r w:rsidR="00BD31E1" w:rsidRPr="00FD64CC">
        <w:t xml:space="preserve"> keto</w:t>
      </w:r>
      <w:r w:rsidR="008627BD" w:rsidRPr="00FD64CC">
        <w:t>-</w:t>
      </w:r>
      <w:r w:rsidR="00BD31E1" w:rsidRPr="00FD64CC">
        <w:t xml:space="preserve">analogue of </w:t>
      </w:r>
      <w:r w:rsidRPr="00FD64CC">
        <w:t>carbamazepine</w:t>
      </w:r>
      <w:r w:rsidR="00BD31E1" w:rsidRPr="00FD64CC">
        <w:t xml:space="preserve">. Unlike </w:t>
      </w:r>
      <w:r w:rsidRPr="00FD64CC">
        <w:t>carbamazepine</w:t>
      </w:r>
      <w:r w:rsidR="00BD31E1" w:rsidRPr="00FD64CC">
        <w:t xml:space="preserve">, </w:t>
      </w:r>
      <w:r w:rsidR="00397747" w:rsidRPr="00FD64CC">
        <w:t>oxcarbazepine</w:t>
      </w:r>
      <w:r w:rsidR="00BD31E1" w:rsidRPr="00FD64CC">
        <w:t xml:space="preserve"> does not undergo inducible CYP3A4-mediated oxidative metabolism. Instead, </w:t>
      </w:r>
      <w:r w:rsidR="00397747" w:rsidRPr="00FD64CC">
        <w:t>oxcarbazepine</w:t>
      </w:r>
      <w:r w:rsidR="00BD31E1" w:rsidRPr="00FD64CC">
        <w:t xml:space="preserve"> undergoes rapid pre-systemic metabolic 10</w:t>
      </w:r>
      <w:r w:rsidR="007A0BAA">
        <w:noBreakHyphen/>
      </w:r>
      <w:r w:rsidR="00BD31E1" w:rsidRPr="00FD64CC">
        <w:t>keto</w:t>
      </w:r>
      <w:r w:rsidR="007A0BAA">
        <w:t> </w:t>
      </w:r>
      <w:r w:rsidR="00BD31E1" w:rsidRPr="00FD64CC">
        <w:t xml:space="preserve">reduction to 10-hydroxy-carbazepine. </w:t>
      </w:r>
      <w:bookmarkStart w:id="17" w:name="_Hlk55645616"/>
      <w:r w:rsidR="00C8779F">
        <w:t xml:space="preserve">Eslicarbazepine </w:t>
      </w:r>
      <w:r w:rsidR="00C0497A">
        <w:t>(</w:t>
      </w:r>
      <w:r w:rsidR="00C8779F">
        <w:t>acetate</w:t>
      </w:r>
      <w:r w:rsidR="00C0497A">
        <w:t>)</w:t>
      </w:r>
      <w:r w:rsidR="00C8779F">
        <w:t xml:space="preserve"> is also part of the </w:t>
      </w:r>
      <w:proofErr w:type="spellStart"/>
      <w:r w:rsidR="00C8779F" w:rsidRPr="00D02FDF">
        <w:t>dibenzazepine</w:t>
      </w:r>
      <w:proofErr w:type="spellEnd"/>
      <w:r w:rsidR="00C8779F" w:rsidRPr="00D02FDF">
        <w:t>-carboxamide family, like carbamazepine and oxcarbazepine</w:t>
      </w:r>
      <w:r w:rsidR="00C8779F">
        <w:t>.</w:t>
      </w:r>
      <w:r w:rsidR="00C8779F" w:rsidRPr="00D02FDF">
        <w:t xml:space="preserve"> </w:t>
      </w:r>
      <w:r w:rsidR="00BD31E1" w:rsidRPr="00FD64CC">
        <w:t xml:space="preserve">The sponsor </w:t>
      </w:r>
      <w:r w:rsidR="00BD31E1" w:rsidRPr="00FD64CC">
        <w:lastRenderedPageBreak/>
        <w:t xml:space="preserve">asserts that </w:t>
      </w:r>
      <w:r w:rsidR="007A0BAA">
        <w:t>eslicarbazepine</w:t>
      </w:r>
      <w:r w:rsidR="00C8779F" w:rsidRPr="00FD64CC">
        <w:t xml:space="preserve"> </w:t>
      </w:r>
      <w:r w:rsidR="00C8779F" w:rsidRPr="00D02FDF">
        <w:t>presents a molecular variation to these, since it presents a hydroxy group rather than a keto group in the 10 position of the ring which results in functional differences from carbamazepine and oxcarbazepine</w:t>
      </w:r>
      <w:r w:rsidR="00C8779F">
        <w:t>. T</w:t>
      </w:r>
      <w:r w:rsidR="00C8779F" w:rsidRPr="00FD64CC">
        <w:t xml:space="preserve">his </w:t>
      </w:r>
      <w:r w:rsidR="00BD31E1" w:rsidRPr="00FD64CC">
        <w:t>molecular variation</w:t>
      </w:r>
      <w:r w:rsidR="007A0BAA">
        <w:t>, seen in</w:t>
      </w:r>
      <w:r w:rsidR="00BD31E1" w:rsidRPr="00FD64CC">
        <w:t xml:space="preserve"> </w:t>
      </w:r>
      <w:r w:rsidR="007A0BAA" w:rsidRPr="00FD64CC">
        <w:t>e</w:t>
      </w:r>
      <w:r w:rsidR="007A0BAA">
        <w:t xml:space="preserve">slicarbazepine </w:t>
      </w:r>
      <w:r w:rsidR="00BD31E1" w:rsidRPr="00FD64CC">
        <w:t>results in differen</w:t>
      </w:r>
      <w:r w:rsidR="007A0BAA">
        <w:t>ces</w:t>
      </w:r>
      <w:r w:rsidR="00BD31E1" w:rsidRPr="00FD64CC">
        <w:t xml:space="preserve"> in metabolism thus reducing enantiomer impurities</w:t>
      </w:r>
      <w:r w:rsidR="008421F0">
        <w:t xml:space="preserve"> (</w:t>
      </w:r>
      <w:r w:rsidR="008421F0" w:rsidRPr="00D577DF">
        <w:t xml:space="preserve">without </w:t>
      </w:r>
      <w:r w:rsidR="007A0BAA">
        <w:t xml:space="preserve">the </w:t>
      </w:r>
      <w:r w:rsidR="008421F0" w:rsidRPr="00D577DF">
        <w:t>loss of pharmacological activity</w:t>
      </w:r>
      <w:r w:rsidR="008421F0">
        <w:t>)</w:t>
      </w:r>
      <w:r w:rsidR="007A0BAA">
        <w:t xml:space="preserve"> giving</w:t>
      </w:r>
      <w:r w:rsidR="00BD31E1" w:rsidRPr="00FD64CC">
        <w:t xml:space="preserve"> a lower potential for drug</w:t>
      </w:r>
      <w:r w:rsidR="007A0BAA">
        <w:noBreakHyphen/>
        <w:t>drug</w:t>
      </w:r>
      <w:r w:rsidR="00BD31E1" w:rsidRPr="00FD64CC">
        <w:t xml:space="preserve"> interactions, improved tolerability, and ease of use (once daily dosing and a simple titration regimen).</w:t>
      </w:r>
      <w:bookmarkEnd w:id="17"/>
    </w:p>
    <w:p w14:paraId="0DBAB746" w14:textId="25EFBA26" w:rsidR="008421F0" w:rsidRPr="00FD64CC" w:rsidRDefault="007A0BAA" w:rsidP="00CF62A6">
      <w:r>
        <w:t>E</w:t>
      </w:r>
      <w:r w:rsidRPr="00FD64CC">
        <w:t>slicarbazepine</w:t>
      </w:r>
      <w:r w:rsidR="008421F0" w:rsidRPr="00F54FA5">
        <w:t xml:space="preserve"> is a voltage-gated sodium channel (VGSC) blocker that competitively interacts with Site 2 of the inactivated state of VGSC. It stabilises the inactive state of VGSCs, allowing for less sodium to enter neural cells, which leaves them less excitable.</w:t>
      </w:r>
    </w:p>
    <w:p w14:paraId="17D2B2F0" w14:textId="78C4F9FA" w:rsidR="00BD31E1" w:rsidRPr="00FD64CC" w:rsidRDefault="00BD31E1" w:rsidP="00CF62A6">
      <w:r w:rsidRPr="00FD64CC">
        <w:t xml:space="preserve">In addition to </w:t>
      </w:r>
      <w:r w:rsidR="00EA6F21" w:rsidRPr="00FD64CC">
        <w:t>carbamazepine</w:t>
      </w:r>
      <w:r w:rsidRPr="00FD64CC">
        <w:t xml:space="preserve"> and </w:t>
      </w:r>
      <w:r w:rsidR="00397747" w:rsidRPr="00FD64CC">
        <w:t>oxcarbazepine</w:t>
      </w:r>
      <w:r w:rsidRPr="00FD64CC">
        <w:t>, there are several other AEDs on the market (</w:t>
      </w:r>
      <w:r w:rsidR="004C5EA9" w:rsidRPr="00FD64CC">
        <w:t>for example,</w:t>
      </w:r>
      <w:r w:rsidRPr="00FD64CC">
        <w:t xml:space="preserve"> felbamate, gabapentin, lamotrigine, levetiracetam, phenobarbital, phenytoin, pregabalin, topiramate, tiagabine, valproate, and </w:t>
      </w:r>
      <w:proofErr w:type="spellStart"/>
      <w:r w:rsidRPr="00FD64CC">
        <w:t>zonisamide</w:t>
      </w:r>
      <w:proofErr w:type="spellEnd"/>
      <w:r w:rsidRPr="00FD64CC">
        <w:t xml:space="preserve">). Somnolence, dizziness, fatigue, headache, </w:t>
      </w:r>
      <w:proofErr w:type="gramStart"/>
      <w:r w:rsidRPr="00FD64CC">
        <w:t>nausea</w:t>
      </w:r>
      <w:proofErr w:type="gramEnd"/>
      <w:r w:rsidRPr="00FD64CC">
        <w:t xml:space="preserve"> and vomiting are the most common type of events with these drugs. In addition, psychiatric events such as abnormal thinking, depression, and psychosis are common to several of these AEDs. Furthermore, the majority of these drugs require administration several times a day and involve complex and </w:t>
      </w:r>
      <w:proofErr w:type="gramStart"/>
      <w:r w:rsidRPr="00FD64CC">
        <w:t>long</w:t>
      </w:r>
      <w:r w:rsidR="004C5EA9" w:rsidRPr="00FD64CC">
        <w:t xml:space="preserve"> </w:t>
      </w:r>
      <w:r w:rsidRPr="00FD64CC">
        <w:t>term</w:t>
      </w:r>
      <w:proofErr w:type="gramEnd"/>
      <w:r w:rsidRPr="00FD64CC">
        <w:t xml:space="preserve"> titration schemes. </w:t>
      </w:r>
      <w:r w:rsidR="007A0BAA">
        <w:t>E</w:t>
      </w:r>
      <w:r w:rsidR="007A0BAA" w:rsidRPr="00FD64CC">
        <w:t>slicarbazepine</w:t>
      </w:r>
      <w:r w:rsidRPr="00FD64CC">
        <w:t xml:space="preserve"> is proposed to have a favourable toxicity profile and provide improved convenience and compliance.</w:t>
      </w:r>
    </w:p>
    <w:p w14:paraId="09275531" w14:textId="77777777" w:rsidR="008E7846" w:rsidRPr="00FD64CC" w:rsidRDefault="00386150" w:rsidP="008E7846">
      <w:pPr>
        <w:pStyle w:val="Heading3"/>
      </w:pPr>
      <w:bookmarkStart w:id="18" w:name="_Toc314842485"/>
      <w:bookmarkStart w:id="19" w:name="_Toc247691504"/>
      <w:bookmarkStart w:id="20" w:name="_Toc84514213"/>
      <w:r w:rsidRPr="00FD64CC">
        <w:t>Regulatory s</w:t>
      </w:r>
      <w:r w:rsidR="008E7846" w:rsidRPr="00FD64CC">
        <w:t>tatus</w:t>
      </w:r>
      <w:bookmarkEnd w:id="18"/>
      <w:bookmarkEnd w:id="19"/>
      <w:bookmarkEnd w:id="20"/>
    </w:p>
    <w:p w14:paraId="44FBEE86" w14:textId="77777777" w:rsidR="00940A89" w:rsidRPr="00FD64CC" w:rsidRDefault="00006FAB" w:rsidP="0041655D">
      <w:bookmarkStart w:id="21" w:name="_Toc247691505"/>
      <w:bookmarkStart w:id="22" w:name="_Toc314842486"/>
      <w:r w:rsidRPr="00FD64CC">
        <w:t>This product is considered a new chemical entity</w:t>
      </w:r>
      <w:r w:rsidR="0054674C" w:rsidRPr="00FD64CC">
        <w:t xml:space="preserve"> </w:t>
      </w:r>
      <w:r w:rsidRPr="00FD64CC">
        <w:t>for Australian regulatory purposes.</w:t>
      </w:r>
    </w:p>
    <w:p w14:paraId="0FFA6D97" w14:textId="39DB5C39" w:rsidR="00006FAB" w:rsidRPr="00FD64CC" w:rsidRDefault="00006FAB" w:rsidP="0041655D">
      <w:r w:rsidRPr="00FD64CC">
        <w:t>At the time the TG</w:t>
      </w:r>
      <w:r w:rsidR="0054674C" w:rsidRPr="00FD64CC">
        <w:t xml:space="preserve">A considered this application, </w:t>
      </w:r>
      <w:r w:rsidRPr="00FD64CC">
        <w:t>similar application</w:t>
      </w:r>
      <w:r w:rsidR="0054674C" w:rsidRPr="00FD64CC">
        <w:t>s</w:t>
      </w:r>
      <w:r w:rsidRPr="00FD64CC">
        <w:t xml:space="preserve"> had been approved in </w:t>
      </w:r>
      <w:r w:rsidR="0054674C" w:rsidRPr="00FD64CC">
        <w:t>the European Union</w:t>
      </w:r>
      <w:r w:rsidR="0041655D" w:rsidRPr="00FD64CC">
        <w:t xml:space="preserve"> (EU)</w:t>
      </w:r>
      <w:r w:rsidR="0054674C" w:rsidRPr="00FD64CC">
        <w:t xml:space="preserve"> </w:t>
      </w:r>
      <w:r w:rsidRPr="00FD64CC">
        <w:t>(</w:t>
      </w:r>
      <w:r w:rsidR="0054674C" w:rsidRPr="00FD64CC">
        <w:t>on 21 April 2009</w:t>
      </w:r>
      <w:r w:rsidRPr="00FD64CC">
        <w:t>)</w:t>
      </w:r>
      <w:r w:rsidR="0054674C" w:rsidRPr="00FD64CC">
        <w:t>, the United States of America</w:t>
      </w:r>
      <w:r w:rsidR="0041655D" w:rsidRPr="00FD64CC">
        <w:t xml:space="preserve"> (USA)</w:t>
      </w:r>
      <w:r w:rsidRPr="00FD64CC">
        <w:t xml:space="preserve"> </w:t>
      </w:r>
      <w:r w:rsidR="0054674C" w:rsidRPr="00FD64CC">
        <w:t>(on 8</w:t>
      </w:r>
      <w:r w:rsidR="00355E90">
        <w:t> </w:t>
      </w:r>
      <w:r w:rsidR="0054674C" w:rsidRPr="00FD64CC">
        <w:t>November 2013), Canada (on 8 July 2014) and Switzerland (on 2 April 2020</w:t>
      </w:r>
      <w:r w:rsidRPr="00FD64CC">
        <w:t>).</w:t>
      </w:r>
    </w:p>
    <w:p w14:paraId="154AE458" w14:textId="0E6C8018" w:rsidR="00A20178" w:rsidRPr="00FD64CC" w:rsidRDefault="00CF62A6" w:rsidP="00CF62A6">
      <w:r w:rsidRPr="00FD64CC">
        <w:fldChar w:fldCharType="begin"/>
      </w:r>
      <w:r w:rsidRPr="00FD64CC">
        <w:instrText xml:space="preserve"> REF _Ref75422293 \h  \* MERGEFORMAT </w:instrText>
      </w:r>
      <w:r w:rsidRPr="00FD64CC">
        <w:fldChar w:fldCharType="separate"/>
      </w:r>
      <w:r w:rsidR="00FE04B8" w:rsidRPr="00FD64CC">
        <w:t xml:space="preserve">Table </w:t>
      </w:r>
      <w:r w:rsidR="00FE04B8">
        <w:t>1</w:t>
      </w:r>
      <w:r w:rsidRPr="00FD64CC">
        <w:fldChar w:fldCharType="end"/>
      </w:r>
      <w:r w:rsidR="0054674C" w:rsidRPr="00FD64CC">
        <w:t>, shown below, summarises these applications and provides the indications where approved.</w:t>
      </w:r>
    </w:p>
    <w:p w14:paraId="7526B711" w14:textId="58956F91" w:rsidR="00324E45" w:rsidRPr="00FD64CC" w:rsidRDefault="00324E45" w:rsidP="00324E45">
      <w:pPr>
        <w:pStyle w:val="TableTitle"/>
      </w:pPr>
      <w:bookmarkStart w:id="23" w:name="_Ref75422293"/>
      <w:r w:rsidRPr="00FD64CC">
        <w:t xml:space="preserve">Table </w:t>
      </w:r>
      <w:fldSimple w:instr=" SEQ Table \* ARABIC ">
        <w:r w:rsidR="00FE04B8">
          <w:rPr>
            <w:noProof/>
          </w:rPr>
          <w:t>1</w:t>
        </w:r>
      </w:fldSimple>
      <w:bookmarkEnd w:id="23"/>
      <w:r w:rsidRPr="00FD64CC">
        <w:t>: International regulatory status</w:t>
      </w:r>
    </w:p>
    <w:tbl>
      <w:tblPr>
        <w:tblStyle w:val="TableTGAblue"/>
        <w:tblW w:w="8635" w:type="dxa"/>
        <w:tblLook w:val="04A0" w:firstRow="1" w:lastRow="0" w:firstColumn="1" w:lastColumn="0" w:noHBand="0" w:noVBand="1"/>
      </w:tblPr>
      <w:tblGrid>
        <w:gridCol w:w="1524"/>
        <w:gridCol w:w="1907"/>
        <w:gridCol w:w="2132"/>
        <w:gridCol w:w="3072"/>
      </w:tblGrid>
      <w:tr w:rsidR="00A20178" w:rsidRPr="00FD64CC" w14:paraId="7BB48336" w14:textId="77777777" w:rsidTr="00E9053A">
        <w:trPr>
          <w:cnfStyle w:val="100000000000" w:firstRow="1" w:lastRow="0" w:firstColumn="0" w:lastColumn="0" w:oddVBand="0" w:evenVBand="0" w:oddHBand="0" w:evenHBand="0" w:firstRowFirstColumn="0" w:firstRowLastColumn="0" w:lastRowFirstColumn="0" w:lastRowLastColumn="0"/>
        </w:trPr>
        <w:tc>
          <w:tcPr>
            <w:tcW w:w="1524" w:type="dxa"/>
            <w:tcBorders>
              <w:top w:val="single" w:sz="4" w:space="0" w:color="auto"/>
              <w:left w:val="single" w:sz="4" w:space="0" w:color="auto"/>
              <w:bottom w:val="single" w:sz="4" w:space="0" w:color="auto"/>
              <w:right w:val="single" w:sz="4" w:space="0" w:color="auto"/>
            </w:tcBorders>
          </w:tcPr>
          <w:p w14:paraId="694A02BB" w14:textId="77777777" w:rsidR="00006FAB" w:rsidRPr="00FD64CC" w:rsidRDefault="00006FAB" w:rsidP="00006FAB">
            <w:pPr>
              <w:ind w:left="0" w:right="0"/>
            </w:pPr>
            <w:r w:rsidRPr="00FD64CC">
              <w:t>Region</w:t>
            </w:r>
          </w:p>
        </w:tc>
        <w:tc>
          <w:tcPr>
            <w:tcW w:w="1907" w:type="dxa"/>
            <w:tcBorders>
              <w:top w:val="single" w:sz="4" w:space="0" w:color="auto"/>
              <w:left w:val="single" w:sz="4" w:space="0" w:color="auto"/>
              <w:bottom w:val="single" w:sz="4" w:space="0" w:color="auto"/>
              <w:right w:val="single" w:sz="4" w:space="0" w:color="auto"/>
            </w:tcBorders>
          </w:tcPr>
          <w:p w14:paraId="5757AE01" w14:textId="77777777" w:rsidR="00006FAB" w:rsidRPr="00FD64CC" w:rsidRDefault="00006FAB" w:rsidP="00006FAB">
            <w:pPr>
              <w:ind w:left="0" w:right="0"/>
            </w:pPr>
            <w:r w:rsidRPr="00FD64CC">
              <w:t>Submission date</w:t>
            </w:r>
          </w:p>
        </w:tc>
        <w:tc>
          <w:tcPr>
            <w:tcW w:w="2132" w:type="dxa"/>
            <w:tcBorders>
              <w:top w:val="single" w:sz="4" w:space="0" w:color="auto"/>
              <w:left w:val="single" w:sz="4" w:space="0" w:color="auto"/>
              <w:bottom w:val="single" w:sz="4" w:space="0" w:color="auto"/>
              <w:right w:val="single" w:sz="4" w:space="0" w:color="auto"/>
            </w:tcBorders>
          </w:tcPr>
          <w:p w14:paraId="59BB2FAF" w14:textId="77777777" w:rsidR="00006FAB" w:rsidRPr="00FD64CC" w:rsidRDefault="00006FAB" w:rsidP="00006FAB">
            <w:pPr>
              <w:ind w:left="0" w:right="0"/>
            </w:pPr>
            <w:r w:rsidRPr="00FD64CC">
              <w:t>Status</w:t>
            </w:r>
          </w:p>
        </w:tc>
        <w:tc>
          <w:tcPr>
            <w:tcW w:w="3072" w:type="dxa"/>
            <w:tcBorders>
              <w:top w:val="single" w:sz="4" w:space="0" w:color="auto"/>
              <w:left w:val="single" w:sz="4" w:space="0" w:color="auto"/>
              <w:bottom w:val="single" w:sz="4" w:space="0" w:color="auto"/>
              <w:right w:val="single" w:sz="4" w:space="0" w:color="auto"/>
            </w:tcBorders>
          </w:tcPr>
          <w:p w14:paraId="7D2125CF" w14:textId="77777777" w:rsidR="00006FAB" w:rsidRPr="00FD64CC" w:rsidRDefault="00006FAB" w:rsidP="00006FAB">
            <w:pPr>
              <w:ind w:left="0" w:right="0"/>
            </w:pPr>
            <w:r w:rsidRPr="00FD64CC">
              <w:t>Approved indications</w:t>
            </w:r>
          </w:p>
        </w:tc>
      </w:tr>
      <w:tr w:rsidR="00A20178" w:rsidRPr="00FD64CC" w14:paraId="4672FFE6" w14:textId="77777777" w:rsidTr="00E9053A">
        <w:tc>
          <w:tcPr>
            <w:tcW w:w="1524" w:type="dxa"/>
            <w:tcBorders>
              <w:top w:val="single" w:sz="4" w:space="0" w:color="auto"/>
            </w:tcBorders>
          </w:tcPr>
          <w:p w14:paraId="571AA920" w14:textId="77777777" w:rsidR="00006FAB" w:rsidRPr="00FD64CC" w:rsidRDefault="00A20178" w:rsidP="00A20178">
            <w:pPr>
              <w:ind w:left="0"/>
            </w:pPr>
            <w:r w:rsidRPr="00FD64CC">
              <w:t>European Union</w:t>
            </w:r>
          </w:p>
        </w:tc>
        <w:tc>
          <w:tcPr>
            <w:tcW w:w="1907" w:type="dxa"/>
            <w:tcBorders>
              <w:top w:val="single" w:sz="4" w:space="0" w:color="auto"/>
            </w:tcBorders>
          </w:tcPr>
          <w:p w14:paraId="34D709DE" w14:textId="5ADD49F4" w:rsidR="00006FAB" w:rsidRPr="00FD64CC" w:rsidRDefault="00A20178" w:rsidP="0041655D">
            <w:pPr>
              <w:ind w:left="0"/>
            </w:pPr>
            <w:r w:rsidRPr="00FD64CC">
              <w:t>26</w:t>
            </w:r>
            <w:r w:rsidR="007A0BAA">
              <w:t> </w:t>
            </w:r>
            <w:r w:rsidRPr="00FD64CC">
              <w:t>March</w:t>
            </w:r>
            <w:r w:rsidR="007A0BAA">
              <w:t> </w:t>
            </w:r>
            <w:r w:rsidRPr="00FD64CC">
              <w:t>2008</w:t>
            </w:r>
          </w:p>
        </w:tc>
        <w:tc>
          <w:tcPr>
            <w:tcW w:w="2132" w:type="dxa"/>
            <w:tcBorders>
              <w:top w:val="single" w:sz="4" w:space="0" w:color="auto"/>
            </w:tcBorders>
          </w:tcPr>
          <w:p w14:paraId="38A249F0" w14:textId="766B05A8" w:rsidR="00006FAB" w:rsidRPr="00FD64CC" w:rsidRDefault="00A20178" w:rsidP="00A20178">
            <w:pPr>
              <w:ind w:left="0"/>
            </w:pPr>
            <w:r w:rsidRPr="00FD64CC">
              <w:t>Approved on 21</w:t>
            </w:r>
            <w:r w:rsidR="00355E90">
              <w:t> </w:t>
            </w:r>
            <w:r w:rsidRPr="00FD64CC">
              <w:t>April 2009</w:t>
            </w:r>
          </w:p>
        </w:tc>
        <w:tc>
          <w:tcPr>
            <w:tcW w:w="3072" w:type="dxa"/>
            <w:tcBorders>
              <w:top w:val="single" w:sz="4" w:space="0" w:color="auto"/>
            </w:tcBorders>
          </w:tcPr>
          <w:p w14:paraId="44FB502F" w14:textId="77777777" w:rsidR="00A20178" w:rsidRPr="00FD64CC" w:rsidRDefault="00A20178" w:rsidP="00A20178">
            <w:pPr>
              <w:ind w:left="0"/>
              <w:rPr>
                <w:i/>
              </w:rPr>
            </w:pPr>
            <w:r w:rsidRPr="00FD64CC">
              <w:rPr>
                <w:i/>
              </w:rPr>
              <w:t xml:space="preserve">Monotherapy in the treatment of partial-onset seizures, with or without secondary generalisation, in adults with newly diagnosed </w:t>
            </w:r>
            <w:proofErr w:type="gramStart"/>
            <w:r w:rsidRPr="00FD64CC">
              <w:rPr>
                <w:i/>
              </w:rPr>
              <w:t>epilepsy;</w:t>
            </w:r>
            <w:proofErr w:type="gramEnd"/>
          </w:p>
          <w:p w14:paraId="783FE64D" w14:textId="77777777" w:rsidR="00006FAB" w:rsidRPr="00FD64CC" w:rsidRDefault="00A20178" w:rsidP="00A20178">
            <w:pPr>
              <w:ind w:left="0"/>
            </w:pPr>
            <w:r w:rsidRPr="00FD64CC">
              <w:rPr>
                <w:i/>
              </w:rPr>
              <w:t>Adjunctive therapy in adults, adolescents and children aged above 6 years, with partial-onset seizures with or without secondary generalization.</w:t>
            </w:r>
          </w:p>
        </w:tc>
      </w:tr>
      <w:tr w:rsidR="00A20178" w:rsidRPr="00FD64CC" w14:paraId="5C776C4B" w14:textId="77777777" w:rsidTr="00E9053A">
        <w:tc>
          <w:tcPr>
            <w:tcW w:w="1524" w:type="dxa"/>
          </w:tcPr>
          <w:p w14:paraId="44CFF1FF" w14:textId="77777777" w:rsidR="00006FAB" w:rsidRPr="00FD64CC" w:rsidRDefault="00A20178" w:rsidP="00A20178">
            <w:pPr>
              <w:ind w:left="0"/>
            </w:pPr>
            <w:r w:rsidRPr="00FD64CC">
              <w:t>United States of America</w:t>
            </w:r>
          </w:p>
        </w:tc>
        <w:tc>
          <w:tcPr>
            <w:tcW w:w="1907" w:type="dxa"/>
          </w:tcPr>
          <w:p w14:paraId="78839C80" w14:textId="77777777" w:rsidR="00006FAB" w:rsidRPr="00FD64CC" w:rsidRDefault="00A20178" w:rsidP="00A20178">
            <w:pPr>
              <w:ind w:left="0"/>
            </w:pPr>
            <w:r w:rsidRPr="00FD64CC">
              <w:t>29 March 2009</w:t>
            </w:r>
          </w:p>
        </w:tc>
        <w:tc>
          <w:tcPr>
            <w:tcW w:w="2132" w:type="dxa"/>
          </w:tcPr>
          <w:p w14:paraId="6C17C4AC" w14:textId="02C4ED14" w:rsidR="00006FAB" w:rsidRPr="00FD64CC" w:rsidRDefault="00A20178" w:rsidP="00A20178">
            <w:pPr>
              <w:ind w:left="0"/>
            </w:pPr>
            <w:r w:rsidRPr="00FD64CC">
              <w:t>Approved on 8</w:t>
            </w:r>
            <w:r w:rsidR="00355E90">
              <w:t> </w:t>
            </w:r>
            <w:r w:rsidRPr="00FD64CC">
              <w:t>November 2013</w:t>
            </w:r>
          </w:p>
        </w:tc>
        <w:tc>
          <w:tcPr>
            <w:tcW w:w="3072" w:type="dxa"/>
          </w:tcPr>
          <w:p w14:paraId="66E0E328" w14:textId="77777777" w:rsidR="00006FAB" w:rsidRPr="00FD64CC" w:rsidRDefault="00A20178" w:rsidP="00A20178">
            <w:pPr>
              <w:ind w:left="0"/>
              <w:rPr>
                <w:i/>
              </w:rPr>
            </w:pPr>
            <w:r w:rsidRPr="00FD64CC">
              <w:rPr>
                <w:i/>
              </w:rPr>
              <w:t>Treatment of partial-onset seizures in patients 4 years of age and older.</w:t>
            </w:r>
          </w:p>
        </w:tc>
      </w:tr>
      <w:tr w:rsidR="00A20178" w:rsidRPr="00FD64CC" w14:paraId="2CE80459" w14:textId="77777777" w:rsidTr="00E9053A">
        <w:trPr>
          <w:cantSplit/>
        </w:trPr>
        <w:tc>
          <w:tcPr>
            <w:tcW w:w="1524" w:type="dxa"/>
          </w:tcPr>
          <w:p w14:paraId="6C824F43" w14:textId="77777777" w:rsidR="00A20178" w:rsidRPr="00FD64CC" w:rsidRDefault="00A20178" w:rsidP="00A20178">
            <w:pPr>
              <w:ind w:left="0"/>
            </w:pPr>
            <w:r w:rsidRPr="00FD64CC">
              <w:lastRenderedPageBreak/>
              <w:t>Canada</w:t>
            </w:r>
          </w:p>
        </w:tc>
        <w:tc>
          <w:tcPr>
            <w:tcW w:w="1907" w:type="dxa"/>
          </w:tcPr>
          <w:p w14:paraId="5E27AB42" w14:textId="77777777" w:rsidR="00A20178" w:rsidRPr="00FD64CC" w:rsidRDefault="00A20178" w:rsidP="00A20178">
            <w:pPr>
              <w:ind w:left="0"/>
            </w:pPr>
            <w:r w:rsidRPr="00FD64CC">
              <w:t>6 August 2009</w:t>
            </w:r>
          </w:p>
        </w:tc>
        <w:tc>
          <w:tcPr>
            <w:tcW w:w="2132" w:type="dxa"/>
          </w:tcPr>
          <w:p w14:paraId="32E1EECD" w14:textId="57C7D33C" w:rsidR="00A20178" w:rsidRPr="00FD64CC" w:rsidRDefault="00A20178" w:rsidP="00A20178">
            <w:pPr>
              <w:ind w:left="0"/>
            </w:pPr>
            <w:r w:rsidRPr="00FD64CC">
              <w:t>Approved on 8</w:t>
            </w:r>
            <w:r w:rsidR="00355E90">
              <w:t> </w:t>
            </w:r>
            <w:r w:rsidRPr="00FD64CC">
              <w:t>July 2014</w:t>
            </w:r>
          </w:p>
        </w:tc>
        <w:tc>
          <w:tcPr>
            <w:tcW w:w="3072" w:type="dxa"/>
          </w:tcPr>
          <w:p w14:paraId="2092F090" w14:textId="77777777" w:rsidR="00A20178" w:rsidRPr="00FD64CC" w:rsidRDefault="00A20178" w:rsidP="00A20178">
            <w:pPr>
              <w:ind w:left="0"/>
              <w:rPr>
                <w:i/>
              </w:rPr>
            </w:pPr>
            <w:r w:rsidRPr="00FD64CC">
              <w:rPr>
                <w:i/>
              </w:rPr>
              <w:t>Monotherapy in the management of partial-onset seizures in adult patients with epilepsy. All patients who participated in the monotherapy trial were newly or recently diagnosed with epilepsy.</w:t>
            </w:r>
          </w:p>
          <w:p w14:paraId="40237FBB" w14:textId="77777777" w:rsidR="00A20178" w:rsidRPr="00FD64CC" w:rsidRDefault="00A20178" w:rsidP="00A20178">
            <w:pPr>
              <w:ind w:left="0"/>
              <w:rPr>
                <w:i/>
              </w:rPr>
            </w:pPr>
            <w:r w:rsidRPr="00FD64CC">
              <w:rPr>
                <w:i/>
              </w:rPr>
              <w:t>Adjunctive therapy in the management of adults, and children above 6 years of age, with partial-onset seizures who are not satisfactorily controlled with conventional therapy.</w:t>
            </w:r>
          </w:p>
        </w:tc>
      </w:tr>
      <w:tr w:rsidR="00A20178" w:rsidRPr="00FD64CC" w14:paraId="624DF0E6" w14:textId="77777777" w:rsidTr="00E9053A">
        <w:tc>
          <w:tcPr>
            <w:tcW w:w="1524" w:type="dxa"/>
          </w:tcPr>
          <w:p w14:paraId="5BFB94E2" w14:textId="77777777" w:rsidR="00A20178" w:rsidRPr="00FD64CC" w:rsidRDefault="00A20178" w:rsidP="00A20178">
            <w:pPr>
              <w:ind w:left="0"/>
            </w:pPr>
            <w:r w:rsidRPr="00FD64CC">
              <w:t>Switzerland</w:t>
            </w:r>
          </w:p>
        </w:tc>
        <w:tc>
          <w:tcPr>
            <w:tcW w:w="1907" w:type="dxa"/>
          </w:tcPr>
          <w:p w14:paraId="5D8B980A" w14:textId="77777777" w:rsidR="00A20178" w:rsidRPr="00FD64CC" w:rsidRDefault="00A20178" w:rsidP="00A20178">
            <w:pPr>
              <w:ind w:left="0"/>
            </w:pPr>
            <w:r w:rsidRPr="00FD64CC">
              <w:t>17 December 2018</w:t>
            </w:r>
          </w:p>
        </w:tc>
        <w:tc>
          <w:tcPr>
            <w:tcW w:w="2132" w:type="dxa"/>
          </w:tcPr>
          <w:p w14:paraId="4F548DBA" w14:textId="27FF7CC4" w:rsidR="00A20178" w:rsidRPr="00FD64CC" w:rsidRDefault="0054674C" w:rsidP="00A20178">
            <w:pPr>
              <w:ind w:left="0"/>
            </w:pPr>
            <w:r w:rsidRPr="00FD64CC">
              <w:t xml:space="preserve">Approved on </w:t>
            </w:r>
            <w:r w:rsidR="00A20178" w:rsidRPr="00FD64CC">
              <w:t>2</w:t>
            </w:r>
            <w:r w:rsidR="00355E90">
              <w:t> </w:t>
            </w:r>
            <w:r w:rsidR="00A20178" w:rsidRPr="00FD64CC">
              <w:t>April 2020</w:t>
            </w:r>
          </w:p>
        </w:tc>
        <w:tc>
          <w:tcPr>
            <w:tcW w:w="3072" w:type="dxa"/>
          </w:tcPr>
          <w:p w14:paraId="79CDE718" w14:textId="77777777" w:rsidR="00A20178" w:rsidRPr="00FD64CC" w:rsidRDefault="00A20178" w:rsidP="00A20178">
            <w:pPr>
              <w:ind w:left="0"/>
              <w:rPr>
                <w:i/>
              </w:rPr>
            </w:pPr>
            <w:r w:rsidRPr="00FD64CC">
              <w:rPr>
                <w:i/>
              </w:rPr>
              <w:t xml:space="preserve">Monotherapy in the treatment of partial-onset seizures, with or without secondary generalisation, in adults with newly diagnosed </w:t>
            </w:r>
            <w:proofErr w:type="gramStart"/>
            <w:r w:rsidRPr="00FD64CC">
              <w:rPr>
                <w:i/>
              </w:rPr>
              <w:t>epilepsy;</w:t>
            </w:r>
            <w:proofErr w:type="gramEnd"/>
          </w:p>
          <w:p w14:paraId="6B276B58" w14:textId="77777777" w:rsidR="00A20178" w:rsidRPr="00FD64CC" w:rsidRDefault="00A20178" w:rsidP="00A20178">
            <w:pPr>
              <w:ind w:left="0"/>
            </w:pPr>
            <w:r w:rsidRPr="00FD64CC">
              <w:rPr>
                <w:i/>
              </w:rPr>
              <w:t>Adjunctive therapy in adults, adolescents and children aged above 6 years, with partial-onset seizures with or without secondary generalization.</w:t>
            </w:r>
          </w:p>
        </w:tc>
      </w:tr>
    </w:tbl>
    <w:p w14:paraId="631F90FA" w14:textId="77777777" w:rsidR="008E7846" w:rsidRPr="00FD64CC" w:rsidRDefault="008E7846" w:rsidP="00940A89">
      <w:pPr>
        <w:pStyle w:val="Heading3"/>
      </w:pPr>
      <w:bookmarkStart w:id="24" w:name="_Toc84514214"/>
      <w:r w:rsidRPr="00FD64CC">
        <w:t>Product Information</w:t>
      </w:r>
      <w:bookmarkEnd w:id="21"/>
      <w:bookmarkEnd w:id="22"/>
      <w:bookmarkEnd w:id="24"/>
    </w:p>
    <w:p w14:paraId="4D09B677" w14:textId="11D278D6" w:rsidR="00940A89" w:rsidRPr="00FD64CC" w:rsidRDefault="006136D7" w:rsidP="00940A89">
      <w:bookmarkStart w:id="25" w:name="_Toc247691506"/>
      <w:bookmarkStart w:id="26" w:name="_Toc314842487"/>
      <w:r w:rsidRPr="00FD64CC">
        <w:t xml:space="preserve">The Product Information (PI) approved with the submission which is described in this </w:t>
      </w:r>
      <w:proofErr w:type="spellStart"/>
      <w:r w:rsidRPr="00FD64CC">
        <w:t>AusPAR</w:t>
      </w:r>
      <w:proofErr w:type="spellEnd"/>
      <w:r w:rsidRPr="00FD64CC">
        <w:t xml:space="preserve"> can be found as Attachment 1. For the most recent PI, please refer to the TGA website at </w:t>
      </w:r>
      <w:r w:rsidR="00441C3F" w:rsidRPr="00FD64CC">
        <w:t>&lt;</w:t>
      </w:r>
      <w:hyperlink r:id="rId16" w:history="1">
        <w:r w:rsidR="00441C3F" w:rsidRPr="00FD64CC">
          <w:rPr>
            <w:rStyle w:val="Hyperlink"/>
          </w:rPr>
          <w:t>https://www.tga.gov.au/product-information-pi</w:t>
        </w:r>
      </w:hyperlink>
      <w:r w:rsidR="00441C3F" w:rsidRPr="00FD64CC">
        <w:t>&gt;</w:t>
      </w:r>
      <w:r w:rsidR="00940A89" w:rsidRPr="00FD64CC">
        <w:t>.</w:t>
      </w:r>
    </w:p>
    <w:p w14:paraId="08A9BF70" w14:textId="77777777" w:rsidR="00500337" w:rsidRPr="00FD64CC" w:rsidRDefault="00500337" w:rsidP="00500337">
      <w:pPr>
        <w:pStyle w:val="Heading2"/>
      </w:pPr>
      <w:bookmarkStart w:id="27" w:name="_Toc504480011"/>
      <w:bookmarkStart w:id="28" w:name="_Toc84514215"/>
      <w:r w:rsidRPr="00FD64CC">
        <w:t>II. Registration timeline</w:t>
      </w:r>
      <w:bookmarkEnd w:id="27"/>
      <w:bookmarkEnd w:id="28"/>
    </w:p>
    <w:p w14:paraId="7321D4BF" w14:textId="77777777" w:rsidR="00500337" w:rsidRPr="00FD64CC" w:rsidRDefault="00500337" w:rsidP="00500337">
      <w:r w:rsidRPr="00FD64CC">
        <w:t xml:space="preserve">The following table captures the key steps and dates for this </w:t>
      </w:r>
      <w:proofErr w:type="gramStart"/>
      <w:r w:rsidRPr="00FD64CC">
        <w:t>application</w:t>
      </w:r>
      <w:proofErr w:type="gramEnd"/>
      <w:r w:rsidRPr="00FD64CC">
        <w:t xml:space="preserve"> and which are detailed and discussed in this </w:t>
      </w:r>
      <w:proofErr w:type="spellStart"/>
      <w:r w:rsidRPr="00FD64CC">
        <w:t>AusPAR</w:t>
      </w:r>
      <w:proofErr w:type="spellEnd"/>
      <w:r w:rsidRPr="00FD64CC">
        <w:t>.</w:t>
      </w:r>
    </w:p>
    <w:p w14:paraId="73EB91E7" w14:textId="1F3E7301" w:rsidR="006A58A8" w:rsidRPr="00FD64CC" w:rsidRDefault="00AE3D77" w:rsidP="00AE3D77">
      <w:pPr>
        <w:pStyle w:val="TableTitle"/>
      </w:pPr>
      <w:r w:rsidRPr="00FD64CC">
        <w:t xml:space="preserve">Table </w:t>
      </w:r>
      <w:fldSimple w:instr=" SEQ Table \* ARABIC ">
        <w:r w:rsidR="00FE04B8">
          <w:rPr>
            <w:noProof/>
          </w:rPr>
          <w:t>2</w:t>
        </w:r>
      </w:fldSimple>
      <w:r w:rsidR="00006FAB" w:rsidRPr="00FD64CC">
        <w:t>:</w:t>
      </w:r>
      <w:r w:rsidR="006A58A8" w:rsidRPr="00FD64CC">
        <w:t xml:space="preserve"> Timeline for Submission </w:t>
      </w:r>
      <w:r w:rsidR="0054674C" w:rsidRPr="00FD64CC">
        <w:t>PM-2020-01850-1-1</w:t>
      </w:r>
    </w:p>
    <w:tbl>
      <w:tblPr>
        <w:tblStyle w:val="TableTGAblue"/>
        <w:tblW w:w="0" w:type="auto"/>
        <w:tblLook w:val="04A0" w:firstRow="1" w:lastRow="0" w:firstColumn="1" w:lastColumn="0" w:noHBand="0" w:noVBand="1"/>
      </w:tblPr>
      <w:tblGrid>
        <w:gridCol w:w="6374"/>
        <w:gridCol w:w="2120"/>
      </w:tblGrid>
      <w:tr w:rsidR="00500337" w:rsidRPr="00FD64CC" w14:paraId="7EF9BF74" w14:textId="77777777" w:rsidTr="00713E52">
        <w:trPr>
          <w:cnfStyle w:val="100000000000" w:firstRow="1" w:lastRow="0" w:firstColumn="0" w:lastColumn="0" w:oddVBand="0" w:evenVBand="0" w:oddHBand="0" w:evenHBand="0" w:firstRowFirstColumn="0" w:firstRowLastColumn="0" w:lastRowFirstColumn="0" w:lastRowLastColumn="0"/>
          <w:cantSplit/>
        </w:trPr>
        <w:tc>
          <w:tcPr>
            <w:tcW w:w="6374" w:type="dxa"/>
            <w:tcBorders>
              <w:top w:val="single" w:sz="4" w:space="0" w:color="auto"/>
              <w:left w:val="single" w:sz="4" w:space="0" w:color="auto"/>
              <w:bottom w:val="single" w:sz="4" w:space="0" w:color="auto"/>
              <w:right w:val="single" w:sz="4" w:space="0" w:color="auto"/>
            </w:tcBorders>
          </w:tcPr>
          <w:p w14:paraId="2F494820" w14:textId="77777777" w:rsidR="00500337" w:rsidRPr="00FD64CC" w:rsidRDefault="00500337" w:rsidP="00500337">
            <w:pPr>
              <w:ind w:left="0" w:right="0"/>
            </w:pPr>
            <w:r w:rsidRPr="00FD64CC">
              <w:t>Description</w:t>
            </w:r>
          </w:p>
        </w:tc>
        <w:tc>
          <w:tcPr>
            <w:tcW w:w="2120" w:type="dxa"/>
            <w:tcBorders>
              <w:top w:val="single" w:sz="4" w:space="0" w:color="auto"/>
              <w:left w:val="single" w:sz="4" w:space="0" w:color="auto"/>
              <w:bottom w:val="single" w:sz="4" w:space="0" w:color="auto"/>
              <w:right w:val="single" w:sz="4" w:space="0" w:color="auto"/>
            </w:tcBorders>
          </w:tcPr>
          <w:p w14:paraId="2960BB2F" w14:textId="77777777" w:rsidR="00500337" w:rsidRPr="00FD64CC" w:rsidRDefault="00500337" w:rsidP="00500337">
            <w:pPr>
              <w:ind w:left="0" w:right="0"/>
            </w:pPr>
            <w:r w:rsidRPr="00FD64CC">
              <w:t>Date</w:t>
            </w:r>
          </w:p>
        </w:tc>
      </w:tr>
      <w:tr w:rsidR="00500337" w:rsidRPr="00FD64CC" w14:paraId="1C1C87B0" w14:textId="77777777" w:rsidTr="00713E52">
        <w:tc>
          <w:tcPr>
            <w:tcW w:w="6374" w:type="dxa"/>
            <w:tcBorders>
              <w:top w:val="single" w:sz="4" w:space="0" w:color="auto"/>
            </w:tcBorders>
          </w:tcPr>
          <w:p w14:paraId="4E32CCFC" w14:textId="77777777" w:rsidR="00500337" w:rsidRPr="00FD64CC" w:rsidRDefault="00500337" w:rsidP="00500337">
            <w:pPr>
              <w:ind w:left="0" w:right="0"/>
            </w:pPr>
            <w:r w:rsidRPr="00FD64CC">
              <w:t>Submission dossier accepted and first round evaluation commenced</w:t>
            </w:r>
          </w:p>
        </w:tc>
        <w:tc>
          <w:tcPr>
            <w:tcW w:w="2120" w:type="dxa"/>
            <w:tcBorders>
              <w:top w:val="single" w:sz="4" w:space="0" w:color="auto"/>
            </w:tcBorders>
          </w:tcPr>
          <w:p w14:paraId="0DEEC587" w14:textId="77777777" w:rsidR="00500337" w:rsidRPr="00FD64CC" w:rsidRDefault="0002563B" w:rsidP="0002563B">
            <w:pPr>
              <w:ind w:left="0" w:right="0"/>
            </w:pPr>
            <w:r w:rsidRPr="00FD64CC">
              <w:t>2 June 2020</w:t>
            </w:r>
          </w:p>
        </w:tc>
      </w:tr>
      <w:tr w:rsidR="00500337" w:rsidRPr="00FD64CC" w14:paraId="6478C74C" w14:textId="77777777" w:rsidTr="00713E52">
        <w:tc>
          <w:tcPr>
            <w:tcW w:w="6374" w:type="dxa"/>
          </w:tcPr>
          <w:p w14:paraId="0D8E34E5" w14:textId="77777777" w:rsidR="00500337" w:rsidRPr="00FD64CC" w:rsidRDefault="00500337" w:rsidP="00500337">
            <w:pPr>
              <w:ind w:left="0" w:right="0"/>
            </w:pPr>
            <w:r w:rsidRPr="00FD64CC">
              <w:t>First round evaluation completed</w:t>
            </w:r>
          </w:p>
        </w:tc>
        <w:tc>
          <w:tcPr>
            <w:tcW w:w="2120" w:type="dxa"/>
          </w:tcPr>
          <w:p w14:paraId="238FF362" w14:textId="77777777" w:rsidR="00500337" w:rsidRPr="00FD64CC" w:rsidRDefault="0002563B" w:rsidP="0002563B">
            <w:pPr>
              <w:ind w:left="0" w:right="0"/>
            </w:pPr>
            <w:r w:rsidRPr="00FD64CC">
              <w:t>20 November 2020</w:t>
            </w:r>
          </w:p>
        </w:tc>
      </w:tr>
      <w:tr w:rsidR="00500337" w:rsidRPr="00FD64CC" w14:paraId="36265D12" w14:textId="77777777" w:rsidTr="00713E52">
        <w:tc>
          <w:tcPr>
            <w:tcW w:w="6374" w:type="dxa"/>
          </w:tcPr>
          <w:p w14:paraId="0882A081" w14:textId="77777777" w:rsidR="00500337" w:rsidRPr="00FD64CC" w:rsidRDefault="00500337" w:rsidP="00500337">
            <w:pPr>
              <w:ind w:left="0" w:right="0"/>
            </w:pPr>
            <w:r w:rsidRPr="00FD64CC">
              <w:lastRenderedPageBreak/>
              <w:t>Sponsor provides responses on questions raised in first round evaluation</w:t>
            </w:r>
          </w:p>
        </w:tc>
        <w:tc>
          <w:tcPr>
            <w:tcW w:w="2120" w:type="dxa"/>
          </w:tcPr>
          <w:p w14:paraId="16542BF0" w14:textId="77777777" w:rsidR="00500337" w:rsidRPr="00FD64CC" w:rsidRDefault="0002563B" w:rsidP="0002563B">
            <w:pPr>
              <w:ind w:left="0" w:right="0"/>
            </w:pPr>
            <w:r w:rsidRPr="00FD64CC">
              <w:t>19 January 2021</w:t>
            </w:r>
          </w:p>
        </w:tc>
      </w:tr>
      <w:tr w:rsidR="00500337" w:rsidRPr="00FD64CC" w14:paraId="53CCA070" w14:textId="77777777" w:rsidTr="00713E52">
        <w:tc>
          <w:tcPr>
            <w:tcW w:w="6374" w:type="dxa"/>
          </w:tcPr>
          <w:p w14:paraId="78CD4EEE" w14:textId="77777777" w:rsidR="00500337" w:rsidRPr="00FD64CC" w:rsidRDefault="00500337" w:rsidP="00500337">
            <w:pPr>
              <w:ind w:left="0" w:right="0"/>
            </w:pPr>
            <w:r w:rsidRPr="00FD64CC">
              <w:t>Second round evaluation completed</w:t>
            </w:r>
          </w:p>
        </w:tc>
        <w:tc>
          <w:tcPr>
            <w:tcW w:w="2120" w:type="dxa"/>
          </w:tcPr>
          <w:p w14:paraId="775A0707" w14:textId="77777777" w:rsidR="00500337" w:rsidRPr="00FD64CC" w:rsidRDefault="0002563B" w:rsidP="0002563B">
            <w:pPr>
              <w:ind w:left="0" w:right="0"/>
            </w:pPr>
            <w:r w:rsidRPr="00FD64CC">
              <w:t>5 May 2021</w:t>
            </w:r>
          </w:p>
        </w:tc>
      </w:tr>
      <w:tr w:rsidR="00500337" w:rsidRPr="00FD64CC" w14:paraId="43012BE4" w14:textId="77777777" w:rsidTr="00713E52">
        <w:tc>
          <w:tcPr>
            <w:tcW w:w="6374" w:type="dxa"/>
          </w:tcPr>
          <w:p w14:paraId="6C33BD21" w14:textId="77777777" w:rsidR="00500337" w:rsidRPr="00FD64CC" w:rsidRDefault="00324E45" w:rsidP="00A20178">
            <w:pPr>
              <w:ind w:left="0" w:right="0"/>
            </w:pPr>
            <w:r w:rsidRPr="00FD64CC">
              <w:t xml:space="preserve">Delegate’s </w:t>
            </w:r>
            <w:r w:rsidR="00A20178" w:rsidRPr="00FD64CC">
              <w:t>Overall benefit-risk assessment</w:t>
            </w:r>
          </w:p>
        </w:tc>
        <w:tc>
          <w:tcPr>
            <w:tcW w:w="2120" w:type="dxa"/>
          </w:tcPr>
          <w:p w14:paraId="17EB9007" w14:textId="77777777" w:rsidR="00500337" w:rsidRPr="00FD64CC" w:rsidRDefault="0002563B" w:rsidP="00500337">
            <w:pPr>
              <w:ind w:left="0" w:right="0"/>
            </w:pPr>
            <w:r w:rsidRPr="00FD64CC">
              <w:t>26 April 2021</w:t>
            </w:r>
          </w:p>
        </w:tc>
      </w:tr>
      <w:tr w:rsidR="00500337" w:rsidRPr="00FD64CC" w14:paraId="34B9FF21" w14:textId="77777777" w:rsidTr="00713E52">
        <w:tc>
          <w:tcPr>
            <w:tcW w:w="6374" w:type="dxa"/>
          </w:tcPr>
          <w:p w14:paraId="1EFDB162" w14:textId="77777777" w:rsidR="00500337" w:rsidRPr="00FD64CC" w:rsidRDefault="00500337" w:rsidP="00500337">
            <w:pPr>
              <w:ind w:left="0" w:right="0"/>
            </w:pPr>
            <w:r w:rsidRPr="00FD64CC">
              <w:t>Sponsor’s pre-Advisory Committee response</w:t>
            </w:r>
          </w:p>
        </w:tc>
        <w:tc>
          <w:tcPr>
            <w:tcW w:w="2120" w:type="dxa"/>
          </w:tcPr>
          <w:p w14:paraId="058AB121" w14:textId="77777777" w:rsidR="00500337" w:rsidRPr="00FD64CC" w:rsidRDefault="0002563B" w:rsidP="00500337">
            <w:pPr>
              <w:ind w:left="0" w:right="0"/>
            </w:pPr>
            <w:r w:rsidRPr="00FD64CC">
              <w:t>Not applicable</w:t>
            </w:r>
          </w:p>
        </w:tc>
      </w:tr>
      <w:tr w:rsidR="00500337" w:rsidRPr="00FD64CC" w14:paraId="3CB1E231" w14:textId="77777777" w:rsidTr="00713E52">
        <w:tc>
          <w:tcPr>
            <w:tcW w:w="6374" w:type="dxa"/>
          </w:tcPr>
          <w:p w14:paraId="5E7D5B0B" w14:textId="77777777" w:rsidR="00500337" w:rsidRPr="00FD64CC" w:rsidRDefault="00500337" w:rsidP="00500337">
            <w:pPr>
              <w:ind w:left="0" w:right="0"/>
            </w:pPr>
            <w:r w:rsidRPr="00FD64CC">
              <w:t>Advisory Committee meeting</w:t>
            </w:r>
          </w:p>
        </w:tc>
        <w:tc>
          <w:tcPr>
            <w:tcW w:w="2120" w:type="dxa"/>
          </w:tcPr>
          <w:p w14:paraId="0A1AAED5" w14:textId="77777777" w:rsidR="00500337" w:rsidRPr="00FD64CC" w:rsidRDefault="0002563B" w:rsidP="00500337">
            <w:pPr>
              <w:ind w:left="0" w:right="0"/>
            </w:pPr>
            <w:r w:rsidRPr="00FD64CC">
              <w:t>Not applicable</w:t>
            </w:r>
          </w:p>
        </w:tc>
      </w:tr>
      <w:tr w:rsidR="00500337" w:rsidRPr="00FD64CC" w14:paraId="73823FF8" w14:textId="77777777" w:rsidTr="00713E52">
        <w:tc>
          <w:tcPr>
            <w:tcW w:w="6374" w:type="dxa"/>
          </w:tcPr>
          <w:p w14:paraId="0F3F5037" w14:textId="77777777" w:rsidR="00500337" w:rsidRPr="00FD64CC" w:rsidRDefault="00500337" w:rsidP="00500337">
            <w:pPr>
              <w:ind w:left="0" w:right="0"/>
            </w:pPr>
            <w:r w:rsidRPr="00FD64CC">
              <w:t>Registration decision (Outcome)</w:t>
            </w:r>
          </w:p>
        </w:tc>
        <w:tc>
          <w:tcPr>
            <w:tcW w:w="2120" w:type="dxa"/>
          </w:tcPr>
          <w:p w14:paraId="0AF4FC5D" w14:textId="77777777" w:rsidR="00500337" w:rsidRPr="00FD64CC" w:rsidRDefault="00380510" w:rsidP="00500337">
            <w:pPr>
              <w:ind w:left="0" w:right="0"/>
            </w:pPr>
            <w:r w:rsidRPr="00FD64CC">
              <w:t>10 May 2021</w:t>
            </w:r>
          </w:p>
        </w:tc>
      </w:tr>
      <w:tr w:rsidR="00500337" w:rsidRPr="00FD64CC" w14:paraId="445A3CFF" w14:textId="77777777" w:rsidTr="00713E52">
        <w:tc>
          <w:tcPr>
            <w:tcW w:w="6374" w:type="dxa"/>
          </w:tcPr>
          <w:p w14:paraId="66DCF22C" w14:textId="77777777" w:rsidR="00500337" w:rsidRPr="00FD64CC" w:rsidRDefault="00500337" w:rsidP="00500337">
            <w:pPr>
              <w:ind w:left="0" w:right="0"/>
            </w:pPr>
            <w:r w:rsidRPr="00FD64CC">
              <w:t xml:space="preserve">Completion of administrative activities and registration on </w:t>
            </w:r>
            <w:r w:rsidR="00006FAB" w:rsidRPr="00FD64CC">
              <w:t xml:space="preserve">the </w:t>
            </w:r>
            <w:r w:rsidRPr="00FD64CC">
              <w:t>ARTG</w:t>
            </w:r>
          </w:p>
        </w:tc>
        <w:tc>
          <w:tcPr>
            <w:tcW w:w="2120" w:type="dxa"/>
          </w:tcPr>
          <w:p w14:paraId="45435D2C" w14:textId="77777777" w:rsidR="00500337" w:rsidRPr="00FD64CC" w:rsidRDefault="0002563B" w:rsidP="0002563B">
            <w:pPr>
              <w:ind w:left="0" w:right="0"/>
            </w:pPr>
            <w:r w:rsidRPr="00FD64CC">
              <w:t>18 May 2021</w:t>
            </w:r>
          </w:p>
        </w:tc>
      </w:tr>
      <w:tr w:rsidR="00500337" w:rsidRPr="00FD64CC" w14:paraId="69734F99" w14:textId="77777777" w:rsidTr="00713E52">
        <w:tc>
          <w:tcPr>
            <w:tcW w:w="6374" w:type="dxa"/>
          </w:tcPr>
          <w:p w14:paraId="54E2DE93" w14:textId="77777777" w:rsidR="00500337" w:rsidRPr="00FD64CC" w:rsidRDefault="00500337" w:rsidP="00500337">
            <w:pPr>
              <w:ind w:left="0" w:right="0"/>
            </w:pPr>
            <w:r w:rsidRPr="00FD64CC">
              <w:t>Number of working days from submission dossier acceptance to registration decision*</w:t>
            </w:r>
          </w:p>
        </w:tc>
        <w:tc>
          <w:tcPr>
            <w:tcW w:w="2120" w:type="dxa"/>
          </w:tcPr>
          <w:p w14:paraId="1E818260" w14:textId="77777777" w:rsidR="00500337" w:rsidRPr="00FD64CC" w:rsidRDefault="0002563B" w:rsidP="00500337">
            <w:pPr>
              <w:ind w:left="0" w:right="0"/>
            </w:pPr>
            <w:r w:rsidRPr="00FD64CC">
              <w:t>196</w:t>
            </w:r>
          </w:p>
        </w:tc>
      </w:tr>
    </w:tbl>
    <w:p w14:paraId="07C19FAA" w14:textId="77777777" w:rsidR="00500337" w:rsidRPr="00FD64CC" w:rsidRDefault="00500337" w:rsidP="00500337">
      <w:pPr>
        <w:pStyle w:val="TableDescription"/>
      </w:pPr>
      <w:r w:rsidRPr="00FD64CC">
        <w:t>*</w:t>
      </w:r>
      <w:r w:rsidR="00BF3774" w:rsidRPr="00FD64CC">
        <w:t xml:space="preserve">Statutory </w:t>
      </w:r>
      <w:r w:rsidRPr="00FD64CC">
        <w:t>timeframe for standard applications is 2</w:t>
      </w:r>
      <w:r w:rsidR="00BF3774" w:rsidRPr="00FD64CC">
        <w:t>55</w:t>
      </w:r>
      <w:r w:rsidRPr="00FD64CC">
        <w:t xml:space="preserve"> working days</w:t>
      </w:r>
    </w:p>
    <w:p w14:paraId="2A16F2A2" w14:textId="77777777" w:rsidR="008E7846" w:rsidRPr="00FD64CC" w:rsidRDefault="00456765" w:rsidP="008E7846">
      <w:pPr>
        <w:pStyle w:val="Heading2"/>
      </w:pPr>
      <w:bookmarkStart w:id="29" w:name="_Toc196046504"/>
      <w:bookmarkStart w:id="30" w:name="_Toc247691527"/>
      <w:bookmarkStart w:id="31" w:name="_Toc314842510"/>
      <w:bookmarkStart w:id="32" w:name="_Toc163441390"/>
      <w:bookmarkStart w:id="33" w:name="_Toc84514216"/>
      <w:bookmarkEnd w:id="25"/>
      <w:bookmarkEnd w:id="26"/>
      <w:bookmarkEnd w:id="1"/>
      <w:r w:rsidRPr="00FD64CC">
        <w:t>I</w:t>
      </w:r>
      <w:r w:rsidR="00DA64CB" w:rsidRPr="00FD64CC">
        <w:t>I</w:t>
      </w:r>
      <w:r w:rsidR="008E7846" w:rsidRPr="00FD64CC">
        <w:t xml:space="preserve">I. </w:t>
      </w:r>
      <w:r w:rsidR="00006FAB" w:rsidRPr="00FD64CC">
        <w:t xml:space="preserve">Submission overview </w:t>
      </w:r>
      <w:r w:rsidR="008E7846" w:rsidRPr="00FD64CC">
        <w:t>and risk/benefit assessment</w:t>
      </w:r>
      <w:bookmarkEnd w:id="29"/>
      <w:bookmarkEnd w:id="30"/>
      <w:bookmarkEnd w:id="31"/>
      <w:bookmarkEnd w:id="33"/>
    </w:p>
    <w:p w14:paraId="4D66FB54" w14:textId="77777777" w:rsidR="00006FAB" w:rsidRPr="00FD64CC" w:rsidRDefault="00006FAB" w:rsidP="00006FAB">
      <w:bookmarkStart w:id="34" w:name="_Toc247691528"/>
      <w:r w:rsidRPr="00FD64CC">
        <w:t>The submission was summarised in the following Delegate’s overview and recommendations.</w:t>
      </w:r>
    </w:p>
    <w:p w14:paraId="02C4B47D" w14:textId="6F9212F2" w:rsidR="00136977" w:rsidRPr="00FD64CC" w:rsidRDefault="00136977" w:rsidP="00136977">
      <w:r w:rsidRPr="00FD64CC">
        <w:t xml:space="preserve">Relevant guideline referred to by the Delegate </w:t>
      </w:r>
      <w:r w:rsidR="000015E5" w:rsidRPr="00FD64CC">
        <w:t>is</w:t>
      </w:r>
      <w:r w:rsidRPr="00FD64CC">
        <w:t xml:space="preserve"> </w:t>
      </w:r>
      <w:r w:rsidR="000015E5" w:rsidRPr="00FD64CC">
        <w:t>given</w:t>
      </w:r>
      <w:r w:rsidRPr="00FD64CC">
        <w:t xml:space="preserve"> below:</w:t>
      </w:r>
    </w:p>
    <w:p w14:paraId="058C652D" w14:textId="7E84CB3D" w:rsidR="000015E5" w:rsidRPr="00FD64CC" w:rsidRDefault="000015E5" w:rsidP="000015E5">
      <w:pPr>
        <w:pStyle w:val="ListBullet"/>
      </w:pPr>
      <w:r w:rsidRPr="00FD64CC">
        <w:t>European Medicines Agency (EMA), Committee for medicinal products for human use (CHMP), 22 July 2010. Clinical Investigation of Medicinal Products in the Treatment of Epileptic Disorders (CPMP/EWP/566/98 Rev. 2/</w:t>
      </w:r>
      <w:proofErr w:type="spellStart"/>
      <w:r w:rsidRPr="00FD64CC">
        <w:t>Corr</w:t>
      </w:r>
      <w:proofErr w:type="spellEnd"/>
      <w:r w:rsidRPr="00FD64CC">
        <w:t>).</w:t>
      </w:r>
    </w:p>
    <w:p w14:paraId="51517F7E" w14:textId="77777777" w:rsidR="008E7846" w:rsidRPr="00FD64CC" w:rsidRDefault="008E7846" w:rsidP="008E7846">
      <w:pPr>
        <w:pStyle w:val="Heading3"/>
      </w:pPr>
      <w:bookmarkStart w:id="35" w:name="_Toc314842511"/>
      <w:bookmarkStart w:id="36" w:name="_Toc84514217"/>
      <w:r w:rsidRPr="00FD64CC">
        <w:t>Quality</w:t>
      </w:r>
      <w:bookmarkEnd w:id="34"/>
      <w:bookmarkEnd w:id="35"/>
      <w:bookmarkEnd w:id="36"/>
    </w:p>
    <w:p w14:paraId="3E94E090" w14:textId="77777777" w:rsidR="00970113" w:rsidRPr="00FD64CC" w:rsidRDefault="00970113" w:rsidP="009C460B">
      <w:r w:rsidRPr="00FD64CC">
        <w:t>Approval is recommended from a pharmaceutical chemistry and quality control perspective.</w:t>
      </w:r>
    </w:p>
    <w:p w14:paraId="7077BB58" w14:textId="602538E9" w:rsidR="00970113" w:rsidRPr="00FD64CC" w:rsidRDefault="00970113" w:rsidP="00840F64">
      <w:r w:rsidRPr="00FD64CC">
        <w:t xml:space="preserve">There are no products currently registered on the </w:t>
      </w:r>
      <w:r w:rsidR="00DB33AC" w:rsidRPr="00FD64CC">
        <w:t>Australian Register of Therapeutic Goods (</w:t>
      </w:r>
      <w:r w:rsidRPr="00FD64CC">
        <w:t>ARTG</w:t>
      </w:r>
      <w:r w:rsidR="00DB33AC" w:rsidRPr="00FD64CC">
        <w:t>)</w:t>
      </w:r>
      <w:r w:rsidRPr="00FD64CC">
        <w:t xml:space="preserve"> containing </w:t>
      </w:r>
      <w:r w:rsidR="00355E90" w:rsidRPr="00FD64CC">
        <w:t xml:space="preserve">eslicarbazepine </w:t>
      </w:r>
      <w:r w:rsidR="00C0497A">
        <w:t>(</w:t>
      </w:r>
      <w:r w:rsidR="00355E90" w:rsidRPr="00FD64CC">
        <w:t>acetate</w:t>
      </w:r>
      <w:r w:rsidR="00C0497A">
        <w:t>)</w:t>
      </w:r>
      <w:r w:rsidR="00355E90">
        <w:t>.</w:t>
      </w:r>
    </w:p>
    <w:p w14:paraId="06914AA9" w14:textId="37B6D22C" w:rsidR="00970113" w:rsidRPr="00FD64CC" w:rsidRDefault="00970113" w:rsidP="00840F64">
      <w:r w:rsidRPr="00FD64CC">
        <w:t xml:space="preserve">Each </w:t>
      </w:r>
      <w:proofErr w:type="spellStart"/>
      <w:r w:rsidR="00DB33AC" w:rsidRPr="00FD64CC">
        <w:t>Zebinix</w:t>
      </w:r>
      <w:proofErr w:type="spellEnd"/>
      <w:r w:rsidR="00DB33AC" w:rsidRPr="00FD64CC">
        <w:t xml:space="preserve"> </w:t>
      </w:r>
      <w:r w:rsidRPr="00FD64CC">
        <w:t xml:space="preserve">200 mg uncoated tablet contains 200 mg </w:t>
      </w:r>
      <w:r w:rsidR="00355E90" w:rsidRPr="00FD64CC">
        <w:t>eslicarbazepine</w:t>
      </w:r>
      <w:r w:rsidR="00355E90" w:rsidRPr="00FD64CC" w:rsidDel="00355E90">
        <w:t xml:space="preserve"> </w:t>
      </w:r>
      <w:r w:rsidRPr="00FD64CC">
        <w:t>and appears as a white oblong tablets, engraved with ‘ESL 200’ on one side and scored on the other side, with a length of 11 mm.</w:t>
      </w:r>
    </w:p>
    <w:p w14:paraId="0EE9D6D1" w14:textId="3A4F570C" w:rsidR="00970113" w:rsidRPr="00FD64CC" w:rsidRDefault="00970113" w:rsidP="00840F64">
      <w:r w:rsidRPr="00FD64CC">
        <w:t xml:space="preserve">Each </w:t>
      </w:r>
      <w:proofErr w:type="spellStart"/>
      <w:r w:rsidR="00DB33AC" w:rsidRPr="00FD64CC">
        <w:t>Zebinix</w:t>
      </w:r>
      <w:proofErr w:type="spellEnd"/>
      <w:r w:rsidR="00DB33AC" w:rsidRPr="00FD64CC">
        <w:t xml:space="preserve"> </w:t>
      </w:r>
      <w:r w:rsidRPr="00FD64CC">
        <w:t xml:space="preserve">800 mg uncoated tablet contains 800 mg </w:t>
      </w:r>
      <w:r w:rsidR="00355E90" w:rsidRPr="00FD64CC">
        <w:t>eslicarbazepine</w:t>
      </w:r>
      <w:r w:rsidR="00355E90" w:rsidRPr="00FD64CC" w:rsidDel="00355E90">
        <w:t xml:space="preserve"> </w:t>
      </w:r>
      <w:r w:rsidRPr="00FD64CC">
        <w:t>and appears as a white oblong tablets, engraved with ‘ESL 800’ on one side and scored on the other side, with a length of 19 mm.</w:t>
      </w:r>
    </w:p>
    <w:p w14:paraId="3BE2C3DA" w14:textId="77777777" w:rsidR="00970113" w:rsidRPr="00FD64CC" w:rsidRDefault="00970113" w:rsidP="00840F64">
      <w:r w:rsidRPr="00FD64CC">
        <w:t>The score line for both tablet strengths is a functional one.</w:t>
      </w:r>
    </w:p>
    <w:p w14:paraId="05805751" w14:textId="2BD46A1F" w:rsidR="00970113" w:rsidRPr="00FD64CC" w:rsidRDefault="00970113" w:rsidP="00840F64">
      <w:r w:rsidRPr="00FD64CC">
        <w:t xml:space="preserve">The tablets are to be packaged in </w:t>
      </w:r>
      <w:r w:rsidR="000D6204" w:rsidRPr="00FD64CC">
        <w:t>polyvinyl chloride/a</w:t>
      </w:r>
      <w:r w:rsidRPr="00FD64CC">
        <w:t>luminium blisters in pack sizes of 20</w:t>
      </w:r>
      <w:r w:rsidR="00355E90">
        <w:t> </w:t>
      </w:r>
      <w:r w:rsidRPr="00FD64CC">
        <w:t xml:space="preserve">and 60 tablets for the 200 mg strength and 20, </w:t>
      </w:r>
      <w:r w:rsidR="000D6204" w:rsidRPr="00FD64CC">
        <w:t>30, 60, 90 and 180 tablets (as two</w:t>
      </w:r>
      <w:r w:rsidRPr="00FD64CC">
        <w:t xml:space="preserve"> packs of 90) for the 800 mg strength.</w:t>
      </w:r>
    </w:p>
    <w:p w14:paraId="27A27F17" w14:textId="10CB45B3" w:rsidR="00970113" w:rsidRPr="00FD64CC" w:rsidRDefault="00970113" w:rsidP="00840F64">
      <w:r w:rsidRPr="00FD64CC">
        <w:t xml:space="preserve">The maximum recommended daily dose for </w:t>
      </w:r>
      <w:r w:rsidR="00355E90" w:rsidRPr="00FD64CC">
        <w:t>eslicarbazepine</w:t>
      </w:r>
      <w:r w:rsidR="00355E90" w:rsidRPr="00FD64CC" w:rsidDel="00355E90">
        <w:t xml:space="preserve"> </w:t>
      </w:r>
      <w:r w:rsidRPr="00FD64CC">
        <w:t>is 1600 mg.</w:t>
      </w:r>
    </w:p>
    <w:p w14:paraId="1FF265D5" w14:textId="77777777" w:rsidR="008E7846" w:rsidRPr="00FD64CC" w:rsidRDefault="008E7846" w:rsidP="008E7846">
      <w:pPr>
        <w:pStyle w:val="Heading3"/>
      </w:pPr>
      <w:bookmarkStart w:id="37" w:name="_Toc314842512"/>
      <w:bookmarkStart w:id="38" w:name="_Toc84514218"/>
      <w:r w:rsidRPr="00FD64CC">
        <w:lastRenderedPageBreak/>
        <w:t>Nonclinical</w:t>
      </w:r>
      <w:bookmarkEnd w:id="37"/>
      <w:bookmarkEnd w:id="38"/>
    </w:p>
    <w:p w14:paraId="31395301" w14:textId="4B4178A2" w:rsidR="00970113" w:rsidRPr="00FD64CC" w:rsidRDefault="00970113" w:rsidP="00840F64">
      <w:r w:rsidRPr="00FD64CC">
        <w:rPr>
          <w:i/>
        </w:rPr>
        <w:t>In vitro</w:t>
      </w:r>
      <w:r w:rsidRPr="00FD64CC">
        <w:t xml:space="preserve"> examinations of potential pharmacokinetic</w:t>
      </w:r>
      <w:r w:rsidR="00113E42" w:rsidRPr="00FD64CC">
        <w:t xml:space="preserve"> (PK)</w:t>
      </w:r>
      <w:r w:rsidRPr="00FD64CC">
        <w:t xml:space="preserve"> drug interactions were limited; low concentrations were used in the CYP</w:t>
      </w:r>
      <w:r w:rsidR="00355E90">
        <w:t xml:space="preserve"> </w:t>
      </w:r>
      <w:r w:rsidRPr="00FD64CC">
        <w:t>450 assays</w:t>
      </w:r>
      <w:r w:rsidR="00355E90">
        <w:t>,</w:t>
      </w:r>
      <w:r w:rsidR="00355E90" w:rsidRPr="00E9053A">
        <w:rPr>
          <w:vertAlign w:val="superscript"/>
        </w:rPr>
        <w:fldChar w:fldCharType="begin"/>
      </w:r>
      <w:r w:rsidR="00355E90" w:rsidRPr="00E9053A">
        <w:rPr>
          <w:vertAlign w:val="superscript"/>
        </w:rPr>
        <w:instrText xml:space="preserve"> NOTEREF _Ref81187398 \h </w:instrText>
      </w:r>
      <w:r w:rsidR="00355E90">
        <w:rPr>
          <w:vertAlign w:val="superscript"/>
        </w:rPr>
        <w:instrText xml:space="preserve"> \* MERGEFORMAT </w:instrText>
      </w:r>
      <w:r w:rsidR="00355E90" w:rsidRPr="00E9053A">
        <w:rPr>
          <w:vertAlign w:val="superscript"/>
        </w:rPr>
      </w:r>
      <w:r w:rsidR="00355E90" w:rsidRPr="00E9053A">
        <w:rPr>
          <w:vertAlign w:val="superscript"/>
        </w:rPr>
        <w:fldChar w:fldCharType="separate"/>
      </w:r>
      <w:r w:rsidR="00FE04B8">
        <w:rPr>
          <w:vertAlign w:val="superscript"/>
        </w:rPr>
        <w:t>2</w:t>
      </w:r>
      <w:r w:rsidR="00355E90" w:rsidRPr="00E9053A">
        <w:rPr>
          <w:vertAlign w:val="superscript"/>
        </w:rPr>
        <w:fldChar w:fldCharType="end"/>
      </w:r>
      <w:r w:rsidRPr="00FD64CC">
        <w:t xml:space="preserve"> and no studies were submitted to assess the potential of eslicarbazepine to inhibit transporters. The </w:t>
      </w:r>
      <w:r w:rsidR="008B7289" w:rsidRPr="00FD64CC">
        <w:t>s</w:t>
      </w:r>
      <w:r w:rsidRPr="00FD64CC">
        <w:t>ponsor is encouraged to conduct these assays and submit the reports in a subsequent submission.</w:t>
      </w:r>
    </w:p>
    <w:p w14:paraId="7F3210CC" w14:textId="2BFD797E" w:rsidR="00970113" w:rsidRPr="00FD64CC" w:rsidRDefault="00970113" w:rsidP="00840F64">
      <w:r w:rsidRPr="00FD64CC">
        <w:t>Pregnancy Category B3,</w:t>
      </w:r>
      <w:r w:rsidR="00807E4E" w:rsidRPr="00FD64CC">
        <w:rPr>
          <w:rStyle w:val="FootnoteReference"/>
        </w:rPr>
        <w:footnoteReference w:id="3"/>
      </w:r>
      <w:r w:rsidRPr="00FD64CC">
        <w:t xml:space="preserve"> as the sponsor proposes, is not supported. Pregnancy Category</w:t>
      </w:r>
      <w:r w:rsidR="00020234">
        <w:t> </w:t>
      </w:r>
      <w:r w:rsidRPr="00FD64CC">
        <w:t>D</w:t>
      </w:r>
      <w:r w:rsidR="00807E4E" w:rsidRPr="00FD64CC">
        <w:t>;</w:t>
      </w:r>
      <w:r w:rsidR="00807E4E" w:rsidRPr="00FD64CC">
        <w:rPr>
          <w:rStyle w:val="FootnoteReference"/>
        </w:rPr>
        <w:footnoteReference w:id="4"/>
      </w:r>
      <w:r w:rsidRPr="00FD64CC">
        <w:t xml:space="preserve"> is recommended based on malformations seen in </w:t>
      </w:r>
      <w:r w:rsidR="008B7289" w:rsidRPr="00FD64CC">
        <w:t>three</w:t>
      </w:r>
      <w:r w:rsidRPr="00FD64CC">
        <w:t xml:space="preserve"> species.</w:t>
      </w:r>
    </w:p>
    <w:p w14:paraId="3EBB4E3B" w14:textId="0CB67403" w:rsidR="00970113" w:rsidRPr="00FD64CC" w:rsidRDefault="00970113" w:rsidP="00840F64">
      <w:r w:rsidRPr="00FD64CC">
        <w:t xml:space="preserve">The overall safety profile of </w:t>
      </w:r>
      <w:r w:rsidR="00020234" w:rsidRPr="00FD64CC">
        <w:t xml:space="preserve">eslicarbazepine </w:t>
      </w:r>
      <w:r w:rsidR="00C0497A">
        <w:t>(</w:t>
      </w:r>
      <w:r w:rsidR="00020234" w:rsidRPr="00FD64CC">
        <w:t>acetate</w:t>
      </w:r>
      <w:r w:rsidR="00C0497A">
        <w:t>)</w:t>
      </w:r>
      <w:r w:rsidR="00020234" w:rsidRPr="00FD64CC" w:rsidDel="00355E90">
        <w:t xml:space="preserve"> </w:t>
      </w:r>
      <w:r w:rsidRPr="00FD64CC">
        <w:t xml:space="preserve">was </w:t>
      </w:r>
      <w:proofErr w:type="gramStart"/>
      <w:r w:rsidRPr="00FD64CC">
        <w:t>similar to</w:t>
      </w:r>
      <w:proofErr w:type="gramEnd"/>
      <w:r w:rsidRPr="00FD64CC">
        <w:t xml:space="preserve"> that of oxcarbazepine.</w:t>
      </w:r>
    </w:p>
    <w:p w14:paraId="32B50B78" w14:textId="111B365C" w:rsidR="00970113" w:rsidRPr="00FD64CC" w:rsidRDefault="00970113" w:rsidP="00840F64">
      <w:r w:rsidRPr="00FD64CC">
        <w:t xml:space="preserve">There are no nonclinical objections to the registration of </w:t>
      </w:r>
      <w:proofErr w:type="spellStart"/>
      <w:r w:rsidR="00020234" w:rsidRPr="00FD64CC">
        <w:t>eslicarbazepine</w:t>
      </w:r>
      <w:proofErr w:type="spellEnd"/>
      <w:r w:rsidR="00020234" w:rsidRPr="00FD64CC" w:rsidDel="00355E90">
        <w:t xml:space="preserve"> </w:t>
      </w:r>
      <w:r w:rsidRPr="00FD64CC">
        <w:t>(</w:t>
      </w:r>
      <w:proofErr w:type="spellStart"/>
      <w:r w:rsidR="008B7289" w:rsidRPr="00FD64CC">
        <w:t>Zebinix</w:t>
      </w:r>
      <w:proofErr w:type="spellEnd"/>
      <w:r w:rsidRPr="00FD64CC">
        <w:t xml:space="preserve">) for the proposed monotherapy indication. The toxicity of </w:t>
      </w:r>
      <w:r w:rsidR="00020234">
        <w:t xml:space="preserve">eslicarbazepine </w:t>
      </w:r>
      <w:r w:rsidRPr="00FD64CC">
        <w:t xml:space="preserve">with possible combination therapies was not examined in </w:t>
      </w:r>
      <w:r w:rsidR="008B7289" w:rsidRPr="00FD64CC">
        <w:t>the nonclinical m</w:t>
      </w:r>
      <w:r w:rsidRPr="00FD64CC">
        <w:t>odule</w:t>
      </w:r>
      <w:r w:rsidR="008B7289" w:rsidRPr="00FD64CC">
        <w:t>.</w:t>
      </w:r>
      <w:r w:rsidRPr="00FD64CC">
        <w:t xml:space="preserve"> Gi</w:t>
      </w:r>
      <w:r w:rsidR="008B7289" w:rsidRPr="00FD64CC">
        <w:t>ven the similarity of toxicity and mechanism of efficacy</w:t>
      </w:r>
      <w:r w:rsidRPr="00FD64CC">
        <w:t xml:space="preserve"> with </w:t>
      </w:r>
      <w:r w:rsidR="00397747" w:rsidRPr="00FD64CC">
        <w:t>oxcarbazepine</w:t>
      </w:r>
      <w:r w:rsidRPr="00FD64CC">
        <w:t xml:space="preserve">. </w:t>
      </w:r>
      <w:r w:rsidR="00020234">
        <w:t>E</w:t>
      </w:r>
      <w:r w:rsidR="00020234" w:rsidRPr="00FD64CC">
        <w:t>slicarbazepine</w:t>
      </w:r>
      <w:r w:rsidR="00020234" w:rsidRPr="00FD64CC" w:rsidDel="00355E90">
        <w:t xml:space="preserve"> </w:t>
      </w:r>
      <w:r w:rsidRPr="00FD64CC">
        <w:t xml:space="preserve">should not be used with </w:t>
      </w:r>
      <w:r w:rsidR="00397747" w:rsidRPr="00FD64CC">
        <w:t>oxcarbazepine</w:t>
      </w:r>
      <w:r w:rsidRPr="00FD64CC">
        <w:t xml:space="preserve">. The draft </w:t>
      </w:r>
      <w:r w:rsidR="008B7289" w:rsidRPr="00FD64CC">
        <w:t>PI</w:t>
      </w:r>
      <w:r w:rsidRPr="00FD64CC">
        <w:t xml:space="preserve"> should be amended as directed.</w:t>
      </w:r>
    </w:p>
    <w:p w14:paraId="6685D2DB" w14:textId="77777777" w:rsidR="008E7846" w:rsidRPr="00FD64CC" w:rsidRDefault="008E7846" w:rsidP="008E7846">
      <w:pPr>
        <w:pStyle w:val="Heading3"/>
      </w:pPr>
      <w:bookmarkStart w:id="39" w:name="_Toc247691530"/>
      <w:bookmarkStart w:id="40" w:name="_Toc314842513"/>
      <w:bookmarkStart w:id="41" w:name="_Toc84514219"/>
      <w:r w:rsidRPr="00FD64CC">
        <w:t>Clinical</w:t>
      </w:r>
      <w:bookmarkEnd w:id="39"/>
      <w:bookmarkEnd w:id="40"/>
      <w:bookmarkEnd w:id="41"/>
    </w:p>
    <w:p w14:paraId="36F71AB6" w14:textId="77777777" w:rsidR="00136977" w:rsidRPr="00FD64CC" w:rsidRDefault="00136977" w:rsidP="00856865">
      <w:bookmarkStart w:id="42" w:name="_Toc314842514"/>
      <w:r w:rsidRPr="00FD64CC">
        <w:t>The clinical dossier consisted of the following studies:</w:t>
      </w:r>
    </w:p>
    <w:p w14:paraId="3F72EBAD" w14:textId="77777777" w:rsidR="007456BD" w:rsidRPr="00FD64CC" w:rsidRDefault="007456BD" w:rsidP="007456BD">
      <w:pPr>
        <w:pStyle w:val="ListBullet"/>
      </w:pPr>
      <w:r w:rsidRPr="00FD64CC">
        <w:t>26 Phase I clinical pharmacology studies</w:t>
      </w:r>
    </w:p>
    <w:p w14:paraId="6AFB8582" w14:textId="4DB254A0" w:rsidR="00856865" w:rsidRPr="00FD64CC" w:rsidRDefault="00856865" w:rsidP="00AE3D77">
      <w:pPr>
        <w:pStyle w:val="ListBullet"/>
      </w:pPr>
      <w:r w:rsidRPr="00FD64CC">
        <w:t xml:space="preserve">3 pivotal Phase III studies: </w:t>
      </w:r>
      <w:r w:rsidR="00020234">
        <w:t xml:space="preserve">Study </w:t>
      </w:r>
      <w:r w:rsidRPr="00FD64CC">
        <w:t>BIA-2093-301</w:t>
      </w:r>
      <w:r w:rsidR="00A51590" w:rsidRPr="00FD64CC">
        <w:t xml:space="preserve"> (</w:t>
      </w:r>
      <w:r w:rsidR="00020234">
        <w:t xml:space="preserve">abbreviated as </w:t>
      </w:r>
      <w:r w:rsidR="00A51590" w:rsidRPr="00FD64CC">
        <w:t>Study 301)</w:t>
      </w:r>
      <w:r w:rsidRPr="00FD64CC">
        <w:t xml:space="preserve">, </w:t>
      </w:r>
      <w:r w:rsidR="00020234">
        <w:t>Study </w:t>
      </w:r>
      <w:r w:rsidRPr="00FD64CC">
        <w:t>BIA</w:t>
      </w:r>
      <w:r w:rsidR="00020234">
        <w:noBreakHyphen/>
      </w:r>
      <w:r w:rsidRPr="00FD64CC">
        <w:t>2093-302</w:t>
      </w:r>
      <w:r w:rsidR="00A51590" w:rsidRPr="00FD64CC">
        <w:t xml:space="preserve"> (Study 302)</w:t>
      </w:r>
      <w:r w:rsidRPr="00FD64CC">
        <w:t xml:space="preserve"> and </w:t>
      </w:r>
      <w:r w:rsidR="00AE3D77" w:rsidRPr="00FD64CC">
        <w:t xml:space="preserve">Study </w:t>
      </w:r>
      <w:r w:rsidRPr="00FD64CC">
        <w:t>BIA-2093-303</w:t>
      </w:r>
      <w:r w:rsidR="00A51590" w:rsidRPr="00FD64CC">
        <w:t xml:space="preserve"> (Study 303)</w:t>
      </w:r>
      <w:r w:rsidR="00020234">
        <w:t>.</w:t>
      </w:r>
    </w:p>
    <w:p w14:paraId="1241E459" w14:textId="7A91B0B4" w:rsidR="00597B04" w:rsidRPr="00FD64CC" w:rsidRDefault="00597B04" w:rsidP="00914D14">
      <w:pPr>
        <w:pStyle w:val="ListBullet"/>
      </w:pPr>
      <w:r w:rsidRPr="00FD64CC">
        <w:t xml:space="preserve">Other clinical Phase </w:t>
      </w:r>
      <w:r w:rsidR="00E87252" w:rsidRPr="00FD64CC">
        <w:t>II/</w:t>
      </w:r>
      <w:r w:rsidRPr="00FD64CC">
        <w:t xml:space="preserve">III studies: </w:t>
      </w:r>
      <w:r w:rsidR="007456BD" w:rsidRPr="00FD64CC">
        <w:t>Study BIA-2093-201 (Study 201), Study</w:t>
      </w:r>
      <w:r w:rsidR="00020234">
        <w:t> </w:t>
      </w:r>
      <w:r w:rsidR="007456BD" w:rsidRPr="00FD64CC">
        <w:t>BIA</w:t>
      </w:r>
      <w:r w:rsidR="00020234">
        <w:noBreakHyphen/>
      </w:r>
      <w:r w:rsidR="007456BD" w:rsidRPr="00FD64CC">
        <w:t>2093</w:t>
      </w:r>
      <w:r w:rsidR="00020234">
        <w:noBreakHyphen/>
      </w:r>
      <w:r w:rsidR="007456BD" w:rsidRPr="00FD64CC">
        <w:t>202 (Study 202), Study BIA-2093-208 (Study</w:t>
      </w:r>
      <w:r w:rsidR="00020234">
        <w:t xml:space="preserve"> </w:t>
      </w:r>
      <w:r w:rsidR="007456BD" w:rsidRPr="00FD64CC">
        <w:t xml:space="preserve">208), </w:t>
      </w:r>
      <w:r w:rsidRPr="00FD64CC">
        <w:t>Study BIA-2093-304 (Study304), Study BIA-2093-305 (Study 305), Study BIA-2093-311 (Study 311), and Study BIA-2093-401 (Study 401).</w:t>
      </w:r>
    </w:p>
    <w:p w14:paraId="3151A6E2" w14:textId="77777777" w:rsidR="00970113" w:rsidRPr="00FD64CC" w:rsidRDefault="00970113" w:rsidP="00970113">
      <w:pPr>
        <w:pStyle w:val="Heading4"/>
      </w:pPr>
      <w:r w:rsidRPr="00FD64CC">
        <w:t>Pharmacology</w:t>
      </w:r>
    </w:p>
    <w:p w14:paraId="247BF396" w14:textId="77777777" w:rsidR="00970113" w:rsidRPr="00FD64CC" w:rsidRDefault="009C460B" w:rsidP="00970113">
      <w:pPr>
        <w:pStyle w:val="Heading5"/>
      </w:pPr>
      <w:r w:rsidRPr="00FD64CC">
        <w:t>Pharmacokinetics</w:t>
      </w:r>
    </w:p>
    <w:p w14:paraId="423C7FE8" w14:textId="21F05668" w:rsidR="00970113" w:rsidRPr="00FD64CC" w:rsidRDefault="00020234" w:rsidP="009C460B">
      <w:r>
        <w:t>E</w:t>
      </w:r>
      <w:r w:rsidRPr="00FD64CC">
        <w:t xml:space="preserve">slicarbazepine </w:t>
      </w:r>
      <w:r w:rsidR="00C0497A">
        <w:t>(</w:t>
      </w:r>
      <w:r w:rsidRPr="00FD64CC">
        <w:t>acetate</w:t>
      </w:r>
      <w:r w:rsidR="00C0497A">
        <w:t>)</w:t>
      </w:r>
      <w:r w:rsidRPr="00FD64CC" w:rsidDel="00355E90">
        <w:t xml:space="preserve"> </w:t>
      </w:r>
      <w:r w:rsidR="00970113" w:rsidRPr="00FD64CC">
        <w:t xml:space="preserve">has been characterised as having rapid and complete oral absorption. </w:t>
      </w:r>
      <w:r>
        <w:t>Pharmacokinetic (</w:t>
      </w:r>
      <w:r w:rsidR="00113E42" w:rsidRPr="00FD64CC">
        <w:t>PK</w:t>
      </w:r>
      <w:r>
        <w:t>)</w:t>
      </w:r>
      <w:r w:rsidR="00970113" w:rsidRPr="00FD64CC">
        <w:t xml:space="preserve"> studies show predictable metabolism and renal excretion. The clinical dossier is sufficient to justify once daily dosing as adequate compared to twice daily dosing. There are adequate studies to inform recommendations around dosage adjustment in patients with renal failure</w:t>
      </w:r>
      <w:r w:rsidR="00113E42" w:rsidRPr="00FD64CC">
        <w:t>,</w:t>
      </w:r>
      <w:r w:rsidR="00970113" w:rsidRPr="00FD64CC">
        <w:t xml:space="preserve"> the main method of excretion of the major active metabolite of </w:t>
      </w:r>
      <w:r>
        <w:t>eslicarbazepine</w:t>
      </w:r>
      <w:r w:rsidR="00970113" w:rsidRPr="00FD64CC">
        <w:t xml:space="preserve">. There were few clinically significant </w:t>
      </w:r>
      <w:proofErr w:type="gramStart"/>
      <w:r w:rsidR="00970113" w:rsidRPr="00FD64CC">
        <w:t>drug</w:t>
      </w:r>
      <w:proofErr w:type="gramEnd"/>
      <w:r w:rsidR="00970113" w:rsidRPr="00FD64CC">
        <w:t xml:space="preserve"> interactions. PK studies in healthy subjects and target population show similar rates, extent of absorption, metabolism and excretion which are adequately addressed in the proposed PI.</w:t>
      </w:r>
    </w:p>
    <w:p w14:paraId="2603CCE3" w14:textId="77777777" w:rsidR="00970113" w:rsidRPr="00FD64CC" w:rsidRDefault="009C460B" w:rsidP="00970113">
      <w:pPr>
        <w:pStyle w:val="Heading5"/>
      </w:pPr>
      <w:bookmarkStart w:id="43" w:name="_Ref271037274"/>
      <w:bookmarkStart w:id="44" w:name="_Toc272414652"/>
      <w:bookmarkStart w:id="45" w:name="_Toc290846274"/>
      <w:bookmarkStart w:id="46" w:name="_Toc515480564"/>
      <w:r w:rsidRPr="00FD64CC">
        <w:t>Pharmacodynamics</w:t>
      </w:r>
    </w:p>
    <w:p w14:paraId="7AD7DFA0" w14:textId="78FBF770" w:rsidR="00970113" w:rsidRPr="00FD64CC" w:rsidRDefault="00970113" w:rsidP="009C460B">
      <w:pPr>
        <w:pStyle w:val="ListBullet"/>
      </w:pPr>
      <w:r w:rsidRPr="00FD64CC">
        <w:t>Primary pharmacodynamic</w:t>
      </w:r>
      <w:r w:rsidR="00113E42" w:rsidRPr="00FD64CC">
        <w:t xml:space="preserve"> (PD)</w:t>
      </w:r>
      <w:r w:rsidRPr="00FD64CC">
        <w:t xml:space="preserve"> effects are satisfactorily elucidated in th</w:t>
      </w:r>
      <w:r w:rsidR="00113E42" w:rsidRPr="00FD64CC">
        <w:t>e clinical development program.</w:t>
      </w:r>
    </w:p>
    <w:p w14:paraId="46AB020C" w14:textId="75508709" w:rsidR="00970113" w:rsidRPr="00FD64CC" w:rsidRDefault="00970113" w:rsidP="009C460B">
      <w:pPr>
        <w:pStyle w:val="ListBullet"/>
      </w:pPr>
      <w:proofErr w:type="gramStart"/>
      <w:r w:rsidRPr="00FD64CC">
        <w:lastRenderedPageBreak/>
        <w:t>On the basis of</w:t>
      </w:r>
      <w:proofErr w:type="gramEnd"/>
      <w:r w:rsidRPr="00FD64CC">
        <w:t xml:space="preserve"> the nonclinical dossier, the one gap is the potential for </w:t>
      </w:r>
      <w:r w:rsidR="004C0954">
        <w:t>eslicarbazepine</w:t>
      </w:r>
      <w:r w:rsidRPr="00FD64CC">
        <w:t xml:space="preserve"> to delay gastric emptying</w:t>
      </w:r>
      <w:r w:rsidR="00113E42" w:rsidRPr="00FD64CC">
        <w:t>,</w:t>
      </w:r>
      <w:r w:rsidRPr="00FD64CC">
        <w:t xml:space="preserve"> which has not been evaluated in humans. However, the lack of this data does not require specific investigation but rather should be mentioned in the PI.</w:t>
      </w:r>
    </w:p>
    <w:p w14:paraId="297A6931" w14:textId="4397C2CB" w:rsidR="00970113" w:rsidRPr="00FD64CC" w:rsidRDefault="00257F7C" w:rsidP="00970113">
      <w:pPr>
        <w:pStyle w:val="Heading5"/>
      </w:pPr>
      <w:r w:rsidRPr="00FD64CC">
        <w:t>Dose s</w:t>
      </w:r>
      <w:r w:rsidR="00970113" w:rsidRPr="00FD64CC">
        <w:t>election</w:t>
      </w:r>
    </w:p>
    <w:p w14:paraId="582246AE" w14:textId="5C0125C3" w:rsidR="00970113" w:rsidRPr="00FD64CC" w:rsidRDefault="00970113" w:rsidP="009C460B">
      <w:r w:rsidRPr="00FD64CC">
        <w:t xml:space="preserve">The doses used to evaluate </w:t>
      </w:r>
      <w:r w:rsidR="00257F7C" w:rsidRPr="00FD64CC">
        <w:t xml:space="preserve">the efficacy of </w:t>
      </w:r>
      <w:proofErr w:type="spellStart"/>
      <w:r w:rsidR="004C0954" w:rsidRPr="00FD64CC">
        <w:t>eslicarbazepine</w:t>
      </w:r>
      <w:proofErr w:type="spellEnd"/>
      <w:r w:rsidR="004C0954" w:rsidRPr="00FD64CC" w:rsidDel="00355E90">
        <w:t xml:space="preserve"> </w:t>
      </w:r>
      <w:r w:rsidR="004C0954">
        <w:t>(</w:t>
      </w:r>
      <w:proofErr w:type="spellStart"/>
      <w:r w:rsidR="00257F7C" w:rsidRPr="00FD64CC">
        <w:t>Zebinix</w:t>
      </w:r>
      <w:proofErr w:type="spellEnd"/>
      <w:r w:rsidR="004C0954">
        <w:t>)</w:t>
      </w:r>
      <w:r w:rsidR="00257F7C" w:rsidRPr="00FD64CC">
        <w:t xml:space="preserve"> in the P</w:t>
      </w:r>
      <w:r w:rsidRPr="00FD64CC">
        <w:t>hase</w:t>
      </w:r>
      <w:r w:rsidR="004C0954">
        <w:t> </w:t>
      </w:r>
      <w:r w:rsidR="00257F7C" w:rsidRPr="00FD64CC">
        <w:t>II/III</w:t>
      </w:r>
      <w:r w:rsidR="000B0B7B" w:rsidRPr="00FD64CC">
        <w:t xml:space="preserve"> trials were derived from </w:t>
      </w:r>
      <w:r w:rsidR="004C0954">
        <w:t xml:space="preserve">the </w:t>
      </w:r>
      <w:r w:rsidR="000B0B7B" w:rsidRPr="00FD64CC">
        <w:t>P</w:t>
      </w:r>
      <w:r w:rsidRPr="00FD64CC">
        <w:t xml:space="preserve">hase I </w:t>
      </w:r>
      <w:r w:rsidR="004C0954">
        <w:t xml:space="preserve">studies </w:t>
      </w:r>
      <w:r w:rsidRPr="00FD64CC">
        <w:t xml:space="preserve">and one </w:t>
      </w:r>
      <w:r w:rsidR="004C0954">
        <w:t>P</w:t>
      </w:r>
      <w:r w:rsidRPr="00FD64CC">
        <w:t>hase II stud</w:t>
      </w:r>
      <w:r w:rsidR="004C0954">
        <w:t>y</w:t>
      </w:r>
      <w:r w:rsidRPr="00FD64CC">
        <w:t xml:space="preserve"> which showed therapeutic properties and an acceptable safety profile of 800 mg and 1200 mg </w:t>
      </w:r>
      <w:proofErr w:type="spellStart"/>
      <w:r w:rsidRPr="00FD64CC">
        <w:t>Zebinix</w:t>
      </w:r>
      <w:proofErr w:type="spellEnd"/>
      <w:r w:rsidRPr="00FD64CC">
        <w:t xml:space="preserve"> as adjunctive therapy in a once</w:t>
      </w:r>
      <w:r w:rsidR="000B0B7B" w:rsidRPr="00FD64CC">
        <w:t xml:space="preserve"> </w:t>
      </w:r>
      <w:r w:rsidRPr="00FD64CC">
        <w:t>daily regimen, and a smaller treatment respo</w:t>
      </w:r>
      <w:r w:rsidR="000B0B7B" w:rsidRPr="00FD64CC">
        <w:t>nse for the 400 mg dose. The P</w:t>
      </w:r>
      <w:r w:rsidRPr="00FD64CC">
        <w:t xml:space="preserve">hase III studies were planned to define the dose recommendations to be included in the </w:t>
      </w:r>
      <w:r w:rsidR="00EB6211" w:rsidRPr="00FD64CC">
        <w:t>summary product characteristics (</w:t>
      </w:r>
      <w:r w:rsidRPr="00FD64CC">
        <w:t>SPC</w:t>
      </w:r>
      <w:r w:rsidR="00EB6211" w:rsidRPr="00FD64CC">
        <w:t>)</w:t>
      </w:r>
      <w:r w:rsidRPr="00FD64CC">
        <w:t>. Based on these resu</w:t>
      </w:r>
      <w:r w:rsidR="000B0B7B" w:rsidRPr="00FD64CC">
        <w:t xml:space="preserve">lts, </w:t>
      </w:r>
      <w:proofErr w:type="spellStart"/>
      <w:r w:rsidR="000B0B7B" w:rsidRPr="00FD64CC">
        <w:t>Zebinix</w:t>
      </w:r>
      <w:proofErr w:type="spellEnd"/>
      <w:r w:rsidR="000B0B7B" w:rsidRPr="00FD64CC">
        <w:t xml:space="preserve"> 400 mg (except in S</w:t>
      </w:r>
      <w:r w:rsidRPr="00FD64CC">
        <w:t>tudy 303), 800 mg and 12</w:t>
      </w:r>
      <w:r w:rsidR="000B0B7B" w:rsidRPr="00FD64CC">
        <w:t>00 mg were investigated in the P</w:t>
      </w:r>
      <w:r w:rsidRPr="00FD64CC">
        <w:t>hase II and III studies in the proposed indication.</w:t>
      </w:r>
    </w:p>
    <w:p w14:paraId="35FE5ECC" w14:textId="715751DE" w:rsidR="00970113" w:rsidRPr="00FD64CC" w:rsidRDefault="004C0954" w:rsidP="009C460B">
      <w:r>
        <w:t>The c</w:t>
      </w:r>
      <w:r w:rsidR="00970113" w:rsidRPr="00FD64CC">
        <w:t>linical evaluator concluded that efficacy analyses concerning simple partial and complex partial seizures demonstrated a relevant effect of the 800 mg and 1200 mg dose as adjunctive therapy. No significant efficacy benefits demonstrated for 1600</w:t>
      </w:r>
      <w:r w:rsidR="000B0B7B" w:rsidRPr="00FD64CC">
        <w:t xml:space="preserve"> </w:t>
      </w:r>
      <w:r w:rsidR="00970113" w:rsidRPr="00FD64CC">
        <w:t>mg in monotherapy studies above 1200</w:t>
      </w:r>
      <w:r w:rsidR="000B0B7B" w:rsidRPr="00FD64CC">
        <w:t xml:space="preserve"> </w:t>
      </w:r>
      <w:r w:rsidR="00970113" w:rsidRPr="00FD64CC">
        <w:t xml:space="preserve">mg. There appears to be a dose dependent relationship with </w:t>
      </w:r>
      <w:r w:rsidR="000B0B7B" w:rsidRPr="00FD64CC">
        <w:t>treatment-emergent adverse events (</w:t>
      </w:r>
      <w:r w:rsidR="00970113" w:rsidRPr="00FD64CC">
        <w:t>TEAE</w:t>
      </w:r>
      <w:r w:rsidR="000B0B7B" w:rsidRPr="00FD64CC">
        <w:t>)</w:t>
      </w:r>
      <w:r w:rsidR="00970113" w:rsidRPr="00FD64CC">
        <w:t xml:space="preserve"> in both adjunctive therapy and monotherapy adult studies. Paediatric data suggest a dose dependent effect of efficacy but not safety variables.</w:t>
      </w:r>
    </w:p>
    <w:p w14:paraId="7A878CED" w14:textId="77777777" w:rsidR="00970113" w:rsidRPr="00FD64CC" w:rsidRDefault="00970113" w:rsidP="009C460B">
      <w:pPr>
        <w:pStyle w:val="Heading4"/>
      </w:pPr>
      <w:bookmarkStart w:id="47" w:name="_Toc70361425"/>
      <w:r w:rsidRPr="00FD64CC">
        <w:t>Efficacy</w:t>
      </w:r>
      <w:bookmarkEnd w:id="47"/>
    </w:p>
    <w:p w14:paraId="3D36519D" w14:textId="5AC0E5DB" w:rsidR="00970113" w:rsidRPr="00FD64CC" w:rsidRDefault="00970113" w:rsidP="000B0B7B">
      <w:pPr>
        <w:pStyle w:val="Heading5"/>
      </w:pPr>
      <w:r w:rsidRPr="00FD64CC">
        <w:t xml:space="preserve">Overview of </w:t>
      </w:r>
      <w:r w:rsidR="000B0B7B" w:rsidRPr="00FD64CC">
        <w:t>efficacy studies</w:t>
      </w:r>
    </w:p>
    <w:p w14:paraId="67E5D511" w14:textId="4B4E50F0" w:rsidR="00970113" w:rsidRPr="00FD64CC" w:rsidRDefault="00970113" w:rsidP="000B0B7B">
      <w:r w:rsidRPr="00FD64CC">
        <w:t xml:space="preserve">The </w:t>
      </w:r>
      <w:r w:rsidR="000B0B7B" w:rsidRPr="00FD64CC">
        <w:t>three</w:t>
      </w:r>
      <w:r w:rsidRPr="00FD64CC">
        <w:t xml:space="preserve"> pivotal studies (</w:t>
      </w:r>
      <w:r w:rsidR="000B0B7B" w:rsidRPr="00FD64CC">
        <w:t xml:space="preserve">Studies </w:t>
      </w:r>
      <w:r w:rsidRPr="00FD64CC">
        <w:t>301</w:t>
      </w:r>
      <w:r w:rsidR="000B0B7B" w:rsidRPr="00FD64CC">
        <w:t xml:space="preserve">, 302 and 303) were similar in design (see </w:t>
      </w:r>
      <w:r w:rsidR="000B0B7B" w:rsidRPr="00FD64CC">
        <w:fldChar w:fldCharType="begin"/>
      </w:r>
      <w:r w:rsidR="000B0B7B" w:rsidRPr="00FD64CC">
        <w:instrText xml:space="preserve"> REF _Ref75263467 \h  \* MERGEFORMAT </w:instrText>
      </w:r>
      <w:r w:rsidR="000B0B7B" w:rsidRPr="00FD64CC">
        <w:fldChar w:fldCharType="separate"/>
      </w:r>
      <w:r w:rsidR="00FE04B8" w:rsidRPr="00FD64CC">
        <w:t xml:space="preserve">Table </w:t>
      </w:r>
      <w:r w:rsidR="00FE04B8">
        <w:t>3</w:t>
      </w:r>
      <w:r w:rsidR="000B0B7B" w:rsidRPr="00FD64CC">
        <w:fldChar w:fldCharType="end"/>
      </w:r>
      <w:r w:rsidR="000B0B7B" w:rsidRPr="00FD64CC">
        <w:t>)</w:t>
      </w:r>
      <w:r w:rsidR="004C0954">
        <w:t>.</w:t>
      </w:r>
    </w:p>
    <w:p w14:paraId="772BCFA1" w14:textId="00B21093" w:rsidR="00AE3D77" w:rsidRPr="00FD64CC" w:rsidRDefault="00AE3D77" w:rsidP="000B0B7B">
      <w:pPr>
        <w:pStyle w:val="TableTitle"/>
      </w:pPr>
      <w:bookmarkStart w:id="48" w:name="_Ref75263467"/>
      <w:r w:rsidRPr="00FD64CC">
        <w:t xml:space="preserve">Table </w:t>
      </w:r>
      <w:fldSimple w:instr=" SEQ Table \* ARABIC ">
        <w:r w:rsidR="00FE04B8">
          <w:rPr>
            <w:noProof/>
          </w:rPr>
          <w:t>3</w:t>
        </w:r>
      </w:fldSimple>
      <w:bookmarkEnd w:id="48"/>
      <w:r w:rsidRPr="00FD64CC">
        <w:t xml:space="preserve">: </w:t>
      </w:r>
      <w:r w:rsidR="000B0B7B" w:rsidRPr="00FD64CC">
        <w:t>Studies 301, 302 and 303 Study design and treatment regimen</w:t>
      </w:r>
    </w:p>
    <w:tbl>
      <w:tblPr>
        <w:tblStyle w:val="TableTGAblue"/>
        <w:tblW w:w="0" w:type="auto"/>
        <w:tblLook w:val="04A0" w:firstRow="1" w:lastRow="0" w:firstColumn="1" w:lastColumn="0" w:noHBand="0" w:noVBand="1"/>
      </w:tblPr>
      <w:tblGrid>
        <w:gridCol w:w="890"/>
        <w:gridCol w:w="1443"/>
        <w:gridCol w:w="3237"/>
        <w:gridCol w:w="2914"/>
      </w:tblGrid>
      <w:tr w:rsidR="00970113" w:rsidRPr="00FD64CC" w14:paraId="28FE8227" w14:textId="77777777" w:rsidTr="00AE13CE">
        <w:trPr>
          <w:cnfStyle w:val="100000000000" w:firstRow="1" w:lastRow="0" w:firstColumn="0" w:lastColumn="0" w:oddVBand="0" w:evenVBand="0" w:oddHBand="0" w:evenHBand="0" w:firstRowFirstColumn="0" w:firstRowLastColumn="0" w:lastRowFirstColumn="0" w:lastRowLastColumn="0"/>
        </w:trPr>
        <w:tc>
          <w:tcPr>
            <w:tcW w:w="890" w:type="dxa"/>
          </w:tcPr>
          <w:p w14:paraId="66C94740" w14:textId="77777777" w:rsidR="00970113" w:rsidRPr="00FD64CC" w:rsidRDefault="00970113" w:rsidP="00AE13CE">
            <w:pPr>
              <w:pStyle w:val="Tabletext"/>
              <w:ind w:left="0"/>
            </w:pPr>
            <w:r w:rsidRPr="00FD64CC">
              <w:t>Study</w:t>
            </w:r>
          </w:p>
        </w:tc>
        <w:tc>
          <w:tcPr>
            <w:tcW w:w="1443" w:type="dxa"/>
          </w:tcPr>
          <w:p w14:paraId="52BF5484" w14:textId="7BCAA777" w:rsidR="00970113" w:rsidRPr="00FD64CC" w:rsidRDefault="00A51590" w:rsidP="00AE13CE">
            <w:pPr>
              <w:pStyle w:val="Tabletext"/>
              <w:ind w:left="0"/>
            </w:pPr>
            <w:r w:rsidRPr="00FD64CC">
              <w:t>Number of subjects r</w:t>
            </w:r>
            <w:r w:rsidR="00970113" w:rsidRPr="00FD64CC">
              <w:t>andomised</w:t>
            </w:r>
          </w:p>
        </w:tc>
        <w:tc>
          <w:tcPr>
            <w:tcW w:w="3237" w:type="dxa"/>
          </w:tcPr>
          <w:p w14:paraId="111A25DF" w14:textId="23C4F894" w:rsidR="00970113" w:rsidRPr="00FD64CC" w:rsidRDefault="00970113" w:rsidP="00AE13CE">
            <w:pPr>
              <w:pStyle w:val="Tabletext"/>
              <w:ind w:left="0"/>
            </w:pPr>
            <w:r w:rsidRPr="00FD64CC">
              <w:t>S</w:t>
            </w:r>
            <w:r w:rsidR="00A51590" w:rsidRPr="00FD64CC">
              <w:t>tudy d</w:t>
            </w:r>
            <w:r w:rsidRPr="00FD64CC">
              <w:t>esign</w:t>
            </w:r>
          </w:p>
        </w:tc>
        <w:tc>
          <w:tcPr>
            <w:tcW w:w="2914" w:type="dxa"/>
          </w:tcPr>
          <w:p w14:paraId="332B8E4A" w14:textId="267F7E68" w:rsidR="00970113" w:rsidRPr="00FD64CC" w:rsidRDefault="00A51590" w:rsidP="00AE13CE">
            <w:pPr>
              <w:pStyle w:val="Tabletext"/>
              <w:ind w:left="0"/>
            </w:pPr>
            <w:r w:rsidRPr="00FD64CC">
              <w:t>Treatment r</w:t>
            </w:r>
            <w:r w:rsidR="00970113" w:rsidRPr="00FD64CC">
              <w:t>egimen</w:t>
            </w:r>
          </w:p>
        </w:tc>
      </w:tr>
      <w:tr w:rsidR="00970113" w:rsidRPr="00FD64CC" w14:paraId="75BB1405" w14:textId="77777777" w:rsidTr="00AE13CE">
        <w:tc>
          <w:tcPr>
            <w:tcW w:w="890" w:type="dxa"/>
          </w:tcPr>
          <w:p w14:paraId="46D3E0C5" w14:textId="0CB0CCEF" w:rsidR="00970113" w:rsidRPr="00AE13CE" w:rsidRDefault="00970113" w:rsidP="00AE13CE">
            <w:pPr>
              <w:pStyle w:val="Tabletext"/>
              <w:ind w:left="144" w:right="0"/>
              <w:rPr>
                <w:sz w:val="20"/>
              </w:rPr>
            </w:pPr>
            <w:r w:rsidRPr="00AE13CE">
              <w:rPr>
                <w:sz w:val="20"/>
              </w:rPr>
              <w:t>301</w:t>
            </w:r>
          </w:p>
        </w:tc>
        <w:tc>
          <w:tcPr>
            <w:tcW w:w="1443" w:type="dxa"/>
          </w:tcPr>
          <w:p w14:paraId="4962ADCC" w14:textId="77777777" w:rsidR="00970113" w:rsidRPr="00AE13CE" w:rsidRDefault="00970113" w:rsidP="00AE13CE">
            <w:pPr>
              <w:pStyle w:val="Tabletext"/>
              <w:ind w:left="144" w:right="0"/>
              <w:rPr>
                <w:sz w:val="20"/>
              </w:rPr>
            </w:pPr>
            <w:r w:rsidRPr="00AE13CE">
              <w:rPr>
                <w:sz w:val="20"/>
              </w:rPr>
              <w:t>402</w:t>
            </w:r>
          </w:p>
        </w:tc>
        <w:tc>
          <w:tcPr>
            <w:tcW w:w="3237" w:type="dxa"/>
            <w:vMerge w:val="restart"/>
          </w:tcPr>
          <w:p w14:paraId="77A16939" w14:textId="5EE3C261" w:rsidR="00970113" w:rsidRPr="00AE13CE" w:rsidRDefault="00970113" w:rsidP="00AE13CE">
            <w:pPr>
              <w:pStyle w:val="Tabletext"/>
              <w:ind w:left="0" w:right="0"/>
              <w:rPr>
                <w:sz w:val="20"/>
              </w:rPr>
            </w:pPr>
            <w:r w:rsidRPr="00AE13CE">
              <w:rPr>
                <w:sz w:val="20"/>
              </w:rPr>
              <w:t>Part I:</w:t>
            </w:r>
            <w:r w:rsidR="004C0954" w:rsidRPr="00AE13CE">
              <w:rPr>
                <w:sz w:val="20"/>
              </w:rPr>
              <w:t xml:space="preserve"> A </w:t>
            </w:r>
            <w:proofErr w:type="gramStart"/>
            <w:r w:rsidR="00A51590" w:rsidRPr="00AE13CE">
              <w:rPr>
                <w:sz w:val="20"/>
              </w:rPr>
              <w:t>26 week</w:t>
            </w:r>
            <w:proofErr w:type="gramEnd"/>
            <w:r w:rsidR="00A51590" w:rsidRPr="00AE13CE">
              <w:rPr>
                <w:sz w:val="20"/>
              </w:rPr>
              <w:t xml:space="preserve">, parallel </w:t>
            </w:r>
            <w:r w:rsidRPr="00AE13CE">
              <w:rPr>
                <w:sz w:val="20"/>
              </w:rPr>
              <w:t>group, randomised, placebo-controlled study (22 weeks in Study 302)</w:t>
            </w:r>
            <w:r w:rsidR="004C0954" w:rsidRPr="00AE13CE">
              <w:rPr>
                <w:sz w:val="20"/>
              </w:rPr>
              <w:t xml:space="preserve"> with</w:t>
            </w:r>
            <w:r w:rsidRPr="00AE13CE">
              <w:rPr>
                <w:sz w:val="20"/>
              </w:rPr>
              <w:t>:</w:t>
            </w:r>
          </w:p>
          <w:p w14:paraId="064E98FC" w14:textId="156AE18A" w:rsidR="00970113" w:rsidRPr="00AE13CE" w:rsidRDefault="004C0954" w:rsidP="004C0954">
            <w:pPr>
              <w:pStyle w:val="ListBullet"/>
              <w:rPr>
                <w:sz w:val="20"/>
              </w:rPr>
            </w:pPr>
            <w:r w:rsidRPr="00AE13CE">
              <w:rPr>
                <w:sz w:val="20"/>
                <w:szCs w:val="22"/>
              </w:rPr>
              <w:t xml:space="preserve">an </w:t>
            </w:r>
            <w:proofErr w:type="gramStart"/>
            <w:r w:rsidR="00970113" w:rsidRPr="00AE13CE">
              <w:rPr>
                <w:sz w:val="20"/>
                <w:szCs w:val="22"/>
              </w:rPr>
              <w:t>8</w:t>
            </w:r>
            <w:r w:rsidR="00182632" w:rsidRPr="00AE13CE">
              <w:rPr>
                <w:sz w:val="20"/>
                <w:szCs w:val="22"/>
              </w:rPr>
              <w:t xml:space="preserve"> </w:t>
            </w:r>
            <w:r w:rsidR="00970113" w:rsidRPr="00AE13CE">
              <w:rPr>
                <w:sz w:val="20"/>
                <w:szCs w:val="22"/>
              </w:rPr>
              <w:t>week</w:t>
            </w:r>
            <w:proofErr w:type="gramEnd"/>
            <w:r w:rsidR="00970113" w:rsidRPr="00AE13CE">
              <w:rPr>
                <w:sz w:val="20"/>
                <w:szCs w:val="22"/>
              </w:rPr>
              <w:t xml:space="preserve"> baseline period (in Study 301: single</w:t>
            </w:r>
            <w:r w:rsidR="00182632" w:rsidRPr="00AE13CE">
              <w:rPr>
                <w:sz w:val="20"/>
                <w:szCs w:val="22"/>
              </w:rPr>
              <w:t xml:space="preserve"> </w:t>
            </w:r>
            <w:r w:rsidR="00970113" w:rsidRPr="00AE13CE">
              <w:rPr>
                <w:sz w:val="20"/>
                <w:szCs w:val="22"/>
              </w:rPr>
              <w:t>blind placebo period)</w:t>
            </w:r>
            <w:r w:rsidRPr="00AE13CE">
              <w:rPr>
                <w:sz w:val="20"/>
                <w:szCs w:val="22"/>
              </w:rPr>
              <w:t>;</w:t>
            </w:r>
          </w:p>
          <w:p w14:paraId="104FB6F8" w14:textId="05570613" w:rsidR="00970113" w:rsidRPr="00AE13CE" w:rsidRDefault="004C0954" w:rsidP="004C0954">
            <w:pPr>
              <w:pStyle w:val="ListBullet"/>
              <w:rPr>
                <w:sz w:val="20"/>
              </w:rPr>
            </w:pPr>
            <w:r w:rsidRPr="00AE13CE">
              <w:rPr>
                <w:sz w:val="20"/>
                <w:szCs w:val="22"/>
              </w:rPr>
              <w:t xml:space="preserve">a </w:t>
            </w:r>
            <w:proofErr w:type="gramStart"/>
            <w:r w:rsidR="00970113" w:rsidRPr="00AE13CE">
              <w:rPr>
                <w:sz w:val="20"/>
                <w:szCs w:val="22"/>
              </w:rPr>
              <w:t>2</w:t>
            </w:r>
            <w:r w:rsidR="00182632" w:rsidRPr="00AE13CE">
              <w:rPr>
                <w:sz w:val="20"/>
                <w:szCs w:val="22"/>
              </w:rPr>
              <w:t xml:space="preserve"> </w:t>
            </w:r>
            <w:r w:rsidR="00970113" w:rsidRPr="00AE13CE">
              <w:rPr>
                <w:sz w:val="20"/>
                <w:szCs w:val="22"/>
              </w:rPr>
              <w:t>week</w:t>
            </w:r>
            <w:proofErr w:type="gramEnd"/>
            <w:r w:rsidR="00970113" w:rsidRPr="00AE13CE">
              <w:rPr>
                <w:sz w:val="20"/>
                <w:szCs w:val="22"/>
              </w:rPr>
              <w:t xml:space="preserve"> double</w:t>
            </w:r>
            <w:r w:rsidR="00182632" w:rsidRPr="00AE13CE">
              <w:rPr>
                <w:sz w:val="20"/>
                <w:szCs w:val="22"/>
              </w:rPr>
              <w:t xml:space="preserve"> </w:t>
            </w:r>
            <w:r w:rsidR="00970113" w:rsidRPr="00AE13CE">
              <w:rPr>
                <w:sz w:val="20"/>
                <w:szCs w:val="22"/>
              </w:rPr>
              <w:t>blind titration period</w:t>
            </w:r>
            <w:r w:rsidRPr="00AE13CE">
              <w:rPr>
                <w:sz w:val="20"/>
                <w:szCs w:val="22"/>
              </w:rPr>
              <w:t>;</w:t>
            </w:r>
          </w:p>
          <w:p w14:paraId="5D2AFD24" w14:textId="75A69A5F" w:rsidR="00970113" w:rsidRPr="00AE13CE" w:rsidRDefault="004C0954" w:rsidP="004C0954">
            <w:pPr>
              <w:pStyle w:val="ListBullet"/>
              <w:rPr>
                <w:sz w:val="20"/>
              </w:rPr>
            </w:pPr>
            <w:r w:rsidRPr="00AE13CE">
              <w:rPr>
                <w:sz w:val="20"/>
                <w:szCs w:val="22"/>
              </w:rPr>
              <w:t xml:space="preserve">a </w:t>
            </w:r>
            <w:proofErr w:type="gramStart"/>
            <w:r w:rsidR="00970113" w:rsidRPr="00AE13CE">
              <w:rPr>
                <w:sz w:val="20"/>
                <w:szCs w:val="22"/>
              </w:rPr>
              <w:t>12</w:t>
            </w:r>
            <w:r w:rsidR="00182632" w:rsidRPr="00AE13CE">
              <w:rPr>
                <w:sz w:val="20"/>
                <w:szCs w:val="22"/>
              </w:rPr>
              <w:t xml:space="preserve"> </w:t>
            </w:r>
            <w:r w:rsidR="00970113" w:rsidRPr="00AE13CE">
              <w:rPr>
                <w:sz w:val="20"/>
                <w:szCs w:val="22"/>
              </w:rPr>
              <w:t>week</w:t>
            </w:r>
            <w:proofErr w:type="gramEnd"/>
            <w:r w:rsidR="00970113" w:rsidRPr="00AE13CE">
              <w:rPr>
                <w:sz w:val="20"/>
                <w:szCs w:val="22"/>
              </w:rPr>
              <w:t xml:space="preserve"> double</w:t>
            </w:r>
            <w:r w:rsidR="00182632" w:rsidRPr="00AE13CE">
              <w:rPr>
                <w:sz w:val="20"/>
                <w:szCs w:val="22"/>
              </w:rPr>
              <w:t xml:space="preserve"> </w:t>
            </w:r>
            <w:r w:rsidR="00970113" w:rsidRPr="00AE13CE">
              <w:rPr>
                <w:sz w:val="20"/>
                <w:szCs w:val="22"/>
              </w:rPr>
              <w:t>blind maintenance period</w:t>
            </w:r>
            <w:r w:rsidRPr="00AE13CE">
              <w:rPr>
                <w:sz w:val="20"/>
                <w:szCs w:val="22"/>
              </w:rPr>
              <w:t>; and</w:t>
            </w:r>
          </w:p>
          <w:p w14:paraId="553E3EFE" w14:textId="46E3BA8A" w:rsidR="00970113" w:rsidRPr="00AE13CE" w:rsidRDefault="004C0954" w:rsidP="004C0954">
            <w:pPr>
              <w:pStyle w:val="ListBullet"/>
              <w:rPr>
                <w:sz w:val="20"/>
              </w:rPr>
            </w:pPr>
            <w:r w:rsidRPr="00AE13CE">
              <w:rPr>
                <w:sz w:val="20"/>
                <w:szCs w:val="22"/>
              </w:rPr>
              <w:t xml:space="preserve">a </w:t>
            </w:r>
            <w:proofErr w:type="gramStart"/>
            <w:r w:rsidR="00970113" w:rsidRPr="00AE13CE">
              <w:rPr>
                <w:sz w:val="20"/>
                <w:szCs w:val="22"/>
              </w:rPr>
              <w:t>4</w:t>
            </w:r>
            <w:r w:rsidR="00182632" w:rsidRPr="00AE13CE">
              <w:rPr>
                <w:sz w:val="20"/>
                <w:szCs w:val="22"/>
              </w:rPr>
              <w:t xml:space="preserve"> </w:t>
            </w:r>
            <w:r w:rsidR="00970113" w:rsidRPr="00AE13CE">
              <w:rPr>
                <w:sz w:val="20"/>
                <w:szCs w:val="22"/>
              </w:rPr>
              <w:t>week</w:t>
            </w:r>
            <w:proofErr w:type="gramEnd"/>
            <w:r w:rsidR="00970113" w:rsidRPr="00AE13CE">
              <w:rPr>
                <w:sz w:val="20"/>
                <w:szCs w:val="22"/>
              </w:rPr>
              <w:t xml:space="preserve"> double</w:t>
            </w:r>
            <w:r w:rsidR="00182632" w:rsidRPr="00AE13CE">
              <w:rPr>
                <w:sz w:val="20"/>
                <w:szCs w:val="22"/>
              </w:rPr>
              <w:t xml:space="preserve"> </w:t>
            </w:r>
            <w:r w:rsidR="00970113" w:rsidRPr="00AE13CE">
              <w:rPr>
                <w:sz w:val="20"/>
                <w:szCs w:val="22"/>
              </w:rPr>
              <w:t>blind tapering-off period (not in Study 302)</w:t>
            </w:r>
          </w:p>
          <w:p w14:paraId="3326C9B6" w14:textId="3DEC954E" w:rsidR="00970113" w:rsidRPr="00AE13CE" w:rsidRDefault="00970113" w:rsidP="00AE13CE">
            <w:pPr>
              <w:pStyle w:val="Tabletext"/>
              <w:ind w:left="0" w:right="0"/>
              <w:rPr>
                <w:sz w:val="20"/>
              </w:rPr>
            </w:pPr>
            <w:r w:rsidRPr="00AE13CE">
              <w:rPr>
                <w:sz w:val="20"/>
              </w:rPr>
              <w:t>Part II:</w:t>
            </w:r>
            <w:r w:rsidR="004C0954" w:rsidRPr="00AE13CE">
              <w:rPr>
                <w:sz w:val="20"/>
              </w:rPr>
              <w:t xml:space="preserve"> An o</w:t>
            </w:r>
            <w:r w:rsidRPr="00AE13CE">
              <w:rPr>
                <w:sz w:val="20"/>
              </w:rPr>
              <w:t xml:space="preserve">ptional, </w:t>
            </w:r>
            <w:proofErr w:type="gramStart"/>
            <w:r w:rsidR="00182632" w:rsidRPr="00AE13CE">
              <w:rPr>
                <w:sz w:val="20"/>
              </w:rPr>
              <w:t xml:space="preserve">one </w:t>
            </w:r>
            <w:r w:rsidRPr="00AE13CE">
              <w:rPr>
                <w:sz w:val="20"/>
              </w:rPr>
              <w:t>year</w:t>
            </w:r>
            <w:proofErr w:type="gramEnd"/>
            <w:r w:rsidRPr="00AE13CE">
              <w:rPr>
                <w:sz w:val="20"/>
              </w:rPr>
              <w:t>, open</w:t>
            </w:r>
            <w:r w:rsidR="00182632" w:rsidRPr="00AE13CE">
              <w:rPr>
                <w:sz w:val="20"/>
              </w:rPr>
              <w:t xml:space="preserve"> </w:t>
            </w:r>
            <w:r w:rsidRPr="00AE13CE">
              <w:rPr>
                <w:sz w:val="20"/>
              </w:rPr>
              <w:t>label extension for sub</w:t>
            </w:r>
            <w:r w:rsidR="00182632" w:rsidRPr="00AE13CE">
              <w:rPr>
                <w:sz w:val="20"/>
              </w:rPr>
              <w:t>jects who had completed Part I.</w:t>
            </w:r>
          </w:p>
        </w:tc>
        <w:tc>
          <w:tcPr>
            <w:tcW w:w="2914" w:type="dxa"/>
            <w:vMerge w:val="restart"/>
          </w:tcPr>
          <w:p w14:paraId="721519A4" w14:textId="77777777" w:rsidR="00970113" w:rsidRPr="00AE13CE" w:rsidRDefault="00970113" w:rsidP="00AE13CE">
            <w:pPr>
              <w:pStyle w:val="Tabletext"/>
              <w:ind w:left="0" w:right="0"/>
              <w:rPr>
                <w:sz w:val="20"/>
              </w:rPr>
            </w:pPr>
            <w:r w:rsidRPr="00AE13CE">
              <w:rPr>
                <w:sz w:val="20"/>
              </w:rPr>
              <w:t>Part I:</w:t>
            </w:r>
          </w:p>
          <w:p w14:paraId="2E859035" w14:textId="478F449A" w:rsidR="00970113" w:rsidRPr="00AE13CE" w:rsidRDefault="00970113" w:rsidP="004C0954">
            <w:pPr>
              <w:pStyle w:val="ListBullet"/>
              <w:rPr>
                <w:sz w:val="20"/>
              </w:rPr>
            </w:pPr>
            <w:r w:rsidRPr="00AE13CE">
              <w:rPr>
                <w:sz w:val="20"/>
                <w:szCs w:val="22"/>
              </w:rPr>
              <w:t>Placebo</w:t>
            </w:r>
          </w:p>
          <w:p w14:paraId="54F9FCD2" w14:textId="7121838B" w:rsidR="00970113" w:rsidRPr="00AE13CE" w:rsidRDefault="00970113" w:rsidP="004C0954">
            <w:pPr>
              <w:pStyle w:val="ListBullet"/>
              <w:rPr>
                <w:sz w:val="20"/>
              </w:rPr>
            </w:pPr>
            <w:r w:rsidRPr="00AE13CE">
              <w:rPr>
                <w:sz w:val="20"/>
                <w:szCs w:val="22"/>
              </w:rPr>
              <w:t xml:space="preserve">Daily doses of </w:t>
            </w:r>
            <w:r w:rsidR="00182632" w:rsidRPr="00AE13CE">
              <w:rPr>
                <w:sz w:val="20"/>
                <w:szCs w:val="22"/>
              </w:rPr>
              <w:t>eslicarbazepine acetate</w:t>
            </w:r>
            <w:r w:rsidRPr="00AE13CE">
              <w:rPr>
                <w:sz w:val="20"/>
                <w:szCs w:val="22"/>
              </w:rPr>
              <w:t>:</w:t>
            </w:r>
          </w:p>
          <w:p w14:paraId="1564EDA4" w14:textId="68B2C349" w:rsidR="00970113" w:rsidRPr="00AE13CE" w:rsidRDefault="00970113" w:rsidP="004C0954">
            <w:pPr>
              <w:pStyle w:val="ListBullet2"/>
              <w:rPr>
                <w:sz w:val="20"/>
              </w:rPr>
            </w:pPr>
            <w:r w:rsidRPr="00AE13CE">
              <w:rPr>
                <w:sz w:val="20"/>
              </w:rPr>
              <w:t>Studi</w:t>
            </w:r>
            <w:r w:rsidR="00182632" w:rsidRPr="00AE13CE">
              <w:rPr>
                <w:sz w:val="20"/>
              </w:rPr>
              <w:t>es 301 + 302 = 400, 800 or 1200 </w:t>
            </w:r>
            <w:r w:rsidRPr="00AE13CE">
              <w:rPr>
                <w:sz w:val="20"/>
              </w:rPr>
              <w:t>mg (</w:t>
            </w:r>
            <w:r w:rsidR="008627BD" w:rsidRPr="00AE13CE">
              <w:rPr>
                <w:sz w:val="20"/>
              </w:rPr>
              <w:t>once daily</w:t>
            </w:r>
            <w:r w:rsidRPr="00AE13CE">
              <w:rPr>
                <w:sz w:val="20"/>
              </w:rPr>
              <w:t>)</w:t>
            </w:r>
          </w:p>
          <w:p w14:paraId="5BFD6EE3" w14:textId="4F8F5247" w:rsidR="00970113" w:rsidRPr="00AE13CE" w:rsidRDefault="00970113" w:rsidP="004C0954">
            <w:pPr>
              <w:pStyle w:val="ListBullet2"/>
              <w:rPr>
                <w:sz w:val="20"/>
              </w:rPr>
            </w:pPr>
            <w:r w:rsidRPr="00AE13CE">
              <w:rPr>
                <w:sz w:val="20"/>
              </w:rPr>
              <w:t>Study 303 = 8</w:t>
            </w:r>
            <w:r w:rsidR="00182632" w:rsidRPr="00AE13CE">
              <w:rPr>
                <w:sz w:val="20"/>
              </w:rPr>
              <w:t>00 or 1200 </w:t>
            </w:r>
            <w:r w:rsidRPr="00AE13CE">
              <w:rPr>
                <w:sz w:val="20"/>
              </w:rPr>
              <w:t>mg (</w:t>
            </w:r>
            <w:r w:rsidR="008627BD" w:rsidRPr="00AE13CE">
              <w:rPr>
                <w:sz w:val="20"/>
              </w:rPr>
              <w:t>once daily</w:t>
            </w:r>
            <w:r w:rsidRPr="00AE13CE">
              <w:rPr>
                <w:sz w:val="20"/>
              </w:rPr>
              <w:t>)</w:t>
            </w:r>
          </w:p>
          <w:p w14:paraId="5A973437" w14:textId="2B98507E" w:rsidR="00970113" w:rsidRPr="00AE13CE" w:rsidRDefault="00970113" w:rsidP="00AE13CE">
            <w:pPr>
              <w:pStyle w:val="Tabletext"/>
              <w:ind w:left="0" w:right="0"/>
              <w:rPr>
                <w:sz w:val="20"/>
              </w:rPr>
            </w:pPr>
            <w:r w:rsidRPr="00AE13CE">
              <w:rPr>
                <w:sz w:val="20"/>
              </w:rPr>
              <w:t>Part II:</w:t>
            </w:r>
            <w:r w:rsidR="004C0954" w:rsidRPr="00AE13CE">
              <w:rPr>
                <w:sz w:val="20"/>
              </w:rPr>
              <w:t xml:space="preserve"> A s</w:t>
            </w:r>
            <w:r w:rsidRPr="00AE13CE">
              <w:rPr>
                <w:sz w:val="20"/>
              </w:rPr>
              <w:t>tarting dose of 800</w:t>
            </w:r>
            <w:r w:rsidR="00604013">
              <w:rPr>
                <w:sz w:val="20"/>
              </w:rPr>
              <w:t> </w:t>
            </w:r>
            <w:r w:rsidRPr="00AE13CE">
              <w:rPr>
                <w:sz w:val="20"/>
              </w:rPr>
              <w:t xml:space="preserve">mg </w:t>
            </w:r>
            <w:r w:rsidR="00182632" w:rsidRPr="00AE13CE">
              <w:rPr>
                <w:sz w:val="20"/>
              </w:rPr>
              <w:t xml:space="preserve">eslicarbazepine acetate </w:t>
            </w:r>
            <w:r w:rsidR="008627BD" w:rsidRPr="00AE13CE">
              <w:rPr>
                <w:sz w:val="20"/>
              </w:rPr>
              <w:t>once daily</w:t>
            </w:r>
            <w:r w:rsidRPr="00AE13CE">
              <w:rPr>
                <w:sz w:val="20"/>
              </w:rPr>
              <w:t xml:space="preserve"> that coul</w:t>
            </w:r>
            <w:r w:rsidR="00A51590" w:rsidRPr="00AE13CE">
              <w:rPr>
                <w:sz w:val="20"/>
              </w:rPr>
              <w:t>d be titrated up or down at 400 </w:t>
            </w:r>
            <w:r w:rsidRPr="00AE13CE">
              <w:rPr>
                <w:sz w:val="20"/>
              </w:rPr>
              <w:t>mg</w:t>
            </w:r>
            <w:r w:rsidR="00182632" w:rsidRPr="00AE13CE">
              <w:rPr>
                <w:sz w:val="20"/>
              </w:rPr>
              <w:t xml:space="preserve"> intervals between 400 and 1200 </w:t>
            </w:r>
            <w:r w:rsidRPr="00AE13CE">
              <w:rPr>
                <w:sz w:val="20"/>
              </w:rPr>
              <w:t>mg</w:t>
            </w:r>
            <w:r w:rsidR="004C0954" w:rsidRPr="00AE13CE">
              <w:rPr>
                <w:sz w:val="20"/>
              </w:rPr>
              <w:t>.</w:t>
            </w:r>
          </w:p>
        </w:tc>
      </w:tr>
      <w:tr w:rsidR="00970113" w:rsidRPr="00FD64CC" w14:paraId="03740968" w14:textId="77777777" w:rsidTr="00AE13CE">
        <w:tc>
          <w:tcPr>
            <w:tcW w:w="890" w:type="dxa"/>
          </w:tcPr>
          <w:p w14:paraId="24FBEF31" w14:textId="3E59C093" w:rsidR="00970113" w:rsidRPr="00FD64CC" w:rsidRDefault="00970113" w:rsidP="00AE13CE">
            <w:pPr>
              <w:pStyle w:val="Tabletext"/>
              <w:ind w:left="144" w:right="0"/>
              <w:rPr>
                <w:lang w:eastAsia="ja-JP"/>
              </w:rPr>
            </w:pPr>
            <w:r w:rsidRPr="00FD64CC">
              <w:t>302</w:t>
            </w:r>
          </w:p>
        </w:tc>
        <w:tc>
          <w:tcPr>
            <w:tcW w:w="1443" w:type="dxa"/>
          </w:tcPr>
          <w:p w14:paraId="7013E983" w14:textId="77777777" w:rsidR="00970113" w:rsidRPr="00FD64CC" w:rsidRDefault="00970113" w:rsidP="00AE13CE">
            <w:pPr>
              <w:pStyle w:val="Tabletext"/>
              <w:ind w:left="144" w:right="0"/>
              <w:rPr>
                <w:lang w:eastAsia="ja-JP"/>
              </w:rPr>
            </w:pPr>
            <w:r w:rsidRPr="00FD64CC">
              <w:rPr>
                <w:lang w:eastAsia="ja-JP"/>
              </w:rPr>
              <w:t>395</w:t>
            </w:r>
          </w:p>
        </w:tc>
        <w:tc>
          <w:tcPr>
            <w:tcW w:w="3237" w:type="dxa"/>
            <w:vMerge/>
          </w:tcPr>
          <w:p w14:paraId="46F24811" w14:textId="77777777" w:rsidR="00970113" w:rsidRPr="00FD64CC" w:rsidRDefault="00970113" w:rsidP="00AE13CE">
            <w:pPr>
              <w:ind w:left="0" w:right="0"/>
              <w:rPr>
                <w:lang w:eastAsia="ja-JP"/>
              </w:rPr>
            </w:pPr>
          </w:p>
        </w:tc>
        <w:tc>
          <w:tcPr>
            <w:tcW w:w="2914" w:type="dxa"/>
            <w:vMerge/>
          </w:tcPr>
          <w:p w14:paraId="57C38938" w14:textId="77777777" w:rsidR="00970113" w:rsidRPr="00FD64CC" w:rsidRDefault="00970113" w:rsidP="00AE13CE">
            <w:pPr>
              <w:ind w:left="0" w:right="0"/>
              <w:rPr>
                <w:lang w:eastAsia="ja-JP"/>
              </w:rPr>
            </w:pPr>
          </w:p>
        </w:tc>
      </w:tr>
      <w:tr w:rsidR="00970113" w:rsidRPr="00FD64CC" w14:paraId="54331CE6" w14:textId="77777777" w:rsidTr="00AE13CE">
        <w:tc>
          <w:tcPr>
            <w:tcW w:w="890" w:type="dxa"/>
          </w:tcPr>
          <w:p w14:paraId="15998904" w14:textId="507A7622" w:rsidR="00970113" w:rsidRPr="00FD64CC" w:rsidRDefault="00970113" w:rsidP="00AE13CE">
            <w:pPr>
              <w:pStyle w:val="Tabletext"/>
              <w:ind w:left="144" w:right="0"/>
              <w:rPr>
                <w:lang w:eastAsia="ja-JP"/>
              </w:rPr>
            </w:pPr>
            <w:r w:rsidRPr="00FD64CC">
              <w:t>303</w:t>
            </w:r>
          </w:p>
        </w:tc>
        <w:tc>
          <w:tcPr>
            <w:tcW w:w="1443" w:type="dxa"/>
          </w:tcPr>
          <w:p w14:paraId="3E2A14B4" w14:textId="77777777" w:rsidR="00970113" w:rsidRPr="00FD64CC" w:rsidRDefault="00970113" w:rsidP="00AE13CE">
            <w:pPr>
              <w:pStyle w:val="Tabletext"/>
              <w:ind w:left="144" w:right="0"/>
              <w:rPr>
                <w:lang w:eastAsia="ja-JP"/>
              </w:rPr>
            </w:pPr>
            <w:r w:rsidRPr="00FD64CC">
              <w:rPr>
                <w:lang w:eastAsia="ja-JP"/>
              </w:rPr>
              <w:t>253</w:t>
            </w:r>
          </w:p>
        </w:tc>
        <w:tc>
          <w:tcPr>
            <w:tcW w:w="3237" w:type="dxa"/>
            <w:vMerge/>
          </w:tcPr>
          <w:p w14:paraId="6F690458" w14:textId="77777777" w:rsidR="00970113" w:rsidRPr="00FD64CC" w:rsidRDefault="00970113" w:rsidP="00AE13CE">
            <w:pPr>
              <w:ind w:left="0" w:right="0"/>
              <w:rPr>
                <w:lang w:eastAsia="ja-JP"/>
              </w:rPr>
            </w:pPr>
          </w:p>
        </w:tc>
        <w:tc>
          <w:tcPr>
            <w:tcW w:w="2914" w:type="dxa"/>
            <w:vMerge/>
          </w:tcPr>
          <w:p w14:paraId="2AD8A4B2" w14:textId="77777777" w:rsidR="00970113" w:rsidRPr="00FD64CC" w:rsidRDefault="00970113" w:rsidP="00AE13CE">
            <w:pPr>
              <w:ind w:left="0" w:right="0"/>
              <w:rPr>
                <w:lang w:eastAsia="ja-JP"/>
              </w:rPr>
            </w:pPr>
          </w:p>
        </w:tc>
      </w:tr>
    </w:tbl>
    <w:p w14:paraId="47E89466" w14:textId="3312887A" w:rsidR="00970113" w:rsidRPr="00FD64CC" w:rsidRDefault="00970113" w:rsidP="00713E52">
      <w:pPr>
        <w:pageBreakBefore/>
      </w:pPr>
      <w:r w:rsidRPr="00FD64CC">
        <w:lastRenderedPageBreak/>
        <w:t xml:space="preserve">The only major differences between the </w:t>
      </w:r>
      <w:r w:rsidR="000B0B7B" w:rsidRPr="00FD64CC">
        <w:t>three</w:t>
      </w:r>
      <w:r w:rsidRPr="00FD64CC">
        <w:t xml:space="preserve"> studies in the Part I study design were the doses of </w:t>
      </w:r>
      <w:r w:rsidR="00604013" w:rsidRPr="00FD64CC">
        <w:t xml:space="preserve">eslicarbazepine </w:t>
      </w:r>
      <w:r w:rsidRPr="00FD64CC">
        <w:t>given and differences in the study periods and titration regimens:</w:t>
      </w:r>
    </w:p>
    <w:p w14:paraId="4091D5A9" w14:textId="5101DF7E" w:rsidR="00970113" w:rsidRPr="00FD64CC" w:rsidRDefault="00970113" w:rsidP="000B0B7B">
      <w:pPr>
        <w:pStyle w:val="ListBullet"/>
      </w:pPr>
      <w:r w:rsidRPr="00FD64CC">
        <w:t xml:space="preserve">There were </w:t>
      </w:r>
      <w:r w:rsidR="000B0B7B" w:rsidRPr="00FD64CC">
        <w:t>three</w:t>
      </w:r>
      <w:r w:rsidRPr="00FD64CC">
        <w:t xml:space="preserve"> </w:t>
      </w:r>
      <w:r w:rsidR="00604013">
        <w:t>eslicarbazepine</w:t>
      </w:r>
      <w:r w:rsidR="00AE13CE">
        <w:t xml:space="preserve"> </w:t>
      </w:r>
      <w:r w:rsidRPr="00FD64CC">
        <w:t>dose groups (400 mg, 80</w:t>
      </w:r>
      <w:r w:rsidR="000B0B7B" w:rsidRPr="00FD64CC">
        <w:t xml:space="preserve">0 </w:t>
      </w:r>
      <w:proofErr w:type="gramStart"/>
      <w:r w:rsidR="000B0B7B" w:rsidRPr="00FD64CC">
        <w:t>mg</w:t>
      </w:r>
      <w:proofErr w:type="gramEnd"/>
      <w:r w:rsidR="000B0B7B" w:rsidRPr="00FD64CC">
        <w:t xml:space="preserve"> or 1200 mg once daily) in S</w:t>
      </w:r>
      <w:r w:rsidRPr="00FD64CC">
        <w:t xml:space="preserve">tudies 301 and 302, but only </w:t>
      </w:r>
      <w:r w:rsidR="000B0B7B" w:rsidRPr="00FD64CC">
        <w:t>two</w:t>
      </w:r>
      <w:r w:rsidRPr="00FD64CC">
        <w:t xml:space="preserve"> </w:t>
      </w:r>
      <w:r w:rsidR="00604013">
        <w:t xml:space="preserve">eslicarbazepine </w:t>
      </w:r>
      <w:r w:rsidRPr="00FD64CC">
        <w:t xml:space="preserve">dose groups (800 mg or 1200 mg </w:t>
      </w:r>
      <w:r w:rsidR="008627BD" w:rsidRPr="00FD64CC">
        <w:t>once daily</w:t>
      </w:r>
      <w:r w:rsidR="000B0B7B" w:rsidRPr="00FD64CC">
        <w:t>) in S</w:t>
      </w:r>
      <w:r w:rsidRPr="00FD64CC">
        <w:t>tudy 303.</w:t>
      </w:r>
    </w:p>
    <w:p w14:paraId="35BE8E9C" w14:textId="0A134C85" w:rsidR="00970113" w:rsidRPr="00FD64CC" w:rsidRDefault="00970113" w:rsidP="000B0B7B">
      <w:pPr>
        <w:pStyle w:val="ListBullet"/>
      </w:pPr>
      <w:r w:rsidRPr="00FD64CC">
        <w:t>The baseli</w:t>
      </w:r>
      <w:r w:rsidR="000B0B7B" w:rsidRPr="00FD64CC">
        <w:t>ne period was observational in S</w:t>
      </w:r>
      <w:r w:rsidRPr="00FD64CC">
        <w:t xml:space="preserve">tudies 302 and </w:t>
      </w:r>
      <w:proofErr w:type="gramStart"/>
      <w:r w:rsidRPr="00FD64CC">
        <w:t>303 and single</w:t>
      </w:r>
      <w:r w:rsidR="000B0B7B" w:rsidRPr="00FD64CC">
        <w:t xml:space="preserve"> blind</w:t>
      </w:r>
      <w:proofErr w:type="gramEnd"/>
      <w:r w:rsidR="000B0B7B" w:rsidRPr="00FD64CC">
        <w:t xml:space="preserve"> placebo in S</w:t>
      </w:r>
      <w:r w:rsidRPr="00FD64CC">
        <w:t>tudy 301.</w:t>
      </w:r>
    </w:p>
    <w:p w14:paraId="6A71C4D2" w14:textId="42BD53D8" w:rsidR="00970113" w:rsidRPr="00FD64CC" w:rsidRDefault="000B0B7B" w:rsidP="000B0B7B">
      <w:pPr>
        <w:pStyle w:val="ListBullet"/>
      </w:pPr>
      <w:r w:rsidRPr="00FD64CC">
        <w:t>In S</w:t>
      </w:r>
      <w:r w:rsidR="00970113" w:rsidRPr="00FD64CC">
        <w:t>tudy 302 there was no tapering-off period.</w:t>
      </w:r>
    </w:p>
    <w:p w14:paraId="29989770" w14:textId="12DADE57" w:rsidR="00970113" w:rsidRPr="00FD64CC" w:rsidRDefault="00970113" w:rsidP="000B0B7B">
      <w:pPr>
        <w:pStyle w:val="ListBullet"/>
      </w:pPr>
      <w:r w:rsidRPr="00FD64CC">
        <w:t xml:space="preserve">All </w:t>
      </w:r>
      <w:r w:rsidR="000B0B7B" w:rsidRPr="00FD64CC">
        <w:t>three</w:t>
      </w:r>
      <w:r w:rsidRPr="00FD64CC">
        <w:t xml:space="preserve"> studies used slightly different titration and tapering-off regimens.</w:t>
      </w:r>
    </w:p>
    <w:p w14:paraId="5DF673C9" w14:textId="77777777" w:rsidR="00970113" w:rsidRPr="00FD64CC" w:rsidRDefault="00970113" w:rsidP="00970113">
      <w:pPr>
        <w:pStyle w:val="Heading6"/>
        <w:rPr>
          <w:lang w:eastAsia="ja-JP"/>
        </w:rPr>
      </w:pPr>
      <w:r w:rsidRPr="00FD64CC">
        <w:rPr>
          <w:lang w:eastAsia="ja-JP"/>
        </w:rPr>
        <w:t>Objectives</w:t>
      </w:r>
    </w:p>
    <w:p w14:paraId="52C4C687" w14:textId="4FE7CAFA" w:rsidR="00970113" w:rsidRPr="00FD64CC" w:rsidRDefault="00970113" w:rsidP="009C460B">
      <w:r w:rsidRPr="00FD64CC">
        <w:t xml:space="preserve">The primary objective was to evaluate the efficacy of </w:t>
      </w:r>
      <w:r w:rsidR="00604013" w:rsidRPr="00FD64CC">
        <w:t xml:space="preserve">eslicarbazepine </w:t>
      </w:r>
      <w:r w:rsidRPr="00FD64CC">
        <w:t>administered once daily compared with placebo as adjunctive therapy in patients w</w:t>
      </w:r>
      <w:r w:rsidR="00185313" w:rsidRPr="00FD64CC">
        <w:t>ith refractory partial epilepsy.</w:t>
      </w:r>
    </w:p>
    <w:p w14:paraId="62010115" w14:textId="3F58AA27" w:rsidR="00970113" w:rsidRPr="00FD64CC" w:rsidRDefault="000B0B7B" w:rsidP="009C460B">
      <w:r w:rsidRPr="00FD64CC">
        <w:t>The secondary objectives were:</w:t>
      </w:r>
    </w:p>
    <w:p w14:paraId="5B936CE0" w14:textId="0A62A95F" w:rsidR="00970113" w:rsidRPr="00FD64CC" w:rsidRDefault="00970113" w:rsidP="009C460B">
      <w:pPr>
        <w:pStyle w:val="ListBullet"/>
      </w:pPr>
      <w:r w:rsidRPr="00FD64CC">
        <w:t xml:space="preserve">to evaluate the safety and tolerability of </w:t>
      </w:r>
      <w:r w:rsidR="00604013" w:rsidRPr="00FD64CC">
        <w:t xml:space="preserve">eslicarbazepine </w:t>
      </w:r>
      <w:r w:rsidRPr="00FD64CC">
        <w:t xml:space="preserve">at once daily </w:t>
      </w:r>
      <w:r w:rsidR="000B0B7B" w:rsidRPr="00FD64CC">
        <w:t xml:space="preserve">doses in comparison to </w:t>
      </w:r>
      <w:proofErr w:type="gramStart"/>
      <w:r w:rsidR="000B0B7B" w:rsidRPr="00FD64CC">
        <w:t>placebo;</w:t>
      </w:r>
      <w:proofErr w:type="gramEnd"/>
    </w:p>
    <w:p w14:paraId="41C4BCF2" w14:textId="06085F1B" w:rsidR="00970113" w:rsidRPr="00FD64CC" w:rsidRDefault="00970113" w:rsidP="009C460B">
      <w:pPr>
        <w:pStyle w:val="ListBullet"/>
      </w:pPr>
      <w:r w:rsidRPr="00FD64CC">
        <w:t xml:space="preserve">to evaluate the safety and tolerability of </w:t>
      </w:r>
      <w:r w:rsidR="00604013" w:rsidRPr="00FD64CC">
        <w:t xml:space="preserve">eslicarbazepine </w:t>
      </w:r>
      <w:r w:rsidRPr="00FD64CC">
        <w:t xml:space="preserve">at doses titrated to an efficacy or safety endpoint over a </w:t>
      </w:r>
      <w:r w:rsidR="001842E8" w:rsidRPr="00FD64CC">
        <w:t>one-year</w:t>
      </w:r>
      <w:r w:rsidRPr="00FD64CC">
        <w:t xml:space="preserve"> open</w:t>
      </w:r>
      <w:r w:rsidR="000B0B7B" w:rsidRPr="00FD64CC">
        <w:t xml:space="preserve"> label </w:t>
      </w:r>
      <w:proofErr w:type="gramStart"/>
      <w:r w:rsidR="000B0B7B" w:rsidRPr="00FD64CC">
        <w:t>period;</w:t>
      </w:r>
      <w:proofErr w:type="gramEnd"/>
    </w:p>
    <w:p w14:paraId="33915526" w14:textId="0A354E20" w:rsidR="00970113" w:rsidRPr="00FD64CC" w:rsidRDefault="00970113" w:rsidP="009C460B">
      <w:pPr>
        <w:pStyle w:val="ListBullet"/>
      </w:pPr>
      <w:r w:rsidRPr="00FD64CC">
        <w:t xml:space="preserve">to assess the maintenance of therapeutic effects of </w:t>
      </w:r>
      <w:r w:rsidR="00604013" w:rsidRPr="00FD64CC">
        <w:t xml:space="preserve">eslicarbazepine </w:t>
      </w:r>
      <w:r w:rsidRPr="00FD64CC">
        <w:t xml:space="preserve">over </w:t>
      </w:r>
      <w:proofErr w:type="gramStart"/>
      <w:r w:rsidRPr="00FD64CC">
        <w:t>a the</w:t>
      </w:r>
      <w:proofErr w:type="gramEnd"/>
      <w:r w:rsidRPr="00FD64CC">
        <w:t xml:space="preserve"> maintenance period preceded by a </w:t>
      </w:r>
      <w:r w:rsidR="00E87AC5" w:rsidRPr="00FD64CC">
        <w:t xml:space="preserve">two </w:t>
      </w:r>
      <w:r w:rsidRPr="00FD64CC">
        <w:t xml:space="preserve">week titration period and followed by a tapering-off period and over a </w:t>
      </w:r>
      <w:r w:rsidR="00E87AC5" w:rsidRPr="00FD64CC">
        <w:t xml:space="preserve">one </w:t>
      </w:r>
      <w:r w:rsidRPr="00FD64CC">
        <w:t>year open</w:t>
      </w:r>
      <w:r w:rsidR="00E87AC5" w:rsidRPr="00FD64CC">
        <w:t xml:space="preserve"> label period;</w:t>
      </w:r>
    </w:p>
    <w:p w14:paraId="697C6659" w14:textId="3A02E7C2" w:rsidR="00970113" w:rsidRPr="00FD64CC" w:rsidRDefault="00970113" w:rsidP="009C460B">
      <w:pPr>
        <w:pStyle w:val="ListBullet"/>
      </w:pPr>
      <w:r w:rsidRPr="00FD64CC">
        <w:t xml:space="preserve">to assess the drug-drug </w:t>
      </w:r>
      <w:r w:rsidR="00113E42" w:rsidRPr="00FD64CC">
        <w:t>PK</w:t>
      </w:r>
      <w:r w:rsidRPr="00FD64CC">
        <w:t xml:space="preserve"> interactions between </w:t>
      </w:r>
      <w:r w:rsidR="00604013" w:rsidRPr="00FD64CC">
        <w:t xml:space="preserve">eslicarbazepine </w:t>
      </w:r>
      <w:r w:rsidRPr="00FD64CC">
        <w:t>and concomitant AEDs over the double</w:t>
      </w:r>
      <w:r w:rsidR="00E87AC5" w:rsidRPr="00FD64CC">
        <w:t xml:space="preserve"> </w:t>
      </w:r>
      <w:r w:rsidRPr="00FD64CC">
        <w:t>blind and open</w:t>
      </w:r>
      <w:r w:rsidR="00E87AC5" w:rsidRPr="00FD64CC">
        <w:t xml:space="preserve"> label parts of the study; and</w:t>
      </w:r>
    </w:p>
    <w:p w14:paraId="646F527A" w14:textId="594AC306" w:rsidR="00970113" w:rsidRPr="00FD64CC" w:rsidRDefault="00970113" w:rsidP="009C460B">
      <w:pPr>
        <w:pStyle w:val="ListBullet"/>
      </w:pPr>
      <w:r w:rsidRPr="00FD64CC">
        <w:t>to assess the health-related quality of life and depressive symptoms over the double</w:t>
      </w:r>
      <w:r w:rsidR="00E87AC5" w:rsidRPr="00FD64CC">
        <w:t xml:space="preserve"> </w:t>
      </w:r>
      <w:r w:rsidRPr="00FD64CC">
        <w:t>blind and open</w:t>
      </w:r>
      <w:r w:rsidR="00E87AC5" w:rsidRPr="00FD64CC">
        <w:t xml:space="preserve"> </w:t>
      </w:r>
      <w:r w:rsidRPr="00FD64CC">
        <w:t>label parts of the study.</w:t>
      </w:r>
    </w:p>
    <w:p w14:paraId="1DBBEC9C" w14:textId="25FED013" w:rsidR="00970113" w:rsidRPr="00FD64CC" w:rsidRDefault="00970113" w:rsidP="009C460B">
      <w:r w:rsidRPr="00FD64CC">
        <w:t xml:space="preserve">Key inclusion criteria for each of the </w:t>
      </w:r>
      <w:r w:rsidR="00E87AC5" w:rsidRPr="00FD64CC">
        <w:t>three</w:t>
      </w:r>
      <w:r w:rsidRPr="00FD64CC">
        <w:t xml:space="preserve"> studies were:</w:t>
      </w:r>
    </w:p>
    <w:p w14:paraId="4D70F1CA" w14:textId="77777777" w:rsidR="00970113" w:rsidRPr="00FD64CC" w:rsidRDefault="00970113" w:rsidP="009C460B">
      <w:r w:rsidRPr="00FD64CC">
        <w:t>At Visit 1 (screening), subjects must have:</w:t>
      </w:r>
    </w:p>
    <w:p w14:paraId="00F8B96A" w14:textId="06CCC2CF" w:rsidR="00970113" w:rsidRPr="00FD64CC" w:rsidRDefault="00E87AC5" w:rsidP="009C460B">
      <w:pPr>
        <w:pStyle w:val="ListBullet"/>
      </w:pPr>
      <w:r w:rsidRPr="00FD64CC">
        <w:t xml:space="preserve">been 18 years or </w:t>
      </w:r>
      <w:proofErr w:type="gramStart"/>
      <w:r w:rsidRPr="00FD64CC">
        <w:t>older;</w:t>
      </w:r>
      <w:proofErr w:type="gramEnd"/>
    </w:p>
    <w:p w14:paraId="1C29A763" w14:textId="0242A7FC" w:rsidR="00970113" w:rsidRPr="00FD64CC" w:rsidRDefault="00E87AC5" w:rsidP="001842E8">
      <w:pPr>
        <w:pStyle w:val="ListBullet"/>
      </w:pPr>
      <w:r w:rsidRPr="00FD64CC">
        <w:t>h</w:t>
      </w:r>
      <w:r w:rsidR="00970113" w:rsidRPr="00FD64CC">
        <w:t>ad a documented diagnosis of simple or complex partial seizures with or without secondary</w:t>
      </w:r>
      <w:r w:rsidR="001842E8">
        <w:t xml:space="preserve"> </w:t>
      </w:r>
      <w:r w:rsidR="00970113" w:rsidRPr="00FD64CC">
        <w:t>generalisation for at lea</w:t>
      </w:r>
      <w:r w:rsidRPr="00FD64CC">
        <w:t xml:space="preserve">st 12 months prior to </w:t>
      </w:r>
      <w:proofErr w:type="gramStart"/>
      <w:r w:rsidRPr="00FD64CC">
        <w:t>screening;</w:t>
      </w:r>
      <w:proofErr w:type="gramEnd"/>
    </w:p>
    <w:p w14:paraId="05074FDE" w14:textId="6EA0EDD5" w:rsidR="00970113" w:rsidRPr="00FD64CC" w:rsidRDefault="00E87AC5" w:rsidP="009C460B">
      <w:pPr>
        <w:pStyle w:val="ListBullet"/>
      </w:pPr>
      <w:r w:rsidRPr="00FD64CC">
        <w:t>h</w:t>
      </w:r>
      <w:r w:rsidR="00970113" w:rsidRPr="00FD64CC">
        <w:t xml:space="preserve">ad at least </w:t>
      </w:r>
      <w:r w:rsidRPr="00FD64CC">
        <w:t>four</w:t>
      </w:r>
      <w:r w:rsidR="00970113" w:rsidRPr="00FD64CC">
        <w:t xml:space="preserve"> partial seizures in each </w:t>
      </w:r>
      <w:proofErr w:type="gramStart"/>
      <w:r w:rsidRPr="00FD64CC">
        <w:t xml:space="preserve">four </w:t>
      </w:r>
      <w:r w:rsidR="00970113" w:rsidRPr="00FD64CC">
        <w:t>week</w:t>
      </w:r>
      <w:proofErr w:type="gramEnd"/>
      <w:r w:rsidR="00970113" w:rsidRPr="00FD64CC">
        <w:t xml:space="preserve"> period during the last </w:t>
      </w:r>
      <w:r w:rsidRPr="00FD64CC">
        <w:t>eight weeks prior to screening;</w:t>
      </w:r>
    </w:p>
    <w:p w14:paraId="048FB565" w14:textId="11AC149E" w:rsidR="00970113" w:rsidRPr="00FD64CC" w:rsidRDefault="00E87AC5" w:rsidP="007456BD">
      <w:pPr>
        <w:pStyle w:val="ListBullet"/>
      </w:pPr>
      <w:r w:rsidRPr="00FD64CC">
        <w:t>b</w:t>
      </w:r>
      <w:r w:rsidR="00970113" w:rsidRPr="00FD64CC">
        <w:t xml:space="preserve">een currently treated with </w:t>
      </w:r>
      <w:r w:rsidRPr="00FD64CC">
        <w:t>one</w:t>
      </w:r>
      <w:r w:rsidR="00970113" w:rsidRPr="00FD64CC">
        <w:t xml:space="preserve"> or </w:t>
      </w:r>
      <w:r w:rsidRPr="00FD64CC">
        <w:t>two</w:t>
      </w:r>
      <w:r w:rsidR="00970113" w:rsidRPr="00FD64CC">
        <w:t xml:space="preserve"> AEDs (any except oxcarbazepine and felbamate), in a stable dose regimen for at least </w:t>
      </w:r>
      <w:r w:rsidRPr="00FD64CC">
        <w:t>two</w:t>
      </w:r>
      <w:r w:rsidR="00970113" w:rsidRPr="00FD64CC">
        <w:t xml:space="preserve"> months prior to screening (subjects using vigabatrin should have been on this medication for at least </w:t>
      </w:r>
      <w:r w:rsidRPr="00FD64CC">
        <w:t>one</w:t>
      </w:r>
      <w:r w:rsidR="00970113" w:rsidRPr="00FD64CC">
        <w:t xml:space="preserve"> year with no deficit in visual field identified, and a confirmatory test should be available within </w:t>
      </w:r>
      <w:r w:rsidRPr="00FD64CC">
        <w:t>one</w:t>
      </w:r>
      <w:r w:rsidR="00970113" w:rsidRPr="00FD64CC">
        <w:t xml:space="preserve"> month before study entry; if present, </w:t>
      </w:r>
      <w:r w:rsidR="007456BD" w:rsidRPr="00FD64CC">
        <w:t>vagal nerve stimulation (</w:t>
      </w:r>
      <w:r w:rsidR="00970113" w:rsidRPr="00FD64CC">
        <w:t>VNS</w:t>
      </w:r>
      <w:r w:rsidR="007456BD" w:rsidRPr="00FD64CC">
        <w:t>)</w:t>
      </w:r>
      <w:r w:rsidR="00970113" w:rsidRPr="00FD64CC">
        <w:t xml:space="preserve"> was considered an AED, </w:t>
      </w:r>
      <w:r w:rsidRPr="00FD64CC">
        <w:t>that is,</w:t>
      </w:r>
      <w:r w:rsidR="00970113" w:rsidRPr="00FD64CC">
        <w:t xml:space="preserve"> only </w:t>
      </w:r>
      <w:r w:rsidRPr="00FD64CC">
        <w:t>one</w:t>
      </w:r>
      <w:r w:rsidR="00970113" w:rsidRPr="00FD64CC">
        <w:t xml:space="preserve"> concomitant AED wa</w:t>
      </w:r>
      <w:r w:rsidRPr="00FD64CC">
        <w:t>s allowed in subjects with VNS);</w:t>
      </w:r>
    </w:p>
    <w:p w14:paraId="182E8A95" w14:textId="7C718DA9" w:rsidR="00970113" w:rsidRPr="00FD64CC" w:rsidRDefault="00E87AC5" w:rsidP="009C460B">
      <w:pPr>
        <w:pStyle w:val="ListBullet"/>
      </w:pPr>
      <w:r w:rsidRPr="00FD64CC">
        <w:t>i</w:t>
      </w:r>
      <w:r w:rsidR="00970113" w:rsidRPr="00FD64CC">
        <w:t xml:space="preserve">n Study 302, the number of allowed concomitant AEDs was extended to </w:t>
      </w:r>
      <w:r w:rsidRPr="00FD64CC">
        <w:t>three AEDs by amendment.</w:t>
      </w:r>
    </w:p>
    <w:p w14:paraId="4C873405" w14:textId="2CEAEB9B" w:rsidR="00970113" w:rsidRPr="00FD64CC" w:rsidRDefault="00E87AC5" w:rsidP="00713E52">
      <w:pPr>
        <w:pageBreakBefore/>
      </w:pPr>
      <w:r w:rsidRPr="00FD64CC">
        <w:lastRenderedPageBreak/>
        <w:t>A</w:t>
      </w:r>
      <w:r w:rsidR="00970113" w:rsidRPr="00FD64CC">
        <w:t>t Visit 2 (randomisation), subjects must have:</w:t>
      </w:r>
    </w:p>
    <w:p w14:paraId="79E37F00" w14:textId="69BC0F2E" w:rsidR="00970113" w:rsidRPr="00FD64CC" w:rsidRDefault="00E87AC5" w:rsidP="009C460B">
      <w:pPr>
        <w:pStyle w:val="ListBullet"/>
      </w:pPr>
      <w:r w:rsidRPr="00FD64CC">
        <w:t>h</w:t>
      </w:r>
      <w:r w:rsidR="00970113" w:rsidRPr="00FD64CC">
        <w:t xml:space="preserve">ad at least </w:t>
      </w:r>
      <w:r w:rsidRPr="00FD64CC">
        <w:t>four</w:t>
      </w:r>
      <w:r w:rsidR="00970113" w:rsidRPr="00FD64CC">
        <w:t xml:space="preserve"> partial seizures in each </w:t>
      </w:r>
      <w:proofErr w:type="gramStart"/>
      <w:r w:rsidRPr="00FD64CC">
        <w:t xml:space="preserve">four </w:t>
      </w:r>
      <w:r w:rsidR="00970113" w:rsidRPr="00FD64CC">
        <w:t>week</w:t>
      </w:r>
      <w:proofErr w:type="gramEnd"/>
      <w:r w:rsidR="00970113" w:rsidRPr="00FD64CC">
        <w:t xml:space="preserve"> period of the </w:t>
      </w:r>
      <w:r w:rsidRPr="00FD64CC">
        <w:t xml:space="preserve">eight </w:t>
      </w:r>
      <w:r w:rsidR="00970113" w:rsidRPr="00FD64CC">
        <w:t>week baseline period prior to randomisation (documented in a diary) and no seizure</w:t>
      </w:r>
      <w:r w:rsidRPr="00FD64CC">
        <w:t xml:space="preserve"> </w:t>
      </w:r>
      <w:r w:rsidR="00970113" w:rsidRPr="00FD64CC">
        <w:t>free interva</w:t>
      </w:r>
      <w:r w:rsidRPr="00FD64CC">
        <w:t>l exceeding 21 consecutive days;</w:t>
      </w:r>
    </w:p>
    <w:p w14:paraId="278C2561" w14:textId="538C9CE1" w:rsidR="00970113" w:rsidRPr="00FD64CC" w:rsidRDefault="00E87AC5" w:rsidP="009C460B">
      <w:pPr>
        <w:pStyle w:val="ListBullet"/>
      </w:pPr>
      <w:r w:rsidRPr="00FD64CC">
        <w:t xml:space="preserve">satisfactorily </w:t>
      </w:r>
      <w:r w:rsidR="00970113" w:rsidRPr="00FD64CC">
        <w:t>completed diaries b</w:t>
      </w:r>
      <w:r w:rsidRPr="00FD64CC">
        <w:t xml:space="preserve">y themselves or their </w:t>
      </w:r>
      <w:proofErr w:type="gramStart"/>
      <w:r w:rsidRPr="00FD64CC">
        <w:t>caregiver;</w:t>
      </w:r>
      <w:proofErr w:type="gramEnd"/>
    </w:p>
    <w:p w14:paraId="4682AFD0" w14:textId="361E5A03" w:rsidR="00970113" w:rsidRPr="00FD64CC" w:rsidRDefault="00E87AC5" w:rsidP="009C460B">
      <w:pPr>
        <w:pStyle w:val="ListBullet"/>
      </w:pPr>
      <w:r w:rsidRPr="00FD64CC">
        <w:t xml:space="preserve">satisfactorily </w:t>
      </w:r>
      <w:r w:rsidR="00970113" w:rsidRPr="00FD64CC">
        <w:t>complied with the study requirements during the baseline period.</w:t>
      </w:r>
    </w:p>
    <w:p w14:paraId="1E9F9389" w14:textId="3D34104B" w:rsidR="00970113" w:rsidRPr="00FD64CC" w:rsidRDefault="00970113" w:rsidP="009C460B">
      <w:r w:rsidRPr="00FD64CC">
        <w:t xml:space="preserve">Key exclusion criteria for each of the </w:t>
      </w:r>
      <w:r w:rsidR="00E87AC5" w:rsidRPr="00FD64CC">
        <w:t>three</w:t>
      </w:r>
      <w:r w:rsidRPr="00FD64CC">
        <w:t xml:space="preserve"> studies included if a subject had:</w:t>
      </w:r>
    </w:p>
    <w:p w14:paraId="6AEBA17E" w14:textId="0D35C951" w:rsidR="00970113" w:rsidRPr="00FD64CC" w:rsidRDefault="00E87AC5" w:rsidP="009C460B">
      <w:pPr>
        <w:pStyle w:val="ListBullet"/>
      </w:pPr>
      <w:r w:rsidRPr="00FD64CC">
        <w:t>o</w:t>
      </w:r>
      <w:r w:rsidR="00970113" w:rsidRPr="00FD64CC">
        <w:t>nly simple partial seizures with no motor symptomatology (classified as A2-4 according to the International Classification of Epileptic Seizures) that were not video</w:t>
      </w:r>
      <w:r w:rsidRPr="00FD64CC">
        <w:t xml:space="preserve">-electroencephalogram </w:t>
      </w:r>
      <w:proofErr w:type="gramStart"/>
      <w:r w:rsidRPr="00FD64CC">
        <w:t>documented;</w:t>
      </w:r>
      <w:proofErr w:type="gramEnd"/>
    </w:p>
    <w:p w14:paraId="6C9F5DD9" w14:textId="484C2554" w:rsidR="00970113" w:rsidRPr="00FD64CC" w:rsidRDefault="00E87AC5" w:rsidP="009C460B">
      <w:pPr>
        <w:pStyle w:val="ListBullet"/>
      </w:pPr>
      <w:r w:rsidRPr="00FD64CC">
        <w:t xml:space="preserve">primary generalised </w:t>
      </w:r>
      <w:proofErr w:type="gramStart"/>
      <w:r w:rsidRPr="00FD64CC">
        <w:t>epilepsy;</w:t>
      </w:r>
      <w:proofErr w:type="gramEnd"/>
    </w:p>
    <w:p w14:paraId="38E0506F" w14:textId="17A6C57B" w:rsidR="00970113" w:rsidRPr="00FD64CC" w:rsidRDefault="00E87AC5" w:rsidP="009C460B">
      <w:pPr>
        <w:pStyle w:val="ListBullet"/>
      </w:pPr>
      <w:r w:rsidRPr="00FD64CC">
        <w:t>k</w:t>
      </w:r>
      <w:r w:rsidR="00970113" w:rsidRPr="00FD64CC">
        <w:t>nown rapid pr</w:t>
      </w:r>
      <w:r w:rsidRPr="00FD64CC">
        <w:t xml:space="preserve">ogressive neurological </w:t>
      </w:r>
      <w:proofErr w:type="gramStart"/>
      <w:r w:rsidRPr="00FD64CC">
        <w:t>disorder;</w:t>
      </w:r>
      <w:proofErr w:type="gramEnd"/>
    </w:p>
    <w:p w14:paraId="107A7CE2" w14:textId="523310F0" w:rsidR="00970113" w:rsidRPr="00FD64CC" w:rsidRDefault="00E87AC5" w:rsidP="009C460B">
      <w:pPr>
        <w:pStyle w:val="ListBullet"/>
      </w:pPr>
      <w:r w:rsidRPr="00FD64CC">
        <w:t>a</w:t>
      </w:r>
      <w:r w:rsidR="00970113" w:rsidRPr="00FD64CC">
        <w:t xml:space="preserve"> history of status epilepticus or cluster seizures (</w:t>
      </w:r>
      <w:r w:rsidRPr="00FD64CC">
        <w:t>three</w:t>
      </w:r>
      <w:r w:rsidR="00970113" w:rsidRPr="00FD64CC">
        <w:t xml:space="preserve"> or more seizures within 30</w:t>
      </w:r>
      <w:r w:rsidR="002D6F01">
        <w:t> </w:t>
      </w:r>
      <w:r w:rsidR="00970113" w:rsidRPr="00FD64CC">
        <w:t xml:space="preserve">minutes) within the </w:t>
      </w:r>
      <w:r w:rsidRPr="00FD64CC">
        <w:t xml:space="preserve">three months prior to </w:t>
      </w:r>
      <w:proofErr w:type="gramStart"/>
      <w:r w:rsidRPr="00FD64CC">
        <w:t>screening;</w:t>
      </w:r>
      <w:proofErr w:type="gramEnd"/>
    </w:p>
    <w:p w14:paraId="46159350" w14:textId="575769A1" w:rsidR="00970113" w:rsidRPr="00FD64CC" w:rsidRDefault="00E87AC5" w:rsidP="009C460B">
      <w:pPr>
        <w:pStyle w:val="ListBullet"/>
      </w:pPr>
      <w:r w:rsidRPr="00FD64CC">
        <w:t>s</w:t>
      </w:r>
      <w:r w:rsidR="00970113" w:rsidRPr="00FD64CC">
        <w:t xml:space="preserve">eizures of psychogenic origin within the last </w:t>
      </w:r>
      <w:r w:rsidRPr="00FD64CC">
        <w:t xml:space="preserve">two </w:t>
      </w:r>
      <w:proofErr w:type="gramStart"/>
      <w:r w:rsidRPr="00FD64CC">
        <w:t>years;</w:t>
      </w:r>
      <w:proofErr w:type="gramEnd"/>
    </w:p>
    <w:p w14:paraId="44C13A28" w14:textId="2F8C62A8" w:rsidR="00970113" w:rsidRPr="00FD64CC" w:rsidRDefault="00E87AC5" w:rsidP="009C460B">
      <w:pPr>
        <w:pStyle w:val="ListBullet"/>
      </w:pPr>
      <w:r w:rsidRPr="00FD64CC">
        <w:t>a</w:t>
      </w:r>
      <w:r w:rsidR="00970113" w:rsidRPr="00FD64CC">
        <w:t xml:space="preserve"> history of s</w:t>
      </w:r>
      <w:r w:rsidRPr="00FD64CC">
        <w:t xml:space="preserve">chizophrenia or suicide </w:t>
      </w:r>
      <w:proofErr w:type="gramStart"/>
      <w:r w:rsidRPr="00FD64CC">
        <w:t>attempt;</w:t>
      </w:r>
      <w:proofErr w:type="gramEnd"/>
    </w:p>
    <w:p w14:paraId="43E0DF0E" w14:textId="4F76C484" w:rsidR="00970113" w:rsidRPr="00FD64CC" w:rsidRDefault="00E87AC5" w:rsidP="009C460B">
      <w:pPr>
        <w:pStyle w:val="ListBullet"/>
      </w:pPr>
      <w:r w:rsidRPr="00FD64CC">
        <w:t>e</w:t>
      </w:r>
      <w:r w:rsidR="00970113" w:rsidRPr="00FD64CC">
        <w:t xml:space="preserve">xposure to felbamate or oxcarbazepine within </w:t>
      </w:r>
      <w:r w:rsidRPr="00FD64CC">
        <w:t>one</w:t>
      </w:r>
      <w:r w:rsidR="00970113" w:rsidRPr="00FD64CC">
        <w:t xml:space="preserve"> mo</w:t>
      </w:r>
      <w:r w:rsidRPr="00FD64CC">
        <w:t xml:space="preserve">nth of </w:t>
      </w:r>
      <w:proofErr w:type="gramStart"/>
      <w:r w:rsidRPr="00FD64CC">
        <w:t>screening;</w:t>
      </w:r>
      <w:proofErr w:type="gramEnd"/>
    </w:p>
    <w:p w14:paraId="24DA03B7" w14:textId="3BD6911A" w:rsidR="00970113" w:rsidRPr="00FD64CC" w:rsidRDefault="00E87AC5" w:rsidP="009C460B">
      <w:pPr>
        <w:pStyle w:val="ListBullet"/>
      </w:pPr>
      <w:r w:rsidRPr="00FD64CC">
        <w:t>e</w:t>
      </w:r>
      <w:r w:rsidR="00970113" w:rsidRPr="00FD64CC">
        <w:t>xposure to benzodiazepines on more than an occasional basis (excep</w:t>
      </w:r>
      <w:r w:rsidRPr="00FD64CC">
        <w:t>t when used chronically as AED</w:t>
      </w:r>
      <w:proofErr w:type="gramStart"/>
      <w:r w:rsidRPr="00FD64CC">
        <w:t>);</w:t>
      </w:r>
      <w:proofErr w:type="gramEnd"/>
    </w:p>
    <w:p w14:paraId="5ACD3EF9" w14:textId="1915906B" w:rsidR="00970113" w:rsidRPr="00FD64CC" w:rsidRDefault="00E87AC5" w:rsidP="009C460B">
      <w:pPr>
        <w:pStyle w:val="ListBullet"/>
      </w:pPr>
      <w:r w:rsidRPr="00FD64CC">
        <w:t>k</w:t>
      </w:r>
      <w:r w:rsidR="00970113" w:rsidRPr="00FD64CC">
        <w:t>nown hypersensitivity to carbamazepin</w:t>
      </w:r>
      <w:r w:rsidRPr="00FD64CC">
        <w:t xml:space="preserve">e, oxcarbazepine, or </w:t>
      </w:r>
      <w:proofErr w:type="gramStart"/>
      <w:r w:rsidRPr="00FD64CC">
        <w:t>chemically-</w:t>
      </w:r>
      <w:r w:rsidR="00970113" w:rsidRPr="00FD64CC">
        <w:t>related</w:t>
      </w:r>
      <w:proofErr w:type="gramEnd"/>
      <w:r w:rsidR="00970113" w:rsidRPr="00FD64CC">
        <w:t xml:space="preserve"> substances.</w:t>
      </w:r>
    </w:p>
    <w:p w14:paraId="0EF5B8D7" w14:textId="2E0A5A06" w:rsidR="00970113" w:rsidRPr="00FD64CC" w:rsidRDefault="00E87AC5" w:rsidP="009C460B">
      <w:pPr>
        <w:pStyle w:val="ListBullet"/>
      </w:pPr>
      <w:proofErr w:type="gramStart"/>
      <w:r w:rsidRPr="00FD64CC">
        <w:t>s</w:t>
      </w:r>
      <w:r w:rsidR="00970113" w:rsidRPr="00FD64CC">
        <w:t>econd or third</w:t>
      </w:r>
      <w:r w:rsidRPr="00FD64CC">
        <w:t xml:space="preserve"> </w:t>
      </w:r>
      <w:r w:rsidR="00970113" w:rsidRPr="00FD64CC">
        <w:t>degree</w:t>
      </w:r>
      <w:proofErr w:type="gramEnd"/>
      <w:r w:rsidR="00970113" w:rsidRPr="00FD64CC">
        <w:t xml:space="preserve"> atrioventricular blockade not corrected with a pacemaker</w:t>
      </w:r>
      <w:r w:rsidRPr="00FD64CC">
        <w:t>;</w:t>
      </w:r>
    </w:p>
    <w:p w14:paraId="03C0D68B" w14:textId="0C1DAF58" w:rsidR="00970113" w:rsidRPr="00FD64CC" w:rsidRDefault="00E87AC5" w:rsidP="00F263B0">
      <w:pPr>
        <w:pStyle w:val="ListBullet"/>
      </w:pPr>
      <w:r w:rsidRPr="00FD64CC">
        <w:t>r</w:t>
      </w:r>
      <w:r w:rsidR="00970113" w:rsidRPr="00FD64CC">
        <w:t>elevant clinical laboratory abnormalities (</w:t>
      </w:r>
      <w:r w:rsidRPr="00FD64CC">
        <w:t>for example,</w:t>
      </w:r>
      <w:r w:rsidR="00970113" w:rsidRPr="00FD64CC">
        <w:t xml:space="preserve"> Na</w:t>
      </w:r>
      <w:r w:rsidR="00970113" w:rsidRPr="00F36D7B">
        <w:rPr>
          <w:vertAlign w:val="superscript"/>
        </w:rPr>
        <w:t>+</w:t>
      </w:r>
      <w:r w:rsidR="00970113" w:rsidRPr="00FD64CC">
        <w:t xml:space="preserve"> &lt;</w:t>
      </w:r>
      <w:r w:rsidRPr="00FD64CC">
        <w:t xml:space="preserve"> </w:t>
      </w:r>
      <w:r w:rsidR="00182632" w:rsidRPr="00FD64CC">
        <w:t>130 </w:t>
      </w:r>
      <w:r w:rsidR="00970113" w:rsidRPr="00FD64CC">
        <w:t xml:space="preserve">mmol/L, </w:t>
      </w:r>
      <w:r w:rsidR="00F263B0" w:rsidRPr="00FD64CC">
        <w:t>alanine</w:t>
      </w:r>
      <w:r w:rsidR="002D6F01">
        <w:t> </w:t>
      </w:r>
      <w:r w:rsidR="00F263B0" w:rsidRPr="00FD64CC">
        <w:t>aminotransferase (</w:t>
      </w:r>
      <w:r w:rsidR="00970113" w:rsidRPr="00FD64CC">
        <w:t>ALT</w:t>
      </w:r>
      <w:r w:rsidR="00F263B0" w:rsidRPr="00FD64CC">
        <w:t>)</w:t>
      </w:r>
      <w:r w:rsidR="00970113" w:rsidRPr="00FD64CC">
        <w:t xml:space="preserve"> or </w:t>
      </w:r>
      <w:r w:rsidR="00F263B0" w:rsidRPr="00FD64CC">
        <w:t>aspartate aminotransferase (</w:t>
      </w:r>
      <w:r w:rsidR="00970113" w:rsidRPr="00FD64CC">
        <w:t>AST</w:t>
      </w:r>
      <w:r w:rsidR="00F263B0" w:rsidRPr="00FD64CC">
        <w:t>)</w:t>
      </w:r>
      <w:r w:rsidR="00970113" w:rsidRPr="00FD64CC">
        <w:t xml:space="preserve"> &gt;</w:t>
      </w:r>
      <w:r w:rsidRPr="00FD64CC">
        <w:t xml:space="preserve"> </w:t>
      </w:r>
      <w:r w:rsidR="00970113" w:rsidRPr="00FD64CC">
        <w:t xml:space="preserve">2.0 times the upper limit of normal, </w:t>
      </w:r>
      <w:r w:rsidR="00F263B0" w:rsidRPr="00FD64CC">
        <w:t xml:space="preserve">white blood cell </w:t>
      </w:r>
      <w:r w:rsidR="00970113" w:rsidRPr="00FD64CC">
        <w:t>count &lt;</w:t>
      </w:r>
      <w:r w:rsidR="00182632" w:rsidRPr="00FD64CC">
        <w:t> 3,000 </w:t>
      </w:r>
      <w:r w:rsidR="00970113" w:rsidRPr="00FD64CC">
        <w:t>cells/mm</w:t>
      </w:r>
      <w:r w:rsidR="00970113" w:rsidRPr="00FD64CC">
        <w:rPr>
          <w:vertAlign w:val="superscript"/>
        </w:rPr>
        <w:t>3</w:t>
      </w:r>
      <w:proofErr w:type="gramStart"/>
      <w:r w:rsidRPr="00FD64CC">
        <w:t>);</w:t>
      </w:r>
      <w:proofErr w:type="gramEnd"/>
    </w:p>
    <w:p w14:paraId="17F33C16" w14:textId="3AB5F335" w:rsidR="00970113" w:rsidRPr="00FD64CC" w:rsidRDefault="00E87AC5" w:rsidP="009C460B">
      <w:pPr>
        <w:pStyle w:val="ListBullet"/>
      </w:pPr>
      <w:r w:rsidRPr="00FD64CC">
        <w:t>a</w:t>
      </w:r>
      <w:r w:rsidR="00970113" w:rsidRPr="00FD64CC">
        <w:t>n estimated creatinine clearance (CL</w:t>
      </w:r>
      <w:r w:rsidR="00970113" w:rsidRPr="00F36D7B">
        <w:rPr>
          <w:vertAlign w:val="subscript"/>
        </w:rPr>
        <w:t>CR</w:t>
      </w:r>
      <w:r w:rsidR="00970113" w:rsidRPr="00FD64CC">
        <w:t>) &lt;</w:t>
      </w:r>
      <w:r w:rsidR="00182632" w:rsidRPr="00FD64CC">
        <w:t> 50 </w:t>
      </w:r>
      <w:r w:rsidR="00970113" w:rsidRPr="00FD64CC">
        <w:t>mL/min.</w:t>
      </w:r>
    </w:p>
    <w:p w14:paraId="6954C433" w14:textId="574C2A91" w:rsidR="00970113" w:rsidRPr="00FD64CC" w:rsidRDefault="00E87AC5" w:rsidP="009C460B">
      <w:pPr>
        <w:pStyle w:val="Heading5"/>
      </w:pPr>
      <w:r w:rsidRPr="00FD64CC">
        <w:t>Study t</w:t>
      </w:r>
      <w:r w:rsidR="00970113" w:rsidRPr="00FD64CC">
        <w:t>reatment</w:t>
      </w:r>
    </w:p>
    <w:p w14:paraId="73F7B8CF" w14:textId="21616AEF" w:rsidR="00970113" w:rsidRPr="00FD64CC" w:rsidRDefault="00970113" w:rsidP="009C460B">
      <w:r w:rsidRPr="00FD64CC">
        <w:t>During</w:t>
      </w:r>
      <w:r w:rsidR="00791733" w:rsidRPr="00FD64CC">
        <w:t xml:space="preserve"> the </w:t>
      </w:r>
      <w:proofErr w:type="gramStart"/>
      <w:r w:rsidR="00791733" w:rsidRPr="00FD64CC">
        <w:t>eight week</w:t>
      </w:r>
      <w:proofErr w:type="gramEnd"/>
      <w:r w:rsidR="00791733" w:rsidRPr="00FD64CC">
        <w:t xml:space="preserve"> baseline period of S</w:t>
      </w:r>
      <w:r w:rsidRPr="00FD64CC">
        <w:t xml:space="preserve">tudy 301, placebo was administered </w:t>
      </w:r>
      <w:r w:rsidR="008627BD" w:rsidRPr="00FD64CC">
        <w:t>once daily</w:t>
      </w:r>
      <w:r w:rsidRPr="00FD64CC">
        <w:t xml:space="preserve"> in a single</w:t>
      </w:r>
      <w:r w:rsidR="00791733" w:rsidRPr="00FD64CC">
        <w:t xml:space="preserve"> </w:t>
      </w:r>
      <w:r w:rsidRPr="00FD64CC">
        <w:t>blind fashion, which should allow for an accounting of the number of seizures under placebo treatment.</w:t>
      </w:r>
    </w:p>
    <w:p w14:paraId="0179C6B4" w14:textId="0A24F3F6" w:rsidR="00970113" w:rsidRPr="00FD64CC" w:rsidRDefault="00791733" w:rsidP="009C460B">
      <w:r w:rsidRPr="00FD64CC">
        <w:t>In S</w:t>
      </w:r>
      <w:r w:rsidR="00970113" w:rsidRPr="00FD64CC">
        <w:t xml:space="preserve">tudies 302 and 303, no study treatment was administered during baseline. At the end of the baseline period, subjects who met the selection criteria were randomly assigned to </w:t>
      </w:r>
      <w:r w:rsidRPr="00FD64CC">
        <w:t>one</w:t>
      </w:r>
      <w:r w:rsidR="00970113" w:rsidRPr="00FD64CC">
        <w:t xml:space="preserve"> of the following treatment groups, study medication was taken without regard to meals:</w:t>
      </w:r>
    </w:p>
    <w:p w14:paraId="46AFDD8A" w14:textId="051DE3A7" w:rsidR="00291F3D" w:rsidRPr="00FD64CC" w:rsidRDefault="00291F3D" w:rsidP="00713E52">
      <w:pPr>
        <w:pStyle w:val="TableTitle"/>
        <w:pageBreakBefore/>
      </w:pPr>
      <w:r w:rsidRPr="00FD64CC">
        <w:lastRenderedPageBreak/>
        <w:t xml:space="preserve">Table </w:t>
      </w:r>
      <w:fldSimple w:instr=" SEQ Table \* ARABIC ">
        <w:r w:rsidR="00FE04B8">
          <w:rPr>
            <w:noProof/>
          </w:rPr>
          <w:t>4</w:t>
        </w:r>
      </w:fldSimple>
      <w:r w:rsidRPr="00FD64CC">
        <w:t>: Studies</w:t>
      </w:r>
      <w:r w:rsidR="0084467D" w:rsidRPr="00FD64CC">
        <w:t xml:space="preserve"> </w:t>
      </w:r>
      <w:r w:rsidRPr="00FD64CC">
        <w:t xml:space="preserve">301, 302 and 303 Subjects randomisation </w:t>
      </w:r>
      <w:r w:rsidR="0084467D" w:rsidRPr="00FD64CC">
        <w:t>and corresponding</w:t>
      </w:r>
      <w:r w:rsidRPr="00FD64CC">
        <w:t xml:space="preserve"> treatment groups</w:t>
      </w:r>
      <w:r w:rsidR="0084467D" w:rsidRPr="00FD64CC">
        <w:t xml:space="preserve"> assigned</w:t>
      </w:r>
    </w:p>
    <w:tbl>
      <w:tblPr>
        <w:tblStyle w:val="TableTGAblue"/>
        <w:tblW w:w="0" w:type="auto"/>
        <w:tblLook w:val="04A0" w:firstRow="1" w:lastRow="0" w:firstColumn="1" w:lastColumn="0" w:noHBand="0" w:noVBand="1"/>
      </w:tblPr>
      <w:tblGrid>
        <w:gridCol w:w="2967"/>
        <w:gridCol w:w="2835"/>
      </w:tblGrid>
      <w:tr w:rsidR="00970113" w:rsidRPr="00FD64CC" w14:paraId="7B1924A2" w14:textId="77777777" w:rsidTr="00713E52">
        <w:trPr>
          <w:cnfStyle w:val="100000000000" w:firstRow="1" w:lastRow="0" w:firstColumn="0" w:lastColumn="0" w:oddVBand="0" w:evenVBand="0" w:oddHBand="0" w:evenHBand="0" w:firstRowFirstColumn="0" w:firstRowLastColumn="0" w:lastRowFirstColumn="0" w:lastRowLastColumn="0"/>
        </w:trPr>
        <w:tc>
          <w:tcPr>
            <w:tcW w:w="2967" w:type="dxa"/>
          </w:tcPr>
          <w:p w14:paraId="37C89147" w14:textId="4F1F6063" w:rsidR="00970113" w:rsidRPr="00F36D7B" w:rsidRDefault="00970113" w:rsidP="00F36D7B">
            <w:pPr>
              <w:pStyle w:val="Tabletext"/>
              <w:ind w:left="0"/>
              <w:rPr>
                <w:sz w:val="20"/>
              </w:rPr>
            </w:pPr>
            <w:r w:rsidRPr="00F36D7B">
              <w:rPr>
                <w:sz w:val="20"/>
              </w:rPr>
              <w:t>Studies 301 and 302</w:t>
            </w:r>
          </w:p>
        </w:tc>
        <w:tc>
          <w:tcPr>
            <w:tcW w:w="2835" w:type="dxa"/>
          </w:tcPr>
          <w:p w14:paraId="247A18E1" w14:textId="2ECE89BE" w:rsidR="00970113" w:rsidRPr="00F36D7B" w:rsidRDefault="00970113" w:rsidP="00F36D7B">
            <w:pPr>
              <w:pStyle w:val="Tabletext"/>
              <w:ind w:left="0"/>
              <w:rPr>
                <w:sz w:val="20"/>
              </w:rPr>
            </w:pPr>
            <w:r w:rsidRPr="00F36D7B">
              <w:rPr>
                <w:sz w:val="20"/>
              </w:rPr>
              <w:t>Study 303</w:t>
            </w:r>
          </w:p>
        </w:tc>
      </w:tr>
      <w:tr w:rsidR="00970113" w:rsidRPr="00FD64CC" w14:paraId="3A2FB766" w14:textId="77777777" w:rsidTr="00713E52">
        <w:tc>
          <w:tcPr>
            <w:tcW w:w="2967" w:type="dxa"/>
          </w:tcPr>
          <w:p w14:paraId="0E9F6433" w14:textId="7B7312AB" w:rsidR="00970113" w:rsidRPr="00F36D7B" w:rsidRDefault="00791733" w:rsidP="00F36D7B">
            <w:pPr>
              <w:pStyle w:val="Tabletext"/>
              <w:ind w:left="0"/>
              <w:rPr>
                <w:sz w:val="20"/>
              </w:rPr>
            </w:pPr>
            <w:r w:rsidRPr="00F36D7B">
              <w:rPr>
                <w:sz w:val="20"/>
              </w:rPr>
              <w:t>R</w:t>
            </w:r>
            <w:r w:rsidR="00970113" w:rsidRPr="00F36D7B">
              <w:rPr>
                <w:sz w:val="20"/>
              </w:rPr>
              <w:t>andomisation ratio: 1:1:1:1</w:t>
            </w:r>
          </w:p>
        </w:tc>
        <w:tc>
          <w:tcPr>
            <w:tcW w:w="2835" w:type="dxa"/>
          </w:tcPr>
          <w:p w14:paraId="13D3AA0F" w14:textId="778F78F4" w:rsidR="00970113" w:rsidRPr="00F36D7B" w:rsidRDefault="00791733" w:rsidP="00F36D7B">
            <w:pPr>
              <w:pStyle w:val="Tabletext"/>
              <w:ind w:left="0"/>
              <w:rPr>
                <w:sz w:val="20"/>
              </w:rPr>
            </w:pPr>
            <w:r w:rsidRPr="00F36D7B">
              <w:rPr>
                <w:sz w:val="20"/>
              </w:rPr>
              <w:t>R</w:t>
            </w:r>
            <w:r w:rsidR="00970113" w:rsidRPr="00F36D7B">
              <w:rPr>
                <w:sz w:val="20"/>
              </w:rPr>
              <w:t>andomisation ratio: 1:1:1</w:t>
            </w:r>
          </w:p>
        </w:tc>
      </w:tr>
      <w:tr w:rsidR="00970113" w:rsidRPr="00FD64CC" w14:paraId="66A242EB" w14:textId="77777777" w:rsidTr="00713E52">
        <w:tc>
          <w:tcPr>
            <w:tcW w:w="2967" w:type="dxa"/>
          </w:tcPr>
          <w:p w14:paraId="5943028A" w14:textId="77777777" w:rsidR="00791733" w:rsidRPr="00F36D7B" w:rsidRDefault="00970113" w:rsidP="00F36D7B">
            <w:pPr>
              <w:pStyle w:val="Tabletext"/>
              <w:ind w:left="0"/>
              <w:rPr>
                <w:sz w:val="20"/>
              </w:rPr>
            </w:pPr>
            <w:r w:rsidRPr="00F36D7B">
              <w:rPr>
                <w:sz w:val="20"/>
              </w:rPr>
              <w:t>Group 1: ESL 1200</w:t>
            </w:r>
            <w:r w:rsidR="00791733" w:rsidRPr="00F36D7B">
              <w:rPr>
                <w:sz w:val="20"/>
              </w:rPr>
              <w:t> mg</w:t>
            </w:r>
          </w:p>
          <w:p w14:paraId="6F6B2199" w14:textId="77777777" w:rsidR="00791733" w:rsidRPr="00F36D7B" w:rsidRDefault="00970113" w:rsidP="00F36D7B">
            <w:pPr>
              <w:pStyle w:val="Tabletext"/>
              <w:ind w:left="0"/>
              <w:rPr>
                <w:sz w:val="20"/>
              </w:rPr>
            </w:pPr>
            <w:r w:rsidRPr="00F36D7B">
              <w:rPr>
                <w:sz w:val="20"/>
              </w:rPr>
              <w:t>Group 2: ESL 800</w:t>
            </w:r>
            <w:r w:rsidR="00791733" w:rsidRPr="00F36D7B">
              <w:rPr>
                <w:sz w:val="20"/>
              </w:rPr>
              <w:t> mg</w:t>
            </w:r>
          </w:p>
          <w:p w14:paraId="61204233" w14:textId="77777777" w:rsidR="00791733" w:rsidRPr="00F36D7B" w:rsidRDefault="00970113" w:rsidP="00F36D7B">
            <w:pPr>
              <w:pStyle w:val="Tabletext"/>
              <w:ind w:left="0"/>
              <w:rPr>
                <w:sz w:val="20"/>
              </w:rPr>
            </w:pPr>
            <w:r w:rsidRPr="00F36D7B">
              <w:rPr>
                <w:sz w:val="20"/>
              </w:rPr>
              <w:t>Group 3: ESL 400</w:t>
            </w:r>
            <w:r w:rsidR="00791733" w:rsidRPr="00F36D7B">
              <w:rPr>
                <w:sz w:val="20"/>
              </w:rPr>
              <w:t> mg</w:t>
            </w:r>
          </w:p>
          <w:p w14:paraId="539B9580" w14:textId="1268FF8B" w:rsidR="00970113" w:rsidRPr="00F36D7B" w:rsidRDefault="00791733" w:rsidP="00F36D7B">
            <w:pPr>
              <w:pStyle w:val="Tabletext"/>
              <w:ind w:left="0"/>
              <w:rPr>
                <w:sz w:val="20"/>
              </w:rPr>
            </w:pPr>
            <w:r w:rsidRPr="00F36D7B">
              <w:rPr>
                <w:sz w:val="20"/>
              </w:rPr>
              <w:t>Group 4: p</w:t>
            </w:r>
            <w:r w:rsidR="00970113" w:rsidRPr="00F36D7B">
              <w:rPr>
                <w:sz w:val="20"/>
              </w:rPr>
              <w:t>lacebo</w:t>
            </w:r>
          </w:p>
        </w:tc>
        <w:tc>
          <w:tcPr>
            <w:tcW w:w="2835" w:type="dxa"/>
          </w:tcPr>
          <w:p w14:paraId="266642E7" w14:textId="77777777" w:rsidR="00791733" w:rsidRPr="00F36D7B" w:rsidRDefault="00970113" w:rsidP="00F36D7B">
            <w:pPr>
              <w:pStyle w:val="Tabletext"/>
              <w:ind w:left="0"/>
              <w:rPr>
                <w:sz w:val="20"/>
              </w:rPr>
            </w:pPr>
            <w:r w:rsidRPr="00F36D7B">
              <w:rPr>
                <w:sz w:val="20"/>
              </w:rPr>
              <w:t>Group 1: ESL 1200</w:t>
            </w:r>
            <w:r w:rsidR="00791733" w:rsidRPr="00F36D7B">
              <w:rPr>
                <w:sz w:val="20"/>
              </w:rPr>
              <w:t> mg</w:t>
            </w:r>
          </w:p>
          <w:p w14:paraId="2BBB73AA" w14:textId="77777777" w:rsidR="00791733" w:rsidRPr="00F36D7B" w:rsidRDefault="00970113" w:rsidP="00F36D7B">
            <w:pPr>
              <w:pStyle w:val="Tabletext"/>
              <w:ind w:left="0"/>
              <w:rPr>
                <w:sz w:val="20"/>
              </w:rPr>
            </w:pPr>
            <w:r w:rsidRPr="00F36D7B">
              <w:rPr>
                <w:sz w:val="20"/>
              </w:rPr>
              <w:t>Group 2: ESL 800</w:t>
            </w:r>
            <w:r w:rsidR="00791733" w:rsidRPr="00F36D7B">
              <w:rPr>
                <w:sz w:val="20"/>
              </w:rPr>
              <w:t> mg</w:t>
            </w:r>
          </w:p>
          <w:p w14:paraId="12C33A5A" w14:textId="7B10F47D" w:rsidR="00970113" w:rsidRPr="00F36D7B" w:rsidRDefault="00791733" w:rsidP="00F36D7B">
            <w:pPr>
              <w:pStyle w:val="Tabletext"/>
              <w:ind w:left="0"/>
              <w:rPr>
                <w:sz w:val="20"/>
              </w:rPr>
            </w:pPr>
            <w:r w:rsidRPr="00F36D7B">
              <w:rPr>
                <w:sz w:val="20"/>
              </w:rPr>
              <w:t>Group 4: p</w:t>
            </w:r>
            <w:r w:rsidR="00970113" w:rsidRPr="00F36D7B">
              <w:rPr>
                <w:sz w:val="20"/>
              </w:rPr>
              <w:t>lacebo</w:t>
            </w:r>
          </w:p>
        </w:tc>
      </w:tr>
    </w:tbl>
    <w:p w14:paraId="6E41B25F" w14:textId="44B76173" w:rsidR="00791733" w:rsidRPr="00FD64CC" w:rsidRDefault="00791733" w:rsidP="00791733">
      <w:pPr>
        <w:pStyle w:val="TableDescription"/>
      </w:pPr>
      <w:r w:rsidRPr="00FD64CC">
        <w:t xml:space="preserve">ESL = </w:t>
      </w:r>
      <w:proofErr w:type="spellStart"/>
      <w:r w:rsidRPr="00FD64CC">
        <w:t>eslicarbazepine</w:t>
      </w:r>
      <w:proofErr w:type="spellEnd"/>
      <w:r w:rsidRPr="00FD64CC">
        <w:t xml:space="preserve"> acetate.</w:t>
      </w:r>
    </w:p>
    <w:p w14:paraId="79EE225C" w14:textId="10826C0B" w:rsidR="00970113" w:rsidRPr="00FD64CC" w:rsidRDefault="008F21D4" w:rsidP="008F21D4">
      <w:pPr>
        <w:pStyle w:val="Heading5"/>
      </w:pPr>
      <w:r w:rsidRPr="00FD64CC">
        <w:t>Dosing Schedule</w:t>
      </w:r>
    </w:p>
    <w:p w14:paraId="7677A6ED" w14:textId="1A54F265" w:rsidR="0084467D" w:rsidRPr="00FD64CC" w:rsidRDefault="0084467D" w:rsidP="0084467D">
      <w:pPr>
        <w:pStyle w:val="TableTitle"/>
      </w:pPr>
      <w:r w:rsidRPr="00FD64CC">
        <w:t xml:space="preserve">Table </w:t>
      </w:r>
      <w:fldSimple w:instr=" SEQ Table \* ARABIC ">
        <w:r w:rsidR="00FE04B8">
          <w:rPr>
            <w:noProof/>
          </w:rPr>
          <w:t>5</w:t>
        </w:r>
      </w:fldSimple>
      <w:r w:rsidRPr="00FD64CC">
        <w:t xml:space="preserve">: Studies 301, 302 and 303 Dosing </w:t>
      </w:r>
      <w:proofErr w:type="gramStart"/>
      <w:r w:rsidRPr="00FD64CC">
        <w:t>schedule</w:t>
      </w:r>
      <w:proofErr w:type="gramEnd"/>
    </w:p>
    <w:tbl>
      <w:tblPr>
        <w:tblStyle w:val="TableTGAblue"/>
        <w:tblW w:w="8637" w:type="dxa"/>
        <w:tblLayout w:type="fixed"/>
        <w:tblLook w:val="04A0" w:firstRow="1" w:lastRow="0" w:firstColumn="1" w:lastColumn="0" w:noHBand="0" w:noVBand="1"/>
      </w:tblPr>
      <w:tblGrid>
        <w:gridCol w:w="1408"/>
        <w:gridCol w:w="1134"/>
        <w:gridCol w:w="1417"/>
        <w:gridCol w:w="1418"/>
        <w:gridCol w:w="1691"/>
        <w:gridCol w:w="1569"/>
      </w:tblGrid>
      <w:tr w:rsidR="0050079B" w:rsidRPr="00FD64CC" w14:paraId="3AC43B2A" w14:textId="77777777" w:rsidTr="00914D14">
        <w:trPr>
          <w:cnfStyle w:val="100000000000" w:firstRow="1" w:lastRow="0" w:firstColumn="0" w:lastColumn="0" w:oddVBand="0" w:evenVBand="0" w:oddHBand="0" w:evenHBand="0" w:firstRowFirstColumn="0" w:firstRowLastColumn="0" w:lastRowFirstColumn="0" w:lastRowLastColumn="0"/>
        </w:trPr>
        <w:tc>
          <w:tcPr>
            <w:tcW w:w="1408" w:type="dxa"/>
          </w:tcPr>
          <w:p w14:paraId="3A1D7890" w14:textId="58F3EEA5" w:rsidR="0050079B" w:rsidRPr="00F36D7B" w:rsidRDefault="0050079B" w:rsidP="00F36D7B">
            <w:pPr>
              <w:pStyle w:val="Tabletext"/>
              <w:ind w:left="0" w:right="0"/>
              <w:rPr>
                <w:sz w:val="20"/>
                <w:szCs w:val="20"/>
                <w:lang w:eastAsia="ja-JP"/>
              </w:rPr>
            </w:pPr>
            <w:r w:rsidRPr="00F36D7B">
              <w:rPr>
                <w:sz w:val="20"/>
                <w:szCs w:val="20"/>
                <w:lang w:eastAsia="ja-JP"/>
              </w:rPr>
              <w:t>Group</w:t>
            </w:r>
          </w:p>
        </w:tc>
        <w:tc>
          <w:tcPr>
            <w:tcW w:w="1134" w:type="dxa"/>
          </w:tcPr>
          <w:p w14:paraId="564A0890" w14:textId="164D9A19" w:rsidR="0050079B" w:rsidRPr="00F36D7B" w:rsidRDefault="0050079B" w:rsidP="00F36D7B">
            <w:pPr>
              <w:pStyle w:val="Tabletext"/>
              <w:ind w:left="0" w:right="0"/>
              <w:rPr>
                <w:sz w:val="20"/>
                <w:szCs w:val="20"/>
                <w:lang w:eastAsia="ja-JP"/>
              </w:rPr>
            </w:pPr>
            <w:r w:rsidRPr="00F36D7B">
              <w:rPr>
                <w:sz w:val="20"/>
                <w:szCs w:val="20"/>
                <w:lang w:eastAsia="ja-JP"/>
              </w:rPr>
              <w:t>Study</w:t>
            </w:r>
          </w:p>
        </w:tc>
        <w:tc>
          <w:tcPr>
            <w:tcW w:w="1417" w:type="dxa"/>
          </w:tcPr>
          <w:p w14:paraId="7137522D" w14:textId="77777777" w:rsidR="0050079B" w:rsidRPr="00F36D7B" w:rsidRDefault="0050079B" w:rsidP="00F36D7B">
            <w:pPr>
              <w:pStyle w:val="Tabletext"/>
              <w:ind w:left="0" w:right="0"/>
              <w:rPr>
                <w:b w:val="0"/>
                <w:sz w:val="20"/>
                <w:szCs w:val="20"/>
                <w:lang w:eastAsia="ja-JP"/>
              </w:rPr>
            </w:pPr>
            <w:r w:rsidRPr="00F36D7B">
              <w:rPr>
                <w:sz w:val="20"/>
                <w:szCs w:val="20"/>
                <w:lang w:eastAsia="ja-JP"/>
              </w:rPr>
              <w:t>Baseline</w:t>
            </w:r>
          </w:p>
          <w:p w14:paraId="72588EB1" w14:textId="77777777" w:rsidR="0050079B" w:rsidRPr="00F36D7B" w:rsidRDefault="0050079B" w:rsidP="00F36D7B">
            <w:pPr>
              <w:pStyle w:val="Tabletext"/>
              <w:ind w:left="0" w:right="0"/>
              <w:rPr>
                <w:sz w:val="20"/>
                <w:szCs w:val="20"/>
                <w:lang w:eastAsia="ja-JP"/>
              </w:rPr>
            </w:pPr>
            <w:r w:rsidRPr="00F36D7B">
              <w:rPr>
                <w:sz w:val="20"/>
                <w:szCs w:val="20"/>
                <w:lang w:eastAsia="ja-JP"/>
              </w:rPr>
              <w:t>(V1 to V2)</w:t>
            </w:r>
          </w:p>
        </w:tc>
        <w:tc>
          <w:tcPr>
            <w:tcW w:w="1418" w:type="dxa"/>
          </w:tcPr>
          <w:p w14:paraId="1E3D396C" w14:textId="77777777" w:rsidR="0050079B" w:rsidRPr="00F36D7B" w:rsidRDefault="0050079B" w:rsidP="00F36D7B">
            <w:pPr>
              <w:pStyle w:val="Tabletext"/>
              <w:ind w:left="0" w:right="0"/>
              <w:rPr>
                <w:sz w:val="20"/>
                <w:szCs w:val="20"/>
                <w:lang w:eastAsia="ja-JP"/>
              </w:rPr>
            </w:pPr>
            <w:r w:rsidRPr="00F36D7B">
              <w:rPr>
                <w:sz w:val="20"/>
                <w:szCs w:val="20"/>
                <w:lang w:eastAsia="ja-JP"/>
              </w:rPr>
              <w:t>Titration</w:t>
            </w:r>
          </w:p>
          <w:p w14:paraId="4A67105D" w14:textId="03A9A575" w:rsidR="0050079B" w:rsidRPr="00F36D7B" w:rsidRDefault="0050079B" w:rsidP="00F36D7B">
            <w:pPr>
              <w:pStyle w:val="Tabletext"/>
              <w:ind w:left="0" w:right="0"/>
              <w:rPr>
                <w:sz w:val="20"/>
                <w:szCs w:val="20"/>
                <w:lang w:eastAsia="ja-JP"/>
              </w:rPr>
            </w:pPr>
            <w:r w:rsidRPr="00F36D7B">
              <w:rPr>
                <w:sz w:val="20"/>
                <w:szCs w:val="20"/>
                <w:lang w:eastAsia="ja-JP"/>
              </w:rPr>
              <w:t>(V2 to V3)</w:t>
            </w:r>
          </w:p>
        </w:tc>
        <w:tc>
          <w:tcPr>
            <w:tcW w:w="1691" w:type="dxa"/>
          </w:tcPr>
          <w:p w14:paraId="6026944B" w14:textId="77777777" w:rsidR="0050079B" w:rsidRPr="00F36D7B" w:rsidRDefault="0050079B" w:rsidP="00F36D7B">
            <w:pPr>
              <w:pStyle w:val="Tabletext"/>
              <w:ind w:left="0" w:right="0"/>
              <w:rPr>
                <w:sz w:val="20"/>
                <w:szCs w:val="20"/>
                <w:lang w:eastAsia="ja-JP"/>
              </w:rPr>
            </w:pPr>
            <w:r w:rsidRPr="00F36D7B">
              <w:rPr>
                <w:sz w:val="20"/>
                <w:szCs w:val="20"/>
                <w:lang w:eastAsia="ja-JP"/>
              </w:rPr>
              <w:t>Maintenance</w:t>
            </w:r>
          </w:p>
          <w:p w14:paraId="6EEBA78F" w14:textId="3B7DB21B" w:rsidR="0050079B" w:rsidRPr="00F36D7B" w:rsidRDefault="0050079B" w:rsidP="00F36D7B">
            <w:pPr>
              <w:pStyle w:val="Tabletext"/>
              <w:ind w:left="0" w:right="0"/>
              <w:rPr>
                <w:sz w:val="20"/>
                <w:szCs w:val="20"/>
                <w:lang w:eastAsia="ja-JP"/>
              </w:rPr>
            </w:pPr>
            <w:r w:rsidRPr="00F36D7B">
              <w:rPr>
                <w:sz w:val="20"/>
                <w:szCs w:val="20"/>
                <w:lang w:eastAsia="ja-JP"/>
              </w:rPr>
              <w:t>(V3 to V5)</w:t>
            </w:r>
          </w:p>
        </w:tc>
        <w:tc>
          <w:tcPr>
            <w:tcW w:w="1569" w:type="dxa"/>
          </w:tcPr>
          <w:p w14:paraId="618808BE" w14:textId="77777777" w:rsidR="0050079B" w:rsidRPr="00F36D7B" w:rsidRDefault="0050079B" w:rsidP="00F36D7B">
            <w:pPr>
              <w:pStyle w:val="Tabletext"/>
              <w:ind w:left="0" w:right="0"/>
              <w:rPr>
                <w:sz w:val="20"/>
                <w:szCs w:val="20"/>
                <w:lang w:eastAsia="ja-JP"/>
              </w:rPr>
            </w:pPr>
            <w:r w:rsidRPr="00F36D7B">
              <w:rPr>
                <w:sz w:val="20"/>
                <w:szCs w:val="20"/>
                <w:lang w:eastAsia="ja-JP"/>
              </w:rPr>
              <w:t>Tapering-off (V5 to V6)</w:t>
            </w:r>
          </w:p>
        </w:tc>
      </w:tr>
      <w:tr w:rsidR="0050079B" w:rsidRPr="00FD64CC" w14:paraId="54907C7D" w14:textId="77777777" w:rsidTr="00914D14">
        <w:tc>
          <w:tcPr>
            <w:tcW w:w="1408" w:type="dxa"/>
            <w:vMerge w:val="restart"/>
          </w:tcPr>
          <w:p w14:paraId="5828AAAE" w14:textId="77777777" w:rsidR="0050079B" w:rsidRPr="00F36D7B" w:rsidRDefault="0050079B" w:rsidP="00F36D7B">
            <w:pPr>
              <w:pStyle w:val="Tabletext"/>
              <w:ind w:left="0" w:right="0"/>
              <w:rPr>
                <w:sz w:val="20"/>
                <w:szCs w:val="20"/>
              </w:rPr>
            </w:pPr>
            <w:r w:rsidRPr="00F36D7B">
              <w:rPr>
                <w:sz w:val="20"/>
                <w:szCs w:val="20"/>
              </w:rPr>
              <w:t>Group 1:</w:t>
            </w:r>
          </w:p>
          <w:p w14:paraId="7F4784F4" w14:textId="7A743BD7" w:rsidR="0050079B" w:rsidRPr="00F36D7B" w:rsidRDefault="0050079B" w:rsidP="00F36D7B">
            <w:pPr>
              <w:pStyle w:val="Tabletext"/>
              <w:ind w:left="0" w:right="0"/>
              <w:rPr>
                <w:sz w:val="20"/>
                <w:szCs w:val="20"/>
                <w:lang w:eastAsia="ja-JP"/>
              </w:rPr>
            </w:pPr>
            <w:r w:rsidRPr="00F36D7B">
              <w:rPr>
                <w:sz w:val="20"/>
                <w:szCs w:val="20"/>
              </w:rPr>
              <w:t>1200 mg</w:t>
            </w:r>
          </w:p>
        </w:tc>
        <w:tc>
          <w:tcPr>
            <w:tcW w:w="1134" w:type="dxa"/>
          </w:tcPr>
          <w:p w14:paraId="151E8171" w14:textId="17A71118" w:rsidR="0050079B" w:rsidRPr="00F36D7B" w:rsidRDefault="0050079B" w:rsidP="00F36D7B">
            <w:pPr>
              <w:pStyle w:val="Tabletext"/>
              <w:ind w:left="0" w:right="0"/>
              <w:rPr>
                <w:sz w:val="20"/>
                <w:szCs w:val="20"/>
                <w:lang w:eastAsia="ja-JP"/>
              </w:rPr>
            </w:pPr>
            <w:r w:rsidRPr="00F36D7B">
              <w:rPr>
                <w:sz w:val="20"/>
                <w:szCs w:val="20"/>
                <w:lang w:eastAsia="ja-JP"/>
              </w:rPr>
              <w:t>301</w:t>
            </w:r>
          </w:p>
        </w:tc>
        <w:tc>
          <w:tcPr>
            <w:tcW w:w="1417" w:type="dxa"/>
          </w:tcPr>
          <w:p w14:paraId="4E5894F5" w14:textId="77777777" w:rsidR="0050079B" w:rsidRPr="00F36D7B" w:rsidRDefault="0050079B" w:rsidP="00F36D7B">
            <w:pPr>
              <w:pStyle w:val="Tabletext"/>
              <w:ind w:left="0" w:right="0"/>
              <w:rPr>
                <w:sz w:val="20"/>
                <w:szCs w:val="20"/>
                <w:lang w:eastAsia="ja-JP"/>
              </w:rPr>
            </w:pPr>
            <w:r w:rsidRPr="00F36D7B">
              <w:rPr>
                <w:sz w:val="20"/>
                <w:szCs w:val="20"/>
                <w:lang w:eastAsia="ja-JP"/>
              </w:rPr>
              <w:t>Placebo</w:t>
            </w:r>
          </w:p>
        </w:tc>
        <w:tc>
          <w:tcPr>
            <w:tcW w:w="1418" w:type="dxa"/>
          </w:tcPr>
          <w:p w14:paraId="37574ABA" w14:textId="775FD408" w:rsidR="0050079B" w:rsidRPr="00F36D7B" w:rsidRDefault="0050079B" w:rsidP="00F36D7B">
            <w:pPr>
              <w:pStyle w:val="Tabletext"/>
              <w:ind w:left="0" w:right="0"/>
              <w:rPr>
                <w:sz w:val="20"/>
                <w:szCs w:val="20"/>
                <w:lang w:eastAsia="ja-JP"/>
              </w:rPr>
            </w:pPr>
            <w:r w:rsidRPr="00F36D7B">
              <w:rPr>
                <w:sz w:val="20"/>
                <w:szCs w:val="20"/>
                <w:lang w:eastAsia="ja-JP"/>
              </w:rPr>
              <w:t>Week 1: 400 mg</w:t>
            </w:r>
          </w:p>
          <w:p w14:paraId="2ADAA59A" w14:textId="1FBF66C4" w:rsidR="0050079B" w:rsidRPr="00F36D7B" w:rsidRDefault="0050079B" w:rsidP="00F36D7B">
            <w:pPr>
              <w:pStyle w:val="Tabletext"/>
              <w:ind w:left="0" w:right="0"/>
              <w:rPr>
                <w:sz w:val="20"/>
                <w:szCs w:val="20"/>
                <w:lang w:eastAsia="ja-JP"/>
              </w:rPr>
            </w:pPr>
            <w:r w:rsidRPr="00F36D7B">
              <w:rPr>
                <w:sz w:val="20"/>
                <w:szCs w:val="20"/>
                <w:lang w:eastAsia="ja-JP"/>
              </w:rPr>
              <w:t>Week 2: 800 mg</w:t>
            </w:r>
          </w:p>
        </w:tc>
        <w:tc>
          <w:tcPr>
            <w:tcW w:w="1691" w:type="dxa"/>
          </w:tcPr>
          <w:p w14:paraId="210FCB3B" w14:textId="1BDA9A64" w:rsidR="0050079B" w:rsidRPr="00F36D7B" w:rsidRDefault="0050079B" w:rsidP="00F36D7B">
            <w:pPr>
              <w:pStyle w:val="Tabletext"/>
              <w:ind w:left="0" w:right="0"/>
              <w:rPr>
                <w:sz w:val="20"/>
                <w:szCs w:val="20"/>
                <w:lang w:eastAsia="ja-JP"/>
              </w:rPr>
            </w:pPr>
            <w:r w:rsidRPr="00F36D7B">
              <w:rPr>
                <w:sz w:val="20"/>
                <w:szCs w:val="20"/>
                <w:lang w:eastAsia="ja-JP"/>
              </w:rPr>
              <w:t>1200 mg</w:t>
            </w:r>
          </w:p>
        </w:tc>
        <w:tc>
          <w:tcPr>
            <w:tcW w:w="1569" w:type="dxa"/>
          </w:tcPr>
          <w:p w14:paraId="75F45871" w14:textId="56148F22" w:rsidR="0050079B" w:rsidRPr="00F36D7B" w:rsidRDefault="0050079B" w:rsidP="00F36D7B">
            <w:pPr>
              <w:pStyle w:val="Tabletext"/>
              <w:ind w:left="0" w:right="0"/>
              <w:rPr>
                <w:sz w:val="20"/>
                <w:szCs w:val="20"/>
                <w:lang w:eastAsia="ja-JP"/>
              </w:rPr>
            </w:pPr>
            <w:r w:rsidRPr="00F36D7B">
              <w:rPr>
                <w:sz w:val="20"/>
                <w:szCs w:val="20"/>
                <w:lang w:eastAsia="ja-JP"/>
              </w:rPr>
              <w:t>Week 15: 800 mg</w:t>
            </w:r>
          </w:p>
          <w:p w14:paraId="39F1E83A" w14:textId="013E4D52" w:rsidR="0050079B" w:rsidRPr="00F36D7B" w:rsidRDefault="0050079B" w:rsidP="00F36D7B">
            <w:pPr>
              <w:pStyle w:val="Tabletext"/>
              <w:ind w:left="0" w:right="0"/>
              <w:rPr>
                <w:sz w:val="20"/>
                <w:szCs w:val="20"/>
                <w:lang w:eastAsia="ja-JP"/>
              </w:rPr>
            </w:pPr>
            <w:r w:rsidRPr="00F36D7B">
              <w:rPr>
                <w:sz w:val="20"/>
                <w:szCs w:val="20"/>
                <w:lang w:eastAsia="ja-JP"/>
              </w:rPr>
              <w:t>Week 16: 400 mg</w:t>
            </w:r>
          </w:p>
          <w:p w14:paraId="1066D89B" w14:textId="24D9B882" w:rsidR="0050079B" w:rsidRPr="00F36D7B" w:rsidRDefault="0050079B" w:rsidP="002D6F01">
            <w:pPr>
              <w:pStyle w:val="Tabletext"/>
              <w:ind w:left="0" w:right="0"/>
              <w:rPr>
                <w:sz w:val="20"/>
                <w:szCs w:val="20"/>
                <w:lang w:eastAsia="ja-JP"/>
              </w:rPr>
            </w:pPr>
            <w:r w:rsidRPr="00F36D7B">
              <w:rPr>
                <w:sz w:val="20"/>
                <w:szCs w:val="20"/>
                <w:lang w:eastAsia="ja-JP"/>
              </w:rPr>
              <w:t xml:space="preserve">Weeks </w:t>
            </w:r>
            <w:r w:rsidR="002D6F01" w:rsidRPr="00F36D7B">
              <w:rPr>
                <w:sz w:val="20"/>
                <w:szCs w:val="20"/>
                <w:lang w:eastAsia="ja-JP"/>
              </w:rPr>
              <w:t>17</w:t>
            </w:r>
            <w:r w:rsidR="002D6F01">
              <w:rPr>
                <w:sz w:val="20"/>
                <w:szCs w:val="20"/>
                <w:lang w:eastAsia="ja-JP"/>
              </w:rPr>
              <w:t>/</w:t>
            </w:r>
            <w:r w:rsidRPr="00F36D7B">
              <w:rPr>
                <w:sz w:val="20"/>
                <w:szCs w:val="20"/>
                <w:lang w:eastAsia="ja-JP"/>
              </w:rPr>
              <w:t>18: placebo</w:t>
            </w:r>
          </w:p>
        </w:tc>
      </w:tr>
      <w:tr w:rsidR="0050079B" w:rsidRPr="00FD64CC" w14:paraId="7B9CB7AC" w14:textId="77777777" w:rsidTr="00914D14">
        <w:tc>
          <w:tcPr>
            <w:tcW w:w="1408" w:type="dxa"/>
            <w:vMerge/>
          </w:tcPr>
          <w:p w14:paraId="10E9900B" w14:textId="77777777" w:rsidR="0050079B" w:rsidRPr="00F36D7B" w:rsidRDefault="0050079B" w:rsidP="00F36D7B">
            <w:pPr>
              <w:pStyle w:val="Tabletext"/>
              <w:ind w:left="0" w:right="0"/>
              <w:rPr>
                <w:sz w:val="20"/>
                <w:szCs w:val="20"/>
                <w:lang w:eastAsia="ja-JP"/>
              </w:rPr>
            </w:pPr>
          </w:p>
        </w:tc>
        <w:tc>
          <w:tcPr>
            <w:tcW w:w="1134" w:type="dxa"/>
          </w:tcPr>
          <w:p w14:paraId="46049A81" w14:textId="75C49087" w:rsidR="0050079B" w:rsidRPr="00F36D7B" w:rsidRDefault="0050079B" w:rsidP="00F36D7B">
            <w:pPr>
              <w:pStyle w:val="Tabletext"/>
              <w:ind w:left="0" w:right="0"/>
              <w:rPr>
                <w:sz w:val="20"/>
                <w:szCs w:val="20"/>
                <w:lang w:eastAsia="ja-JP"/>
              </w:rPr>
            </w:pPr>
            <w:r w:rsidRPr="00F36D7B">
              <w:rPr>
                <w:sz w:val="20"/>
                <w:szCs w:val="20"/>
                <w:lang w:eastAsia="ja-JP"/>
              </w:rPr>
              <w:t>302</w:t>
            </w:r>
          </w:p>
        </w:tc>
        <w:tc>
          <w:tcPr>
            <w:tcW w:w="1417" w:type="dxa"/>
          </w:tcPr>
          <w:p w14:paraId="39A83190" w14:textId="77777777" w:rsidR="0050079B" w:rsidRPr="00F36D7B" w:rsidRDefault="0050079B" w:rsidP="00F36D7B">
            <w:pPr>
              <w:pStyle w:val="Tabletext"/>
              <w:ind w:left="0" w:right="0"/>
              <w:rPr>
                <w:sz w:val="20"/>
                <w:szCs w:val="20"/>
                <w:lang w:eastAsia="ja-JP"/>
              </w:rPr>
            </w:pPr>
            <w:r w:rsidRPr="00F36D7B">
              <w:rPr>
                <w:sz w:val="20"/>
                <w:szCs w:val="20"/>
                <w:lang w:eastAsia="ja-JP"/>
              </w:rPr>
              <w:t>No treatment</w:t>
            </w:r>
          </w:p>
        </w:tc>
        <w:tc>
          <w:tcPr>
            <w:tcW w:w="1418" w:type="dxa"/>
          </w:tcPr>
          <w:p w14:paraId="04822DF8" w14:textId="10A13FAC" w:rsidR="0050079B" w:rsidRPr="00F36D7B" w:rsidRDefault="0050079B" w:rsidP="00F36D7B">
            <w:pPr>
              <w:pStyle w:val="Tabletext"/>
              <w:ind w:left="0" w:right="0"/>
              <w:rPr>
                <w:sz w:val="20"/>
                <w:szCs w:val="20"/>
                <w:lang w:eastAsia="ja-JP"/>
              </w:rPr>
            </w:pPr>
            <w:r w:rsidRPr="00F36D7B">
              <w:rPr>
                <w:sz w:val="20"/>
                <w:szCs w:val="20"/>
                <w:lang w:eastAsia="ja-JP"/>
              </w:rPr>
              <w:t>800 mg</w:t>
            </w:r>
          </w:p>
        </w:tc>
        <w:tc>
          <w:tcPr>
            <w:tcW w:w="1691" w:type="dxa"/>
          </w:tcPr>
          <w:p w14:paraId="112A2F9B" w14:textId="7E911AF3" w:rsidR="0050079B" w:rsidRPr="00F36D7B" w:rsidRDefault="0050079B" w:rsidP="00F36D7B">
            <w:pPr>
              <w:pStyle w:val="Tabletext"/>
              <w:ind w:left="0" w:right="0"/>
              <w:rPr>
                <w:sz w:val="20"/>
                <w:szCs w:val="20"/>
                <w:lang w:eastAsia="ja-JP"/>
              </w:rPr>
            </w:pPr>
            <w:r w:rsidRPr="00F36D7B">
              <w:rPr>
                <w:sz w:val="20"/>
                <w:szCs w:val="20"/>
                <w:lang w:eastAsia="ja-JP"/>
              </w:rPr>
              <w:t>1200 mg</w:t>
            </w:r>
          </w:p>
        </w:tc>
        <w:tc>
          <w:tcPr>
            <w:tcW w:w="1569" w:type="dxa"/>
          </w:tcPr>
          <w:p w14:paraId="1A70FCBE" w14:textId="77777777" w:rsidR="0050079B" w:rsidRPr="00F36D7B" w:rsidRDefault="0050079B" w:rsidP="00F36D7B">
            <w:pPr>
              <w:pStyle w:val="Tabletext"/>
              <w:ind w:left="0" w:right="0"/>
              <w:rPr>
                <w:sz w:val="20"/>
                <w:szCs w:val="20"/>
                <w:lang w:eastAsia="ja-JP"/>
              </w:rPr>
            </w:pPr>
            <w:r w:rsidRPr="00F36D7B">
              <w:rPr>
                <w:sz w:val="20"/>
                <w:szCs w:val="20"/>
                <w:lang w:eastAsia="ja-JP"/>
              </w:rPr>
              <w:t>Not applicable</w:t>
            </w:r>
          </w:p>
        </w:tc>
      </w:tr>
      <w:tr w:rsidR="0050079B" w:rsidRPr="00FD64CC" w14:paraId="67E5A117" w14:textId="77777777" w:rsidTr="00914D14">
        <w:tc>
          <w:tcPr>
            <w:tcW w:w="1408" w:type="dxa"/>
            <w:vMerge/>
          </w:tcPr>
          <w:p w14:paraId="399EBD36" w14:textId="77777777" w:rsidR="0050079B" w:rsidRPr="00F36D7B" w:rsidRDefault="0050079B" w:rsidP="00F36D7B">
            <w:pPr>
              <w:pStyle w:val="Tabletext"/>
              <w:ind w:left="0" w:right="0"/>
              <w:rPr>
                <w:sz w:val="20"/>
                <w:szCs w:val="20"/>
                <w:lang w:eastAsia="ja-JP"/>
              </w:rPr>
            </w:pPr>
          </w:p>
        </w:tc>
        <w:tc>
          <w:tcPr>
            <w:tcW w:w="1134" w:type="dxa"/>
          </w:tcPr>
          <w:p w14:paraId="463F3998" w14:textId="6B47B95B" w:rsidR="0050079B" w:rsidRPr="00F36D7B" w:rsidRDefault="0050079B" w:rsidP="00F36D7B">
            <w:pPr>
              <w:pStyle w:val="Tabletext"/>
              <w:ind w:left="0" w:right="0"/>
              <w:rPr>
                <w:sz w:val="20"/>
                <w:szCs w:val="20"/>
                <w:lang w:eastAsia="ja-JP"/>
              </w:rPr>
            </w:pPr>
            <w:r w:rsidRPr="00F36D7B">
              <w:rPr>
                <w:sz w:val="20"/>
                <w:szCs w:val="20"/>
                <w:lang w:eastAsia="ja-JP"/>
              </w:rPr>
              <w:t>303</w:t>
            </w:r>
          </w:p>
        </w:tc>
        <w:tc>
          <w:tcPr>
            <w:tcW w:w="1417" w:type="dxa"/>
          </w:tcPr>
          <w:p w14:paraId="02915CA8" w14:textId="77777777" w:rsidR="0050079B" w:rsidRPr="00F36D7B" w:rsidRDefault="0050079B" w:rsidP="00F36D7B">
            <w:pPr>
              <w:pStyle w:val="Tabletext"/>
              <w:ind w:left="0" w:right="0"/>
              <w:rPr>
                <w:sz w:val="20"/>
                <w:szCs w:val="20"/>
                <w:lang w:eastAsia="ja-JP"/>
              </w:rPr>
            </w:pPr>
            <w:r w:rsidRPr="00F36D7B">
              <w:rPr>
                <w:sz w:val="20"/>
                <w:szCs w:val="20"/>
                <w:lang w:eastAsia="ja-JP"/>
              </w:rPr>
              <w:t>No treatment</w:t>
            </w:r>
          </w:p>
        </w:tc>
        <w:tc>
          <w:tcPr>
            <w:tcW w:w="1418" w:type="dxa"/>
          </w:tcPr>
          <w:p w14:paraId="1D9C43BE" w14:textId="095FD8D9" w:rsidR="0050079B" w:rsidRPr="00F36D7B" w:rsidRDefault="0050079B" w:rsidP="00F36D7B">
            <w:pPr>
              <w:pStyle w:val="Tabletext"/>
              <w:ind w:left="0" w:right="0"/>
              <w:rPr>
                <w:sz w:val="20"/>
                <w:szCs w:val="20"/>
                <w:lang w:eastAsia="ja-JP"/>
              </w:rPr>
            </w:pPr>
            <w:r w:rsidRPr="00F36D7B">
              <w:rPr>
                <w:sz w:val="20"/>
                <w:szCs w:val="20"/>
                <w:lang w:eastAsia="ja-JP"/>
              </w:rPr>
              <w:t>600 mg</w:t>
            </w:r>
          </w:p>
        </w:tc>
        <w:tc>
          <w:tcPr>
            <w:tcW w:w="1691" w:type="dxa"/>
          </w:tcPr>
          <w:p w14:paraId="0EDF9809" w14:textId="57F1FFE9" w:rsidR="0050079B" w:rsidRPr="00F36D7B" w:rsidRDefault="0050079B" w:rsidP="00F36D7B">
            <w:pPr>
              <w:pStyle w:val="Tabletext"/>
              <w:ind w:left="0" w:right="0"/>
              <w:rPr>
                <w:sz w:val="20"/>
                <w:szCs w:val="20"/>
                <w:lang w:eastAsia="ja-JP"/>
              </w:rPr>
            </w:pPr>
            <w:r w:rsidRPr="00F36D7B">
              <w:rPr>
                <w:sz w:val="20"/>
                <w:szCs w:val="20"/>
                <w:lang w:eastAsia="ja-JP"/>
              </w:rPr>
              <w:t>1200 mg</w:t>
            </w:r>
          </w:p>
        </w:tc>
        <w:tc>
          <w:tcPr>
            <w:tcW w:w="1569" w:type="dxa"/>
          </w:tcPr>
          <w:p w14:paraId="32D84ABE" w14:textId="602C63FF" w:rsidR="0050079B" w:rsidRPr="00F36D7B" w:rsidRDefault="0050079B" w:rsidP="00F36D7B">
            <w:pPr>
              <w:pStyle w:val="Tabletext"/>
              <w:ind w:left="0" w:right="0"/>
              <w:rPr>
                <w:sz w:val="20"/>
                <w:szCs w:val="20"/>
                <w:lang w:eastAsia="ja-JP"/>
              </w:rPr>
            </w:pPr>
            <w:r w:rsidRPr="00F36D7B">
              <w:rPr>
                <w:sz w:val="20"/>
                <w:szCs w:val="20"/>
                <w:lang w:eastAsia="ja-JP"/>
              </w:rPr>
              <w:t>Weeks 15</w:t>
            </w:r>
            <w:r w:rsidR="002D6F01">
              <w:rPr>
                <w:sz w:val="20"/>
                <w:szCs w:val="20"/>
                <w:lang w:eastAsia="ja-JP"/>
              </w:rPr>
              <w:t>/</w:t>
            </w:r>
            <w:r w:rsidRPr="00F36D7B">
              <w:rPr>
                <w:sz w:val="20"/>
                <w:szCs w:val="20"/>
                <w:lang w:eastAsia="ja-JP"/>
              </w:rPr>
              <w:t>16: 600 mg</w:t>
            </w:r>
          </w:p>
          <w:p w14:paraId="2EB81AB7" w14:textId="41085F21" w:rsidR="0050079B" w:rsidRPr="00F36D7B" w:rsidRDefault="0050079B" w:rsidP="002D6F01">
            <w:pPr>
              <w:pStyle w:val="Tabletext"/>
              <w:ind w:left="0" w:right="0"/>
              <w:rPr>
                <w:sz w:val="20"/>
                <w:szCs w:val="20"/>
                <w:lang w:eastAsia="ja-JP"/>
              </w:rPr>
            </w:pPr>
            <w:r w:rsidRPr="00F36D7B">
              <w:rPr>
                <w:sz w:val="20"/>
                <w:szCs w:val="20"/>
                <w:lang w:eastAsia="ja-JP"/>
              </w:rPr>
              <w:t>Weeks 17</w:t>
            </w:r>
            <w:r w:rsidR="002D6F01">
              <w:rPr>
                <w:sz w:val="20"/>
                <w:szCs w:val="20"/>
                <w:lang w:eastAsia="ja-JP"/>
              </w:rPr>
              <w:t>/</w:t>
            </w:r>
            <w:r w:rsidRPr="00F36D7B">
              <w:rPr>
                <w:sz w:val="20"/>
                <w:szCs w:val="20"/>
                <w:lang w:eastAsia="ja-JP"/>
              </w:rPr>
              <w:t>18: placebo</w:t>
            </w:r>
          </w:p>
        </w:tc>
      </w:tr>
      <w:tr w:rsidR="0050079B" w:rsidRPr="00FD64CC" w14:paraId="313DB7FE" w14:textId="77777777" w:rsidTr="002D6F01">
        <w:trPr>
          <w:cantSplit/>
        </w:trPr>
        <w:tc>
          <w:tcPr>
            <w:tcW w:w="1408" w:type="dxa"/>
            <w:vMerge w:val="restart"/>
          </w:tcPr>
          <w:p w14:paraId="3994BF1E" w14:textId="201C3865" w:rsidR="0050079B" w:rsidRPr="00F36D7B" w:rsidRDefault="0050079B" w:rsidP="00F36D7B">
            <w:pPr>
              <w:pStyle w:val="Tabletext"/>
              <w:ind w:left="0" w:right="0"/>
              <w:rPr>
                <w:sz w:val="20"/>
                <w:szCs w:val="20"/>
                <w:lang w:eastAsia="ja-JP"/>
              </w:rPr>
            </w:pPr>
            <w:r w:rsidRPr="00F36D7B">
              <w:rPr>
                <w:sz w:val="20"/>
                <w:szCs w:val="20"/>
              </w:rPr>
              <w:t>Group 2: 800 mg</w:t>
            </w:r>
          </w:p>
        </w:tc>
        <w:tc>
          <w:tcPr>
            <w:tcW w:w="1134" w:type="dxa"/>
          </w:tcPr>
          <w:p w14:paraId="1A74B213" w14:textId="6D91270B" w:rsidR="0050079B" w:rsidRPr="00F36D7B" w:rsidRDefault="0050079B" w:rsidP="00F36D7B">
            <w:pPr>
              <w:pStyle w:val="Tabletext"/>
              <w:ind w:left="0" w:right="0"/>
              <w:rPr>
                <w:sz w:val="20"/>
                <w:szCs w:val="20"/>
                <w:lang w:eastAsia="ja-JP"/>
              </w:rPr>
            </w:pPr>
            <w:r w:rsidRPr="00F36D7B">
              <w:rPr>
                <w:sz w:val="20"/>
                <w:szCs w:val="20"/>
                <w:lang w:eastAsia="ja-JP"/>
              </w:rPr>
              <w:t>301</w:t>
            </w:r>
          </w:p>
        </w:tc>
        <w:tc>
          <w:tcPr>
            <w:tcW w:w="1417" w:type="dxa"/>
          </w:tcPr>
          <w:p w14:paraId="09E04405" w14:textId="7493CD4D" w:rsidR="0050079B" w:rsidRPr="00F36D7B" w:rsidRDefault="0050079B" w:rsidP="00F36D7B">
            <w:pPr>
              <w:pStyle w:val="Tabletext"/>
              <w:ind w:left="0" w:right="0"/>
              <w:rPr>
                <w:sz w:val="20"/>
                <w:szCs w:val="20"/>
                <w:lang w:eastAsia="ja-JP"/>
              </w:rPr>
            </w:pPr>
            <w:r w:rsidRPr="00F36D7B">
              <w:rPr>
                <w:sz w:val="20"/>
                <w:szCs w:val="20"/>
                <w:lang w:eastAsia="ja-JP"/>
              </w:rPr>
              <w:t>Placebo</w:t>
            </w:r>
          </w:p>
        </w:tc>
        <w:tc>
          <w:tcPr>
            <w:tcW w:w="1418" w:type="dxa"/>
          </w:tcPr>
          <w:p w14:paraId="6537E9FF" w14:textId="77777777" w:rsidR="0050079B" w:rsidRPr="00F36D7B" w:rsidRDefault="0050079B" w:rsidP="00F36D7B">
            <w:pPr>
              <w:pStyle w:val="Tabletext"/>
              <w:ind w:left="0" w:right="0"/>
              <w:rPr>
                <w:sz w:val="20"/>
                <w:szCs w:val="20"/>
                <w:lang w:eastAsia="ja-JP"/>
              </w:rPr>
            </w:pPr>
            <w:r w:rsidRPr="00F36D7B">
              <w:rPr>
                <w:sz w:val="20"/>
                <w:szCs w:val="20"/>
                <w:lang w:eastAsia="ja-JP"/>
              </w:rPr>
              <w:t>Week 1: 400mg</w:t>
            </w:r>
          </w:p>
          <w:p w14:paraId="7B9E215F" w14:textId="2D18D28D" w:rsidR="0050079B" w:rsidRPr="00F36D7B" w:rsidRDefault="0050079B" w:rsidP="00F36D7B">
            <w:pPr>
              <w:pStyle w:val="Tabletext"/>
              <w:ind w:left="0" w:right="0"/>
              <w:rPr>
                <w:sz w:val="20"/>
                <w:szCs w:val="20"/>
                <w:lang w:eastAsia="ja-JP"/>
              </w:rPr>
            </w:pPr>
            <w:r w:rsidRPr="00F36D7B">
              <w:rPr>
                <w:sz w:val="20"/>
                <w:szCs w:val="20"/>
                <w:lang w:eastAsia="ja-JP"/>
              </w:rPr>
              <w:t>Week 2: 800mg</w:t>
            </w:r>
          </w:p>
        </w:tc>
        <w:tc>
          <w:tcPr>
            <w:tcW w:w="1691" w:type="dxa"/>
          </w:tcPr>
          <w:p w14:paraId="7C732422" w14:textId="2C5228D1" w:rsidR="0050079B" w:rsidRPr="00F36D7B" w:rsidRDefault="0050079B" w:rsidP="00F36D7B">
            <w:pPr>
              <w:pStyle w:val="Tabletext"/>
              <w:ind w:left="0" w:right="0"/>
              <w:rPr>
                <w:sz w:val="20"/>
                <w:szCs w:val="20"/>
                <w:lang w:eastAsia="ja-JP"/>
              </w:rPr>
            </w:pPr>
            <w:r w:rsidRPr="00F36D7B">
              <w:rPr>
                <w:sz w:val="20"/>
                <w:szCs w:val="20"/>
                <w:lang w:eastAsia="ja-JP"/>
              </w:rPr>
              <w:t>800 mg</w:t>
            </w:r>
          </w:p>
        </w:tc>
        <w:tc>
          <w:tcPr>
            <w:tcW w:w="1569" w:type="dxa"/>
          </w:tcPr>
          <w:p w14:paraId="66F4993D" w14:textId="77777777" w:rsidR="0050079B" w:rsidRPr="00F36D7B" w:rsidRDefault="0050079B" w:rsidP="00F36D7B">
            <w:pPr>
              <w:pStyle w:val="Tabletext"/>
              <w:ind w:left="0" w:right="0"/>
              <w:rPr>
                <w:sz w:val="20"/>
                <w:szCs w:val="20"/>
                <w:lang w:eastAsia="ja-JP"/>
              </w:rPr>
            </w:pPr>
            <w:r w:rsidRPr="00F36D7B">
              <w:rPr>
                <w:sz w:val="20"/>
                <w:szCs w:val="20"/>
                <w:lang w:eastAsia="ja-JP"/>
              </w:rPr>
              <w:t>Week 15: 800 mg</w:t>
            </w:r>
          </w:p>
          <w:p w14:paraId="50A7A5A8" w14:textId="77777777" w:rsidR="0050079B" w:rsidRPr="00F36D7B" w:rsidRDefault="0050079B" w:rsidP="00F36D7B">
            <w:pPr>
              <w:pStyle w:val="Tabletext"/>
              <w:ind w:left="0" w:right="0"/>
              <w:rPr>
                <w:sz w:val="20"/>
                <w:szCs w:val="20"/>
                <w:lang w:eastAsia="ja-JP"/>
              </w:rPr>
            </w:pPr>
            <w:r w:rsidRPr="00F36D7B">
              <w:rPr>
                <w:sz w:val="20"/>
                <w:szCs w:val="20"/>
                <w:lang w:eastAsia="ja-JP"/>
              </w:rPr>
              <w:t>Week 16: 400 mg</w:t>
            </w:r>
          </w:p>
          <w:p w14:paraId="683E1879" w14:textId="0E9948F0" w:rsidR="0050079B" w:rsidRPr="00F36D7B" w:rsidRDefault="0050079B" w:rsidP="00F36D7B">
            <w:pPr>
              <w:pStyle w:val="Tabletext"/>
              <w:ind w:left="0" w:right="0"/>
              <w:rPr>
                <w:sz w:val="20"/>
                <w:szCs w:val="20"/>
                <w:lang w:eastAsia="ja-JP"/>
              </w:rPr>
            </w:pPr>
            <w:r w:rsidRPr="00F36D7B">
              <w:rPr>
                <w:sz w:val="20"/>
                <w:szCs w:val="20"/>
                <w:lang w:eastAsia="ja-JP"/>
              </w:rPr>
              <w:t>Weeks 17</w:t>
            </w:r>
            <w:r w:rsidR="002D6F01">
              <w:rPr>
                <w:sz w:val="20"/>
                <w:szCs w:val="20"/>
                <w:lang w:eastAsia="ja-JP"/>
              </w:rPr>
              <w:t>/</w:t>
            </w:r>
            <w:r w:rsidRPr="00F36D7B">
              <w:rPr>
                <w:sz w:val="20"/>
                <w:szCs w:val="20"/>
                <w:lang w:eastAsia="ja-JP"/>
              </w:rPr>
              <w:t>18: placebo</w:t>
            </w:r>
          </w:p>
        </w:tc>
      </w:tr>
      <w:tr w:rsidR="0050079B" w:rsidRPr="00FD64CC" w14:paraId="13DEB668" w14:textId="77777777" w:rsidTr="00914D14">
        <w:tc>
          <w:tcPr>
            <w:tcW w:w="1408" w:type="dxa"/>
            <w:vMerge/>
          </w:tcPr>
          <w:p w14:paraId="558890FF" w14:textId="77777777" w:rsidR="0050079B" w:rsidRPr="00F36D7B" w:rsidRDefault="0050079B" w:rsidP="00F36D7B">
            <w:pPr>
              <w:pStyle w:val="Tabletext"/>
              <w:ind w:left="0" w:right="0"/>
              <w:rPr>
                <w:sz w:val="20"/>
                <w:szCs w:val="20"/>
                <w:lang w:eastAsia="ja-JP"/>
              </w:rPr>
            </w:pPr>
          </w:p>
        </w:tc>
        <w:tc>
          <w:tcPr>
            <w:tcW w:w="1134" w:type="dxa"/>
          </w:tcPr>
          <w:p w14:paraId="732F6006" w14:textId="506AF6A6" w:rsidR="0050079B" w:rsidRPr="00F36D7B" w:rsidRDefault="0050079B" w:rsidP="00F36D7B">
            <w:pPr>
              <w:pStyle w:val="Tabletext"/>
              <w:ind w:left="0" w:right="0"/>
              <w:rPr>
                <w:sz w:val="20"/>
                <w:szCs w:val="20"/>
                <w:lang w:eastAsia="ja-JP"/>
              </w:rPr>
            </w:pPr>
            <w:r w:rsidRPr="00F36D7B">
              <w:rPr>
                <w:sz w:val="20"/>
                <w:szCs w:val="20"/>
                <w:lang w:eastAsia="ja-JP"/>
              </w:rPr>
              <w:t>302</w:t>
            </w:r>
          </w:p>
        </w:tc>
        <w:tc>
          <w:tcPr>
            <w:tcW w:w="1417" w:type="dxa"/>
          </w:tcPr>
          <w:p w14:paraId="7B83BAC4" w14:textId="32851D17" w:rsidR="0050079B" w:rsidRPr="00F36D7B" w:rsidRDefault="0050079B" w:rsidP="00F36D7B">
            <w:pPr>
              <w:pStyle w:val="Tabletext"/>
              <w:ind w:left="0" w:right="0"/>
              <w:rPr>
                <w:sz w:val="20"/>
                <w:szCs w:val="20"/>
                <w:lang w:eastAsia="ja-JP"/>
              </w:rPr>
            </w:pPr>
            <w:r w:rsidRPr="00F36D7B">
              <w:rPr>
                <w:sz w:val="20"/>
                <w:szCs w:val="20"/>
                <w:lang w:eastAsia="ja-JP"/>
              </w:rPr>
              <w:t>No treatment</w:t>
            </w:r>
          </w:p>
        </w:tc>
        <w:tc>
          <w:tcPr>
            <w:tcW w:w="1418" w:type="dxa"/>
          </w:tcPr>
          <w:p w14:paraId="07A0E353" w14:textId="37B9CC94" w:rsidR="0050079B" w:rsidRPr="00F36D7B" w:rsidRDefault="0050079B" w:rsidP="00F36D7B">
            <w:pPr>
              <w:pStyle w:val="Tabletext"/>
              <w:ind w:left="0" w:right="0"/>
              <w:rPr>
                <w:sz w:val="20"/>
                <w:szCs w:val="20"/>
                <w:lang w:eastAsia="ja-JP"/>
              </w:rPr>
            </w:pPr>
            <w:r w:rsidRPr="00F36D7B">
              <w:rPr>
                <w:sz w:val="20"/>
                <w:szCs w:val="20"/>
                <w:lang w:eastAsia="ja-JP"/>
              </w:rPr>
              <w:t>800 mg</w:t>
            </w:r>
          </w:p>
        </w:tc>
        <w:tc>
          <w:tcPr>
            <w:tcW w:w="1691" w:type="dxa"/>
          </w:tcPr>
          <w:p w14:paraId="423D8CD7" w14:textId="6DEA1FB5" w:rsidR="0050079B" w:rsidRPr="00F36D7B" w:rsidRDefault="0050079B" w:rsidP="00F36D7B">
            <w:pPr>
              <w:pStyle w:val="Tabletext"/>
              <w:ind w:left="0" w:right="0"/>
              <w:rPr>
                <w:sz w:val="20"/>
                <w:szCs w:val="20"/>
                <w:lang w:eastAsia="ja-JP"/>
              </w:rPr>
            </w:pPr>
            <w:r w:rsidRPr="00F36D7B">
              <w:rPr>
                <w:sz w:val="20"/>
                <w:szCs w:val="20"/>
                <w:lang w:eastAsia="ja-JP"/>
              </w:rPr>
              <w:t>800 mg</w:t>
            </w:r>
          </w:p>
        </w:tc>
        <w:tc>
          <w:tcPr>
            <w:tcW w:w="1569" w:type="dxa"/>
          </w:tcPr>
          <w:p w14:paraId="4E50FBF5" w14:textId="49CF49B5" w:rsidR="0050079B" w:rsidRPr="00F36D7B" w:rsidRDefault="0050079B" w:rsidP="00F36D7B">
            <w:pPr>
              <w:pStyle w:val="Tabletext"/>
              <w:ind w:left="0" w:right="0"/>
              <w:rPr>
                <w:sz w:val="20"/>
                <w:szCs w:val="20"/>
                <w:lang w:eastAsia="ja-JP"/>
              </w:rPr>
            </w:pPr>
            <w:r w:rsidRPr="00F36D7B">
              <w:rPr>
                <w:sz w:val="20"/>
                <w:szCs w:val="20"/>
                <w:lang w:eastAsia="ja-JP"/>
              </w:rPr>
              <w:t>Not applicable</w:t>
            </w:r>
          </w:p>
        </w:tc>
      </w:tr>
      <w:tr w:rsidR="0050079B" w:rsidRPr="00FD64CC" w14:paraId="45450F86" w14:textId="77777777" w:rsidTr="00914D14">
        <w:tc>
          <w:tcPr>
            <w:tcW w:w="1408" w:type="dxa"/>
            <w:vMerge/>
          </w:tcPr>
          <w:p w14:paraId="571C2AF9" w14:textId="77777777" w:rsidR="0050079B" w:rsidRPr="00F36D7B" w:rsidRDefault="0050079B" w:rsidP="00F36D7B">
            <w:pPr>
              <w:pStyle w:val="Tabletext"/>
              <w:ind w:left="0" w:right="0"/>
              <w:rPr>
                <w:sz w:val="20"/>
                <w:szCs w:val="20"/>
                <w:lang w:eastAsia="ja-JP"/>
              </w:rPr>
            </w:pPr>
          </w:p>
        </w:tc>
        <w:tc>
          <w:tcPr>
            <w:tcW w:w="1134" w:type="dxa"/>
          </w:tcPr>
          <w:p w14:paraId="6EA979DB" w14:textId="304B6E69" w:rsidR="0050079B" w:rsidRPr="00F36D7B" w:rsidRDefault="0050079B" w:rsidP="00F36D7B">
            <w:pPr>
              <w:pStyle w:val="Tabletext"/>
              <w:ind w:left="0" w:right="0"/>
              <w:rPr>
                <w:sz w:val="20"/>
                <w:szCs w:val="20"/>
                <w:lang w:eastAsia="ja-JP"/>
              </w:rPr>
            </w:pPr>
            <w:r w:rsidRPr="00F36D7B">
              <w:rPr>
                <w:sz w:val="20"/>
                <w:szCs w:val="20"/>
                <w:lang w:eastAsia="ja-JP"/>
              </w:rPr>
              <w:t>303</w:t>
            </w:r>
          </w:p>
        </w:tc>
        <w:tc>
          <w:tcPr>
            <w:tcW w:w="1417" w:type="dxa"/>
          </w:tcPr>
          <w:p w14:paraId="76B4B9DF" w14:textId="58D77AD3" w:rsidR="0050079B" w:rsidRPr="00F36D7B" w:rsidRDefault="0050079B" w:rsidP="00F36D7B">
            <w:pPr>
              <w:pStyle w:val="Tabletext"/>
              <w:ind w:left="0" w:right="0"/>
              <w:rPr>
                <w:sz w:val="20"/>
                <w:szCs w:val="20"/>
                <w:lang w:eastAsia="ja-JP"/>
              </w:rPr>
            </w:pPr>
            <w:r w:rsidRPr="00F36D7B">
              <w:rPr>
                <w:sz w:val="20"/>
                <w:szCs w:val="20"/>
                <w:lang w:eastAsia="ja-JP"/>
              </w:rPr>
              <w:t>No treatment</w:t>
            </w:r>
          </w:p>
        </w:tc>
        <w:tc>
          <w:tcPr>
            <w:tcW w:w="1418" w:type="dxa"/>
          </w:tcPr>
          <w:p w14:paraId="0E4B8ED6" w14:textId="5D8FD1D5" w:rsidR="0050079B" w:rsidRPr="00F36D7B" w:rsidRDefault="0050079B" w:rsidP="00F36D7B">
            <w:pPr>
              <w:pStyle w:val="Tabletext"/>
              <w:ind w:left="0" w:right="0"/>
              <w:rPr>
                <w:sz w:val="20"/>
                <w:szCs w:val="20"/>
                <w:lang w:eastAsia="ja-JP"/>
              </w:rPr>
            </w:pPr>
            <w:r w:rsidRPr="00F36D7B">
              <w:rPr>
                <w:sz w:val="20"/>
                <w:szCs w:val="20"/>
                <w:lang w:eastAsia="ja-JP"/>
              </w:rPr>
              <w:t>400 mg</w:t>
            </w:r>
          </w:p>
        </w:tc>
        <w:tc>
          <w:tcPr>
            <w:tcW w:w="1691" w:type="dxa"/>
          </w:tcPr>
          <w:p w14:paraId="03B34DBC" w14:textId="7171C8C5" w:rsidR="0050079B" w:rsidRPr="00F36D7B" w:rsidRDefault="0050079B" w:rsidP="00F36D7B">
            <w:pPr>
              <w:pStyle w:val="Tabletext"/>
              <w:ind w:left="0" w:right="0"/>
              <w:rPr>
                <w:sz w:val="20"/>
                <w:szCs w:val="20"/>
                <w:lang w:eastAsia="ja-JP"/>
              </w:rPr>
            </w:pPr>
            <w:r w:rsidRPr="00F36D7B">
              <w:rPr>
                <w:sz w:val="20"/>
                <w:szCs w:val="20"/>
                <w:lang w:eastAsia="ja-JP"/>
              </w:rPr>
              <w:t>800 mg</w:t>
            </w:r>
          </w:p>
        </w:tc>
        <w:tc>
          <w:tcPr>
            <w:tcW w:w="1569" w:type="dxa"/>
          </w:tcPr>
          <w:p w14:paraId="35301917" w14:textId="394C90D5" w:rsidR="0050079B" w:rsidRPr="00F36D7B" w:rsidRDefault="0050079B" w:rsidP="002D6F01">
            <w:pPr>
              <w:pStyle w:val="Tabletext"/>
              <w:ind w:left="0" w:right="0"/>
              <w:rPr>
                <w:sz w:val="20"/>
                <w:szCs w:val="20"/>
                <w:lang w:eastAsia="ja-JP"/>
              </w:rPr>
            </w:pPr>
            <w:r w:rsidRPr="00F36D7B">
              <w:rPr>
                <w:sz w:val="20"/>
                <w:szCs w:val="20"/>
                <w:lang w:eastAsia="ja-JP"/>
              </w:rPr>
              <w:t>Weeks 15</w:t>
            </w:r>
            <w:r w:rsidR="002D6F01">
              <w:rPr>
                <w:sz w:val="20"/>
                <w:szCs w:val="20"/>
                <w:lang w:eastAsia="ja-JP"/>
              </w:rPr>
              <w:t>/</w:t>
            </w:r>
            <w:r w:rsidRPr="00F36D7B">
              <w:rPr>
                <w:sz w:val="20"/>
                <w:szCs w:val="20"/>
                <w:lang w:eastAsia="ja-JP"/>
              </w:rPr>
              <w:t>16: 400 mg</w:t>
            </w:r>
          </w:p>
          <w:p w14:paraId="10B9DC4C" w14:textId="4C4CF734" w:rsidR="0050079B" w:rsidRPr="00F36D7B" w:rsidRDefault="0050079B" w:rsidP="002D6F01">
            <w:pPr>
              <w:pStyle w:val="Tabletext"/>
              <w:ind w:left="0" w:right="0"/>
              <w:rPr>
                <w:sz w:val="20"/>
                <w:szCs w:val="20"/>
                <w:lang w:eastAsia="ja-JP"/>
              </w:rPr>
            </w:pPr>
            <w:r w:rsidRPr="00F36D7B">
              <w:rPr>
                <w:sz w:val="20"/>
                <w:szCs w:val="20"/>
                <w:lang w:eastAsia="ja-JP"/>
              </w:rPr>
              <w:t>Weeks 17</w:t>
            </w:r>
            <w:r w:rsidR="002D6F01">
              <w:rPr>
                <w:sz w:val="20"/>
                <w:szCs w:val="20"/>
                <w:lang w:eastAsia="ja-JP"/>
              </w:rPr>
              <w:t>/</w:t>
            </w:r>
            <w:r w:rsidRPr="00F36D7B">
              <w:rPr>
                <w:sz w:val="20"/>
                <w:szCs w:val="20"/>
                <w:lang w:eastAsia="ja-JP"/>
              </w:rPr>
              <w:t>18: placebo</w:t>
            </w:r>
          </w:p>
        </w:tc>
      </w:tr>
      <w:tr w:rsidR="0050079B" w:rsidRPr="00FD64CC" w14:paraId="0436671B" w14:textId="77777777" w:rsidTr="00914D14">
        <w:tc>
          <w:tcPr>
            <w:tcW w:w="1408" w:type="dxa"/>
            <w:vMerge w:val="restart"/>
          </w:tcPr>
          <w:p w14:paraId="7608CE32" w14:textId="028A9F4F" w:rsidR="0050079B" w:rsidRPr="00F36D7B" w:rsidRDefault="0050079B" w:rsidP="00F36D7B">
            <w:pPr>
              <w:pStyle w:val="Tabletext"/>
              <w:ind w:left="0" w:right="0"/>
              <w:rPr>
                <w:sz w:val="20"/>
                <w:szCs w:val="20"/>
                <w:lang w:eastAsia="ja-JP"/>
              </w:rPr>
            </w:pPr>
            <w:r w:rsidRPr="00F36D7B">
              <w:rPr>
                <w:sz w:val="20"/>
                <w:szCs w:val="20"/>
              </w:rPr>
              <w:t>Group 3: 400 mg</w:t>
            </w:r>
          </w:p>
        </w:tc>
        <w:tc>
          <w:tcPr>
            <w:tcW w:w="1134" w:type="dxa"/>
          </w:tcPr>
          <w:p w14:paraId="4ADB447B" w14:textId="4AAD10FC" w:rsidR="0050079B" w:rsidRPr="00F36D7B" w:rsidRDefault="0050079B" w:rsidP="00F36D7B">
            <w:pPr>
              <w:pStyle w:val="Tabletext"/>
              <w:ind w:left="0" w:right="0"/>
              <w:rPr>
                <w:sz w:val="20"/>
                <w:szCs w:val="20"/>
                <w:lang w:eastAsia="ja-JP"/>
              </w:rPr>
            </w:pPr>
            <w:r w:rsidRPr="00F36D7B">
              <w:rPr>
                <w:sz w:val="20"/>
                <w:szCs w:val="20"/>
                <w:lang w:eastAsia="ja-JP"/>
              </w:rPr>
              <w:t>301</w:t>
            </w:r>
          </w:p>
        </w:tc>
        <w:tc>
          <w:tcPr>
            <w:tcW w:w="1417" w:type="dxa"/>
          </w:tcPr>
          <w:p w14:paraId="58DF0750" w14:textId="6C717613" w:rsidR="0050079B" w:rsidRPr="00F36D7B" w:rsidRDefault="0050079B" w:rsidP="00F36D7B">
            <w:pPr>
              <w:pStyle w:val="Tabletext"/>
              <w:ind w:left="0" w:right="0"/>
              <w:rPr>
                <w:sz w:val="20"/>
                <w:szCs w:val="20"/>
                <w:lang w:eastAsia="ja-JP"/>
              </w:rPr>
            </w:pPr>
            <w:r w:rsidRPr="00F36D7B">
              <w:rPr>
                <w:sz w:val="20"/>
                <w:szCs w:val="20"/>
                <w:lang w:eastAsia="ja-JP"/>
              </w:rPr>
              <w:t>Placebo</w:t>
            </w:r>
          </w:p>
        </w:tc>
        <w:tc>
          <w:tcPr>
            <w:tcW w:w="1418" w:type="dxa"/>
          </w:tcPr>
          <w:p w14:paraId="7F285FBA" w14:textId="57CBB1A2" w:rsidR="0050079B" w:rsidRPr="00F36D7B" w:rsidRDefault="0050079B" w:rsidP="00F36D7B">
            <w:pPr>
              <w:pStyle w:val="Tabletext"/>
              <w:ind w:left="0" w:right="0"/>
              <w:rPr>
                <w:sz w:val="20"/>
                <w:szCs w:val="20"/>
                <w:lang w:eastAsia="ja-JP"/>
              </w:rPr>
            </w:pPr>
            <w:r w:rsidRPr="00F36D7B">
              <w:rPr>
                <w:sz w:val="20"/>
                <w:szCs w:val="20"/>
                <w:lang w:eastAsia="ja-JP"/>
              </w:rPr>
              <w:t>400 mg</w:t>
            </w:r>
          </w:p>
        </w:tc>
        <w:tc>
          <w:tcPr>
            <w:tcW w:w="1691" w:type="dxa"/>
          </w:tcPr>
          <w:p w14:paraId="4AED5057" w14:textId="3C6A8212" w:rsidR="0050079B" w:rsidRPr="00F36D7B" w:rsidRDefault="0050079B" w:rsidP="00F36D7B">
            <w:pPr>
              <w:pStyle w:val="Tabletext"/>
              <w:ind w:left="0" w:right="0"/>
              <w:rPr>
                <w:sz w:val="20"/>
                <w:szCs w:val="20"/>
                <w:lang w:eastAsia="ja-JP"/>
              </w:rPr>
            </w:pPr>
            <w:r w:rsidRPr="00F36D7B">
              <w:rPr>
                <w:sz w:val="20"/>
                <w:szCs w:val="20"/>
                <w:lang w:eastAsia="ja-JP"/>
              </w:rPr>
              <w:t>400 mg</w:t>
            </w:r>
          </w:p>
        </w:tc>
        <w:tc>
          <w:tcPr>
            <w:tcW w:w="1569" w:type="dxa"/>
          </w:tcPr>
          <w:p w14:paraId="5D0CCDCB" w14:textId="57884A57" w:rsidR="0050079B" w:rsidRPr="00F36D7B" w:rsidRDefault="0050079B" w:rsidP="00F36D7B">
            <w:pPr>
              <w:pStyle w:val="Tabletext"/>
              <w:ind w:left="0" w:right="0"/>
              <w:rPr>
                <w:sz w:val="20"/>
                <w:szCs w:val="20"/>
                <w:lang w:eastAsia="ja-JP"/>
              </w:rPr>
            </w:pPr>
            <w:r w:rsidRPr="00F36D7B">
              <w:rPr>
                <w:sz w:val="20"/>
                <w:szCs w:val="20"/>
                <w:lang w:eastAsia="ja-JP"/>
              </w:rPr>
              <w:t>Week 15</w:t>
            </w:r>
            <w:r w:rsidR="002D6F01">
              <w:rPr>
                <w:sz w:val="20"/>
                <w:szCs w:val="20"/>
                <w:lang w:eastAsia="ja-JP"/>
              </w:rPr>
              <w:t>/</w:t>
            </w:r>
            <w:r w:rsidRPr="00F36D7B">
              <w:rPr>
                <w:sz w:val="20"/>
                <w:szCs w:val="20"/>
                <w:lang w:eastAsia="ja-JP"/>
              </w:rPr>
              <w:t>16: 400 mg</w:t>
            </w:r>
          </w:p>
          <w:p w14:paraId="0D2FF77E" w14:textId="7A9BD262" w:rsidR="0050079B" w:rsidRPr="00F36D7B" w:rsidRDefault="0050079B" w:rsidP="002D6F01">
            <w:pPr>
              <w:pStyle w:val="Tabletext"/>
              <w:ind w:left="0" w:right="0"/>
              <w:rPr>
                <w:sz w:val="20"/>
                <w:szCs w:val="20"/>
                <w:lang w:eastAsia="ja-JP"/>
              </w:rPr>
            </w:pPr>
            <w:r w:rsidRPr="00F36D7B">
              <w:rPr>
                <w:sz w:val="20"/>
                <w:szCs w:val="20"/>
                <w:lang w:eastAsia="ja-JP"/>
              </w:rPr>
              <w:lastRenderedPageBreak/>
              <w:t>Weeks 17</w:t>
            </w:r>
            <w:r w:rsidR="002D6F01">
              <w:rPr>
                <w:sz w:val="20"/>
                <w:szCs w:val="20"/>
                <w:lang w:eastAsia="ja-JP"/>
              </w:rPr>
              <w:t>/</w:t>
            </w:r>
            <w:r w:rsidRPr="00F36D7B">
              <w:rPr>
                <w:sz w:val="20"/>
                <w:szCs w:val="20"/>
                <w:lang w:eastAsia="ja-JP"/>
              </w:rPr>
              <w:t>18: placebo</w:t>
            </w:r>
          </w:p>
        </w:tc>
      </w:tr>
      <w:tr w:rsidR="0050079B" w:rsidRPr="00FD64CC" w14:paraId="5AB78E2E" w14:textId="77777777" w:rsidTr="00914D14">
        <w:tc>
          <w:tcPr>
            <w:tcW w:w="1408" w:type="dxa"/>
            <w:vMerge/>
          </w:tcPr>
          <w:p w14:paraId="626A7256" w14:textId="77777777" w:rsidR="0050079B" w:rsidRPr="00F36D7B" w:rsidRDefault="0050079B" w:rsidP="00F36D7B">
            <w:pPr>
              <w:pStyle w:val="Tabletext"/>
              <w:ind w:left="0" w:right="0"/>
              <w:rPr>
                <w:sz w:val="20"/>
                <w:szCs w:val="20"/>
                <w:lang w:eastAsia="ja-JP"/>
              </w:rPr>
            </w:pPr>
          </w:p>
        </w:tc>
        <w:tc>
          <w:tcPr>
            <w:tcW w:w="1134" w:type="dxa"/>
          </w:tcPr>
          <w:p w14:paraId="28B1473A" w14:textId="5FEBDF35" w:rsidR="0050079B" w:rsidRPr="00F36D7B" w:rsidRDefault="0050079B" w:rsidP="00F36D7B">
            <w:pPr>
              <w:pStyle w:val="Tabletext"/>
              <w:ind w:left="0" w:right="0"/>
              <w:rPr>
                <w:sz w:val="20"/>
                <w:szCs w:val="20"/>
                <w:lang w:eastAsia="ja-JP"/>
              </w:rPr>
            </w:pPr>
            <w:r w:rsidRPr="00F36D7B">
              <w:rPr>
                <w:sz w:val="20"/>
                <w:szCs w:val="20"/>
                <w:lang w:eastAsia="ja-JP"/>
              </w:rPr>
              <w:t>302</w:t>
            </w:r>
          </w:p>
        </w:tc>
        <w:tc>
          <w:tcPr>
            <w:tcW w:w="1417" w:type="dxa"/>
          </w:tcPr>
          <w:p w14:paraId="34064AD2" w14:textId="76DEE791" w:rsidR="0050079B" w:rsidRPr="00F36D7B" w:rsidRDefault="0050079B" w:rsidP="00F36D7B">
            <w:pPr>
              <w:pStyle w:val="Tabletext"/>
              <w:ind w:left="0" w:right="0"/>
              <w:rPr>
                <w:sz w:val="20"/>
                <w:szCs w:val="20"/>
                <w:lang w:eastAsia="ja-JP"/>
              </w:rPr>
            </w:pPr>
            <w:r w:rsidRPr="00F36D7B">
              <w:rPr>
                <w:sz w:val="20"/>
                <w:szCs w:val="20"/>
                <w:lang w:eastAsia="ja-JP"/>
              </w:rPr>
              <w:t>No treatment</w:t>
            </w:r>
          </w:p>
        </w:tc>
        <w:tc>
          <w:tcPr>
            <w:tcW w:w="1418" w:type="dxa"/>
          </w:tcPr>
          <w:p w14:paraId="70713074" w14:textId="6066946B" w:rsidR="0050079B" w:rsidRPr="00F36D7B" w:rsidRDefault="0050079B" w:rsidP="00F36D7B">
            <w:pPr>
              <w:pStyle w:val="Tabletext"/>
              <w:ind w:left="0" w:right="0"/>
              <w:rPr>
                <w:sz w:val="20"/>
                <w:szCs w:val="20"/>
                <w:lang w:eastAsia="ja-JP"/>
              </w:rPr>
            </w:pPr>
            <w:r w:rsidRPr="00F36D7B">
              <w:rPr>
                <w:sz w:val="20"/>
                <w:szCs w:val="20"/>
                <w:lang w:eastAsia="ja-JP"/>
              </w:rPr>
              <w:t>400 mg</w:t>
            </w:r>
          </w:p>
        </w:tc>
        <w:tc>
          <w:tcPr>
            <w:tcW w:w="1691" w:type="dxa"/>
          </w:tcPr>
          <w:p w14:paraId="415CCDFF" w14:textId="5A58B8B1" w:rsidR="0050079B" w:rsidRPr="00F36D7B" w:rsidRDefault="0050079B" w:rsidP="00F36D7B">
            <w:pPr>
              <w:pStyle w:val="Tabletext"/>
              <w:ind w:left="0" w:right="0"/>
              <w:rPr>
                <w:sz w:val="20"/>
                <w:szCs w:val="20"/>
                <w:lang w:eastAsia="ja-JP"/>
              </w:rPr>
            </w:pPr>
            <w:r w:rsidRPr="00F36D7B">
              <w:rPr>
                <w:sz w:val="20"/>
                <w:szCs w:val="20"/>
                <w:lang w:eastAsia="ja-JP"/>
              </w:rPr>
              <w:t>400 mg</w:t>
            </w:r>
          </w:p>
        </w:tc>
        <w:tc>
          <w:tcPr>
            <w:tcW w:w="1569" w:type="dxa"/>
          </w:tcPr>
          <w:p w14:paraId="20579338" w14:textId="18B246C1" w:rsidR="0050079B" w:rsidRPr="00F36D7B" w:rsidRDefault="0050079B" w:rsidP="00F36D7B">
            <w:pPr>
              <w:pStyle w:val="Tabletext"/>
              <w:ind w:left="0" w:right="0"/>
              <w:rPr>
                <w:sz w:val="20"/>
                <w:szCs w:val="20"/>
                <w:lang w:eastAsia="ja-JP"/>
              </w:rPr>
            </w:pPr>
            <w:r w:rsidRPr="00F36D7B">
              <w:rPr>
                <w:sz w:val="20"/>
                <w:szCs w:val="20"/>
                <w:lang w:eastAsia="ja-JP"/>
              </w:rPr>
              <w:t>Not applicable</w:t>
            </w:r>
          </w:p>
        </w:tc>
      </w:tr>
      <w:tr w:rsidR="0050079B" w:rsidRPr="00FD64CC" w14:paraId="7F65C9B3" w14:textId="77777777" w:rsidTr="00914D14">
        <w:tc>
          <w:tcPr>
            <w:tcW w:w="1408" w:type="dxa"/>
            <w:vMerge/>
          </w:tcPr>
          <w:p w14:paraId="7F6F5475" w14:textId="77777777" w:rsidR="0050079B" w:rsidRPr="00F36D7B" w:rsidRDefault="0050079B" w:rsidP="00F36D7B">
            <w:pPr>
              <w:pStyle w:val="Tabletext"/>
              <w:ind w:left="0" w:right="0"/>
              <w:rPr>
                <w:sz w:val="20"/>
                <w:szCs w:val="20"/>
                <w:lang w:eastAsia="ja-JP"/>
              </w:rPr>
            </w:pPr>
          </w:p>
        </w:tc>
        <w:tc>
          <w:tcPr>
            <w:tcW w:w="1134" w:type="dxa"/>
          </w:tcPr>
          <w:p w14:paraId="6D080224" w14:textId="5F47225C" w:rsidR="0050079B" w:rsidRPr="00F36D7B" w:rsidRDefault="0050079B" w:rsidP="00F36D7B">
            <w:pPr>
              <w:pStyle w:val="Tabletext"/>
              <w:ind w:left="0" w:right="0"/>
              <w:rPr>
                <w:sz w:val="20"/>
                <w:szCs w:val="20"/>
                <w:lang w:eastAsia="ja-JP"/>
              </w:rPr>
            </w:pPr>
            <w:r w:rsidRPr="00F36D7B">
              <w:rPr>
                <w:sz w:val="20"/>
                <w:szCs w:val="20"/>
                <w:lang w:eastAsia="ja-JP"/>
              </w:rPr>
              <w:t>303</w:t>
            </w:r>
          </w:p>
        </w:tc>
        <w:tc>
          <w:tcPr>
            <w:tcW w:w="6095" w:type="dxa"/>
            <w:gridSpan w:val="4"/>
          </w:tcPr>
          <w:p w14:paraId="186BECBD" w14:textId="1EAB9283" w:rsidR="0050079B" w:rsidRPr="00F36D7B" w:rsidRDefault="0050079B" w:rsidP="00F36D7B">
            <w:pPr>
              <w:pStyle w:val="Tabletext"/>
              <w:ind w:left="0" w:right="0"/>
              <w:rPr>
                <w:sz w:val="20"/>
                <w:szCs w:val="20"/>
                <w:lang w:eastAsia="ja-JP"/>
              </w:rPr>
            </w:pPr>
            <w:r w:rsidRPr="00F36D7B">
              <w:rPr>
                <w:sz w:val="20"/>
                <w:szCs w:val="20"/>
                <w:lang w:eastAsia="ja-JP"/>
              </w:rPr>
              <w:t>Not applicable</w:t>
            </w:r>
          </w:p>
        </w:tc>
      </w:tr>
      <w:tr w:rsidR="0050079B" w:rsidRPr="00FD64CC" w14:paraId="329CC35E" w14:textId="77777777" w:rsidTr="00914D14">
        <w:tc>
          <w:tcPr>
            <w:tcW w:w="1408" w:type="dxa"/>
            <w:vMerge w:val="restart"/>
          </w:tcPr>
          <w:p w14:paraId="114C53AB" w14:textId="0C78AB14" w:rsidR="0050079B" w:rsidRPr="00F36D7B" w:rsidRDefault="0050079B" w:rsidP="00F36D7B">
            <w:pPr>
              <w:pStyle w:val="Tabletext"/>
              <w:ind w:left="0" w:right="0"/>
              <w:rPr>
                <w:sz w:val="20"/>
                <w:szCs w:val="20"/>
                <w:lang w:eastAsia="ja-JP"/>
              </w:rPr>
            </w:pPr>
            <w:r w:rsidRPr="00F36D7B">
              <w:rPr>
                <w:sz w:val="20"/>
                <w:szCs w:val="20"/>
              </w:rPr>
              <w:t>Group 4: placebo</w:t>
            </w:r>
          </w:p>
        </w:tc>
        <w:tc>
          <w:tcPr>
            <w:tcW w:w="1134" w:type="dxa"/>
          </w:tcPr>
          <w:p w14:paraId="383273DB" w14:textId="1B48BD09" w:rsidR="0050079B" w:rsidRPr="00F36D7B" w:rsidRDefault="0050079B" w:rsidP="00F36D7B">
            <w:pPr>
              <w:pStyle w:val="Tabletext"/>
              <w:ind w:left="0" w:right="0"/>
              <w:rPr>
                <w:sz w:val="20"/>
                <w:szCs w:val="20"/>
                <w:lang w:eastAsia="ja-JP"/>
              </w:rPr>
            </w:pPr>
            <w:r w:rsidRPr="00F36D7B">
              <w:rPr>
                <w:sz w:val="20"/>
                <w:szCs w:val="20"/>
                <w:lang w:eastAsia="ja-JP"/>
              </w:rPr>
              <w:t>301</w:t>
            </w:r>
          </w:p>
        </w:tc>
        <w:tc>
          <w:tcPr>
            <w:tcW w:w="1417" w:type="dxa"/>
          </w:tcPr>
          <w:p w14:paraId="02935CE6" w14:textId="5088B96B" w:rsidR="0050079B" w:rsidRPr="00F36D7B" w:rsidRDefault="0050079B" w:rsidP="00F36D7B">
            <w:pPr>
              <w:pStyle w:val="Tabletext"/>
              <w:ind w:left="0" w:right="0"/>
              <w:rPr>
                <w:sz w:val="20"/>
                <w:szCs w:val="20"/>
                <w:lang w:eastAsia="ja-JP"/>
              </w:rPr>
            </w:pPr>
            <w:r w:rsidRPr="00F36D7B">
              <w:rPr>
                <w:sz w:val="20"/>
                <w:szCs w:val="20"/>
                <w:lang w:eastAsia="ja-JP"/>
              </w:rPr>
              <w:t>Placebo</w:t>
            </w:r>
          </w:p>
        </w:tc>
        <w:tc>
          <w:tcPr>
            <w:tcW w:w="1418" w:type="dxa"/>
          </w:tcPr>
          <w:p w14:paraId="6A5F89D7" w14:textId="283E0BB9" w:rsidR="0050079B" w:rsidRPr="00F36D7B" w:rsidRDefault="0050079B" w:rsidP="00F36D7B">
            <w:pPr>
              <w:pStyle w:val="Tabletext"/>
              <w:ind w:left="0" w:right="0"/>
              <w:rPr>
                <w:sz w:val="20"/>
                <w:szCs w:val="20"/>
                <w:lang w:eastAsia="ja-JP"/>
              </w:rPr>
            </w:pPr>
            <w:r w:rsidRPr="00F36D7B">
              <w:rPr>
                <w:sz w:val="20"/>
                <w:szCs w:val="20"/>
                <w:lang w:eastAsia="ja-JP"/>
              </w:rPr>
              <w:t>Placebo</w:t>
            </w:r>
          </w:p>
        </w:tc>
        <w:tc>
          <w:tcPr>
            <w:tcW w:w="1691" w:type="dxa"/>
          </w:tcPr>
          <w:p w14:paraId="6E37F657" w14:textId="6F54877B" w:rsidR="0050079B" w:rsidRPr="00F36D7B" w:rsidRDefault="0050079B" w:rsidP="00F36D7B">
            <w:pPr>
              <w:pStyle w:val="Tabletext"/>
              <w:ind w:left="0" w:right="0"/>
              <w:rPr>
                <w:sz w:val="20"/>
                <w:szCs w:val="20"/>
                <w:lang w:eastAsia="ja-JP"/>
              </w:rPr>
            </w:pPr>
            <w:r w:rsidRPr="00F36D7B">
              <w:rPr>
                <w:sz w:val="20"/>
                <w:szCs w:val="20"/>
                <w:lang w:eastAsia="ja-JP"/>
              </w:rPr>
              <w:t>Placebo</w:t>
            </w:r>
          </w:p>
        </w:tc>
        <w:tc>
          <w:tcPr>
            <w:tcW w:w="1569" w:type="dxa"/>
          </w:tcPr>
          <w:p w14:paraId="73F25466" w14:textId="18DE5A45" w:rsidR="0050079B" w:rsidRPr="00F36D7B" w:rsidRDefault="0050079B" w:rsidP="00F36D7B">
            <w:pPr>
              <w:pStyle w:val="Tabletext"/>
              <w:ind w:left="0" w:right="0"/>
              <w:rPr>
                <w:sz w:val="20"/>
                <w:szCs w:val="20"/>
                <w:lang w:eastAsia="ja-JP"/>
              </w:rPr>
            </w:pPr>
            <w:r w:rsidRPr="00F36D7B">
              <w:rPr>
                <w:sz w:val="20"/>
                <w:szCs w:val="20"/>
                <w:lang w:eastAsia="ja-JP"/>
              </w:rPr>
              <w:t>Placebo</w:t>
            </w:r>
          </w:p>
        </w:tc>
      </w:tr>
      <w:tr w:rsidR="0050079B" w:rsidRPr="00FD64CC" w14:paraId="47CBB722" w14:textId="77777777" w:rsidTr="00914D14">
        <w:tc>
          <w:tcPr>
            <w:tcW w:w="1408" w:type="dxa"/>
            <w:vMerge/>
          </w:tcPr>
          <w:p w14:paraId="6EC2B5C1" w14:textId="77777777" w:rsidR="0050079B" w:rsidRPr="00F36D7B" w:rsidRDefault="0050079B" w:rsidP="00F36D7B">
            <w:pPr>
              <w:pStyle w:val="Tabletext"/>
              <w:ind w:left="0" w:right="0"/>
              <w:rPr>
                <w:sz w:val="20"/>
                <w:szCs w:val="20"/>
                <w:lang w:eastAsia="ja-JP"/>
              </w:rPr>
            </w:pPr>
          </w:p>
        </w:tc>
        <w:tc>
          <w:tcPr>
            <w:tcW w:w="1134" w:type="dxa"/>
          </w:tcPr>
          <w:p w14:paraId="3EC39CAF" w14:textId="2539C1CA" w:rsidR="0050079B" w:rsidRPr="00F36D7B" w:rsidRDefault="0050079B" w:rsidP="00F36D7B">
            <w:pPr>
              <w:pStyle w:val="Tabletext"/>
              <w:ind w:left="0" w:right="0"/>
              <w:rPr>
                <w:sz w:val="20"/>
                <w:szCs w:val="20"/>
                <w:lang w:eastAsia="ja-JP"/>
              </w:rPr>
            </w:pPr>
            <w:r w:rsidRPr="00F36D7B">
              <w:rPr>
                <w:sz w:val="20"/>
                <w:szCs w:val="20"/>
                <w:lang w:eastAsia="ja-JP"/>
              </w:rPr>
              <w:t>302</w:t>
            </w:r>
          </w:p>
        </w:tc>
        <w:tc>
          <w:tcPr>
            <w:tcW w:w="1417" w:type="dxa"/>
          </w:tcPr>
          <w:p w14:paraId="715EAAE1" w14:textId="33CC291E" w:rsidR="0050079B" w:rsidRPr="00F36D7B" w:rsidRDefault="0050079B" w:rsidP="00F36D7B">
            <w:pPr>
              <w:pStyle w:val="Tabletext"/>
              <w:ind w:left="0" w:right="0"/>
              <w:rPr>
                <w:sz w:val="20"/>
                <w:szCs w:val="20"/>
                <w:lang w:eastAsia="ja-JP"/>
              </w:rPr>
            </w:pPr>
            <w:r w:rsidRPr="00F36D7B">
              <w:rPr>
                <w:sz w:val="20"/>
                <w:szCs w:val="20"/>
                <w:lang w:eastAsia="ja-JP"/>
              </w:rPr>
              <w:t>No treatment</w:t>
            </w:r>
          </w:p>
        </w:tc>
        <w:tc>
          <w:tcPr>
            <w:tcW w:w="1418" w:type="dxa"/>
          </w:tcPr>
          <w:p w14:paraId="57CE7A9D" w14:textId="3A52295C" w:rsidR="0050079B" w:rsidRPr="00F36D7B" w:rsidRDefault="0050079B" w:rsidP="00F36D7B">
            <w:pPr>
              <w:pStyle w:val="Tabletext"/>
              <w:ind w:left="0" w:right="0"/>
              <w:rPr>
                <w:sz w:val="20"/>
                <w:szCs w:val="20"/>
                <w:lang w:eastAsia="ja-JP"/>
              </w:rPr>
            </w:pPr>
            <w:r w:rsidRPr="00F36D7B">
              <w:rPr>
                <w:sz w:val="20"/>
                <w:szCs w:val="20"/>
                <w:lang w:eastAsia="ja-JP"/>
              </w:rPr>
              <w:t>Placebo</w:t>
            </w:r>
          </w:p>
        </w:tc>
        <w:tc>
          <w:tcPr>
            <w:tcW w:w="1691" w:type="dxa"/>
          </w:tcPr>
          <w:p w14:paraId="2742C30F" w14:textId="7D097081" w:rsidR="0050079B" w:rsidRPr="00F36D7B" w:rsidRDefault="0050079B" w:rsidP="00F36D7B">
            <w:pPr>
              <w:pStyle w:val="Tabletext"/>
              <w:ind w:left="0" w:right="0"/>
              <w:rPr>
                <w:sz w:val="20"/>
                <w:szCs w:val="20"/>
                <w:lang w:eastAsia="ja-JP"/>
              </w:rPr>
            </w:pPr>
            <w:r w:rsidRPr="00F36D7B">
              <w:rPr>
                <w:sz w:val="20"/>
                <w:szCs w:val="20"/>
                <w:lang w:eastAsia="ja-JP"/>
              </w:rPr>
              <w:t>Placebo</w:t>
            </w:r>
          </w:p>
        </w:tc>
        <w:tc>
          <w:tcPr>
            <w:tcW w:w="1569" w:type="dxa"/>
          </w:tcPr>
          <w:p w14:paraId="4741F11D" w14:textId="6E2E0D01" w:rsidR="0050079B" w:rsidRPr="00F36D7B" w:rsidRDefault="0050079B" w:rsidP="00F36D7B">
            <w:pPr>
              <w:pStyle w:val="Tabletext"/>
              <w:ind w:left="0" w:right="0"/>
              <w:rPr>
                <w:sz w:val="20"/>
                <w:szCs w:val="20"/>
                <w:lang w:eastAsia="ja-JP"/>
              </w:rPr>
            </w:pPr>
            <w:r w:rsidRPr="00F36D7B">
              <w:rPr>
                <w:sz w:val="20"/>
                <w:szCs w:val="20"/>
                <w:lang w:eastAsia="ja-JP"/>
              </w:rPr>
              <w:t>Not applicable</w:t>
            </w:r>
          </w:p>
        </w:tc>
      </w:tr>
      <w:tr w:rsidR="0050079B" w:rsidRPr="00FD64CC" w14:paraId="4C775F5B" w14:textId="77777777" w:rsidTr="00914D14">
        <w:tc>
          <w:tcPr>
            <w:tcW w:w="1408" w:type="dxa"/>
            <w:vMerge/>
          </w:tcPr>
          <w:p w14:paraId="455F5FB4" w14:textId="77777777" w:rsidR="0050079B" w:rsidRPr="00F36D7B" w:rsidRDefault="0050079B" w:rsidP="00F36D7B">
            <w:pPr>
              <w:pStyle w:val="Tabletext"/>
              <w:ind w:left="0" w:right="0"/>
              <w:rPr>
                <w:sz w:val="20"/>
                <w:szCs w:val="20"/>
                <w:lang w:eastAsia="ja-JP"/>
              </w:rPr>
            </w:pPr>
          </w:p>
        </w:tc>
        <w:tc>
          <w:tcPr>
            <w:tcW w:w="1134" w:type="dxa"/>
          </w:tcPr>
          <w:p w14:paraId="76E75434" w14:textId="77B5E136" w:rsidR="0050079B" w:rsidRPr="00F36D7B" w:rsidRDefault="0050079B" w:rsidP="00F36D7B">
            <w:pPr>
              <w:pStyle w:val="Tabletext"/>
              <w:ind w:left="0" w:right="0"/>
              <w:rPr>
                <w:sz w:val="20"/>
                <w:szCs w:val="20"/>
                <w:lang w:eastAsia="ja-JP"/>
              </w:rPr>
            </w:pPr>
            <w:r w:rsidRPr="00F36D7B">
              <w:rPr>
                <w:sz w:val="20"/>
                <w:szCs w:val="20"/>
                <w:lang w:eastAsia="ja-JP"/>
              </w:rPr>
              <w:t>303</w:t>
            </w:r>
          </w:p>
        </w:tc>
        <w:tc>
          <w:tcPr>
            <w:tcW w:w="1417" w:type="dxa"/>
          </w:tcPr>
          <w:p w14:paraId="23964A99" w14:textId="178DCC95" w:rsidR="0050079B" w:rsidRPr="00F36D7B" w:rsidRDefault="0050079B" w:rsidP="00F36D7B">
            <w:pPr>
              <w:pStyle w:val="Tabletext"/>
              <w:ind w:left="0" w:right="0"/>
              <w:rPr>
                <w:sz w:val="20"/>
                <w:szCs w:val="20"/>
                <w:lang w:eastAsia="ja-JP"/>
              </w:rPr>
            </w:pPr>
            <w:r w:rsidRPr="00F36D7B">
              <w:rPr>
                <w:sz w:val="20"/>
                <w:szCs w:val="20"/>
                <w:lang w:eastAsia="ja-JP"/>
              </w:rPr>
              <w:t>No treatment</w:t>
            </w:r>
          </w:p>
        </w:tc>
        <w:tc>
          <w:tcPr>
            <w:tcW w:w="1418" w:type="dxa"/>
          </w:tcPr>
          <w:p w14:paraId="57B8A539" w14:textId="35EE1C43" w:rsidR="0050079B" w:rsidRPr="00F36D7B" w:rsidRDefault="0050079B" w:rsidP="00F36D7B">
            <w:pPr>
              <w:pStyle w:val="Tabletext"/>
              <w:ind w:left="0" w:right="0"/>
              <w:rPr>
                <w:sz w:val="20"/>
                <w:szCs w:val="20"/>
                <w:lang w:eastAsia="ja-JP"/>
              </w:rPr>
            </w:pPr>
            <w:r w:rsidRPr="00F36D7B">
              <w:rPr>
                <w:sz w:val="20"/>
                <w:szCs w:val="20"/>
                <w:lang w:eastAsia="ja-JP"/>
              </w:rPr>
              <w:t>Placebo</w:t>
            </w:r>
          </w:p>
        </w:tc>
        <w:tc>
          <w:tcPr>
            <w:tcW w:w="1691" w:type="dxa"/>
          </w:tcPr>
          <w:p w14:paraId="61A76D26" w14:textId="0ABF0FA8" w:rsidR="0050079B" w:rsidRPr="00F36D7B" w:rsidRDefault="0050079B" w:rsidP="00F36D7B">
            <w:pPr>
              <w:pStyle w:val="Tabletext"/>
              <w:ind w:left="0" w:right="0"/>
              <w:rPr>
                <w:sz w:val="20"/>
                <w:szCs w:val="20"/>
                <w:lang w:eastAsia="ja-JP"/>
              </w:rPr>
            </w:pPr>
            <w:r w:rsidRPr="00F36D7B">
              <w:rPr>
                <w:sz w:val="20"/>
                <w:szCs w:val="20"/>
                <w:lang w:eastAsia="ja-JP"/>
              </w:rPr>
              <w:t>Placebo</w:t>
            </w:r>
          </w:p>
        </w:tc>
        <w:tc>
          <w:tcPr>
            <w:tcW w:w="1569" w:type="dxa"/>
          </w:tcPr>
          <w:p w14:paraId="6F1324CB" w14:textId="5EC86749" w:rsidR="0050079B" w:rsidRPr="00F36D7B" w:rsidRDefault="0050079B" w:rsidP="00F36D7B">
            <w:pPr>
              <w:pStyle w:val="Tabletext"/>
              <w:ind w:left="0" w:right="0"/>
              <w:rPr>
                <w:sz w:val="20"/>
                <w:szCs w:val="20"/>
                <w:lang w:eastAsia="ja-JP"/>
              </w:rPr>
            </w:pPr>
            <w:r w:rsidRPr="00F36D7B">
              <w:rPr>
                <w:sz w:val="20"/>
                <w:szCs w:val="20"/>
                <w:lang w:eastAsia="ja-JP"/>
              </w:rPr>
              <w:t>Placebo</w:t>
            </w:r>
          </w:p>
        </w:tc>
      </w:tr>
    </w:tbl>
    <w:p w14:paraId="63ABD9F2" w14:textId="01D59800" w:rsidR="00E2379A" w:rsidRPr="00FD64CC" w:rsidRDefault="0024647B" w:rsidP="00E2379A">
      <w:pPr>
        <w:pStyle w:val="TableDescription"/>
        <w:rPr>
          <w:lang w:eastAsia="ja-JP"/>
        </w:rPr>
      </w:pPr>
      <w:r>
        <w:rPr>
          <w:lang w:eastAsia="ja-JP"/>
        </w:rPr>
        <w:t>V = v</w:t>
      </w:r>
      <w:r w:rsidR="00E2379A" w:rsidRPr="00FD64CC">
        <w:rPr>
          <w:lang w:eastAsia="ja-JP"/>
        </w:rPr>
        <w:t>isit.</w:t>
      </w:r>
    </w:p>
    <w:p w14:paraId="7D5F5AFF" w14:textId="58D679CD" w:rsidR="00970113" w:rsidRPr="00FD64CC" w:rsidRDefault="00970113" w:rsidP="008F21D4">
      <w:pPr>
        <w:pStyle w:val="Heading5"/>
        <w:rPr>
          <w:lang w:eastAsia="ja-JP"/>
        </w:rPr>
      </w:pPr>
      <w:r w:rsidRPr="00FD64CC">
        <w:rPr>
          <w:lang w:eastAsia="ja-JP"/>
        </w:rPr>
        <w:t xml:space="preserve">Efficacy </w:t>
      </w:r>
      <w:r w:rsidR="0050079B" w:rsidRPr="00FD64CC">
        <w:rPr>
          <w:lang w:eastAsia="ja-JP"/>
        </w:rPr>
        <w:t>variable</w:t>
      </w:r>
      <w:r w:rsidR="0024647B">
        <w:rPr>
          <w:lang w:eastAsia="ja-JP"/>
        </w:rPr>
        <w:t>s</w:t>
      </w:r>
    </w:p>
    <w:p w14:paraId="4E32E46B" w14:textId="63FC2266" w:rsidR="00970113" w:rsidRDefault="00970113" w:rsidP="008F21D4">
      <w:pPr>
        <w:pStyle w:val="Heading6"/>
      </w:pPr>
      <w:r w:rsidRPr="00FD64CC">
        <w:t xml:space="preserve">Primary </w:t>
      </w:r>
      <w:r w:rsidR="0050079B" w:rsidRPr="00FD64CC">
        <w:t>variable</w:t>
      </w:r>
    </w:p>
    <w:p w14:paraId="5AC09971" w14:textId="4A049971" w:rsidR="0024647B" w:rsidRPr="0024647B" w:rsidRDefault="0024647B" w:rsidP="006A1561">
      <w:r w:rsidRPr="00FD64CC">
        <w:t>In all three pivotal studies, the primary efficacy endpoint was:</w:t>
      </w:r>
    </w:p>
    <w:p w14:paraId="1171C4F3" w14:textId="5B47720B" w:rsidR="00970113" w:rsidRPr="00FD64CC" w:rsidRDefault="00970113" w:rsidP="009C460B">
      <w:pPr>
        <w:pStyle w:val="ListBullet"/>
      </w:pPr>
      <w:r w:rsidRPr="00FD64CC">
        <w:t xml:space="preserve">seizure frequency over the </w:t>
      </w:r>
      <w:proofErr w:type="gramStart"/>
      <w:r w:rsidRPr="00FD64CC">
        <w:t>12</w:t>
      </w:r>
      <w:r w:rsidR="00E2379A" w:rsidRPr="00FD64CC">
        <w:t xml:space="preserve"> </w:t>
      </w:r>
      <w:r w:rsidRPr="00FD64CC">
        <w:t>week</w:t>
      </w:r>
      <w:proofErr w:type="gramEnd"/>
      <w:r w:rsidRPr="00FD64CC">
        <w:t xml:space="preserve"> maintenance period in Part I of the study, standardised to a ‘frequency per </w:t>
      </w:r>
      <w:r w:rsidR="00E2379A" w:rsidRPr="00FD64CC">
        <w:t>four</w:t>
      </w:r>
      <w:r w:rsidRPr="00FD64CC">
        <w:t xml:space="preserve"> weeks’ unit.</w:t>
      </w:r>
    </w:p>
    <w:p w14:paraId="549D5D37" w14:textId="581FEB58" w:rsidR="00970113" w:rsidRDefault="00E2379A" w:rsidP="008F21D4">
      <w:pPr>
        <w:pStyle w:val="Heading6"/>
      </w:pPr>
      <w:r w:rsidRPr="00FD64CC">
        <w:t>Secondary v</w:t>
      </w:r>
      <w:r w:rsidR="00970113" w:rsidRPr="00FD64CC">
        <w:t>ariable</w:t>
      </w:r>
      <w:r w:rsidR="0024647B">
        <w:t>s</w:t>
      </w:r>
    </w:p>
    <w:p w14:paraId="5B9473D2" w14:textId="4DBDAE1F" w:rsidR="0024647B" w:rsidRPr="0024647B" w:rsidRDefault="0024647B" w:rsidP="008A1F59">
      <w:r>
        <w:t>Secondary variables included:</w:t>
      </w:r>
    </w:p>
    <w:p w14:paraId="340DF700" w14:textId="7A04159C" w:rsidR="00970113" w:rsidRPr="00FD64CC" w:rsidRDefault="00970113" w:rsidP="009C460B">
      <w:pPr>
        <w:pStyle w:val="ListBullet"/>
      </w:pPr>
      <w:r w:rsidRPr="00FD64CC">
        <w:t>Proportion of responders (</w:t>
      </w:r>
      <w:r w:rsidR="00E2379A" w:rsidRPr="00FD64CC">
        <w:t>that is</w:t>
      </w:r>
      <w:r w:rsidRPr="00FD64CC">
        <w:t xml:space="preserve">., patients with a ≥ 50% reduction in seizure frequency during the </w:t>
      </w:r>
      <w:proofErr w:type="gramStart"/>
      <w:r w:rsidRPr="00FD64CC">
        <w:t>12</w:t>
      </w:r>
      <w:r w:rsidR="00E2379A" w:rsidRPr="00FD64CC">
        <w:t xml:space="preserve"> </w:t>
      </w:r>
      <w:r w:rsidRPr="00FD64CC">
        <w:t>week</w:t>
      </w:r>
      <w:proofErr w:type="gramEnd"/>
      <w:r w:rsidRPr="00FD64CC">
        <w:t xml:space="preserve"> maintenance period compared with the </w:t>
      </w:r>
      <w:r w:rsidR="00E2379A" w:rsidRPr="00FD64CC">
        <w:t xml:space="preserve">eight </w:t>
      </w:r>
      <w:r w:rsidRPr="00FD64CC">
        <w:t>week baseline period)</w:t>
      </w:r>
    </w:p>
    <w:p w14:paraId="16C983AF" w14:textId="4176D04C" w:rsidR="00970113" w:rsidRPr="00FD64CC" w:rsidRDefault="00970113" w:rsidP="009C460B">
      <w:pPr>
        <w:pStyle w:val="ListBullet"/>
      </w:pPr>
      <w:r w:rsidRPr="00FD64CC">
        <w:t>Seizure frequency per week for each week of the baseline, titration, maintenance, and tapering-off periods (the l</w:t>
      </w:r>
      <w:r w:rsidR="00E2379A" w:rsidRPr="00FD64CC">
        <w:t>atter except S</w:t>
      </w:r>
      <w:r w:rsidRPr="00FD64CC">
        <w:t>tudy 302, which had no tapering-off period)</w:t>
      </w:r>
    </w:p>
    <w:p w14:paraId="4BCD8B64" w14:textId="7167F017" w:rsidR="00970113" w:rsidRPr="00FD64CC" w:rsidRDefault="00970113" w:rsidP="009C460B">
      <w:pPr>
        <w:pStyle w:val="ListBullet"/>
      </w:pPr>
      <w:r w:rsidRPr="00FD64CC">
        <w:t>Distr</w:t>
      </w:r>
      <w:r w:rsidR="00E2379A" w:rsidRPr="00FD64CC">
        <w:t>ibution of seizure reduction (&lt; </w:t>
      </w:r>
      <w:r w:rsidRPr="00FD64CC">
        <w:t>50%, 50</w:t>
      </w:r>
      <w:r w:rsidR="00D209B7" w:rsidRPr="00FD64CC">
        <w:t>%</w:t>
      </w:r>
      <w:r w:rsidR="00E2379A" w:rsidRPr="00FD64CC">
        <w:t xml:space="preserve"> to </w:t>
      </w:r>
      <w:r w:rsidRPr="00FD64CC">
        <w:t>75%, or &gt;</w:t>
      </w:r>
      <w:r w:rsidR="00E2379A" w:rsidRPr="00FD64CC">
        <w:t> </w:t>
      </w:r>
      <w:r w:rsidRPr="00FD64CC">
        <w:t>75% seizure reduction)</w:t>
      </w:r>
    </w:p>
    <w:p w14:paraId="27696BB9" w14:textId="77777777" w:rsidR="00970113" w:rsidRPr="00FD64CC" w:rsidRDefault="00970113" w:rsidP="009C460B">
      <w:pPr>
        <w:pStyle w:val="ListBullet"/>
      </w:pPr>
      <w:r w:rsidRPr="00FD64CC">
        <w:t>Proportion of seizure-free patients (100% seizure reduction)</w:t>
      </w:r>
    </w:p>
    <w:p w14:paraId="12565D5E" w14:textId="5EEEFBD1" w:rsidR="00970113" w:rsidRPr="00FD64CC" w:rsidRDefault="00970113" w:rsidP="009C460B">
      <w:pPr>
        <w:pStyle w:val="ListBullet"/>
      </w:pPr>
      <w:r w:rsidRPr="00FD64CC">
        <w:t xml:space="preserve">Proportion of patients with a 25% or greater exacerbation in seizure frequency compared to </w:t>
      </w:r>
      <w:r w:rsidR="0024647B">
        <w:t>B</w:t>
      </w:r>
      <w:r w:rsidRPr="00FD64CC">
        <w:t>aseline</w:t>
      </w:r>
    </w:p>
    <w:p w14:paraId="1648ABBA" w14:textId="77777777" w:rsidR="00970113" w:rsidRPr="00FD64CC" w:rsidRDefault="00970113" w:rsidP="009C460B">
      <w:pPr>
        <w:pStyle w:val="ListBullet"/>
      </w:pPr>
      <w:r w:rsidRPr="00FD64CC">
        <w:t>Seizure frequency by seizure type</w:t>
      </w:r>
    </w:p>
    <w:p w14:paraId="7CF0CA78" w14:textId="343C6735" w:rsidR="00970113" w:rsidRPr="00FD64CC" w:rsidRDefault="00970113" w:rsidP="009C460B">
      <w:pPr>
        <w:pStyle w:val="ListBullet"/>
      </w:pPr>
      <w:r w:rsidRPr="00FD64CC">
        <w:t xml:space="preserve">Seizure frequency as a function of </w:t>
      </w:r>
      <w:r w:rsidR="00E2379A" w:rsidRPr="00FD64CC">
        <w:t>Study BIA 2-194 plasma levels at V</w:t>
      </w:r>
      <w:r w:rsidRPr="00FD64CC">
        <w:t>isit 5</w:t>
      </w:r>
    </w:p>
    <w:p w14:paraId="3C945DDF" w14:textId="71FA2C4B" w:rsidR="00970113" w:rsidRPr="00FD64CC" w:rsidRDefault="00970113" w:rsidP="009C460B">
      <w:pPr>
        <w:pStyle w:val="ListBullet"/>
      </w:pPr>
      <w:r w:rsidRPr="00FD64CC">
        <w:t xml:space="preserve">Treatment retention time (time to withdrawal due to lack of efficacy or </w:t>
      </w:r>
      <w:r w:rsidR="0024647B">
        <w:t>adverse event</w:t>
      </w:r>
      <w:r w:rsidR="0024647B" w:rsidRPr="00FD64CC">
        <w:t>s</w:t>
      </w:r>
      <w:r w:rsidRPr="00FD64CC">
        <w:t>) during Part I of the study</w:t>
      </w:r>
    </w:p>
    <w:p w14:paraId="22E20CA7" w14:textId="6D648381" w:rsidR="00970113" w:rsidRPr="00FD64CC" w:rsidRDefault="00970113" w:rsidP="009C460B">
      <w:pPr>
        <w:pStyle w:val="ListBullet"/>
      </w:pPr>
      <w:r w:rsidRPr="00FD64CC">
        <w:t xml:space="preserve">Clinical </w:t>
      </w:r>
      <w:r w:rsidR="0024647B">
        <w:t>G</w:t>
      </w:r>
      <w:r w:rsidRPr="00FD64CC">
        <w:t xml:space="preserve">lobal </w:t>
      </w:r>
      <w:r w:rsidR="0024647B">
        <w:t>I</w:t>
      </w:r>
      <w:r w:rsidRPr="00FD64CC">
        <w:t>mpressions (CGI)</w:t>
      </w:r>
    </w:p>
    <w:p w14:paraId="550C37EF" w14:textId="1F65EC1D" w:rsidR="00970113" w:rsidRPr="00FD64CC" w:rsidRDefault="00970113" w:rsidP="009C460B">
      <w:pPr>
        <w:pStyle w:val="ListBullet"/>
      </w:pPr>
      <w:r w:rsidRPr="00FD64CC">
        <w:t xml:space="preserve">Responses to the </w:t>
      </w:r>
      <w:r w:rsidR="00E2379A" w:rsidRPr="00FD64CC">
        <w:t>Quality of Life in Epilepsy-31 Inventory (QOLIE</w:t>
      </w:r>
      <w:r w:rsidRPr="00FD64CC">
        <w:t>-31)</w:t>
      </w:r>
      <w:r w:rsidR="00A714EE">
        <w:t>;</w:t>
      </w:r>
      <w:r w:rsidR="00A714EE">
        <w:rPr>
          <w:rStyle w:val="FootnoteReference"/>
        </w:rPr>
        <w:footnoteReference w:id="5"/>
      </w:r>
    </w:p>
    <w:p w14:paraId="50CAC0C9" w14:textId="1A9B4FFF" w:rsidR="00970113" w:rsidRPr="00FD64CC" w:rsidRDefault="00E2379A" w:rsidP="009C460B">
      <w:pPr>
        <w:pStyle w:val="ListBullet"/>
      </w:pPr>
      <w:r w:rsidRPr="00FD64CC">
        <w:lastRenderedPageBreak/>
        <w:t xml:space="preserve">Symptoms of depression </w:t>
      </w:r>
      <w:r w:rsidR="00970113" w:rsidRPr="00FD64CC">
        <w:t>based on Montgomery</w:t>
      </w:r>
      <w:r w:rsidR="0024647B">
        <w:t>-</w:t>
      </w:r>
      <w:proofErr w:type="spellStart"/>
      <w:r w:rsidR="0024647B">
        <w:t>Å</w:t>
      </w:r>
      <w:r w:rsidRPr="00FD64CC">
        <w:t>sberg</w:t>
      </w:r>
      <w:proofErr w:type="spellEnd"/>
      <w:r w:rsidRPr="00FD64CC">
        <w:t xml:space="preserve"> Depression Rating Scale (</w:t>
      </w:r>
      <w:r w:rsidR="00970113" w:rsidRPr="00FD64CC">
        <w:t>MADRS</w:t>
      </w:r>
      <w:r w:rsidRPr="00FD64CC">
        <w:t>)</w:t>
      </w:r>
      <w:r w:rsidR="00970113" w:rsidRPr="00FD64CC">
        <w:t>.</w:t>
      </w:r>
      <w:r w:rsidR="0024647B">
        <w:rPr>
          <w:rStyle w:val="FootnoteReference"/>
        </w:rPr>
        <w:footnoteReference w:id="6"/>
      </w:r>
    </w:p>
    <w:p w14:paraId="0D52CD9E" w14:textId="6DCC1F09" w:rsidR="00970113" w:rsidRPr="00FD64CC" w:rsidRDefault="00970113" w:rsidP="009C460B">
      <w:r w:rsidRPr="00FD64CC">
        <w:t>All pivotal studies were randomised and double</w:t>
      </w:r>
      <w:r w:rsidR="00E2379A" w:rsidRPr="00FD64CC">
        <w:t xml:space="preserve"> </w:t>
      </w:r>
      <w:r w:rsidRPr="00FD64CC">
        <w:t>blind. The randomisation pr</w:t>
      </w:r>
      <w:r w:rsidR="00E2379A" w:rsidRPr="00FD64CC">
        <w:t>ocedure appears adequate. In S</w:t>
      </w:r>
      <w:r w:rsidRPr="00FD64CC">
        <w:t>tudies 301</w:t>
      </w:r>
      <w:r w:rsidR="00E2379A" w:rsidRPr="00FD64CC">
        <w:t xml:space="preserve"> and 302, patients were randomis</w:t>
      </w:r>
      <w:r w:rsidRPr="00FD64CC">
        <w:t>ed in a 1:</w:t>
      </w:r>
      <w:r w:rsidR="00E2379A" w:rsidRPr="00FD64CC">
        <w:t xml:space="preserve">1:1:1 ratio to placebo, </w:t>
      </w:r>
      <w:r w:rsidR="009A6BE7" w:rsidRPr="009A6BE7">
        <w:t xml:space="preserve">eslicarbazepine </w:t>
      </w:r>
      <w:r w:rsidR="00E2379A" w:rsidRPr="00FD64CC">
        <w:t xml:space="preserve">400 mg/day, </w:t>
      </w:r>
      <w:r w:rsidR="009A6BE7">
        <w:t xml:space="preserve">eslicarbazepine </w:t>
      </w:r>
      <w:r w:rsidR="00E2379A" w:rsidRPr="00FD64CC">
        <w:t>800 </w:t>
      </w:r>
      <w:r w:rsidRPr="00FD64CC">
        <w:t xml:space="preserve">mg/day or </w:t>
      </w:r>
      <w:r w:rsidR="009A6BE7">
        <w:t>eslicarbazepine</w:t>
      </w:r>
      <w:r w:rsidRPr="00FD64CC">
        <w:t xml:space="preserve"> 1200</w:t>
      </w:r>
      <w:r w:rsidR="00E2379A" w:rsidRPr="00FD64CC">
        <w:t> </w:t>
      </w:r>
      <w:r w:rsidR="00976351" w:rsidRPr="00FD64CC">
        <w:t>mg/day, respectively. In Study 303, patients were randomis</w:t>
      </w:r>
      <w:r w:rsidRPr="00FD64CC">
        <w:t xml:space="preserve">ed in a </w:t>
      </w:r>
      <w:r w:rsidR="00976351" w:rsidRPr="00FD64CC">
        <w:t xml:space="preserve">1:1:1 ratio to placebo, </w:t>
      </w:r>
      <w:r w:rsidR="009A6BE7">
        <w:t xml:space="preserve">eslicarbazepine </w:t>
      </w:r>
      <w:r w:rsidR="00976351" w:rsidRPr="00FD64CC">
        <w:t>800 </w:t>
      </w:r>
      <w:r w:rsidRPr="00FD64CC">
        <w:t xml:space="preserve">mg/day or </w:t>
      </w:r>
      <w:r w:rsidR="009A6BE7">
        <w:t>eslicarbazepine</w:t>
      </w:r>
      <w:r w:rsidR="00976351" w:rsidRPr="00FD64CC">
        <w:t xml:space="preserve"> 1200 </w:t>
      </w:r>
      <w:r w:rsidRPr="00FD64CC">
        <w:t>mg/day, respectively.</w:t>
      </w:r>
    </w:p>
    <w:p w14:paraId="3CA6DDC5" w14:textId="552204C7" w:rsidR="00970113" w:rsidRPr="00FD64CC" w:rsidRDefault="008F21D4" w:rsidP="008F21D4">
      <w:pPr>
        <w:pStyle w:val="Heading5"/>
      </w:pPr>
      <w:r w:rsidRPr="00FD64CC">
        <w:t>Conclusion</w:t>
      </w:r>
      <w:r w:rsidR="00976351" w:rsidRPr="00FD64CC">
        <w:t>s</w:t>
      </w:r>
    </w:p>
    <w:p w14:paraId="6896B152" w14:textId="2C651730" w:rsidR="00970113" w:rsidRPr="00FD64CC" w:rsidRDefault="008F21D4" w:rsidP="008F21D4">
      <w:pPr>
        <w:pStyle w:val="Heading6"/>
      </w:pPr>
      <w:r w:rsidRPr="00FD64CC">
        <w:t xml:space="preserve">Adult </w:t>
      </w:r>
      <w:r w:rsidR="005C649D" w:rsidRPr="00FD64CC">
        <w:t>population</w:t>
      </w:r>
    </w:p>
    <w:p w14:paraId="781D800F" w14:textId="77777777" w:rsidR="00970113" w:rsidRPr="00FD64CC" w:rsidRDefault="00970113" w:rsidP="008F21D4">
      <w:pPr>
        <w:pStyle w:val="Heading7"/>
        <w:rPr>
          <w:sz w:val="22"/>
          <w:lang w:eastAsia="ja-JP"/>
        </w:rPr>
      </w:pPr>
      <w:bookmarkStart w:id="49" w:name="_Toc56032552"/>
      <w:r w:rsidRPr="00FD64CC">
        <w:rPr>
          <w:sz w:val="22"/>
          <w:lang w:eastAsia="ja-JP"/>
        </w:rPr>
        <w:t>Adjunctive therapy in refractory epilepsy</w:t>
      </w:r>
      <w:bookmarkEnd w:id="49"/>
    </w:p>
    <w:p w14:paraId="1EC6C785" w14:textId="71D50237" w:rsidR="00970113" w:rsidRPr="00FD64CC" w:rsidRDefault="00970113" w:rsidP="009C460B">
      <w:r w:rsidRPr="00FD64CC">
        <w:t>The primary efficacy analysis of seizure frequency per four</w:t>
      </w:r>
      <w:r w:rsidR="005C649D" w:rsidRPr="00FD64CC">
        <w:t xml:space="preserve"> </w:t>
      </w:r>
      <w:r w:rsidRPr="00FD64CC">
        <w:t>week period during the maintenance period demonstrated statistically significant and consistent results across the four trials (Studies 301</w:t>
      </w:r>
      <w:r w:rsidR="009D4BCC" w:rsidRPr="00FD64CC">
        <w:t xml:space="preserve"> to </w:t>
      </w:r>
      <w:r w:rsidRPr="00FD64CC">
        <w:t>304) for both</w:t>
      </w:r>
      <w:r w:rsidR="00D209B7" w:rsidRPr="00FD64CC">
        <w:t xml:space="preserve"> </w:t>
      </w:r>
      <w:r w:rsidR="00A714EE">
        <w:t xml:space="preserve">eslicarbazepine </w:t>
      </w:r>
      <w:r w:rsidR="0012461B">
        <w:t>(</w:t>
      </w:r>
      <w:r w:rsidR="00A714EE">
        <w:t>acetate</w:t>
      </w:r>
      <w:r w:rsidR="0012461B">
        <w:t>)</w:t>
      </w:r>
      <w:r w:rsidR="00A714EE" w:rsidRPr="00FD64CC">
        <w:t xml:space="preserve"> </w:t>
      </w:r>
      <w:r w:rsidR="00A714EE">
        <w:t xml:space="preserve">at </w:t>
      </w:r>
      <w:r w:rsidR="00D209B7" w:rsidRPr="00FD64CC">
        <w:t>800 mg and 1,200 </w:t>
      </w:r>
      <w:r w:rsidRPr="00FD64CC">
        <w:t>mg compared with placebo, exc</w:t>
      </w:r>
      <w:r w:rsidR="00D209B7" w:rsidRPr="00FD64CC">
        <w:t xml:space="preserve">ept for one comparison: </w:t>
      </w:r>
      <w:r w:rsidR="00A714EE">
        <w:t xml:space="preserve">eslicarbazepine </w:t>
      </w:r>
      <w:r w:rsidR="00D209B7" w:rsidRPr="00FD64CC">
        <w:t>800 </w:t>
      </w:r>
      <w:r w:rsidRPr="00FD64CC">
        <w:t>mg versus placebo in Study 304. However, the proportion of responders (proportion of patients with seizure frequency reduction of 50% or more) can also be considered a clinically useful outcome. In this respect, approximately 30% to 4</w:t>
      </w:r>
      <w:r w:rsidR="00A85010" w:rsidRPr="00FD64CC">
        <w:t>0% of patients demonstrated a ≥ </w:t>
      </w:r>
      <w:r w:rsidRPr="00FD64CC">
        <w:t>50% reduction in seizures and all findings were statistically significant compared with placebo, excep</w:t>
      </w:r>
      <w:r w:rsidR="00A85010" w:rsidRPr="00FD64CC">
        <w:t xml:space="preserve">t in two instances when </w:t>
      </w:r>
      <w:r w:rsidR="00A714EE">
        <w:t xml:space="preserve">eslicarbazepine </w:t>
      </w:r>
      <w:r w:rsidR="00A85010" w:rsidRPr="00FD64CC">
        <w:t>800 </w:t>
      </w:r>
      <w:r w:rsidRPr="00FD64CC">
        <w:t>m</w:t>
      </w:r>
      <w:r w:rsidR="00A85010" w:rsidRPr="00FD64CC">
        <w:t>g was compared with placebo in S</w:t>
      </w:r>
      <w:r w:rsidRPr="00FD64CC">
        <w:t>tudies 303 and 304.</w:t>
      </w:r>
    </w:p>
    <w:p w14:paraId="4AE10DC3" w14:textId="4ACF8B9D" w:rsidR="00970113" w:rsidRPr="00FD64CC" w:rsidRDefault="00970113" w:rsidP="009C460B">
      <w:r w:rsidRPr="00FD64CC">
        <w:t xml:space="preserve">Numbers needed to treat to obtain one responder were eight with </w:t>
      </w:r>
      <w:r w:rsidR="0012461B">
        <w:t>eslicarbazepine</w:t>
      </w:r>
      <w:r w:rsidRPr="00FD64CC">
        <w:t>800</w:t>
      </w:r>
      <w:r w:rsidR="00A85010" w:rsidRPr="00FD64CC">
        <w:t> </w:t>
      </w:r>
      <w:r w:rsidRPr="00FD64CC">
        <w:t>mg, and ranged fr</w:t>
      </w:r>
      <w:r w:rsidR="00A85010" w:rsidRPr="00FD64CC">
        <w:t xml:space="preserve">om five to seven with </w:t>
      </w:r>
      <w:r w:rsidR="009A6BE7" w:rsidRPr="009A6BE7">
        <w:t>eslicarbazepine</w:t>
      </w:r>
      <w:r w:rsidR="00A85010" w:rsidRPr="00FD64CC">
        <w:t xml:space="preserve"> 1,200 </w:t>
      </w:r>
      <w:r w:rsidRPr="00FD64CC">
        <w:t>mg. The percentage of responders seen in the included trials is in keeping with what is seen in randomized placebo-controlled trials with other AEDs</w:t>
      </w:r>
      <w:r w:rsidR="00A85010" w:rsidRPr="00FD64CC">
        <w:t xml:space="preserve"> used in this clinical setting.</w:t>
      </w:r>
    </w:p>
    <w:p w14:paraId="36D9C084" w14:textId="15BC1C75" w:rsidR="00970113" w:rsidRPr="00FD64CC" w:rsidRDefault="00970113" w:rsidP="009C460B">
      <w:r w:rsidRPr="00FD64CC">
        <w:t>Seizure frequency was also evaluated</w:t>
      </w:r>
      <w:r w:rsidR="00A85010" w:rsidRPr="00FD64CC">
        <w:t xml:space="preserve"> according to seizure types in S</w:t>
      </w:r>
      <w:r w:rsidRPr="00FD64CC">
        <w:t>tudies 302, 303, and 304. Across the three trials, findings were statisti</w:t>
      </w:r>
      <w:r w:rsidR="00A85010" w:rsidRPr="00FD64CC">
        <w:t xml:space="preserve">cally significant for </w:t>
      </w:r>
      <w:r w:rsidR="0012461B">
        <w:t>eslicarbazepine</w:t>
      </w:r>
      <w:r w:rsidR="00A85010" w:rsidRPr="00FD64CC">
        <w:t>1,200 </w:t>
      </w:r>
      <w:r w:rsidRPr="00FD64CC">
        <w:t>mg compared with placebo for patients with complex partial seizures. Findings were statis</w:t>
      </w:r>
      <w:r w:rsidR="00A85010" w:rsidRPr="00FD64CC">
        <w:t xml:space="preserve">tically significant for </w:t>
      </w:r>
      <w:r w:rsidR="0012461B">
        <w:t xml:space="preserve">eslicarbazepine </w:t>
      </w:r>
      <w:r w:rsidR="00A85010" w:rsidRPr="00FD64CC">
        <w:t>800 </w:t>
      </w:r>
      <w:r w:rsidRPr="00FD64CC">
        <w:t xml:space="preserve">mg compared </w:t>
      </w:r>
      <w:r w:rsidR="00A85010" w:rsidRPr="00FD64CC">
        <w:t xml:space="preserve">with placebo, and for </w:t>
      </w:r>
      <w:r w:rsidR="0012461B">
        <w:t xml:space="preserve">eslicarbazepine </w:t>
      </w:r>
      <w:r w:rsidR="00A85010" w:rsidRPr="00FD64CC">
        <w:t>1,200 </w:t>
      </w:r>
      <w:r w:rsidRPr="00FD64CC">
        <w:t>mg compared with placebo for patients with simple partial sei</w:t>
      </w:r>
      <w:r w:rsidR="00A85010" w:rsidRPr="00FD64CC">
        <w:t>zures in Study 302, but not in S</w:t>
      </w:r>
      <w:r w:rsidRPr="00FD64CC">
        <w:t xml:space="preserve">tudies 303 and 304. For all treatment groups in all three trials, there were no statistically significant differences in seizure frequency for patients with secondarily generalised seizures. These findings must be interpreted </w:t>
      </w:r>
      <w:proofErr w:type="gramStart"/>
      <w:r w:rsidRPr="00FD64CC">
        <w:t>in light of the fact that</w:t>
      </w:r>
      <w:proofErr w:type="gramEnd"/>
      <w:r w:rsidRPr="00FD64CC">
        <w:t xml:space="preserve"> sample sizes for each subgr</w:t>
      </w:r>
      <w:r w:rsidR="00957EF7" w:rsidRPr="00FD64CC">
        <w:t>oup were relatively small and P-</w:t>
      </w:r>
      <w:r w:rsidRPr="00FD64CC">
        <w:t>values are descriptive only</w:t>
      </w:r>
      <w:r w:rsidR="00957EF7" w:rsidRPr="00FD64CC">
        <w:t>.</w:t>
      </w:r>
    </w:p>
    <w:p w14:paraId="5ABB5727" w14:textId="3FD26514" w:rsidR="00970113" w:rsidRPr="00FD64CC" w:rsidRDefault="00970113" w:rsidP="009C460B">
      <w:r w:rsidRPr="00FD64CC">
        <w:t xml:space="preserve">While quality of life was assessed in the included trials using QOLIE-31, there were no statistically significant differences between </w:t>
      </w:r>
      <w:r w:rsidR="0012461B">
        <w:t xml:space="preserve">eslicarbazepine </w:t>
      </w:r>
      <w:r w:rsidRPr="00FD64CC">
        <w:t xml:space="preserve">and placebo. These findings were corroborated with CGI-I score, for which there was also no statistically significant differences between </w:t>
      </w:r>
      <w:r w:rsidR="009A6BE7" w:rsidRPr="009A6BE7">
        <w:t>eslicarbazepine</w:t>
      </w:r>
      <w:r w:rsidRPr="00FD64CC">
        <w:t xml:space="preserve"> and placebo. For </w:t>
      </w:r>
      <w:proofErr w:type="gramStart"/>
      <w:r w:rsidRPr="00FD64CC">
        <w:t>the majority of</w:t>
      </w:r>
      <w:proofErr w:type="gramEnd"/>
      <w:r w:rsidRPr="00FD64CC">
        <w:t xml:space="preserve"> patients, there was no change or minimal improvement in CGI. No test of statistical significance was done for between</w:t>
      </w:r>
      <w:r w:rsidR="00957EF7" w:rsidRPr="00FD64CC">
        <w:t xml:space="preserve"> </w:t>
      </w:r>
      <w:r w:rsidRPr="00FD64CC">
        <w:t xml:space="preserve">group comparisons. It is unclear why the reductions in seizure frequency with </w:t>
      </w:r>
      <w:r w:rsidR="0012461B">
        <w:t xml:space="preserve">eslicarbazepine </w:t>
      </w:r>
      <w:r w:rsidRPr="00FD64CC">
        <w:t xml:space="preserve">did not translate into improvements in </w:t>
      </w:r>
      <w:r w:rsidR="00185313" w:rsidRPr="00FD64CC">
        <w:t>health-related quality of life (</w:t>
      </w:r>
      <w:proofErr w:type="spellStart"/>
      <w:r w:rsidRPr="00FD64CC">
        <w:t>HRQoL</w:t>
      </w:r>
      <w:proofErr w:type="spellEnd"/>
      <w:r w:rsidR="00185313" w:rsidRPr="00FD64CC">
        <w:t>)</w:t>
      </w:r>
      <w:r w:rsidRPr="00FD64CC">
        <w:t xml:space="preserve"> on a disease</w:t>
      </w:r>
      <w:r w:rsidR="00957EF7" w:rsidRPr="00FD64CC">
        <w:t xml:space="preserve"> </w:t>
      </w:r>
      <w:r w:rsidRPr="00FD64CC">
        <w:t>specific instrument such as the QOLIE</w:t>
      </w:r>
      <w:r w:rsidR="00957EF7" w:rsidRPr="00FD64CC">
        <w:noBreakHyphen/>
      </w:r>
      <w:r w:rsidRPr="00FD64CC">
        <w:t xml:space="preserve">31, although benefits on </w:t>
      </w:r>
      <w:proofErr w:type="spellStart"/>
      <w:r w:rsidRPr="00FD64CC">
        <w:t>HRQoL</w:t>
      </w:r>
      <w:proofErr w:type="spellEnd"/>
      <w:r w:rsidRPr="00FD64CC">
        <w:t xml:space="preserve"> were also not apparent in trials of </w:t>
      </w:r>
      <w:proofErr w:type="spellStart"/>
      <w:r w:rsidRPr="00FD64CC">
        <w:t>perampanel</w:t>
      </w:r>
      <w:proofErr w:type="spellEnd"/>
      <w:r w:rsidRPr="00FD64CC">
        <w:t xml:space="preserve"> and </w:t>
      </w:r>
      <w:proofErr w:type="spellStart"/>
      <w:r w:rsidRPr="00FD64CC">
        <w:t>lacosamide</w:t>
      </w:r>
      <w:proofErr w:type="spellEnd"/>
      <w:r w:rsidRPr="00FD64CC">
        <w:t xml:space="preserve">. The higher </w:t>
      </w:r>
      <w:r w:rsidRPr="00FD64CC">
        <w:lastRenderedPageBreak/>
        <w:t xml:space="preserve">incidence of adverse effects in the </w:t>
      </w:r>
      <w:r w:rsidR="0012461B">
        <w:t xml:space="preserve">eslicarbazepine </w:t>
      </w:r>
      <w:r w:rsidRPr="00FD64CC">
        <w:t xml:space="preserve">groups may </w:t>
      </w:r>
      <w:r w:rsidR="00957EF7" w:rsidRPr="00FD64CC">
        <w:t>partially explain this finding.</w:t>
      </w:r>
    </w:p>
    <w:p w14:paraId="600B4CC8" w14:textId="057C822B" w:rsidR="00970113" w:rsidRPr="00FD64CC" w:rsidRDefault="00970113" w:rsidP="009C460B">
      <w:r w:rsidRPr="00FD64CC">
        <w:t>In the one</w:t>
      </w:r>
      <w:r w:rsidR="00957EF7" w:rsidRPr="00FD64CC">
        <w:t xml:space="preserve"> </w:t>
      </w:r>
      <w:r w:rsidRPr="00FD64CC">
        <w:t xml:space="preserve">year </w:t>
      </w:r>
      <w:r w:rsidR="00597B04" w:rsidRPr="00FD64CC">
        <w:t>open label extension (</w:t>
      </w:r>
      <w:r w:rsidRPr="00FD64CC">
        <w:t>OLE</w:t>
      </w:r>
      <w:r w:rsidR="00597B04" w:rsidRPr="00FD64CC">
        <w:t>)</w:t>
      </w:r>
      <w:r w:rsidRPr="00FD64CC">
        <w:t xml:space="preserve"> period, 2.5% of patients achieved seizure</w:t>
      </w:r>
      <w:r w:rsidR="00957EF7" w:rsidRPr="00FD64CC">
        <w:t xml:space="preserve"> </w:t>
      </w:r>
      <w:r w:rsidRPr="00FD64CC">
        <w:t>free sta</w:t>
      </w:r>
      <w:r w:rsidR="00957EF7" w:rsidRPr="00FD64CC">
        <w:t>tus in S</w:t>
      </w:r>
      <w:r w:rsidRPr="00FD64CC">
        <w:t>tudies 302 and 303, while 37.2% and 52.6% of patients had a 50% or greater reduction in seizure frequency, respectively (results not reported for Study 301). In all three OLE trials, patients had statistically</w:t>
      </w:r>
      <w:r w:rsidR="00957EF7" w:rsidRPr="00FD64CC">
        <w:t xml:space="preserve"> significant improvements from B</w:t>
      </w:r>
      <w:r w:rsidRPr="00FD64CC">
        <w:t xml:space="preserve">aseline in the QOLIE-31 overall scores of between 2.1 points and 6.7 points. It should be noted that 20% to 30% of patients who entered the extension trials discontinued treatment before the end of the </w:t>
      </w:r>
      <w:proofErr w:type="gramStart"/>
      <w:r w:rsidRPr="00FD64CC">
        <w:t>one</w:t>
      </w:r>
      <w:r w:rsidR="00957EF7" w:rsidRPr="00FD64CC">
        <w:t xml:space="preserve"> </w:t>
      </w:r>
      <w:r w:rsidRPr="00FD64CC">
        <w:t>year</w:t>
      </w:r>
      <w:proofErr w:type="gramEnd"/>
      <w:r w:rsidRPr="00FD64CC">
        <w:t xml:space="preserve"> period due to withdrawal of consent, lack of efficacy, or the occurrence of unacceptable </w:t>
      </w:r>
      <w:r w:rsidR="0012461B">
        <w:t>adverse events</w:t>
      </w:r>
      <w:r w:rsidRPr="00FD64CC">
        <w:t xml:space="preserve">. Moreover, it is possible that patients in the </w:t>
      </w:r>
      <w:r w:rsidR="00185313" w:rsidRPr="00FD64CC">
        <w:t>randomised clinical trials (</w:t>
      </w:r>
      <w:r w:rsidRPr="00FD64CC">
        <w:t>RCTs</w:t>
      </w:r>
      <w:r w:rsidR="00185313" w:rsidRPr="00FD64CC">
        <w:t>)</w:t>
      </w:r>
      <w:r w:rsidRPr="00FD64CC">
        <w:t xml:space="preserve"> who found </w:t>
      </w:r>
      <w:r w:rsidR="009A6BE7" w:rsidRPr="009A6BE7">
        <w:t>eslicarbazepine</w:t>
      </w:r>
      <w:r w:rsidRPr="00FD64CC">
        <w:t xml:space="preserve"> treatment to be tolerable and efficacious were more likely to enrol in the extension trials. Over time, it is likely that the remaining cohort increasingly represented patients who had the greatest benefit and lowest incidence of </w:t>
      </w:r>
      <w:r w:rsidR="0012461B">
        <w:t>adverse events</w:t>
      </w:r>
      <w:r w:rsidR="0012461B" w:rsidRPr="00FD64CC">
        <w:t xml:space="preserve"> </w:t>
      </w:r>
      <w:r w:rsidRPr="00FD64CC">
        <w:t xml:space="preserve">because such patients self-selected to continue treatment in the OLE trials. Hence, the reduction in seizures and improvements in </w:t>
      </w:r>
      <w:proofErr w:type="spellStart"/>
      <w:r w:rsidRPr="00FD64CC">
        <w:t>HRQoL</w:t>
      </w:r>
      <w:proofErr w:type="spellEnd"/>
      <w:r w:rsidRPr="00FD64CC">
        <w:t xml:space="preserve"> observed with </w:t>
      </w:r>
      <w:proofErr w:type="spellStart"/>
      <w:r w:rsidR="0012461B">
        <w:t>eslicarbazepine</w:t>
      </w:r>
      <w:proofErr w:type="spellEnd"/>
      <w:r w:rsidR="0012461B">
        <w:t xml:space="preserve"> </w:t>
      </w:r>
      <w:r w:rsidRPr="00FD64CC">
        <w:t>is likely overestimated in these studies.</w:t>
      </w:r>
    </w:p>
    <w:p w14:paraId="2C8D77CA" w14:textId="51ED1AC4" w:rsidR="00970113" w:rsidRPr="00FD64CC" w:rsidRDefault="00957EF7" w:rsidP="009C460B">
      <w:r w:rsidRPr="00FD64CC">
        <w:t>The monotherapy S</w:t>
      </w:r>
      <w:r w:rsidR="00970113" w:rsidRPr="00FD64CC">
        <w:t xml:space="preserve">tudy 202 provides useful data supporting efficacy for monotherapy use of </w:t>
      </w:r>
      <w:r w:rsidR="0012461B">
        <w:t xml:space="preserve">eslicarbazepine </w:t>
      </w:r>
      <w:r w:rsidR="00970113" w:rsidRPr="00FD64CC">
        <w:t xml:space="preserve">in </w:t>
      </w:r>
      <w:r w:rsidR="0012461B">
        <w:t>p</w:t>
      </w:r>
      <w:r w:rsidR="0012461B" w:rsidRPr="00FD64CC">
        <w:t xml:space="preserve">artial </w:t>
      </w:r>
      <w:r w:rsidR="00970113" w:rsidRPr="00FD64CC">
        <w:t xml:space="preserve">epilepsy. Supportive evidence is provided from Studies 045 and 046 although the study design limits interpretation of this data. Compared to an appropriate active comparator, non-inferiority is demonstrated although the evaluator notes a trend to </w:t>
      </w:r>
      <w:r w:rsidR="00EA6F21" w:rsidRPr="00FD64CC">
        <w:t xml:space="preserve">carbamazepine </w:t>
      </w:r>
      <w:proofErr w:type="gramStart"/>
      <w:r w:rsidR="00182632" w:rsidRPr="00FD64CC">
        <w:t>controlled-release</w:t>
      </w:r>
      <w:proofErr w:type="gramEnd"/>
      <w:r w:rsidR="00970113" w:rsidRPr="00FD64CC">
        <w:t xml:space="preserve"> </w:t>
      </w:r>
      <w:r w:rsidR="00182632" w:rsidRPr="00FD64CC">
        <w:t>(CR)</w:t>
      </w:r>
      <w:r w:rsidR="00C80347">
        <w:t xml:space="preserve"> formula</w:t>
      </w:r>
      <w:r w:rsidR="00182632" w:rsidRPr="00FD64CC">
        <w:t xml:space="preserve"> </w:t>
      </w:r>
      <w:r w:rsidRPr="00FD64CC">
        <w:t>being more efficacious.</w:t>
      </w:r>
    </w:p>
    <w:p w14:paraId="4A393FC6" w14:textId="1028A547" w:rsidR="00970113" w:rsidRPr="00FD64CC" w:rsidRDefault="00970113" w:rsidP="00970113">
      <w:r w:rsidRPr="00FD64CC">
        <w:t xml:space="preserve">Based on </w:t>
      </w:r>
      <w:r w:rsidR="00185313" w:rsidRPr="00FD64CC">
        <w:t>the analysis of covariance (</w:t>
      </w:r>
      <w:r w:rsidRPr="00FD64CC">
        <w:t>ANCOVA</w:t>
      </w:r>
      <w:r w:rsidR="00185313" w:rsidRPr="00FD64CC">
        <w:t>)</w:t>
      </w:r>
      <w:r w:rsidRPr="00FD64CC">
        <w:t xml:space="preserve"> model of the integrated analysis of Studies 301</w:t>
      </w:r>
      <w:r w:rsidR="00957EF7" w:rsidRPr="00FD64CC">
        <w:t xml:space="preserve">to </w:t>
      </w:r>
      <w:r w:rsidRPr="00FD64CC">
        <w:t xml:space="preserve">303, no effect was seen on the efficacy of </w:t>
      </w:r>
      <w:r w:rsidR="0012461B">
        <w:t xml:space="preserve">eslicarbazepine </w:t>
      </w:r>
      <w:r w:rsidRPr="00FD64CC">
        <w:t xml:space="preserve">when given concomitantly with </w:t>
      </w:r>
      <w:r w:rsidR="00EA6F21" w:rsidRPr="00FD64CC">
        <w:t>carbamazepine</w:t>
      </w:r>
      <w:r w:rsidRPr="00FD64CC">
        <w:t>, lamotrigine, or valproic acid.</w:t>
      </w:r>
    </w:p>
    <w:p w14:paraId="11505C09" w14:textId="77777777" w:rsidR="00970113" w:rsidRPr="00FD64CC" w:rsidRDefault="00970113" w:rsidP="0050079B">
      <w:pPr>
        <w:pStyle w:val="Heading5"/>
      </w:pPr>
      <w:bookmarkStart w:id="50" w:name="_Toc56032553"/>
      <w:r w:rsidRPr="00FD64CC">
        <w:t>Monotherapy</w:t>
      </w:r>
      <w:bookmarkEnd w:id="50"/>
    </w:p>
    <w:p w14:paraId="52E77539" w14:textId="3714ACFA" w:rsidR="00970113" w:rsidRPr="00FD64CC" w:rsidRDefault="00957EF7" w:rsidP="009C460B">
      <w:r w:rsidRPr="00FD64CC">
        <w:t>The primary objective of S</w:t>
      </w:r>
      <w:r w:rsidR="00970113" w:rsidRPr="00FD64CC">
        <w:t xml:space="preserve">tudy 311 was to demonstrate that monotherapy with </w:t>
      </w:r>
      <w:r w:rsidR="0012461B">
        <w:t xml:space="preserve">eslicarbazepine (acetate) </w:t>
      </w:r>
      <w:r w:rsidR="00970113" w:rsidRPr="00FD64CC">
        <w:t>was non-inferior to monotherapy with controlled</w:t>
      </w:r>
      <w:r w:rsidRPr="00FD64CC">
        <w:t xml:space="preserve"> </w:t>
      </w:r>
      <w:r w:rsidR="00970113" w:rsidRPr="00FD64CC">
        <w:t xml:space="preserve">release </w:t>
      </w:r>
      <w:r w:rsidR="00EA6F21" w:rsidRPr="00FD64CC">
        <w:t>carbamazepine</w:t>
      </w:r>
      <w:r w:rsidR="00970113" w:rsidRPr="00FD64CC">
        <w:t xml:space="preserve"> i</w:t>
      </w:r>
      <w:r w:rsidR="00182632" w:rsidRPr="00FD64CC">
        <w:t>n adults (≥ 18 </w:t>
      </w:r>
      <w:r w:rsidR="00970113" w:rsidRPr="00FD64CC">
        <w:t xml:space="preserve">years) with newly diagnosed epilepsy experiencing </w:t>
      </w:r>
      <w:r w:rsidR="00185313" w:rsidRPr="00FD64CC">
        <w:t>partial-onset seizure</w:t>
      </w:r>
      <w:r w:rsidR="002D09A0" w:rsidRPr="00FD64CC">
        <w:t>s</w:t>
      </w:r>
      <w:r w:rsidR="00185313" w:rsidRPr="00FD64CC">
        <w:t xml:space="preserve"> (</w:t>
      </w:r>
      <w:r w:rsidR="00970113" w:rsidRPr="00FD64CC">
        <w:t>POS</w:t>
      </w:r>
      <w:r w:rsidR="00185313" w:rsidRPr="00FD64CC">
        <w:t>)</w:t>
      </w:r>
      <w:r w:rsidR="00970113" w:rsidRPr="00FD64CC">
        <w:t>. In</w:t>
      </w:r>
      <w:r w:rsidR="00182632" w:rsidRPr="00FD64CC">
        <w:t>clusion</w:t>
      </w:r>
      <w:r w:rsidR="00970113" w:rsidRPr="00FD64CC">
        <w:t xml:space="preserve"> and exclusion criteria for this study were generally adequate </w:t>
      </w:r>
      <w:proofErr w:type="gramStart"/>
      <w:r w:rsidR="00970113" w:rsidRPr="00FD64CC">
        <w:t>in order to</w:t>
      </w:r>
      <w:proofErr w:type="gramEnd"/>
      <w:r w:rsidR="00970113" w:rsidRPr="00FD64CC">
        <w:t xml:space="preserve"> identify a study population in line with the proposed target population of the claimed monotherapy indication. The study was designed with stepwise fixed dose increments based on individual response at </w:t>
      </w:r>
      <w:r w:rsidR="00182632" w:rsidRPr="00FD64CC">
        <w:t>three</w:t>
      </w:r>
      <w:r w:rsidR="00970113" w:rsidRPr="00FD64CC">
        <w:t xml:space="preserve"> different dose levels</w:t>
      </w:r>
      <w:r w:rsidR="00182632" w:rsidRPr="00FD64CC">
        <w:t>: dose Level A (</w:t>
      </w:r>
      <w:r w:rsidR="0012461B">
        <w:t xml:space="preserve">eslicarbazepine </w:t>
      </w:r>
      <w:r w:rsidR="00182632" w:rsidRPr="00FD64CC">
        <w:t>800 </w:t>
      </w:r>
      <w:r w:rsidR="00970113" w:rsidRPr="00FD64CC">
        <w:t xml:space="preserve">mg </w:t>
      </w:r>
      <w:r w:rsidR="008627BD" w:rsidRPr="00FD64CC">
        <w:t>once daily</w:t>
      </w:r>
      <w:r w:rsidR="00970113" w:rsidRPr="00FD64CC">
        <w:t xml:space="preserve">, </w:t>
      </w:r>
      <w:r w:rsidR="00C80347">
        <w:t>carbamazepine</w:t>
      </w:r>
      <w:r w:rsidR="00182632" w:rsidRPr="00FD64CC">
        <w:t>-CR 200 </w:t>
      </w:r>
      <w:r w:rsidR="00970113" w:rsidRPr="00FD64CC">
        <w:t xml:space="preserve">mg </w:t>
      </w:r>
      <w:r w:rsidR="00182632" w:rsidRPr="00FD64CC">
        <w:t>twice daily</w:t>
      </w:r>
      <w:r w:rsidR="00970113" w:rsidRPr="00FD64CC">
        <w:t xml:space="preserve">), </w:t>
      </w:r>
      <w:r w:rsidR="00182632" w:rsidRPr="00FD64CC">
        <w:t>Level B (</w:t>
      </w:r>
      <w:r w:rsidR="0012461B">
        <w:t xml:space="preserve">eslicarbazepine </w:t>
      </w:r>
      <w:r w:rsidR="00182632" w:rsidRPr="00FD64CC">
        <w:t>1200 </w:t>
      </w:r>
      <w:r w:rsidR="00970113" w:rsidRPr="00FD64CC">
        <w:t xml:space="preserve">mg </w:t>
      </w:r>
      <w:r w:rsidR="008627BD" w:rsidRPr="00FD64CC">
        <w:t>once daily</w:t>
      </w:r>
      <w:r w:rsidR="00970113" w:rsidRPr="00FD64CC">
        <w:t xml:space="preserve"> or </w:t>
      </w:r>
      <w:r w:rsidR="00C80347">
        <w:t>carbamazepine</w:t>
      </w:r>
      <w:r w:rsidR="00182632" w:rsidRPr="00FD64CC">
        <w:t>-CR 400 </w:t>
      </w:r>
      <w:r w:rsidR="00970113" w:rsidRPr="00FD64CC">
        <w:t xml:space="preserve">mg </w:t>
      </w:r>
      <w:r w:rsidR="00182632" w:rsidRPr="00FD64CC">
        <w:t>twice daily) and Level C (</w:t>
      </w:r>
      <w:r w:rsidR="0012461B">
        <w:t xml:space="preserve">eslicarbazepine </w:t>
      </w:r>
      <w:r w:rsidR="00182632" w:rsidRPr="00FD64CC">
        <w:t>1600 </w:t>
      </w:r>
      <w:r w:rsidR="00970113" w:rsidRPr="00FD64CC">
        <w:t xml:space="preserve">mg </w:t>
      </w:r>
      <w:r w:rsidR="008627BD" w:rsidRPr="00FD64CC">
        <w:t>once daily</w:t>
      </w:r>
      <w:r w:rsidR="00970113" w:rsidRPr="00FD64CC">
        <w:t xml:space="preserve"> or </w:t>
      </w:r>
      <w:r w:rsidR="00C80347">
        <w:t>carbamazepine</w:t>
      </w:r>
      <w:r w:rsidR="00182632" w:rsidRPr="00FD64CC">
        <w:t>-CR 600 </w:t>
      </w:r>
      <w:r w:rsidR="00970113" w:rsidRPr="00FD64CC">
        <w:t xml:space="preserve">mg </w:t>
      </w:r>
      <w:r w:rsidR="00182632" w:rsidRPr="00FD64CC">
        <w:t xml:space="preserve">twice daily). Whereas </w:t>
      </w:r>
      <w:r w:rsidR="0012461B">
        <w:t xml:space="preserve">eslicarbazepine </w:t>
      </w:r>
      <w:r w:rsidR="00182632" w:rsidRPr="00FD64CC">
        <w:t>dose L</w:t>
      </w:r>
      <w:r w:rsidR="00970113" w:rsidRPr="00FD64CC">
        <w:t xml:space="preserve">evels A and B in </w:t>
      </w:r>
      <w:r w:rsidR="00182632" w:rsidRPr="00FD64CC">
        <w:t>S</w:t>
      </w:r>
      <w:r w:rsidR="00970113" w:rsidRPr="00FD64CC">
        <w:t xml:space="preserve">tudy 311 were within the dose range currently approved for </w:t>
      </w:r>
      <w:r w:rsidR="0012461B">
        <w:t xml:space="preserve">eslicarbazepine </w:t>
      </w:r>
      <w:r w:rsidR="00970113" w:rsidRPr="00FD64CC">
        <w:t>adjunctive treatment of adults with PO</w:t>
      </w:r>
      <w:r w:rsidR="00182632" w:rsidRPr="00FD64CC">
        <w:t>S, the highest dose level, 1600 </w:t>
      </w:r>
      <w:r w:rsidR="00970113" w:rsidRPr="00FD64CC">
        <w:t xml:space="preserve">mg </w:t>
      </w:r>
      <w:r w:rsidR="0012461B">
        <w:t xml:space="preserve">eslicarbazepine </w:t>
      </w:r>
      <w:r w:rsidR="008627BD" w:rsidRPr="00FD64CC">
        <w:t>once daily</w:t>
      </w:r>
      <w:r w:rsidR="00970113" w:rsidRPr="00FD64CC">
        <w:t>, exceeded the maximum approve</w:t>
      </w:r>
      <w:r w:rsidR="00182632" w:rsidRPr="00FD64CC">
        <w:t>d dose for add-on therapy (1200 </w:t>
      </w:r>
      <w:r w:rsidR="00970113" w:rsidRPr="00FD64CC">
        <w:t xml:space="preserve">mg </w:t>
      </w:r>
      <w:r w:rsidR="008627BD" w:rsidRPr="00FD64CC">
        <w:t>once daily</w:t>
      </w:r>
      <w:r w:rsidR="00970113" w:rsidRPr="00FD64CC">
        <w:t xml:space="preserve">). See further discussion on dose recommendations below. The choice of </w:t>
      </w:r>
      <w:r w:rsidR="00C80347">
        <w:t>carbamazepine</w:t>
      </w:r>
      <w:r w:rsidR="00182632" w:rsidRPr="00FD64CC">
        <w:t xml:space="preserve">-CR </w:t>
      </w:r>
      <w:r w:rsidR="00970113" w:rsidRPr="00FD64CC">
        <w:t xml:space="preserve">as the active comparator is agreed by the evaluator and appropriate for the population studied. </w:t>
      </w:r>
      <w:r w:rsidR="008E0F41">
        <w:t>C</w:t>
      </w:r>
      <w:r w:rsidR="00EA6F21" w:rsidRPr="00FD64CC">
        <w:t>arbamazepine</w:t>
      </w:r>
      <w:r w:rsidR="00970113" w:rsidRPr="00FD64CC">
        <w:t xml:space="preserve"> is approved for this as first choice treatment for POS in Australia and the controlled</w:t>
      </w:r>
      <w:r w:rsidR="002401ED" w:rsidRPr="00FD64CC">
        <w:t xml:space="preserve"> </w:t>
      </w:r>
      <w:r w:rsidR="00970113" w:rsidRPr="00FD64CC">
        <w:t xml:space="preserve">release formulation allows more stable plasma levels of the drug, avoiding peaks in plasma concentration and resulting in an overall better tolerability. Thus, it can be regarded as the active comparator of choice. Furthermore, the chosen dose levels of </w:t>
      </w:r>
      <w:r w:rsidR="00C80347">
        <w:t>carbamazepine</w:t>
      </w:r>
      <w:r w:rsidR="00182632" w:rsidRPr="00FD64CC">
        <w:t xml:space="preserve">-CR </w:t>
      </w:r>
      <w:r w:rsidR="00970113" w:rsidRPr="00FD64CC">
        <w:t xml:space="preserve">were within the approved dose range of </w:t>
      </w:r>
      <w:r w:rsidR="00EA6F21" w:rsidRPr="00FD64CC">
        <w:t>carbamazepine</w:t>
      </w:r>
      <w:r w:rsidR="00970113" w:rsidRPr="00FD64CC">
        <w:t>, in accordance with the most commonly used doses in clinical practice and in line with published literature, which suggests that the majority of subjects with newly diagnosed epilepsy respond to their first AED at a low dose.</w:t>
      </w:r>
    </w:p>
    <w:p w14:paraId="1488EF24" w14:textId="46655087" w:rsidR="00970113" w:rsidRPr="00FD64CC" w:rsidRDefault="00970113" w:rsidP="009C460B">
      <w:r w:rsidRPr="00FD64CC">
        <w:t xml:space="preserve">The primary efficacy endpoint was the proportion of subjects who were seizure free for the entire </w:t>
      </w:r>
      <w:proofErr w:type="gramStart"/>
      <w:r w:rsidRPr="00FD64CC">
        <w:t>26</w:t>
      </w:r>
      <w:r w:rsidR="002401ED" w:rsidRPr="00FD64CC">
        <w:t xml:space="preserve"> </w:t>
      </w:r>
      <w:r w:rsidRPr="00FD64CC">
        <w:t>week</w:t>
      </w:r>
      <w:proofErr w:type="gramEnd"/>
      <w:r w:rsidRPr="00FD64CC">
        <w:t xml:space="preserve"> evaluation period at the last evaluated dose level. Subjects who </w:t>
      </w:r>
      <w:r w:rsidRPr="00FD64CC">
        <w:lastRenderedPageBreak/>
        <w:t xml:space="preserve">dropped out during this </w:t>
      </w:r>
      <w:proofErr w:type="gramStart"/>
      <w:r w:rsidRPr="00FD64CC">
        <w:t>26</w:t>
      </w:r>
      <w:r w:rsidR="002401ED" w:rsidRPr="00FD64CC">
        <w:t xml:space="preserve"> </w:t>
      </w:r>
      <w:r w:rsidRPr="00FD64CC">
        <w:t>week</w:t>
      </w:r>
      <w:proofErr w:type="gramEnd"/>
      <w:r w:rsidRPr="00FD64CC">
        <w:t xml:space="preserve"> period were considered as non-seizure</w:t>
      </w:r>
      <w:r w:rsidR="002401ED" w:rsidRPr="00FD64CC">
        <w:t xml:space="preserve"> </w:t>
      </w:r>
      <w:r w:rsidRPr="00FD64CC">
        <w:t xml:space="preserve">free in the primary efficacy analysis. Seizure freedom rates were also evaluated after </w:t>
      </w:r>
      <w:r w:rsidR="002401ED" w:rsidRPr="00FD64CC">
        <w:t>one</w:t>
      </w:r>
      <w:r w:rsidRPr="00FD64CC">
        <w:t xml:space="preserve"> year of treatment at the last evaluated dose level (secondary endpoint). Non-inferiority of </w:t>
      </w:r>
      <w:r w:rsidR="0012461B">
        <w:t xml:space="preserve">eslicarbazepine </w:t>
      </w:r>
      <w:r w:rsidRPr="00FD64CC">
        <w:t xml:space="preserve">to </w:t>
      </w:r>
      <w:r w:rsidR="00C80347">
        <w:t>carbamazepine</w:t>
      </w:r>
      <w:r w:rsidR="00182632" w:rsidRPr="00FD64CC">
        <w:t xml:space="preserve">-CR </w:t>
      </w:r>
      <w:r w:rsidRPr="00FD64CC">
        <w:t>was considered demonstrated if the one</w:t>
      </w:r>
      <w:r w:rsidR="002401ED" w:rsidRPr="00FD64CC">
        <w:t>-</w:t>
      </w:r>
      <w:r w:rsidRPr="00FD64CC">
        <w:t xml:space="preserve">sided 97.5% </w:t>
      </w:r>
      <w:r w:rsidR="002401ED" w:rsidRPr="00FD64CC">
        <w:t>confidence interval (</w:t>
      </w:r>
      <w:r w:rsidRPr="00FD64CC">
        <w:t>CI</w:t>
      </w:r>
      <w:r w:rsidR="002401ED" w:rsidRPr="00FD64CC">
        <w:t>)</w:t>
      </w:r>
      <w:r w:rsidRPr="00FD64CC">
        <w:t xml:space="preserve"> for the absolute difference in proportions did not exceed the pre-specified </w:t>
      </w:r>
      <w:r w:rsidR="002401ED" w:rsidRPr="00FD64CC">
        <w:t xml:space="preserve">non-inferiority </w:t>
      </w:r>
      <w:r w:rsidRPr="00FD64CC">
        <w:t xml:space="preserve">margin of -12%. This would appear appropriate </w:t>
      </w:r>
      <w:proofErr w:type="gramStart"/>
      <w:r w:rsidRPr="00FD64CC">
        <w:t>on the basis of</w:t>
      </w:r>
      <w:proofErr w:type="gramEnd"/>
      <w:r w:rsidR="002401ED" w:rsidRPr="00FD64CC">
        <w:t xml:space="preserve"> currently accepted guidelines.</w:t>
      </w:r>
      <w:r w:rsidR="000015E5" w:rsidRPr="00FD64CC">
        <w:rPr>
          <w:rStyle w:val="FootnoteReference"/>
        </w:rPr>
        <w:footnoteReference w:id="7"/>
      </w:r>
    </w:p>
    <w:p w14:paraId="644AECFA" w14:textId="18CABE14" w:rsidR="00970113" w:rsidRPr="00FD64CC" w:rsidRDefault="00970113" w:rsidP="009C460B">
      <w:r w:rsidRPr="00FD64CC">
        <w:t xml:space="preserve">The distribution of subjects across dose levels was generally similar. However, there were somewhat higher percentages of </w:t>
      </w:r>
      <w:r w:rsidR="0012461B">
        <w:t xml:space="preserve">eslicarbazepine </w:t>
      </w:r>
      <w:r w:rsidRPr="00FD64CC">
        <w:t>subjects th</w:t>
      </w:r>
      <w:r w:rsidR="002401ED" w:rsidRPr="00FD64CC">
        <w:t>at needed up-titration to dose L</w:t>
      </w:r>
      <w:r w:rsidRPr="00FD64CC">
        <w:t xml:space="preserve">evel B or C, respectively, compared to </w:t>
      </w:r>
      <w:r w:rsidR="00C80347">
        <w:t>carbamazepine</w:t>
      </w:r>
      <w:r w:rsidR="00182632" w:rsidRPr="00FD64CC">
        <w:t>-CR</w:t>
      </w:r>
      <w:r w:rsidRPr="00FD64CC">
        <w:t xml:space="preserve">. </w:t>
      </w:r>
      <w:proofErr w:type="gramStart"/>
      <w:r w:rsidRPr="00FD64CC">
        <w:t>The majorit</w:t>
      </w:r>
      <w:r w:rsidR="002401ED" w:rsidRPr="00FD64CC">
        <w:t>y of</w:t>
      </w:r>
      <w:proofErr w:type="gramEnd"/>
      <w:r w:rsidR="002401ED" w:rsidRPr="00FD64CC">
        <w:t xml:space="preserve"> subjects remained at dose Level A (</w:t>
      </w:r>
      <w:r w:rsidR="0012461B">
        <w:t>eslicarbazepine</w:t>
      </w:r>
      <w:r w:rsidR="002401ED" w:rsidRPr="00FD64CC">
        <w:t>: 271/401 (</w:t>
      </w:r>
      <w:r w:rsidRPr="00FD64CC">
        <w:t>67.6%</w:t>
      </w:r>
      <w:r w:rsidR="002401ED" w:rsidRPr="00FD64CC">
        <w:t>)</w:t>
      </w:r>
      <w:r w:rsidRPr="00FD64CC">
        <w:t xml:space="preserve">, </w:t>
      </w:r>
      <w:r w:rsidR="00C80347">
        <w:t>carbamazepine</w:t>
      </w:r>
      <w:r w:rsidR="002401ED" w:rsidRPr="00FD64CC">
        <w:t>-CR: 317/412 (76.9%)</w:t>
      </w:r>
      <w:r w:rsidRPr="00FD64CC">
        <w:t>). As a consequence, the number of subject</w:t>
      </w:r>
      <w:r w:rsidR="002401ED" w:rsidRPr="00FD64CC">
        <w:t>s at dose Level B (</w:t>
      </w:r>
      <w:r w:rsidR="0012461B">
        <w:t>eslicarbazepine</w:t>
      </w:r>
      <w:r w:rsidR="002401ED" w:rsidRPr="00FD64CC">
        <w:t>: 70/401 (</w:t>
      </w:r>
      <w:r w:rsidRPr="00FD64CC">
        <w:t>17.5%</w:t>
      </w:r>
      <w:r w:rsidR="002401ED" w:rsidRPr="00FD64CC">
        <w:t>)</w:t>
      </w:r>
      <w:r w:rsidRPr="00FD64CC">
        <w:t xml:space="preserve">, </w:t>
      </w:r>
      <w:r w:rsidR="00C80347">
        <w:t>carbamazepine</w:t>
      </w:r>
      <w:r w:rsidR="002401ED" w:rsidRPr="00FD64CC">
        <w:t>-CR: 61/412 (</w:t>
      </w:r>
      <w:r w:rsidRPr="00FD64CC">
        <w:t>14.8%</w:t>
      </w:r>
      <w:r w:rsidR="002401ED" w:rsidRPr="00FD64CC">
        <w:t>)</w:t>
      </w:r>
      <w:r w:rsidRPr="00FD64CC">
        <w:t xml:space="preserve">) and </w:t>
      </w:r>
      <w:r w:rsidR="008A169A" w:rsidRPr="00FD64CC">
        <w:t xml:space="preserve">Level </w:t>
      </w:r>
      <w:r w:rsidR="002401ED" w:rsidRPr="00FD64CC">
        <w:t>C (</w:t>
      </w:r>
      <w:r w:rsidR="0012461B">
        <w:t>eslicarbazepine</w:t>
      </w:r>
      <w:r w:rsidR="002401ED" w:rsidRPr="00FD64CC">
        <w:t>: 60/401 subjects (</w:t>
      </w:r>
      <w:r w:rsidRPr="00FD64CC">
        <w:t>15.0%</w:t>
      </w:r>
      <w:r w:rsidR="002401ED" w:rsidRPr="00FD64CC">
        <w:t>)</w:t>
      </w:r>
      <w:r w:rsidRPr="00FD64CC">
        <w:t xml:space="preserve">, </w:t>
      </w:r>
      <w:r w:rsidR="00C80347">
        <w:t>carbamazepine</w:t>
      </w:r>
      <w:r w:rsidR="002401ED" w:rsidRPr="00FD64CC">
        <w:t>-CR: 34/412 (</w:t>
      </w:r>
      <w:r w:rsidRPr="00FD64CC">
        <w:t>8.3%</w:t>
      </w:r>
      <w:r w:rsidR="002401ED" w:rsidRPr="00FD64CC">
        <w:t>)</w:t>
      </w:r>
      <w:r w:rsidRPr="00FD64CC">
        <w:t xml:space="preserve">) as last evaluated dose was limited. Moreover, </w:t>
      </w:r>
      <w:r w:rsidR="008A169A" w:rsidRPr="00FD64CC">
        <w:t>the ages of patients achieving d</w:t>
      </w:r>
      <w:r w:rsidRPr="00FD64CC">
        <w:t xml:space="preserve">ose Level C were skewed towards younger subjects although the ages between groups were roughly comparable. There was also higher percentage of </w:t>
      </w:r>
      <w:r w:rsidR="0012461B">
        <w:t xml:space="preserve">eslicarbazepine </w:t>
      </w:r>
      <w:r w:rsidRPr="00FD64CC">
        <w:t xml:space="preserve">subjects using concomitant AEDs (25.7%) compared to </w:t>
      </w:r>
      <w:r w:rsidR="00C80347">
        <w:t>carbamazepine</w:t>
      </w:r>
      <w:r w:rsidR="008A169A" w:rsidRPr="00FD64CC">
        <w:noBreakHyphen/>
      </w:r>
      <w:r w:rsidRPr="00FD64CC">
        <w:t>CR subjects (18.0%) during the evaluation and down-titration periods. To understand a possible impact of this imbalance on the study outcome, a sensitivity analysis was conducted in which patients with concomitant AEDs were regarded non-responders. The sensitivity analysis yielded similar results as the original analysis.</w:t>
      </w:r>
    </w:p>
    <w:p w14:paraId="297215CD" w14:textId="56979949" w:rsidR="00970113" w:rsidRPr="00FD64CC" w:rsidRDefault="00970113" w:rsidP="009C460B">
      <w:r w:rsidRPr="00FD64CC">
        <w:t>For the primary efficacy endpoint, the proportion of seizure free subjects during the</w:t>
      </w:r>
      <w:r w:rsidR="008A169A" w:rsidRPr="00FD64CC">
        <w:t xml:space="preserve"> 26 </w:t>
      </w:r>
      <w:r w:rsidRPr="00FD64CC">
        <w:t xml:space="preserve">week evaluation period at the last evaluated dose level was slightly lower in the </w:t>
      </w:r>
      <w:r w:rsidR="0012461B">
        <w:t xml:space="preserve">eslicarbazepine </w:t>
      </w:r>
      <w:r w:rsidRPr="00FD64CC">
        <w:t xml:space="preserve">arm compared to the </w:t>
      </w:r>
      <w:r w:rsidR="00C80347">
        <w:t>carbamazepine</w:t>
      </w:r>
      <w:r w:rsidR="002401ED" w:rsidRPr="00FD64CC">
        <w:t>-CR group (276/388 (</w:t>
      </w:r>
      <w:r w:rsidRPr="00FD64CC">
        <w:t>71.1%</w:t>
      </w:r>
      <w:r w:rsidR="002401ED" w:rsidRPr="00FD64CC">
        <w:t>) versus 300/397 (</w:t>
      </w:r>
      <w:r w:rsidRPr="00FD64CC">
        <w:t>75.6%</w:t>
      </w:r>
      <w:r w:rsidR="002401ED" w:rsidRPr="00FD64CC">
        <w:t>)</w:t>
      </w:r>
      <w:r w:rsidRPr="00FD64CC">
        <w:t xml:space="preserve">, </w:t>
      </w:r>
      <w:r w:rsidR="008A169A" w:rsidRPr="00FD64CC">
        <w:t>per</w:t>
      </w:r>
      <w:r w:rsidR="008A169A" w:rsidRPr="00FD64CC">
        <w:noBreakHyphen/>
        <w:t>protocol</w:t>
      </w:r>
      <w:r w:rsidR="007A1FCA" w:rsidRPr="00FD64CC">
        <w:t>;</w:t>
      </w:r>
      <w:r w:rsidR="007A1FCA" w:rsidRPr="00FD64CC">
        <w:rPr>
          <w:rStyle w:val="FootnoteReference"/>
        </w:rPr>
        <w:footnoteReference w:id="8"/>
      </w:r>
      <w:r w:rsidR="008A169A" w:rsidRPr="00FD64CC">
        <w:t xml:space="preserve"> </w:t>
      </w:r>
      <w:r w:rsidRPr="00FD64CC">
        <w:t>set). The average risk difference (ARD)</w:t>
      </w:r>
      <w:r w:rsidR="00BD2BF5" w:rsidRPr="00FD64CC">
        <w:t xml:space="preserve"> was -4.28 (95%</w:t>
      </w:r>
      <w:r w:rsidR="0012461B">
        <w:t> </w:t>
      </w:r>
      <w:r w:rsidR="00BD2BF5" w:rsidRPr="00FD64CC">
        <w:t>CI: -10.3,</w:t>
      </w:r>
      <w:r w:rsidRPr="00FD64CC">
        <w:t xml:space="preserve"> 1.74) and non-inferiority of </w:t>
      </w:r>
      <w:r w:rsidR="0012461B">
        <w:t xml:space="preserve">eslicarbazepine </w:t>
      </w:r>
      <w:r w:rsidRPr="00FD64CC">
        <w:t xml:space="preserve">with </w:t>
      </w:r>
      <w:r w:rsidR="00C80347">
        <w:t>carbamazepine</w:t>
      </w:r>
      <w:r w:rsidRPr="00FD64CC">
        <w:t>-CR was concluded</w:t>
      </w:r>
      <w:r w:rsidR="00BD2BF5" w:rsidRPr="00FD64CC">
        <w:t xml:space="preserve"> based on the pre-specified non</w:t>
      </w:r>
      <w:r w:rsidR="00BD2BF5" w:rsidRPr="00FD64CC">
        <w:noBreakHyphen/>
      </w:r>
      <w:r w:rsidRPr="00FD64CC">
        <w:t xml:space="preserve">inferiority margin of an absolute difference of -12%, as the one-sided 97.5% CI was greater than -12%. The results from the analysis on the </w:t>
      </w:r>
      <w:r w:rsidR="00BD2BF5" w:rsidRPr="00FD64CC">
        <w:t>full analysis set (</w:t>
      </w:r>
      <w:r w:rsidRPr="00FD64CC">
        <w:t>FAS</w:t>
      </w:r>
      <w:r w:rsidR="00BD2BF5" w:rsidRPr="00FD64CC">
        <w:t>)</w:t>
      </w:r>
      <w:r w:rsidRPr="00FD64CC">
        <w:t xml:space="preserve"> as well as from the planned sensitivity analyses were largely consistent with the primary analysis, thus showing that the conclusion of non-inferiority did not depend on the method c</w:t>
      </w:r>
      <w:r w:rsidR="00BD2BF5" w:rsidRPr="00FD64CC">
        <w:t>hosen for the primary analysis.</w:t>
      </w:r>
    </w:p>
    <w:p w14:paraId="18BB314B" w14:textId="27DD8557" w:rsidR="00970113" w:rsidRPr="00FD64CC" w:rsidRDefault="00970113" w:rsidP="009C460B">
      <w:r w:rsidRPr="00FD64CC">
        <w:t>Consistent results were also shown for the analyses of secondary outcomes</w:t>
      </w:r>
      <w:r w:rsidR="00BD2BF5" w:rsidRPr="00FD64CC">
        <w:t>:</w:t>
      </w:r>
      <w:r w:rsidRPr="00FD64CC">
        <w:t xml:space="preserve"> seizure-free subjects afte</w:t>
      </w:r>
      <w:r w:rsidR="002401ED" w:rsidRPr="00FD64CC">
        <w:t xml:space="preserve">r </w:t>
      </w:r>
      <w:r w:rsidR="00BD2BF5" w:rsidRPr="00FD64CC">
        <w:t>one</w:t>
      </w:r>
      <w:r w:rsidR="002401ED" w:rsidRPr="00FD64CC">
        <w:t xml:space="preserve"> year of treatment (251/388 (</w:t>
      </w:r>
      <w:r w:rsidRPr="00FD64CC">
        <w:t>64.7%</w:t>
      </w:r>
      <w:r w:rsidR="002401ED" w:rsidRPr="00FD64CC">
        <w:t>) versus 279/397 (</w:t>
      </w:r>
      <w:r w:rsidRPr="00FD64CC">
        <w:t>70.3%</w:t>
      </w:r>
      <w:r w:rsidR="002401ED" w:rsidRPr="00FD64CC">
        <w:t>)</w:t>
      </w:r>
      <w:r w:rsidRPr="00FD64CC">
        <w:t xml:space="preserve"> seizure</w:t>
      </w:r>
      <w:r w:rsidR="0012461B">
        <w:noBreakHyphen/>
      </w:r>
      <w:r w:rsidRPr="00FD64CC">
        <w:t xml:space="preserve">free patients in the </w:t>
      </w:r>
      <w:r w:rsidR="0012461B">
        <w:t xml:space="preserve">eslicarbazepine </w:t>
      </w:r>
      <w:r w:rsidRPr="00FD64CC">
        <w:t xml:space="preserve">and in the </w:t>
      </w:r>
      <w:r w:rsidR="00C80347">
        <w:t>carbamazepine</w:t>
      </w:r>
      <w:r w:rsidRPr="00FD64CC">
        <w:t xml:space="preserve">-CR group, respectively; ARD: </w:t>
      </w:r>
      <w:r w:rsidR="0012461B">
        <w:noBreakHyphen/>
      </w:r>
      <w:r w:rsidRPr="00FD64CC">
        <w:t xml:space="preserve">5.46%, 95% CI: </w:t>
      </w:r>
      <w:r w:rsidR="00BD2BF5" w:rsidRPr="00FD64CC">
        <w:noBreakHyphen/>
      </w:r>
      <w:r w:rsidRPr="00FD64CC">
        <w:t>11.88</w:t>
      </w:r>
      <w:r w:rsidR="00BD2BF5" w:rsidRPr="00FD64CC">
        <w:t>,</w:t>
      </w:r>
      <w:r w:rsidRPr="00FD64CC">
        <w:t xml:space="preserve"> 0.97) as well as for the relative risk difference during the evaluation period and during </w:t>
      </w:r>
      <w:r w:rsidR="00BD2BF5" w:rsidRPr="00FD64CC">
        <w:t>one year of treatment.</w:t>
      </w:r>
    </w:p>
    <w:p w14:paraId="605EB939" w14:textId="347BFC4A" w:rsidR="00970113" w:rsidRPr="00FD64CC" w:rsidRDefault="00970113" w:rsidP="009C460B">
      <w:r w:rsidRPr="00FD64CC">
        <w:t xml:space="preserve">Both results, however, were close to the -12% margin. Another notable observation is the numerically smaller effect size for </w:t>
      </w:r>
      <w:r w:rsidR="0012461B">
        <w:t xml:space="preserve">eslicarbazepine </w:t>
      </w:r>
      <w:r w:rsidRPr="00FD64CC">
        <w:t xml:space="preserve">compared to </w:t>
      </w:r>
      <w:r w:rsidR="00C80347">
        <w:t>carbamazepine</w:t>
      </w:r>
      <w:r w:rsidRPr="00FD64CC">
        <w:t xml:space="preserve">-CR such that the probability for treatment failure at the end of the evaluation period was nearly twice as high for patients receiving </w:t>
      </w:r>
      <w:r w:rsidR="0012461B">
        <w:t xml:space="preserve">eslicarbazepine </w:t>
      </w:r>
      <w:r w:rsidRPr="00FD64CC">
        <w:t xml:space="preserve">compared to </w:t>
      </w:r>
      <w:r w:rsidR="00C80347">
        <w:t>carbamazepine</w:t>
      </w:r>
      <w:r w:rsidR="00BD2BF5" w:rsidRPr="00FD64CC">
        <w:t>-CR (12% versus 6%).</w:t>
      </w:r>
    </w:p>
    <w:p w14:paraId="2CF4BBA4" w14:textId="3B88DBCF" w:rsidR="00970113" w:rsidRPr="00FD64CC" w:rsidRDefault="00970113" w:rsidP="009C460B">
      <w:r w:rsidRPr="00FD64CC">
        <w:t>Moreover, due to the study design, Study 311 did not</w:t>
      </w:r>
      <w:r w:rsidR="00BD2BF5" w:rsidRPr="00FD64CC">
        <w:t xml:space="preserve"> allow for assessment of a dose </w:t>
      </w:r>
      <w:r w:rsidRPr="00FD64CC">
        <w:t>response relationship. Further, in Studies 045, 046 differences in dose</w:t>
      </w:r>
      <w:r w:rsidR="00BD2BF5" w:rsidRPr="00FD64CC">
        <w:t xml:space="preserve"> </w:t>
      </w:r>
      <w:r w:rsidRPr="00FD64CC">
        <w:t>response for 1200</w:t>
      </w:r>
      <w:r w:rsidR="00BD2BF5" w:rsidRPr="00FD64CC">
        <w:t> </w:t>
      </w:r>
      <w:r w:rsidRPr="00FD64CC">
        <w:t>mg/day versus 1600</w:t>
      </w:r>
      <w:r w:rsidR="00BD2BF5" w:rsidRPr="00FD64CC">
        <w:t> </w:t>
      </w:r>
      <w:r w:rsidRPr="00FD64CC">
        <w:t xml:space="preserve">mg/day did not reach significance providing no efficacy </w:t>
      </w:r>
      <w:r w:rsidRPr="00FD64CC">
        <w:lastRenderedPageBreak/>
        <w:t>support for the use of 1600</w:t>
      </w:r>
      <w:r w:rsidR="00BD2BF5" w:rsidRPr="00FD64CC">
        <w:t> </w:t>
      </w:r>
      <w:r w:rsidRPr="00FD64CC">
        <w:t>mg</w:t>
      </w:r>
      <w:r w:rsidR="00BD2BF5" w:rsidRPr="00FD64CC">
        <w:t>/</w:t>
      </w:r>
      <w:r w:rsidRPr="00FD64CC">
        <w:t>day in this context. Therefore, the safety and tolerability of 1600</w:t>
      </w:r>
      <w:r w:rsidR="00BD2BF5" w:rsidRPr="00FD64CC">
        <w:t> </w:t>
      </w:r>
      <w:r w:rsidRPr="00FD64CC">
        <w:t>mg/day dose must be acceptable to be recommended.</w:t>
      </w:r>
    </w:p>
    <w:p w14:paraId="43CF46B0" w14:textId="77777777" w:rsidR="00970113" w:rsidRPr="00FD64CC" w:rsidRDefault="00970113" w:rsidP="0050079B">
      <w:pPr>
        <w:pStyle w:val="Heading5"/>
      </w:pPr>
      <w:bookmarkStart w:id="51" w:name="_Toc56032554"/>
      <w:r w:rsidRPr="00FD64CC">
        <w:t>Paediatric indication</w:t>
      </w:r>
      <w:bookmarkEnd w:id="51"/>
    </w:p>
    <w:p w14:paraId="01D7AC0D" w14:textId="3C450F10" w:rsidR="00970113" w:rsidRPr="00FD64CC" w:rsidRDefault="00970113" w:rsidP="009C460B">
      <w:r w:rsidRPr="00FD64CC">
        <w:t xml:space="preserve">Data from </w:t>
      </w:r>
      <w:r w:rsidR="00BD2BF5" w:rsidRPr="00FD64CC">
        <w:t>three</w:t>
      </w:r>
      <w:r w:rsidRPr="00FD64CC">
        <w:t xml:space="preserve"> clinical trials have been submitted to support efficacy of </w:t>
      </w:r>
      <w:r w:rsidR="0012461B">
        <w:t>eslicarbazepine</w:t>
      </w:r>
      <w:r w:rsidR="00C0497A">
        <w:t xml:space="preserve"> </w:t>
      </w:r>
      <w:r w:rsidRPr="00FD64CC">
        <w:t>in the add-on treatment of POS in children. The main support was derived</w:t>
      </w:r>
      <w:r w:rsidR="00BD2BF5" w:rsidRPr="00FD64CC">
        <w:t xml:space="preserve"> from two pivotal studies, the P</w:t>
      </w:r>
      <w:r w:rsidRPr="00FD64CC">
        <w:t xml:space="preserve">hase </w:t>
      </w:r>
      <w:r w:rsidR="00BD2BF5" w:rsidRPr="00FD64CC">
        <w:t>III</w:t>
      </w:r>
      <w:r w:rsidRPr="00FD64CC">
        <w:t xml:space="preserve"> </w:t>
      </w:r>
      <w:r w:rsidR="00885F3D" w:rsidRPr="00FD64CC">
        <w:t xml:space="preserve">Study </w:t>
      </w:r>
      <w:proofErr w:type="gramStart"/>
      <w:r w:rsidR="005C421A" w:rsidRPr="00FD64CC">
        <w:t>3</w:t>
      </w:r>
      <w:r w:rsidRPr="00FD64CC">
        <w:t>05</w:t>
      </w:r>
      <w:proofErr w:type="gramEnd"/>
      <w:r w:rsidR="00BD2BF5" w:rsidRPr="00FD64CC">
        <w:t xml:space="preserve"> and the P</w:t>
      </w:r>
      <w:r w:rsidR="00182632" w:rsidRPr="00FD64CC">
        <w:t>ha</w:t>
      </w:r>
      <w:r w:rsidR="00BD2BF5" w:rsidRPr="00FD64CC">
        <w:t>se II</w:t>
      </w:r>
      <w:r w:rsidR="00182632" w:rsidRPr="00FD64CC">
        <w:t xml:space="preserve"> S</w:t>
      </w:r>
      <w:r w:rsidRPr="00FD64CC">
        <w:t>tudy 208. Both studies were double</w:t>
      </w:r>
      <w:r w:rsidR="00BD2BF5" w:rsidRPr="00FD64CC">
        <w:t xml:space="preserve"> </w:t>
      </w:r>
      <w:r w:rsidRPr="00FD64CC">
        <w:t>blind and placebo</w:t>
      </w:r>
      <w:r w:rsidR="00BD2BF5" w:rsidRPr="00FD64CC">
        <w:t>-</w:t>
      </w:r>
      <w:r w:rsidRPr="00FD64CC">
        <w:t xml:space="preserve">controlled with a minimum duration of the maintenance period of </w:t>
      </w:r>
      <w:r w:rsidR="00BD2BF5" w:rsidRPr="00FD64CC">
        <w:t>eight weeks (Study 208) and 12 weeks (S</w:t>
      </w:r>
      <w:r w:rsidRPr="00FD64CC">
        <w:t xml:space="preserve">tudy 305), respectively. </w:t>
      </w:r>
      <w:r w:rsidR="0012461B">
        <w:t xml:space="preserve">Eslicarbazepine </w:t>
      </w:r>
      <w:r w:rsidRPr="00FD64CC">
        <w:t>was tested at doses of 20 and 30</w:t>
      </w:r>
      <w:r w:rsidR="00BD2BF5" w:rsidRPr="00FD64CC">
        <w:t> </w:t>
      </w:r>
      <w:r w:rsidRPr="00FD64CC">
        <w:t>mg/kg/day, up to a maximum of 1,200</w:t>
      </w:r>
      <w:r w:rsidR="00BD2BF5" w:rsidRPr="00FD64CC">
        <w:t> </w:t>
      </w:r>
      <w:r w:rsidRPr="00FD64CC">
        <w:t xml:space="preserve">mg/day. Whereas in </w:t>
      </w:r>
      <w:r w:rsidR="00BD2BF5" w:rsidRPr="00FD64CC">
        <w:t>S</w:t>
      </w:r>
      <w:r w:rsidRPr="00FD64CC">
        <w:t>tudy 208 the targeted dose was 30</w:t>
      </w:r>
      <w:r w:rsidR="00BD2BF5" w:rsidRPr="00FD64CC">
        <w:t> </w:t>
      </w:r>
      <w:r w:rsidRPr="00FD64CC">
        <w:t>mg/kg/d</w:t>
      </w:r>
      <w:r w:rsidR="00BD2BF5" w:rsidRPr="00FD64CC">
        <w:t>ay, the initial target dose in S</w:t>
      </w:r>
      <w:r w:rsidRPr="00FD64CC">
        <w:t>tudy 305 was 20</w:t>
      </w:r>
      <w:r w:rsidR="00BD2BF5" w:rsidRPr="00FD64CC">
        <w:t> </w:t>
      </w:r>
      <w:r w:rsidRPr="00FD64CC">
        <w:t>mg/kg/day, which could be further titrated to 30</w:t>
      </w:r>
      <w:r w:rsidR="00BD2BF5" w:rsidRPr="00FD64CC">
        <w:t> </w:t>
      </w:r>
      <w:r w:rsidRPr="00FD64CC">
        <w:t>mg/kg/day only during the titration period.</w:t>
      </w:r>
    </w:p>
    <w:p w14:paraId="49F02798" w14:textId="495C516A" w:rsidR="00970113" w:rsidRPr="00FD64CC" w:rsidRDefault="00970113" w:rsidP="009C460B">
      <w:r w:rsidRPr="00FD64CC">
        <w:t xml:space="preserve">It was the opinion of the European regulatory authorities that the results of efficacy trials performed in adults with refractory partial epilepsies, could to some extent be extrapolated to children provided the dose is established. For </w:t>
      </w:r>
      <w:r w:rsidR="0012461B">
        <w:t>eslicarbazepine</w:t>
      </w:r>
      <w:r w:rsidRPr="00FD64CC">
        <w:t>, efficacy for the add-on treatment of adults with POS with or without secondary generalisation has been well characterised in the</w:t>
      </w:r>
      <w:r w:rsidR="00BD2BF5" w:rsidRPr="00FD64CC">
        <w:t xml:space="preserve"> three</w:t>
      </w:r>
      <w:r w:rsidRPr="00FD64CC">
        <w:t xml:space="preserve"> pivotal studies (</w:t>
      </w:r>
      <w:r w:rsidR="00BD2BF5" w:rsidRPr="00FD64CC">
        <w:t xml:space="preserve">Studies </w:t>
      </w:r>
      <w:r w:rsidRPr="00FD64CC">
        <w:t>301, 302 and 303).</w:t>
      </w:r>
    </w:p>
    <w:p w14:paraId="1D2BC6E4" w14:textId="2243D468" w:rsidR="00970113" w:rsidRPr="00FD64CC" w:rsidRDefault="00970113" w:rsidP="009C460B">
      <w:r w:rsidRPr="00FD64CC">
        <w:t>Study 202 was an uncontrolled, open</w:t>
      </w:r>
      <w:r w:rsidR="00BD2BF5" w:rsidRPr="00FD64CC">
        <w:t xml:space="preserve"> </w:t>
      </w:r>
      <w:r w:rsidRPr="00FD64CC">
        <w:t xml:space="preserve">label PK study and efficacy data from this study can be considered only supportive. The study recruited 10 patients each in </w:t>
      </w:r>
      <w:r w:rsidR="00BD2BF5" w:rsidRPr="00FD64CC">
        <w:t>one</w:t>
      </w:r>
      <w:r w:rsidRPr="00FD64CC">
        <w:t xml:space="preserve"> of </w:t>
      </w:r>
      <w:r w:rsidR="00BD2BF5" w:rsidRPr="00FD64CC">
        <w:t>three</w:t>
      </w:r>
      <w:r w:rsidRPr="00FD64CC">
        <w:t xml:space="preserve"> age groups and showed a dose-dependent decrease in relativ</w:t>
      </w:r>
      <w:r w:rsidR="00BD2BF5" w:rsidRPr="00FD64CC">
        <w:t>e (%) seizure frequency in age G</w:t>
      </w:r>
      <w:r w:rsidRPr="00FD64CC">
        <w:t>roup 1 (2</w:t>
      </w:r>
      <w:r w:rsidR="00BD2BF5" w:rsidRPr="00FD64CC">
        <w:t xml:space="preserve"> to 6 years) and G</w:t>
      </w:r>
      <w:r w:rsidRPr="00FD64CC">
        <w:t>roup 3 (12</w:t>
      </w:r>
      <w:r w:rsidR="00BD2BF5" w:rsidRPr="00FD64CC">
        <w:t xml:space="preserve"> to 17 years), but not in G</w:t>
      </w:r>
      <w:r w:rsidRPr="00FD64CC">
        <w:t>roup 2 (7</w:t>
      </w:r>
      <w:r w:rsidR="00BD2BF5" w:rsidRPr="00FD64CC">
        <w:t xml:space="preserve"> to </w:t>
      </w:r>
      <w:r w:rsidRPr="00FD64CC">
        <w:t>11 years). Finally,</w:t>
      </w:r>
      <w:r w:rsidR="00BD2BF5" w:rsidRPr="00FD64CC">
        <w:t xml:space="preserve"> the sponsor has presented long </w:t>
      </w:r>
      <w:r w:rsidRPr="00FD64CC">
        <w:t>term efficacy data from open</w:t>
      </w:r>
      <w:r w:rsidR="00BD2BF5" w:rsidRPr="00FD64CC">
        <w:t xml:space="preserve"> </w:t>
      </w:r>
      <w:r w:rsidRPr="00FD64CC">
        <w:t xml:space="preserve">label follow-up studies of </w:t>
      </w:r>
      <w:r w:rsidR="00BD2BF5" w:rsidRPr="00FD64CC">
        <w:t>S</w:t>
      </w:r>
      <w:r w:rsidRPr="00FD64CC">
        <w:t xml:space="preserve">tudy 305 and </w:t>
      </w:r>
      <w:r w:rsidR="00BD2BF5" w:rsidRPr="00FD64CC">
        <w:t xml:space="preserve">Study </w:t>
      </w:r>
      <w:r w:rsidRPr="00FD64CC">
        <w:t>208. The data suggested that efficacy was either maintained or improved over time. However, the open</w:t>
      </w:r>
      <w:r w:rsidR="00BD2BF5" w:rsidRPr="00FD64CC">
        <w:t xml:space="preserve"> </w:t>
      </w:r>
      <w:r w:rsidRPr="00FD64CC">
        <w:t>label design and the high drop-out rates, prevent robust conclusions being drawn from thes</w:t>
      </w:r>
      <w:r w:rsidR="00BD2BF5" w:rsidRPr="00FD64CC">
        <w:t>e data.</w:t>
      </w:r>
    </w:p>
    <w:p w14:paraId="3379ED0C" w14:textId="75AC1D0E" w:rsidR="00970113" w:rsidRPr="00FD64CC" w:rsidRDefault="00970113" w:rsidP="009C460B">
      <w:r w:rsidRPr="00FD64CC">
        <w:t xml:space="preserve">The </w:t>
      </w:r>
      <w:r w:rsidR="00C44A27" w:rsidRPr="00FD64CC">
        <w:t xml:space="preserve">clinical </w:t>
      </w:r>
      <w:r w:rsidRPr="00FD64CC">
        <w:t xml:space="preserve">evaluator agrees with the </w:t>
      </w:r>
      <w:r w:rsidR="000D6AC7" w:rsidRPr="00FD64CC">
        <w:t>Committee for Medicinal Products for Human Use (</w:t>
      </w:r>
      <w:r w:rsidRPr="00FD64CC">
        <w:t>CHMP</w:t>
      </w:r>
      <w:r w:rsidR="000D6AC7" w:rsidRPr="00FD64CC">
        <w:t>)</w:t>
      </w:r>
      <w:r w:rsidRPr="00FD64CC">
        <w:t>’s positio</w:t>
      </w:r>
      <w:r w:rsidR="00185313" w:rsidRPr="00FD64CC">
        <w:t>n that while efficacy of the 20 </w:t>
      </w:r>
      <w:r w:rsidRPr="00FD64CC">
        <w:t xml:space="preserve">mg/kg/day dose has not been convincingly established, population PK simulations have shown comparable exposure to </w:t>
      </w:r>
      <w:r w:rsidR="00185313" w:rsidRPr="00FD64CC">
        <w:t xml:space="preserve">eslicarbazepine at a dose of 20 mg/kg/day in children older than six </w:t>
      </w:r>
      <w:r w:rsidR="00C44A27" w:rsidRPr="00FD64CC">
        <w:t>years and at 800 </w:t>
      </w:r>
      <w:r w:rsidRPr="00FD64CC">
        <w:t>mg/day in adults. The same applies to the paediatric dose of 30</w:t>
      </w:r>
      <w:r w:rsidR="00185313" w:rsidRPr="00FD64CC">
        <w:t> </w:t>
      </w:r>
      <w:r w:rsidRPr="00FD64CC">
        <w:t>mg/kg/day and the adult dose of 1200</w:t>
      </w:r>
      <w:r w:rsidR="00185313" w:rsidRPr="00FD64CC">
        <w:t> </w:t>
      </w:r>
      <w:r w:rsidRPr="00FD64CC">
        <w:t>mg/day. Both 800</w:t>
      </w:r>
      <w:r w:rsidR="00185313" w:rsidRPr="00FD64CC">
        <w:t> </w:t>
      </w:r>
      <w:r w:rsidRPr="00FD64CC">
        <w:t>mg/day and 1200</w:t>
      </w:r>
      <w:r w:rsidR="00185313" w:rsidRPr="00FD64CC">
        <w:t> </w:t>
      </w:r>
      <w:r w:rsidRPr="00FD64CC">
        <w:t xml:space="preserve">mg/day doses have previously been shown to be effective doses in adults and are currently approved for use in add-on therapy of POS. Based on the comparative exposure findings and given that disease expression of partial epilepsies is similar in adults, adolescents and children, the evaluator agrees that an extrapolation of the established efficacy of </w:t>
      </w:r>
      <w:r w:rsidR="0012461B">
        <w:t xml:space="preserve">eslicarbazepine </w:t>
      </w:r>
      <w:r w:rsidRPr="00FD64CC">
        <w:t xml:space="preserve">in adults to children down to </w:t>
      </w:r>
      <w:r w:rsidR="00185313" w:rsidRPr="00FD64CC">
        <w:t>seven</w:t>
      </w:r>
      <w:r w:rsidRPr="00FD64CC">
        <w:t xml:space="preserve"> years of age was possible at the proposed maintenance dose range.</w:t>
      </w:r>
    </w:p>
    <w:p w14:paraId="6787C57E" w14:textId="77777777" w:rsidR="00970113" w:rsidRPr="00FD64CC" w:rsidRDefault="00970113" w:rsidP="001B4352">
      <w:pPr>
        <w:pStyle w:val="Heading4"/>
      </w:pPr>
      <w:bookmarkStart w:id="52" w:name="_Toc70361426"/>
      <w:bookmarkEnd w:id="43"/>
      <w:bookmarkEnd w:id="44"/>
      <w:bookmarkEnd w:id="45"/>
      <w:bookmarkEnd w:id="46"/>
      <w:r w:rsidRPr="00FD64CC">
        <w:t>Safety</w:t>
      </w:r>
      <w:bookmarkEnd w:id="52"/>
    </w:p>
    <w:p w14:paraId="5EB04E56" w14:textId="0DB25010" w:rsidR="00970113" w:rsidRPr="00FD64CC" w:rsidRDefault="00C44A27" w:rsidP="001B4352">
      <w:pPr>
        <w:pStyle w:val="Heading5"/>
      </w:pPr>
      <w:bookmarkStart w:id="53" w:name="_Toc56032620"/>
      <w:r w:rsidRPr="00FD64CC">
        <w:t>Safety in a</w:t>
      </w:r>
      <w:r w:rsidR="00970113" w:rsidRPr="00FD64CC">
        <w:t>dult population</w:t>
      </w:r>
      <w:bookmarkEnd w:id="53"/>
    </w:p>
    <w:p w14:paraId="2CBA11BC" w14:textId="405FB799" w:rsidR="00970113" w:rsidRPr="00FD64CC" w:rsidRDefault="00970113" w:rsidP="009C460B">
      <w:r w:rsidRPr="00FD64CC">
        <w:t xml:space="preserve">The known safety profile of </w:t>
      </w:r>
      <w:r w:rsidR="00CA0D37">
        <w:t>eslicarbazepine</w:t>
      </w:r>
      <w:r w:rsidR="0068639B">
        <w:t xml:space="preserve"> </w:t>
      </w:r>
      <w:r w:rsidRPr="00FD64CC">
        <w:t xml:space="preserve">was largely based on the data from placebo-controlled Phase </w:t>
      </w:r>
      <w:r w:rsidR="00C44A27" w:rsidRPr="00FD64CC">
        <w:t>II</w:t>
      </w:r>
      <w:r w:rsidRPr="00FD64CC">
        <w:t xml:space="preserve"> and </w:t>
      </w:r>
      <w:r w:rsidR="00C44A27" w:rsidRPr="00FD64CC">
        <w:t>III</w:t>
      </w:r>
      <w:r w:rsidRPr="00FD64CC">
        <w:t xml:space="preserve"> clinical trials with </w:t>
      </w:r>
      <w:r w:rsidR="00CA0D37">
        <w:t xml:space="preserve">eslicarbazepine </w:t>
      </w:r>
      <w:r w:rsidRPr="00FD64CC">
        <w:t xml:space="preserve">as adjunctive therapy in adult epileptic subjects supporting the initial marketing authorisation application (Studies 201, 301, 302, and 303). A subsequent Phase </w:t>
      </w:r>
      <w:r w:rsidR="00C44A27" w:rsidRPr="00FD64CC">
        <w:t>III S</w:t>
      </w:r>
      <w:r w:rsidRPr="00FD64CC">
        <w:t xml:space="preserve">tudy </w:t>
      </w:r>
      <w:r w:rsidR="00A51590" w:rsidRPr="00FD64CC">
        <w:t>304</w:t>
      </w:r>
      <w:r w:rsidRPr="00FD64CC">
        <w:t xml:space="preserve"> supplemented the original safety database with the respective open</w:t>
      </w:r>
      <w:r w:rsidR="00C44A27" w:rsidRPr="00FD64CC">
        <w:t xml:space="preserve"> </w:t>
      </w:r>
      <w:r w:rsidRPr="00FD64CC">
        <w:t>label extension studies. The adjunctive studies used doses up to 1200</w:t>
      </w:r>
      <w:r w:rsidR="00C44A27" w:rsidRPr="00FD64CC">
        <w:t> </w:t>
      </w:r>
      <w:r w:rsidRPr="00FD64CC">
        <w:t>mg</w:t>
      </w:r>
      <w:r w:rsidR="00C44A27" w:rsidRPr="00FD64CC">
        <w:t>/</w:t>
      </w:r>
      <w:r w:rsidRPr="00FD64CC">
        <w:t>day. Subsequ</w:t>
      </w:r>
      <w:r w:rsidR="00465344" w:rsidRPr="00FD64CC">
        <w:t>ently, the pivotal monotherapy S</w:t>
      </w:r>
      <w:r w:rsidRPr="00FD64CC">
        <w:t>tudy 311, and data from two pooled conversion</w:t>
      </w:r>
      <w:r w:rsidR="00465344" w:rsidRPr="00FD64CC">
        <w:t xml:space="preserve"> </w:t>
      </w:r>
      <w:r w:rsidRPr="00FD64CC">
        <w:t>to</w:t>
      </w:r>
      <w:r w:rsidR="00465344" w:rsidRPr="00FD64CC">
        <w:t xml:space="preserve"> monotherapy S</w:t>
      </w:r>
      <w:r w:rsidRPr="00FD64CC">
        <w:t>tudies</w:t>
      </w:r>
      <w:r w:rsidR="00CA0D37">
        <w:t> </w:t>
      </w:r>
      <w:r w:rsidRPr="00FD64CC">
        <w:t xml:space="preserve">045 and 046 provided further safety data. In all three monotherapy studies, patients could receive </w:t>
      </w:r>
      <w:r w:rsidR="00CA0D37">
        <w:t xml:space="preserve">eslicarbazepine </w:t>
      </w:r>
      <w:r w:rsidRPr="00FD64CC">
        <w:t>up to a maximum daily dose of 1600</w:t>
      </w:r>
      <w:r w:rsidR="00465344" w:rsidRPr="00FD64CC">
        <w:t> </w:t>
      </w:r>
      <w:r w:rsidRPr="00FD64CC">
        <w:t xml:space="preserve">mg. However, no integrated analysis of the monotherapy safety data was performed due to differences in study design of the </w:t>
      </w:r>
      <w:r w:rsidR="00465344" w:rsidRPr="00FD64CC">
        <w:t>pivotal and supportive studies.</w:t>
      </w:r>
    </w:p>
    <w:p w14:paraId="794720A0" w14:textId="149A4D31" w:rsidR="00970113" w:rsidRPr="00FD64CC" w:rsidRDefault="00970113" w:rsidP="009C460B">
      <w:r w:rsidRPr="00FD64CC">
        <w:lastRenderedPageBreak/>
        <w:t>In these studies, a dose-dependent increase in</w:t>
      </w:r>
      <w:r w:rsidR="00CA0D37">
        <w:t xml:space="preserve"> treatment-emergent adverse events</w:t>
      </w:r>
      <w:r w:rsidRPr="00FD64CC">
        <w:t xml:space="preserve"> </w:t>
      </w:r>
      <w:r w:rsidR="00CA0D37">
        <w:t>(</w:t>
      </w:r>
      <w:r w:rsidRPr="00FD64CC">
        <w:t>TEAE</w:t>
      </w:r>
      <w:r w:rsidR="00291379">
        <w:t>)</w:t>
      </w:r>
      <w:r w:rsidRPr="00FD64CC">
        <w:t xml:space="preserve"> was observed for several possibly related TEAEs and TEAEs leading to discontinuation of study medication. TEAEs leading to discontinuation were reported in 8.7%, 11.6%, and 19.3% of the patients receiving 400</w:t>
      </w:r>
      <w:r w:rsidR="00465344" w:rsidRPr="00FD64CC">
        <w:t> </w:t>
      </w:r>
      <w:r w:rsidRPr="00FD64CC">
        <w:t>mg, 800</w:t>
      </w:r>
      <w:r w:rsidR="00465344" w:rsidRPr="00FD64CC">
        <w:t> </w:t>
      </w:r>
      <w:r w:rsidRPr="00FD64CC">
        <w:t>mg, and 1200</w:t>
      </w:r>
      <w:r w:rsidR="00465344" w:rsidRPr="00FD64CC">
        <w:t> </w:t>
      </w:r>
      <w:r w:rsidRPr="00FD64CC">
        <w:t xml:space="preserve">mg </w:t>
      </w:r>
      <w:r w:rsidR="009A6BE7" w:rsidRPr="009A6BE7">
        <w:t>eslicarbazepine</w:t>
      </w:r>
      <w:r w:rsidRPr="00FD64CC">
        <w:t>, respectively, based on an integrated safety da</w:t>
      </w:r>
      <w:r w:rsidR="00465344" w:rsidRPr="00FD64CC">
        <w:t>ta analysis. In the subsequent S</w:t>
      </w:r>
      <w:r w:rsidRPr="00FD64CC">
        <w:t>tudy 304 (Part 1) discontinuations due to TEAEs were reported for 12% and 25.7% of subjects with doses of 800</w:t>
      </w:r>
      <w:r w:rsidR="00465344" w:rsidRPr="00FD64CC">
        <w:t> </w:t>
      </w:r>
      <w:r w:rsidRPr="00FD64CC">
        <w:t>mg and 1200</w:t>
      </w:r>
      <w:r w:rsidR="00465344" w:rsidRPr="00FD64CC">
        <w:t> </w:t>
      </w:r>
      <w:r w:rsidRPr="00FD64CC">
        <w:t xml:space="preserve">mg </w:t>
      </w:r>
      <w:r w:rsidR="00291379">
        <w:t>eslicarbazepine</w:t>
      </w:r>
      <w:r w:rsidRPr="00FD64CC">
        <w:t>.</w:t>
      </w:r>
    </w:p>
    <w:p w14:paraId="38BB9755" w14:textId="7E9012A9" w:rsidR="00970113" w:rsidRPr="00FD64CC" w:rsidRDefault="00970113" w:rsidP="009C460B">
      <w:r w:rsidRPr="00FD64CC">
        <w:t xml:space="preserve">The most common TEAEs in the placebo-controlled trials in adult epileptic subjects treated with </w:t>
      </w:r>
      <w:r w:rsidR="00291379">
        <w:t xml:space="preserve">eslicarbazepine </w:t>
      </w:r>
      <w:r w:rsidRPr="00FD64CC">
        <w:t>as add</w:t>
      </w:r>
      <w:r w:rsidR="00465344" w:rsidRPr="00FD64CC">
        <w:t>-</w:t>
      </w:r>
      <w:r w:rsidRPr="00FD64CC">
        <w:t>on therapy for partial seizures were dizziness, somnolence (very common,</w:t>
      </w:r>
      <w:r w:rsidR="00465344" w:rsidRPr="00FD64CC">
        <w:t xml:space="preserve"> </w:t>
      </w:r>
      <w:r w:rsidRPr="00FD64CC">
        <w:t>in ≥</w:t>
      </w:r>
      <w:r w:rsidR="00465344" w:rsidRPr="00FD64CC">
        <w:t> </w:t>
      </w:r>
      <w:r w:rsidRPr="00FD64CC">
        <w:t>1/10 patients), headache and nausea (common, in ≥</w:t>
      </w:r>
      <w:r w:rsidR="00465344" w:rsidRPr="00FD64CC">
        <w:t> </w:t>
      </w:r>
      <w:r w:rsidRPr="00FD64CC">
        <w:t>1/100 to &lt;</w:t>
      </w:r>
      <w:r w:rsidR="00465344" w:rsidRPr="00FD64CC">
        <w:t> </w:t>
      </w:r>
      <w:r w:rsidRPr="00FD64CC">
        <w:t xml:space="preserve">1/10 patients). There were no changes in laboratory parameters that indicated a safety concern and there were also no clinically relevant changes in vital signs, body weight or body mass index (BMI) during the studies. On the review of the monotherapy study data, the safety of </w:t>
      </w:r>
      <w:r w:rsidR="00291379">
        <w:t xml:space="preserve">eslicarbazepine </w:t>
      </w:r>
      <w:r w:rsidRPr="00FD64CC">
        <w:t xml:space="preserve">was largely consistent with the known safety profile in the adjuvant treatment setting. The most common adverse reactions with </w:t>
      </w:r>
      <w:r w:rsidR="009A6BE7" w:rsidRPr="009A6BE7">
        <w:t>eslicarbazepine</w:t>
      </w:r>
      <w:r w:rsidRPr="00FD64CC">
        <w:t xml:space="preserve"> as add-on treatment for POS are dose</w:t>
      </w:r>
      <w:r w:rsidR="00465344" w:rsidRPr="00FD64CC">
        <w:noBreakHyphen/>
      </w:r>
      <w:r w:rsidRPr="00FD64CC">
        <w:t xml:space="preserve">related and belong to the </w:t>
      </w:r>
      <w:r w:rsidR="00291379">
        <w:t>S</w:t>
      </w:r>
      <w:r w:rsidR="00465344" w:rsidRPr="00FD64CC">
        <w:t xml:space="preserve">ystem </w:t>
      </w:r>
      <w:r w:rsidR="00291379">
        <w:t>O</w:t>
      </w:r>
      <w:r w:rsidR="00465344" w:rsidRPr="00FD64CC">
        <w:t xml:space="preserve">rgan </w:t>
      </w:r>
      <w:r w:rsidR="00291379">
        <w:t>C</w:t>
      </w:r>
      <w:r w:rsidR="00465344" w:rsidRPr="00FD64CC">
        <w:t>lasses (</w:t>
      </w:r>
      <w:r w:rsidRPr="00FD64CC">
        <w:t>SOCs</w:t>
      </w:r>
      <w:r w:rsidR="00465344" w:rsidRPr="00FD64CC">
        <w:t>)</w:t>
      </w:r>
      <w:r w:rsidRPr="00FD64CC">
        <w:t xml:space="preserve"> nervous system disorders and gastrointestinal disorders including dizziness, somnolence, </w:t>
      </w:r>
      <w:proofErr w:type="gramStart"/>
      <w:r w:rsidRPr="00FD64CC">
        <w:t>headache</w:t>
      </w:r>
      <w:proofErr w:type="gramEnd"/>
      <w:r w:rsidRPr="00FD64CC">
        <w:t xml:space="preserve"> and nausea. The most common TEAEs reported for </w:t>
      </w:r>
      <w:r w:rsidR="00291379">
        <w:t xml:space="preserve">eslicarbazepine </w:t>
      </w:r>
      <w:r w:rsidRPr="00FD64CC">
        <w:t>in POS monotherapy were in line with those already identified for the adjunctive setting.</w:t>
      </w:r>
    </w:p>
    <w:p w14:paraId="0FA95F70" w14:textId="62BF0657" w:rsidR="00970113" w:rsidRPr="00FD64CC" w:rsidRDefault="00465344" w:rsidP="009C460B">
      <w:r w:rsidRPr="00FD64CC">
        <w:t>In the S</w:t>
      </w:r>
      <w:r w:rsidR="00970113" w:rsidRPr="00FD64CC">
        <w:t>tudy 311, most notably, since t</w:t>
      </w:r>
      <w:r w:rsidRPr="00FD64CC">
        <w:t>he study design of the pivotal S</w:t>
      </w:r>
      <w:r w:rsidR="00970113" w:rsidRPr="00FD64CC">
        <w:t>tudy 311 allowed up</w:t>
      </w:r>
      <w:r w:rsidRPr="00FD64CC">
        <w:noBreakHyphen/>
      </w:r>
      <w:r w:rsidR="00970113" w:rsidRPr="00FD64CC">
        <w:t xml:space="preserve">titration according to seizure severity, subjects were not evenly distributed between dose groups. Subsequently, 15% of the subjects (60 out of 401 patients in the </w:t>
      </w:r>
      <w:r w:rsidR="00291379">
        <w:t xml:space="preserve">eslicarbazepine </w:t>
      </w:r>
      <w:r w:rsidR="00970113" w:rsidRPr="00FD64CC">
        <w:t>group) received 1600</w:t>
      </w:r>
      <w:r w:rsidRPr="00FD64CC">
        <w:t> </w:t>
      </w:r>
      <w:r w:rsidR="00970113" w:rsidRPr="00FD64CC">
        <w:t>mg</w:t>
      </w:r>
      <w:r w:rsidR="00C44A27" w:rsidRPr="00FD64CC">
        <w:t>/</w:t>
      </w:r>
      <w:r w:rsidRPr="00FD64CC">
        <w:t>day in dose G</w:t>
      </w:r>
      <w:r w:rsidR="00970113" w:rsidRPr="00FD64CC">
        <w:t xml:space="preserve">roup C, whereas all other subjects received </w:t>
      </w:r>
      <w:r w:rsidR="00291379">
        <w:t xml:space="preserve">eslicarbazepine </w:t>
      </w:r>
      <w:r w:rsidR="00970113" w:rsidRPr="00FD64CC">
        <w:t xml:space="preserve">doses up to 1200mg/day (dose </w:t>
      </w:r>
      <w:r w:rsidRPr="00FD64CC">
        <w:t>Groups</w:t>
      </w:r>
      <w:r w:rsidR="00970113" w:rsidRPr="00FD64CC">
        <w:t xml:space="preserve"> A or B), for which safety had already been established in the add-on setting. In the evaluator’s opinion, this low number of patients prevents adequate safety assessment of the proposed maximum dose in the monotherapy setting of 1600</w:t>
      </w:r>
      <w:r w:rsidRPr="00FD64CC">
        <w:t> </w:t>
      </w:r>
      <w:r w:rsidR="00970113" w:rsidRPr="00FD64CC">
        <w:t>mg and further understanding of the possi</w:t>
      </w:r>
      <w:r w:rsidRPr="00FD64CC">
        <w:t>ble dose relationship of TEAEs.</w:t>
      </w:r>
    </w:p>
    <w:p w14:paraId="6FBF1112" w14:textId="53B7F17E" w:rsidR="00970113" w:rsidRPr="00FD64CC" w:rsidRDefault="00970113" w:rsidP="009C460B">
      <w:r w:rsidRPr="00FD64CC">
        <w:t xml:space="preserve">Moreover, analysis of the baseline demographic characteristics of the last achieved dosing levels in </w:t>
      </w:r>
      <w:r w:rsidR="00465344" w:rsidRPr="00FD64CC">
        <w:t xml:space="preserve">Study </w:t>
      </w:r>
      <w:r w:rsidRPr="00FD64CC">
        <w:t>311 suggested that there was an age gradient</w:t>
      </w:r>
      <w:r w:rsidR="009A5093" w:rsidRPr="00FD64CC">
        <w:t xml:space="preserve">, </w:t>
      </w:r>
      <w:r w:rsidRPr="00FD64CC">
        <w:t>such that patients aged &gt;</w:t>
      </w:r>
      <w:r w:rsidR="009A5093" w:rsidRPr="00FD64CC">
        <w:t> </w:t>
      </w:r>
      <w:r w:rsidRPr="00FD64CC">
        <w:t>49</w:t>
      </w:r>
      <w:r w:rsidR="009A5093" w:rsidRPr="00FD64CC">
        <w:t xml:space="preserve"> </w:t>
      </w:r>
      <w:r w:rsidRPr="00FD64CC">
        <w:t>comprise</w:t>
      </w:r>
      <w:r w:rsidR="009A5093" w:rsidRPr="00FD64CC">
        <w:t>d just 10% of d</w:t>
      </w:r>
      <w:r w:rsidRPr="00FD64CC">
        <w:t>ose Level C subjects (1600</w:t>
      </w:r>
      <w:r w:rsidR="009A5093" w:rsidRPr="00FD64CC">
        <w:t> mg/day) versus 17.1% d</w:t>
      </w:r>
      <w:r w:rsidRPr="00FD64CC">
        <w:t xml:space="preserve">ose </w:t>
      </w:r>
      <w:r w:rsidR="002401ED" w:rsidRPr="00FD64CC">
        <w:t>Level</w:t>
      </w:r>
      <w:r w:rsidRPr="00FD64CC">
        <w:t xml:space="preserve"> B (1200</w:t>
      </w:r>
      <w:r w:rsidR="009A5093" w:rsidRPr="00FD64CC">
        <w:t> mg/day) and 28.8% of d</w:t>
      </w:r>
      <w:r w:rsidRPr="00FD64CC">
        <w:t>ose Level A subjects (800</w:t>
      </w:r>
      <w:r w:rsidR="009A5093" w:rsidRPr="00FD64CC">
        <w:t> </w:t>
      </w:r>
      <w:r w:rsidRPr="00FD64CC">
        <w:t>mg/day). So very little data is provided in Study 311 to support safety of the 1600</w:t>
      </w:r>
      <w:r w:rsidR="009A5093" w:rsidRPr="00FD64CC">
        <w:t> </w:t>
      </w:r>
      <w:r w:rsidRPr="00FD64CC">
        <w:t>mg dose in the age</w:t>
      </w:r>
      <w:r w:rsidR="009A5093" w:rsidRPr="00FD64CC">
        <w:t> </w:t>
      </w:r>
      <w:r w:rsidRPr="00FD64CC">
        <w:t>&gt;</w:t>
      </w:r>
      <w:r w:rsidR="009A5093" w:rsidRPr="00FD64CC">
        <w:t> </w:t>
      </w:r>
      <w:r w:rsidRPr="00FD64CC">
        <w:t>49.</w:t>
      </w:r>
    </w:p>
    <w:p w14:paraId="0FFEC106" w14:textId="75E78F11" w:rsidR="00970113" w:rsidRPr="00FD64CC" w:rsidRDefault="00970113" w:rsidP="009C460B">
      <w:r w:rsidRPr="00FD64CC">
        <w:t>TEAEs in the supportive conversion</w:t>
      </w:r>
      <w:r w:rsidR="009A5093" w:rsidRPr="00FD64CC">
        <w:t xml:space="preserve"> </w:t>
      </w:r>
      <w:r w:rsidRPr="00FD64CC">
        <w:t>to</w:t>
      </w:r>
      <w:r w:rsidR="009A5093" w:rsidRPr="00FD64CC">
        <w:t xml:space="preserve"> </w:t>
      </w:r>
      <w:r w:rsidRPr="00FD64CC">
        <w:t>monotherapy study pool (</w:t>
      </w:r>
      <w:r w:rsidR="009A5093" w:rsidRPr="00FD64CC">
        <w:t xml:space="preserve">Studies </w:t>
      </w:r>
      <w:r w:rsidRPr="00FD64CC">
        <w:t>045 and 046) were reported with</w:t>
      </w:r>
      <w:r w:rsidR="009A5093" w:rsidRPr="00FD64CC">
        <w:t xml:space="preserve"> a higher incidence in the 1600 </w:t>
      </w:r>
      <w:r w:rsidRPr="00FD64CC">
        <w:t>mg dose group compared to the 1200</w:t>
      </w:r>
      <w:r w:rsidR="009A5093" w:rsidRPr="00FD64CC">
        <w:t> </w:t>
      </w:r>
      <w:r w:rsidRPr="00FD64CC">
        <w:t>mg dose group (81.4% v</w:t>
      </w:r>
      <w:r w:rsidR="009A5093" w:rsidRPr="00FD64CC">
        <w:t>ersu</w:t>
      </w:r>
      <w:r w:rsidRPr="00FD64CC">
        <w:t>s 73.2%). Furthermore, discontinuation due to TEAEs was almost twice as high in the 1600</w:t>
      </w:r>
      <w:r w:rsidR="009A5093" w:rsidRPr="00FD64CC">
        <w:t> </w:t>
      </w:r>
      <w:r w:rsidRPr="00FD64CC">
        <w:t>mg dose group compared to the 1200</w:t>
      </w:r>
      <w:r w:rsidR="009A5093" w:rsidRPr="00FD64CC">
        <w:t> </w:t>
      </w:r>
      <w:r w:rsidRPr="00FD64CC">
        <w:t>mg dose group (15.3% v</w:t>
      </w:r>
      <w:r w:rsidR="009A5093" w:rsidRPr="00FD64CC">
        <w:t>ersu</w:t>
      </w:r>
      <w:r w:rsidRPr="00FD64CC">
        <w:t>s 8.1%) and hyponatraemia was reported to be serious in 1.2% of subjects on 1600</w:t>
      </w:r>
      <w:r w:rsidR="009A5093" w:rsidRPr="00FD64CC">
        <w:t> </w:t>
      </w:r>
      <w:r w:rsidRPr="00FD64CC">
        <w:t>mg in the supportive conversion-to-monotherapy study pool compared to no such event in the 1200</w:t>
      </w:r>
      <w:r w:rsidR="009A5093" w:rsidRPr="00FD64CC">
        <w:t> </w:t>
      </w:r>
      <w:r w:rsidRPr="00FD64CC">
        <w:t>mg dose group.</w:t>
      </w:r>
    </w:p>
    <w:p w14:paraId="3B3FC2CB" w14:textId="25695409" w:rsidR="00970113" w:rsidRPr="00FD64CC" w:rsidRDefault="00970113" w:rsidP="009C460B">
      <w:r w:rsidRPr="00FD64CC">
        <w:t>In the general population, the prevalence of hyponatremia increases with age and may be more common in women. It is linked to falls, higher systolic blood pressure, increased rates of hospitalisation and higher risk of in hospital mortality. The clinical safety analysis, while highlig</w:t>
      </w:r>
      <w:r w:rsidR="009A5093" w:rsidRPr="00FD64CC">
        <w:t>hting episodes of hyponatremia.</w:t>
      </w:r>
    </w:p>
    <w:p w14:paraId="1820C7C1" w14:textId="556318A3" w:rsidR="00970113" w:rsidRPr="00FD64CC" w:rsidRDefault="00970113" w:rsidP="009C460B">
      <w:r w:rsidRPr="00FD64CC">
        <w:t xml:space="preserve">The </w:t>
      </w:r>
      <w:r w:rsidR="009A5093" w:rsidRPr="00FD64CC">
        <w:t xml:space="preserve">clinical </w:t>
      </w:r>
      <w:r w:rsidRPr="00FD64CC">
        <w:t>evaluator looked at other studies involving 1600</w:t>
      </w:r>
      <w:r w:rsidR="009A5093" w:rsidRPr="00FD64CC">
        <w:t> mg/day dosing (Studies</w:t>
      </w:r>
      <w:r w:rsidRPr="00FD64CC">
        <w:t xml:space="preserve"> 307 and 308). It is noted that there has been no pooled analysis provided </w:t>
      </w:r>
      <w:r w:rsidR="009A5093" w:rsidRPr="00FD64CC">
        <w:t>by the s</w:t>
      </w:r>
      <w:r w:rsidRPr="00FD64CC">
        <w:t>ponsor of subjects receiving 1600</w:t>
      </w:r>
      <w:r w:rsidR="009A5093" w:rsidRPr="00FD64CC">
        <w:t> </w:t>
      </w:r>
      <w:r w:rsidRPr="00FD64CC">
        <w:t>mg/day specifically addressing safety of this dose. In the evaluator’s opinion, an integrated analysis of hyponatremia by age would be possible for this dose with the data available. However, from Stud</w:t>
      </w:r>
      <w:r w:rsidR="009A5093" w:rsidRPr="00FD64CC">
        <w:t>ies</w:t>
      </w:r>
      <w:r w:rsidRPr="00FD64CC">
        <w:t xml:space="preserve"> 307 and 308, the overall impression of the evaluator is that the special interest TEAE of hyponatraemia could be </w:t>
      </w:r>
      <w:r w:rsidRPr="00FD64CC">
        <w:lastRenderedPageBreak/>
        <w:t>considered very common (&gt;</w:t>
      </w:r>
      <w:r w:rsidR="009A5093" w:rsidRPr="00FD64CC">
        <w:t> </w:t>
      </w:r>
      <w:r w:rsidRPr="00FD64CC">
        <w:t xml:space="preserve">1/10) in subjects over the age of 49 treated with </w:t>
      </w:r>
      <w:r w:rsidR="00291379">
        <w:t xml:space="preserve">eslicarbazepine </w:t>
      </w:r>
      <w:r w:rsidRPr="00FD64CC">
        <w:t>1600</w:t>
      </w:r>
      <w:r w:rsidR="009A5093" w:rsidRPr="00FD64CC">
        <w:t> </w:t>
      </w:r>
      <w:r w:rsidRPr="00FD64CC">
        <w:t>mg/day. In the opinion of the evaluator, at least the PI should be amended to express significant caution in patients &gt;</w:t>
      </w:r>
      <w:r w:rsidR="009A5093" w:rsidRPr="00FD64CC">
        <w:t> 49 years.</w:t>
      </w:r>
    </w:p>
    <w:p w14:paraId="3C9C0111" w14:textId="39E76FB3" w:rsidR="00970113" w:rsidRPr="00FD64CC" w:rsidRDefault="00970113" w:rsidP="009C460B">
      <w:r w:rsidRPr="00FD64CC">
        <w:t xml:space="preserve">Moreover, it should be noted that </w:t>
      </w:r>
      <w:r w:rsidR="00291379">
        <w:t xml:space="preserve">eslicarbazepine </w:t>
      </w:r>
      <w:r w:rsidRPr="00FD64CC">
        <w:t>is a third</w:t>
      </w:r>
      <w:r w:rsidR="009A5093" w:rsidRPr="00FD64CC">
        <w:t xml:space="preserve"> </w:t>
      </w:r>
      <w:r w:rsidRPr="00FD64CC">
        <w:t xml:space="preserve">generation </w:t>
      </w:r>
      <w:proofErr w:type="spellStart"/>
      <w:r w:rsidRPr="00FD64CC">
        <w:t>d</w:t>
      </w:r>
      <w:r w:rsidR="00885F3D" w:rsidRPr="00FD64CC">
        <w:t>ibenz</w:t>
      </w:r>
      <w:proofErr w:type="spellEnd"/>
      <w:r w:rsidR="00885F3D" w:rsidRPr="00FD64CC">
        <w:t>[</w:t>
      </w:r>
      <w:proofErr w:type="spellStart"/>
      <w:proofErr w:type="gramStart"/>
      <w:r w:rsidRPr="00FD64CC">
        <w:t>b,f</w:t>
      </w:r>
      <w:proofErr w:type="spellEnd"/>
      <w:proofErr w:type="gramEnd"/>
      <w:r w:rsidR="00885F3D" w:rsidRPr="00FD64CC">
        <w:t>]</w:t>
      </w:r>
      <w:r w:rsidRPr="00FD64CC">
        <w:t>azepine AED and is closely related to oxcarbazepine. Following oral administration of both active substances, the same act</w:t>
      </w:r>
      <w:r w:rsidR="009A5093" w:rsidRPr="00FD64CC">
        <w:t>ive moieties (</w:t>
      </w:r>
      <w:proofErr w:type="spellStart"/>
      <w:r w:rsidRPr="00FD64CC">
        <w:t>eslicarbazepine</w:t>
      </w:r>
      <w:proofErr w:type="spellEnd"/>
      <w:r w:rsidRPr="00FD64CC">
        <w:t>, R-</w:t>
      </w:r>
      <w:proofErr w:type="spellStart"/>
      <w:r w:rsidRPr="00FD64CC">
        <w:t>licarbazepine</w:t>
      </w:r>
      <w:proofErr w:type="spellEnd"/>
      <w:r w:rsidRPr="00FD64CC">
        <w:t xml:space="preserve"> and oxcarbazepine</w:t>
      </w:r>
      <w:r w:rsidR="009A5093" w:rsidRPr="00FD64CC">
        <w:t>)</w:t>
      </w:r>
      <w:r w:rsidRPr="00FD64CC">
        <w:t xml:space="preserve"> are found in plasma, though in different proportions. Therefore, class related adverse reactions which have been reported with oxcarbazepine including rare adverse reactions such as bone marrow depression, anaphylactic reactions, severe cutaneous reactions (</w:t>
      </w:r>
      <w:r w:rsidR="009A5093" w:rsidRPr="00FD64CC">
        <w:t>such as Stevens-Johnson s</w:t>
      </w:r>
      <w:r w:rsidRPr="00FD64CC">
        <w:t xml:space="preserve">yndrome), systemic lupus erythematosus or serious cardiac arrhythmias, while not observed during the </w:t>
      </w:r>
      <w:r w:rsidR="00291379">
        <w:t xml:space="preserve">eslicarbazepine </w:t>
      </w:r>
      <w:r w:rsidRPr="00FD64CC">
        <w:t xml:space="preserve">epilepsy clinical development program, cannot be excluded with </w:t>
      </w:r>
      <w:r w:rsidR="00291379">
        <w:t xml:space="preserve">eslicarbazepine </w:t>
      </w:r>
      <w:r w:rsidRPr="00FD64CC">
        <w:t>use.</w:t>
      </w:r>
    </w:p>
    <w:p w14:paraId="47E1CDBB" w14:textId="77777777" w:rsidR="00970113" w:rsidRPr="00FD64CC" w:rsidRDefault="00970113" w:rsidP="0050079B">
      <w:pPr>
        <w:pStyle w:val="Heading5"/>
      </w:pPr>
      <w:bookmarkStart w:id="54" w:name="_Toc56032621"/>
      <w:r w:rsidRPr="00FD64CC">
        <w:t>Paediatric safety</w:t>
      </w:r>
      <w:bookmarkEnd w:id="54"/>
    </w:p>
    <w:p w14:paraId="3C9E4FA2" w14:textId="50DB2EBA" w:rsidR="00970113" w:rsidRPr="00FD64CC" w:rsidRDefault="00970113" w:rsidP="009C460B">
      <w:r w:rsidRPr="00FD64CC">
        <w:t xml:space="preserve">The main basis for the safety assessment in support of the paediatric indication was an </w:t>
      </w:r>
      <w:r w:rsidR="001D0873" w:rsidRPr="00FD64CC">
        <w:t>integrated analysis of the key P</w:t>
      </w:r>
      <w:r w:rsidRPr="00FD64CC">
        <w:t xml:space="preserve">hase </w:t>
      </w:r>
      <w:r w:rsidR="001D0873" w:rsidRPr="00FD64CC">
        <w:t>II</w:t>
      </w:r>
      <w:r w:rsidRPr="00FD64CC">
        <w:t>/</w:t>
      </w:r>
      <w:r w:rsidR="001D0873" w:rsidRPr="00FD64CC">
        <w:t>III paediatric S</w:t>
      </w:r>
      <w:r w:rsidRPr="00FD64CC">
        <w:t xml:space="preserve">tudies 208 and 305. Overall, the evaluator agrees that the data are robust enough to be assured on the safety profile of </w:t>
      </w:r>
      <w:r w:rsidR="00291379">
        <w:t xml:space="preserve">eslicarbazepine </w:t>
      </w:r>
      <w:r w:rsidRPr="00FD64CC">
        <w:t xml:space="preserve">when used in children aged more than </w:t>
      </w:r>
      <w:r w:rsidR="001D0873" w:rsidRPr="00FD64CC">
        <w:t>six</w:t>
      </w:r>
      <w:r w:rsidRPr="00FD64CC">
        <w:t xml:space="preserve"> years wi</w:t>
      </w:r>
      <w:r w:rsidR="001D0873" w:rsidRPr="00FD64CC">
        <w:t>th refractory partial epilepsy.</w:t>
      </w:r>
    </w:p>
    <w:p w14:paraId="2061C562" w14:textId="41904816" w:rsidR="00970113" w:rsidRPr="00FD64CC" w:rsidRDefault="00970113" w:rsidP="009C460B">
      <w:r w:rsidRPr="00FD64CC">
        <w:t xml:space="preserve">No age or dose specific safety concern was identified based on the available data that would have emerged as a new issue with the use of </w:t>
      </w:r>
      <w:r w:rsidR="00291379">
        <w:t>eslicarbazepine</w:t>
      </w:r>
      <w:r w:rsidRPr="00FD64CC">
        <w:t xml:space="preserve">. In most aspects, the safety profile of </w:t>
      </w:r>
      <w:r w:rsidR="00291379">
        <w:t xml:space="preserve">eslicarbazepine </w:t>
      </w:r>
      <w:r w:rsidRPr="00FD64CC">
        <w:t xml:space="preserve">in the paediatric population resembled the one in adults. </w:t>
      </w:r>
      <w:proofErr w:type="gramStart"/>
      <w:r w:rsidRPr="00FD64CC">
        <w:t>Similar to</w:t>
      </w:r>
      <w:proofErr w:type="gramEnd"/>
      <w:r w:rsidRPr="00FD64CC">
        <w:t xml:space="preserve"> the findings in adult studies, a dose-dependent trend in the incidence of possibly related TEAEs was observed and the most commonly reported related TEAEs were somnolence, ataxia, vomiting, dizziness and diplopia.</w:t>
      </w:r>
    </w:p>
    <w:p w14:paraId="61DDF7AC" w14:textId="605D3B63" w:rsidR="00970113" w:rsidRPr="00FD64CC" w:rsidRDefault="00970113" w:rsidP="009C460B">
      <w:r w:rsidRPr="00FD64CC">
        <w:t xml:space="preserve">When compared to adults, a higher incidence of </w:t>
      </w:r>
      <w:r w:rsidR="00EB6211" w:rsidRPr="00FD64CC">
        <w:t xml:space="preserve">serious </w:t>
      </w:r>
      <w:r w:rsidR="00E37C01">
        <w:t>adverse events</w:t>
      </w:r>
      <w:r w:rsidR="00291379">
        <w:t xml:space="preserve"> </w:t>
      </w:r>
      <w:r w:rsidRPr="00FD64CC">
        <w:t xml:space="preserve">has been reported in the paediatric studies, mainly consisting of convulsions. However, overall, serious TEAEs occurred at a low incidence, without specific pattern in single subjects only and in accordance with the known safety profile of </w:t>
      </w:r>
      <w:r w:rsidR="00291379">
        <w:t>eslicarbazepine</w:t>
      </w:r>
      <w:r w:rsidRPr="00FD64CC">
        <w:t>. The number of deaths (</w:t>
      </w:r>
      <w:r w:rsidR="00EB6211" w:rsidRPr="00FD64CC">
        <w:t>three</w:t>
      </w:r>
      <w:r w:rsidRPr="00FD64CC">
        <w:t xml:space="preserve">) reported from the </w:t>
      </w:r>
      <w:r w:rsidR="00291379">
        <w:t xml:space="preserve">eslicarbazepine </w:t>
      </w:r>
      <w:r w:rsidRPr="00FD64CC">
        <w:t>paediatric studies was not higher as compared to other studies conducted in patients with epilepsy. It was furthermore considered unlikely that the cases deaths were related to study medication.</w:t>
      </w:r>
    </w:p>
    <w:p w14:paraId="1B736EBB" w14:textId="1BED19E9" w:rsidR="00970113" w:rsidRPr="00FD64CC" w:rsidRDefault="00291379" w:rsidP="009C460B">
      <w:r>
        <w:t>Treatment</w:t>
      </w:r>
      <w:r>
        <w:noBreakHyphen/>
        <w:t>emergent adverse events</w:t>
      </w:r>
      <w:r w:rsidRPr="00FD64CC">
        <w:t xml:space="preserve"> </w:t>
      </w:r>
      <w:r w:rsidR="00970113" w:rsidRPr="00FD64CC">
        <w:t xml:space="preserve">that occurred more frequently in paediatric patients compared to adults </w:t>
      </w:r>
      <w:proofErr w:type="gramStart"/>
      <w:r w:rsidR="00970113" w:rsidRPr="00FD64CC">
        <w:t>were:</w:t>
      </w:r>
      <w:proofErr w:type="gramEnd"/>
      <w:r w:rsidR="00970113" w:rsidRPr="00FD64CC">
        <w:t xml:space="preserve"> convulsions, pyrexia and infections and infestations. However, within the paediatric studies, these events occurred at similar (pyrexia) or lower (convulsions as well as infections and infestations) rate in the placebo group compared to </w:t>
      </w:r>
      <w:r>
        <w:t>eslicarbazepine</w:t>
      </w:r>
      <w:r w:rsidR="00970113" w:rsidRPr="00FD64CC">
        <w:t xml:space="preserve">. It is likely that this </w:t>
      </w:r>
      <w:r>
        <w:t>adverse event (</w:t>
      </w:r>
      <w:r w:rsidR="00970113" w:rsidRPr="00FD64CC">
        <w:t>AE</w:t>
      </w:r>
      <w:r>
        <w:t>)</w:t>
      </w:r>
      <w:r w:rsidR="00970113" w:rsidRPr="00FD64CC">
        <w:t xml:space="preserve"> related to the underlying disease rather than </w:t>
      </w:r>
      <w:r>
        <w:t>eslicarbazepine</w:t>
      </w:r>
      <w:r w:rsidR="00970113" w:rsidRPr="00FD64CC">
        <w:t xml:space="preserve">. Infections occur usually rather frequent in (smaller) children and thus a higher reporting rate compared to adults is not surprising and may not be attributed to </w:t>
      </w:r>
      <w:r>
        <w:t>eslicarbazepine</w:t>
      </w:r>
      <w:r w:rsidR="00970113" w:rsidRPr="00FD64CC">
        <w:t>.</w:t>
      </w:r>
    </w:p>
    <w:p w14:paraId="366BCF54" w14:textId="4F906710" w:rsidR="00970113" w:rsidRPr="00FD64CC" w:rsidRDefault="00291379" w:rsidP="009C460B">
      <w:r>
        <w:t>Treatment-emergent adverse events</w:t>
      </w:r>
      <w:r w:rsidRPr="00FD64CC">
        <w:t xml:space="preserve"> </w:t>
      </w:r>
      <w:r w:rsidR="00970113" w:rsidRPr="00FD64CC">
        <w:t xml:space="preserve">leading to discontinuation were higher in the paediatric </w:t>
      </w:r>
      <w:r>
        <w:t>eslicarbazepine</w:t>
      </w:r>
      <w:r w:rsidR="002B73A8">
        <w:t xml:space="preserve"> </w:t>
      </w:r>
      <w:r w:rsidR="00970113" w:rsidRPr="00FD64CC">
        <w:t xml:space="preserve">group than for placebo </w:t>
      </w:r>
      <w:proofErr w:type="gramStart"/>
      <w:r w:rsidR="00970113" w:rsidRPr="00FD64CC">
        <w:t>and also</w:t>
      </w:r>
      <w:proofErr w:type="gramEnd"/>
      <w:r w:rsidR="00970113" w:rsidRPr="00FD64CC">
        <w:t xml:space="preserve"> for paediatric patients versus adults. However, when comparing this finding to other studies with AEDs, it is the evaluator’s opinion that the rates are </w:t>
      </w:r>
      <w:proofErr w:type="gramStart"/>
      <w:r w:rsidR="00970113" w:rsidRPr="00FD64CC">
        <w:t>fairly comparable</w:t>
      </w:r>
      <w:proofErr w:type="gramEnd"/>
      <w:r w:rsidR="00970113" w:rsidRPr="00FD64CC">
        <w:t>.</w:t>
      </w:r>
    </w:p>
    <w:p w14:paraId="60FDA9B9" w14:textId="7F657828" w:rsidR="00970113" w:rsidRPr="00FD64CC" w:rsidRDefault="00970113" w:rsidP="009C460B">
      <w:r w:rsidRPr="00FD64CC">
        <w:t xml:space="preserve">Two events of dermatitis allergic (0.8%) were reported in paediatric patients receiving </w:t>
      </w:r>
      <w:r w:rsidR="00291379">
        <w:t>eslicarbazepine</w:t>
      </w:r>
      <w:r w:rsidR="00291379" w:rsidRPr="00FD64CC" w:rsidDel="00291379">
        <w:t xml:space="preserve"> </w:t>
      </w:r>
      <w:r w:rsidRPr="00FD64CC">
        <w:t xml:space="preserve">(compared to none in the placebo group). This event was not reported in adults, although skin reactions are known to occur under treatment with </w:t>
      </w:r>
      <w:r w:rsidR="00291379">
        <w:t>eslicarbazepine</w:t>
      </w:r>
      <w:r w:rsidRPr="00FD64CC">
        <w:t>. Dermatitis allergic is included as an uncommon safety concern in the PI.</w:t>
      </w:r>
    </w:p>
    <w:p w14:paraId="7E6500BC" w14:textId="70776DA0" w:rsidR="00970113" w:rsidRPr="00FD64CC" w:rsidRDefault="00970113" w:rsidP="009C460B">
      <w:r w:rsidRPr="00FD64CC">
        <w:t xml:space="preserve">With regards to laboratory findings, the incidences of cases of increased </w:t>
      </w:r>
      <w:r w:rsidR="006F4512" w:rsidRPr="00FD64CC">
        <w:t xml:space="preserve">gamma </w:t>
      </w:r>
      <w:proofErr w:type="spellStart"/>
      <w:r w:rsidR="006F4512" w:rsidRPr="00FD64CC">
        <w:t>glutamyltransferase</w:t>
      </w:r>
      <w:proofErr w:type="spellEnd"/>
      <w:r w:rsidR="006F4512" w:rsidRPr="00FD64CC">
        <w:t xml:space="preserve"> (</w:t>
      </w:r>
      <w:r w:rsidRPr="00FD64CC">
        <w:t>GGT</w:t>
      </w:r>
      <w:r w:rsidR="006F4512" w:rsidRPr="00FD64CC">
        <w:t>)</w:t>
      </w:r>
      <w:r w:rsidRPr="00FD64CC">
        <w:t xml:space="preserve"> and decreased </w:t>
      </w:r>
      <w:r w:rsidR="004C5A05" w:rsidRPr="00FD64CC">
        <w:t>thyroxine (</w:t>
      </w:r>
      <w:r w:rsidRPr="00FD64CC">
        <w:t>T</w:t>
      </w:r>
      <w:r w:rsidRPr="002B73A8">
        <w:rPr>
          <w:vertAlign w:val="subscript"/>
        </w:rPr>
        <w:t>4</w:t>
      </w:r>
      <w:r w:rsidR="004C5A05" w:rsidRPr="00FD64CC">
        <w:t>)</w:t>
      </w:r>
      <w:r w:rsidRPr="00FD64CC">
        <w:t xml:space="preserve"> were higher in the paediatric group when compared to adults. Neither appeared to be clinically significant. </w:t>
      </w:r>
      <w:r w:rsidRPr="00FD64CC">
        <w:lastRenderedPageBreak/>
        <w:t>Hypothyroidism and liver disorders are already included in the PI as adverse reactions. No further changes to the safety information are considered necessary.</w:t>
      </w:r>
    </w:p>
    <w:p w14:paraId="03DA2709" w14:textId="7CA071CE" w:rsidR="00970113" w:rsidRPr="00FD64CC" w:rsidRDefault="00970113" w:rsidP="009C460B">
      <w:r w:rsidRPr="00FD64CC">
        <w:t xml:space="preserve">While the effects of </w:t>
      </w:r>
      <w:r w:rsidR="00291379">
        <w:t xml:space="preserve">eslicarbazepine </w:t>
      </w:r>
      <w:r w:rsidRPr="00FD64CC">
        <w:t>on co</w:t>
      </w:r>
      <w:r w:rsidR="006F4512" w:rsidRPr="00FD64CC">
        <w:t>gnition have been evaluated in S</w:t>
      </w:r>
      <w:r w:rsidRPr="00FD64CC">
        <w:t xml:space="preserve">tudy 208 for up to </w:t>
      </w:r>
      <w:r w:rsidR="006F4512" w:rsidRPr="00FD64CC">
        <w:t>four</w:t>
      </w:r>
      <w:r w:rsidRPr="00FD64CC">
        <w:t xml:space="preserve"> years, suggesting that </w:t>
      </w:r>
      <w:r w:rsidR="00291379">
        <w:t xml:space="preserve">eslicarbazepine </w:t>
      </w:r>
      <w:r w:rsidRPr="00FD64CC">
        <w:t xml:space="preserve">has no negative consequences for attention. </w:t>
      </w:r>
      <w:proofErr w:type="gramStart"/>
      <w:r w:rsidRPr="00FD64CC">
        <w:t>On the basis of</w:t>
      </w:r>
      <w:proofErr w:type="gramEnd"/>
      <w:r w:rsidRPr="00FD64CC">
        <w:t xml:space="preserve"> the available data, is unlikely that </w:t>
      </w:r>
      <w:r w:rsidR="00291379">
        <w:t xml:space="preserve">eslicarbazepine </w:t>
      </w:r>
      <w:r w:rsidRPr="00FD64CC">
        <w:t>would have long term effects on brain developm</w:t>
      </w:r>
      <w:r w:rsidR="006F4512" w:rsidRPr="00FD64CC">
        <w:t>ent, learning and intelligence.</w:t>
      </w:r>
    </w:p>
    <w:p w14:paraId="631825C3" w14:textId="331339CE" w:rsidR="00970113" w:rsidRPr="00FD64CC" w:rsidRDefault="00291379" w:rsidP="00970113">
      <w:r>
        <w:t xml:space="preserve">Eslicarbazepine </w:t>
      </w:r>
      <w:r w:rsidR="00970113" w:rsidRPr="00FD64CC">
        <w:t xml:space="preserve">was generally well-tolerated when used as adjuvant therapy in the treatment of children with POS. The incidence of </w:t>
      </w:r>
      <w:r>
        <w:t xml:space="preserve">serious adverse events </w:t>
      </w:r>
      <w:r w:rsidR="00970113" w:rsidRPr="00FD64CC">
        <w:t>and discontinuations due to AEs was overall low although slightly higher in paediatric subjects compared to adults. There were no new major safety concerns arising from the paediatric clinical studies at the applied maintenance doses of 20 and 30</w:t>
      </w:r>
      <w:r w:rsidR="006F4512" w:rsidRPr="00FD64CC">
        <w:t> </w:t>
      </w:r>
      <w:r w:rsidR="00970113" w:rsidRPr="00FD64CC">
        <w:t xml:space="preserve">mg/kg/day. The safety profile of </w:t>
      </w:r>
      <w:r>
        <w:t xml:space="preserve">eslicarbazepine </w:t>
      </w:r>
      <w:r w:rsidR="00970113" w:rsidRPr="00FD64CC">
        <w:t xml:space="preserve">in children older than </w:t>
      </w:r>
      <w:r w:rsidR="006F4512" w:rsidRPr="00FD64CC">
        <w:t>six</w:t>
      </w:r>
      <w:r w:rsidR="00970113" w:rsidRPr="00FD64CC">
        <w:t xml:space="preserve"> years was overall consistent with the known safety profile of </w:t>
      </w:r>
      <w:r>
        <w:t xml:space="preserve">eslicarbazepine </w:t>
      </w:r>
      <w:r w:rsidR="00970113" w:rsidRPr="00FD64CC">
        <w:t>in adults.</w:t>
      </w:r>
    </w:p>
    <w:p w14:paraId="306D8B19" w14:textId="77777777" w:rsidR="008E7846" w:rsidRPr="00FD64CC" w:rsidRDefault="00386150" w:rsidP="007B6132">
      <w:pPr>
        <w:pStyle w:val="Heading3"/>
        <w:rPr>
          <w:lang w:eastAsia="en-AU"/>
        </w:rPr>
      </w:pPr>
      <w:bookmarkStart w:id="55" w:name="_Toc84514220"/>
      <w:r w:rsidRPr="00FD64CC">
        <w:rPr>
          <w:lang w:eastAsia="en-AU"/>
        </w:rPr>
        <w:t>Risk m</w:t>
      </w:r>
      <w:r w:rsidR="008E7846" w:rsidRPr="00FD64CC">
        <w:rPr>
          <w:lang w:eastAsia="en-AU"/>
        </w:rPr>
        <w:t xml:space="preserve">anagement </w:t>
      </w:r>
      <w:r w:rsidRPr="00FD64CC">
        <w:rPr>
          <w:lang w:eastAsia="en-AU"/>
        </w:rPr>
        <w:t>p</w:t>
      </w:r>
      <w:r w:rsidR="008E7846" w:rsidRPr="00FD64CC">
        <w:rPr>
          <w:lang w:eastAsia="en-AU"/>
        </w:rPr>
        <w:t>lan</w:t>
      </w:r>
      <w:bookmarkEnd w:id="42"/>
      <w:bookmarkEnd w:id="55"/>
    </w:p>
    <w:p w14:paraId="757E0F14" w14:textId="6A938623" w:rsidR="00970113" w:rsidRPr="00FD64CC" w:rsidRDefault="00A53735" w:rsidP="00A53735">
      <w:r w:rsidRPr="00FD64CC">
        <w:t>The sponsor</w:t>
      </w:r>
      <w:r w:rsidR="00970113" w:rsidRPr="00FD64CC">
        <w:t xml:space="preserve"> has submitted EU-</w:t>
      </w:r>
      <w:r w:rsidR="006F4512" w:rsidRPr="00FD64CC">
        <w:t>risk management plan (</w:t>
      </w:r>
      <w:r w:rsidR="00970113" w:rsidRPr="00FD64CC">
        <w:t>RMP</w:t>
      </w:r>
      <w:r w:rsidR="006F4512" w:rsidRPr="00FD64CC">
        <w:t>)</w:t>
      </w:r>
      <w:r w:rsidR="00970113" w:rsidRPr="00FD64CC">
        <w:t xml:space="preserve"> version 22.0; (date</w:t>
      </w:r>
      <w:r w:rsidR="006F4512" w:rsidRPr="00FD64CC">
        <w:t xml:space="preserve">d </w:t>
      </w:r>
      <w:r w:rsidR="00970113" w:rsidRPr="00FD64CC">
        <w:t xml:space="preserve">2 March 2017; </w:t>
      </w:r>
      <w:r w:rsidR="006F4512" w:rsidRPr="00FD64CC">
        <w:t>data lock point (</w:t>
      </w:r>
      <w:r w:rsidR="00970113" w:rsidRPr="00FD64CC">
        <w:t>DLP</w:t>
      </w:r>
      <w:r w:rsidR="006F4512" w:rsidRPr="00FD64CC">
        <w:t>)</w:t>
      </w:r>
      <w:r w:rsidR="00970113" w:rsidRPr="00FD64CC">
        <w:t xml:space="preserve"> 21 October 2015) and </w:t>
      </w:r>
      <w:r w:rsidR="006F4512" w:rsidRPr="00FD64CC">
        <w:t>Australian-</w:t>
      </w:r>
      <w:r w:rsidR="00291379">
        <w:t>s</w:t>
      </w:r>
      <w:r w:rsidR="006F4512" w:rsidRPr="00FD64CC">
        <w:t>pecific annex (</w:t>
      </w:r>
      <w:r w:rsidR="00970113" w:rsidRPr="00FD64CC">
        <w:t>ASA</w:t>
      </w:r>
      <w:r w:rsidR="006F4512" w:rsidRPr="00FD64CC">
        <w:t>)</w:t>
      </w:r>
      <w:r w:rsidR="00970113" w:rsidRPr="00FD64CC">
        <w:t xml:space="preserve"> version 1.0 (date</w:t>
      </w:r>
      <w:r w:rsidR="006F4512" w:rsidRPr="00FD64CC">
        <w:t>d</w:t>
      </w:r>
      <w:r w:rsidR="00970113" w:rsidRPr="00FD64CC">
        <w:t xml:space="preserve"> 22 April 2020) in support of this application. With </w:t>
      </w:r>
      <w:r w:rsidR="004E6231" w:rsidRPr="00FD64CC">
        <w:t>r</w:t>
      </w:r>
      <w:r w:rsidR="00970113" w:rsidRPr="00FD64CC">
        <w:t>esponse</w:t>
      </w:r>
      <w:r w:rsidR="004E6231" w:rsidRPr="00FD64CC">
        <w:t xml:space="preserve"> to a TGA request for information</w:t>
      </w:r>
      <w:r w:rsidR="00970113" w:rsidRPr="00FD64CC">
        <w:t>, the sponsor submitted ASA version 2.0 (date</w:t>
      </w:r>
      <w:r w:rsidR="006F4512" w:rsidRPr="00FD64CC">
        <w:t>d</w:t>
      </w:r>
      <w:r w:rsidR="00970113" w:rsidRPr="00FD64CC">
        <w:t xml:space="preserve"> 07 December 2020) aligned to EU-RMP version 22.0 (date</w:t>
      </w:r>
      <w:r w:rsidR="006F4512" w:rsidRPr="00FD64CC">
        <w:t>d</w:t>
      </w:r>
      <w:r w:rsidR="00970113" w:rsidRPr="00FD64CC">
        <w:t xml:space="preserve"> 2 March </w:t>
      </w:r>
      <w:proofErr w:type="gramStart"/>
      <w:r w:rsidR="00970113" w:rsidRPr="00FD64CC">
        <w:t>2017;</w:t>
      </w:r>
      <w:proofErr w:type="gramEnd"/>
      <w:r w:rsidR="00970113" w:rsidRPr="00FD64CC">
        <w:t xml:space="preserve"> DLP 21 October 2015).</w:t>
      </w:r>
    </w:p>
    <w:p w14:paraId="001559AC" w14:textId="5A57327E" w:rsidR="00A53735" w:rsidRPr="00FD64CC" w:rsidRDefault="007D53B6" w:rsidP="00A53735">
      <w:r w:rsidRPr="00FD64CC">
        <w:t xml:space="preserve">The summary of safety concerns and their associated risk monitoring and mitigation strategies are summarised in </w:t>
      </w:r>
      <w:r w:rsidR="006F4512" w:rsidRPr="00FD64CC">
        <w:fldChar w:fldCharType="begin"/>
      </w:r>
      <w:r w:rsidR="006F4512" w:rsidRPr="00FD64CC">
        <w:instrText xml:space="preserve"> REF _Ref75355765 \h </w:instrText>
      </w:r>
      <w:r w:rsidR="00FD64CC">
        <w:instrText xml:space="preserve"> \* MERGEFORMAT </w:instrText>
      </w:r>
      <w:r w:rsidR="006F4512" w:rsidRPr="00FD64CC">
        <w:fldChar w:fldCharType="separate"/>
      </w:r>
      <w:r w:rsidR="00FE04B8" w:rsidRPr="00FD64CC">
        <w:t xml:space="preserve">Table </w:t>
      </w:r>
      <w:r w:rsidR="00FE04B8">
        <w:rPr>
          <w:noProof/>
        </w:rPr>
        <w:t>6</w:t>
      </w:r>
      <w:r w:rsidR="006F4512" w:rsidRPr="00FD64CC">
        <w:fldChar w:fldCharType="end"/>
      </w:r>
      <w:r w:rsidRPr="00FD64CC">
        <w:t>.</w:t>
      </w:r>
      <w:r w:rsidRPr="00FD64CC">
        <w:rPr>
          <w:rStyle w:val="FootnoteReference"/>
        </w:rPr>
        <w:footnoteReference w:id="9"/>
      </w:r>
    </w:p>
    <w:p w14:paraId="4E1DC212" w14:textId="42742E6E" w:rsidR="009C460B" w:rsidRPr="00FD64CC" w:rsidRDefault="009C460B" w:rsidP="009C460B">
      <w:pPr>
        <w:pStyle w:val="TableTitle"/>
      </w:pPr>
      <w:bookmarkStart w:id="56" w:name="_Ref75355765"/>
      <w:r w:rsidRPr="00FD64CC">
        <w:t xml:space="preserve">Table </w:t>
      </w:r>
      <w:fldSimple w:instr=" SEQ Table \* ARABIC ">
        <w:r w:rsidR="00FE04B8">
          <w:rPr>
            <w:noProof/>
          </w:rPr>
          <w:t>6</w:t>
        </w:r>
      </w:fldSimple>
      <w:bookmarkEnd w:id="56"/>
      <w:r w:rsidR="006F4512" w:rsidRPr="00FD64CC">
        <w:t>: S</w:t>
      </w:r>
      <w:r w:rsidRPr="00FD64CC">
        <w:t>ummary of safety concerns</w:t>
      </w:r>
    </w:p>
    <w:tbl>
      <w:tblPr>
        <w:tblStyle w:val="TableTGAblue"/>
        <w:tblW w:w="8455" w:type="dxa"/>
        <w:tblLayout w:type="fixed"/>
        <w:tblLook w:val="04A0" w:firstRow="1" w:lastRow="0" w:firstColumn="1" w:lastColumn="0" w:noHBand="0" w:noVBand="1"/>
      </w:tblPr>
      <w:tblGrid>
        <w:gridCol w:w="1435"/>
        <w:gridCol w:w="2666"/>
        <w:gridCol w:w="1024"/>
        <w:gridCol w:w="1170"/>
        <w:gridCol w:w="990"/>
        <w:gridCol w:w="1170"/>
      </w:tblGrid>
      <w:tr w:rsidR="00A53735" w:rsidRPr="00FD64CC" w14:paraId="40ADD42B" w14:textId="77777777" w:rsidTr="002B73A8">
        <w:trPr>
          <w:cnfStyle w:val="100000000000" w:firstRow="1" w:lastRow="0" w:firstColumn="0" w:lastColumn="0" w:oddVBand="0" w:evenVBand="0" w:oddHBand="0" w:evenHBand="0" w:firstRowFirstColumn="0" w:firstRowLastColumn="0" w:lastRowFirstColumn="0" w:lastRowLastColumn="0"/>
          <w:trHeight w:val="131"/>
        </w:trPr>
        <w:tc>
          <w:tcPr>
            <w:tcW w:w="0" w:type="dxa"/>
            <w:gridSpan w:val="2"/>
            <w:vMerge w:val="restart"/>
            <w:tcBorders>
              <w:top w:val="single" w:sz="4" w:space="0" w:color="auto"/>
              <w:left w:val="single" w:sz="4" w:space="0" w:color="auto"/>
              <w:bottom w:val="single" w:sz="4" w:space="0" w:color="auto"/>
              <w:right w:val="single" w:sz="4" w:space="0" w:color="auto"/>
            </w:tcBorders>
          </w:tcPr>
          <w:p w14:paraId="66AB1B48" w14:textId="77777777" w:rsidR="00A53735" w:rsidRPr="00FD64CC" w:rsidRDefault="00A53735" w:rsidP="002B73A8">
            <w:pPr>
              <w:pStyle w:val="Tabletext"/>
              <w:ind w:left="0" w:right="0"/>
            </w:pPr>
            <w:r w:rsidRPr="00FD64CC">
              <w:t>Summary of safety concerns</w:t>
            </w:r>
          </w:p>
        </w:tc>
        <w:tc>
          <w:tcPr>
            <w:tcW w:w="2194" w:type="dxa"/>
            <w:gridSpan w:val="2"/>
            <w:tcBorders>
              <w:top w:val="single" w:sz="4" w:space="0" w:color="auto"/>
              <w:left w:val="single" w:sz="4" w:space="0" w:color="auto"/>
              <w:bottom w:val="single" w:sz="4" w:space="0" w:color="auto"/>
              <w:right w:val="single" w:sz="4" w:space="0" w:color="auto"/>
            </w:tcBorders>
          </w:tcPr>
          <w:p w14:paraId="4D429277" w14:textId="77777777" w:rsidR="00A53735" w:rsidRPr="00FD64CC" w:rsidRDefault="00A53735" w:rsidP="002B73A8">
            <w:pPr>
              <w:pStyle w:val="Tabletext"/>
              <w:ind w:left="0" w:right="0"/>
            </w:pPr>
            <w:r w:rsidRPr="00FD64CC">
              <w:t>Pharmacovigilance</w:t>
            </w:r>
          </w:p>
        </w:tc>
        <w:tc>
          <w:tcPr>
            <w:tcW w:w="2160" w:type="dxa"/>
            <w:gridSpan w:val="2"/>
            <w:tcBorders>
              <w:top w:val="single" w:sz="4" w:space="0" w:color="auto"/>
              <w:left w:val="single" w:sz="4" w:space="0" w:color="auto"/>
              <w:bottom w:val="single" w:sz="4" w:space="0" w:color="auto"/>
              <w:right w:val="single" w:sz="4" w:space="0" w:color="auto"/>
            </w:tcBorders>
          </w:tcPr>
          <w:p w14:paraId="0DF9BBFF" w14:textId="2471D969" w:rsidR="00A53735" w:rsidRPr="00FD64CC" w:rsidRDefault="006F4512" w:rsidP="002B73A8">
            <w:pPr>
              <w:pStyle w:val="Tabletext"/>
              <w:ind w:left="0" w:right="0"/>
            </w:pPr>
            <w:r w:rsidRPr="00FD64CC">
              <w:t>Risk m</w:t>
            </w:r>
            <w:r w:rsidR="00A53735" w:rsidRPr="00FD64CC">
              <w:t>inimisation</w:t>
            </w:r>
          </w:p>
        </w:tc>
      </w:tr>
      <w:tr w:rsidR="00A53735" w:rsidRPr="00FD64CC" w14:paraId="69EC41E2" w14:textId="77777777" w:rsidTr="002B73A8">
        <w:trPr>
          <w:trHeight w:val="150"/>
        </w:trPr>
        <w:tc>
          <w:tcPr>
            <w:tcW w:w="0" w:type="dxa"/>
            <w:gridSpan w:val="2"/>
            <w:vMerge/>
            <w:tcBorders>
              <w:top w:val="single" w:sz="4" w:space="0" w:color="auto"/>
              <w:left w:val="single" w:sz="4" w:space="0" w:color="auto"/>
              <w:bottom w:val="single" w:sz="4" w:space="0" w:color="auto"/>
              <w:right w:val="single" w:sz="4" w:space="0" w:color="auto"/>
            </w:tcBorders>
          </w:tcPr>
          <w:p w14:paraId="67B147BE" w14:textId="77777777" w:rsidR="00A53735" w:rsidRPr="00FD64CC" w:rsidRDefault="00A53735" w:rsidP="002B73A8">
            <w:pPr>
              <w:pStyle w:val="Tabletext"/>
              <w:ind w:left="0" w:right="0"/>
              <w:rPr>
                <w:b/>
                <w:color w:val="FFFFFF" w:themeColor="background1"/>
              </w:rPr>
            </w:pPr>
          </w:p>
        </w:tc>
        <w:tc>
          <w:tcPr>
            <w:tcW w:w="1024" w:type="dxa"/>
            <w:tcBorders>
              <w:top w:val="single" w:sz="4" w:space="0" w:color="auto"/>
              <w:left w:val="single" w:sz="4" w:space="0" w:color="auto"/>
              <w:bottom w:val="single" w:sz="4" w:space="0" w:color="auto"/>
              <w:right w:val="single" w:sz="4" w:space="0" w:color="auto"/>
            </w:tcBorders>
            <w:shd w:val="clear" w:color="auto" w:fill="006DA7"/>
          </w:tcPr>
          <w:p w14:paraId="171A20DD" w14:textId="77777777" w:rsidR="00A53735" w:rsidRPr="00FD64CC" w:rsidRDefault="00A53735" w:rsidP="002B73A8">
            <w:pPr>
              <w:pStyle w:val="Tabletext"/>
              <w:ind w:left="0" w:right="0"/>
              <w:rPr>
                <w:b/>
                <w:color w:val="FFFFFF" w:themeColor="background1"/>
              </w:rPr>
            </w:pPr>
            <w:r w:rsidRPr="00FD64CC">
              <w:rPr>
                <w:b/>
                <w:color w:val="FFFFFF" w:themeColor="background1"/>
              </w:rPr>
              <w:t>Routine</w:t>
            </w:r>
          </w:p>
        </w:tc>
        <w:tc>
          <w:tcPr>
            <w:tcW w:w="1170" w:type="dxa"/>
            <w:tcBorders>
              <w:top w:val="single" w:sz="4" w:space="0" w:color="auto"/>
              <w:left w:val="single" w:sz="4" w:space="0" w:color="auto"/>
              <w:bottom w:val="single" w:sz="4" w:space="0" w:color="auto"/>
              <w:right w:val="single" w:sz="4" w:space="0" w:color="auto"/>
            </w:tcBorders>
            <w:shd w:val="clear" w:color="auto" w:fill="006DA7"/>
          </w:tcPr>
          <w:p w14:paraId="606B73C8" w14:textId="77777777" w:rsidR="00A53735" w:rsidRPr="00FD64CC" w:rsidRDefault="00A53735" w:rsidP="002B73A8">
            <w:pPr>
              <w:pStyle w:val="Tabletext"/>
              <w:ind w:left="0" w:right="0"/>
              <w:rPr>
                <w:b/>
                <w:color w:val="FFFFFF" w:themeColor="background1"/>
              </w:rPr>
            </w:pPr>
            <w:r w:rsidRPr="00FD64CC">
              <w:rPr>
                <w:b/>
                <w:color w:val="FFFFFF" w:themeColor="background1"/>
              </w:rPr>
              <w:t>Additional</w:t>
            </w:r>
          </w:p>
        </w:tc>
        <w:tc>
          <w:tcPr>
            <w:tcW w:w="990" w:type="dxa"/>
            <w:tcBorders>
              <w:top w:val="single" w:sz="4" w:space="0" w:color="auto"/>
              <w:left w:val="single" w:sz="4" w:space="0" w:color="auto"/>
              <w:bottom w:val="single" w:sz="4" w:space="0" w:color="auto"/>
              <w:right w:val="single" w:sz="4" w:space="0" w:color="auto"/>
            </w:tcBorders>
            <w:shd w:val="clear" w:color="auto" w:fill="006DA7"/>
          </w:tcPr>
          <w:p w14:paraId="1545B406" w14:textId="77777777" w:rsidR="00A53735" w:rsidRPr="00FD64CC" w:rsidRDefault="00A53735" w:rsidP="002B73A8">
            <w:pPr>
              <w:pStyle w:val="Tabletext"/>
              <w:ind w:left="0" w:right="0"/>
              <w:rPr>
                <w:b/>
                <w:color w:val="FFFFFF" w:themeColor="background1"/>
              </w:rPr>
            </w:pPr>
            <w:r w:rsidRPr="00FD64CC">
              <w:rPr>
                <w:b/>
                <w:color w:val="FFFFFF" w:themeColor="background1"/>
              </w:rPr>
              <w:t>Routine</w:t>
            </w:r>
          </w:p>
        </w:tc>
        <w:tc>
          <w:tcPr>
            <w:tcW w:w="1170" w:type="dxa"/>
            <w:tcBorders>
              <w:top w:val="single" w:sz="4" w:space="0" w:color="auto"/>
              <w:left w:val="single" w:sz="4" w:space="0" w:color="auto"/>
              <w:bottom w:val="single" w:sz="4" w:space="0" w:color="auto"/>
              <w:right w:val="single" w:sz="4" w:space="0" w:color="auto"/>
            </w:tcBorders>
            <w:shd w:val="clear" w:color="auto" w:fill="006DA7"/>
          </w:tcPr>
          <w:p w14:paraId="2E180107" w14:textId="77777777" w:rsidR="00A53735" w:rsidRPr="00FD64CC" w:rsidRDefault="00A53735" w:rsidP="002B73A8">
            <w:pPr>
              <w:pStyle w:val="Tabletext"/>
              <w:ind w:left="0" w:right="0"/>
              <w:rPr>
                <w:b/>
                <w:color w:val="FFFFFF" w:themeColor="background1"/>
              </w:rPr>
            </w:pPr>
            <w:r w:rsidRPr="00FD64CC">
              <w:rPr>
                <w:b/>
                <w:color w:val="FFFFFF" w:themeColor="background1"/>
              </w:rPr>
              <w:t>Additional</w:t>
            </w:r>
          </w:p>
        </w:tc>
      </w:tr>
      <w:tr w:rsidR="00A53735" w:rsidRPr="00FD64CC" w14:paraId="60FB9933" w14:textId="77777777" w:rsidTr="002B73A8">
        <w:trPr>
          <w:trHeight w:val="137"/>
        </w:trPr>
        <w:tc>
          <w:tcPr>
            <w:tcW w:w="1435" w:type="dxa"/>
            <w:vMerge w:val="restart"/>
            <w:tcBorders>
              <w:top w:val="single" w:sz="4" w:space="0" w:color="auto"/>
            </w:tcBorders>
          </w:tcPr>
          <w:p w14:paraId="27A85ADD" w14:textId="77777777" w:rsidR="00A53735" w:rsidRPr="00FD64CC" w:rsidRDefault="00A53735" w:rsidP="002B73A8">
            <w:pPr>
              <w:pStyle w:val="Tabletext"/>
              <w:ind w:left="0" w:right="0"/>
            </w:pPr>
            <w:r w:rsidRPr="00FD64CC">
              <w:t>Important identified risks</w:t>
            </w:r>
          </w:p>
        </w:tc>
        <w:tc>
          <w:tcPr>
            <w:tcW w:w="2666" w:type="dxa"/>
            <w:tcBorders>
              <w:top w:val="single" w:sz="4" w:space="0" w:color="auto"/>
            </w:tcBorders>
          </w:tcPr>
          <w:p w14:paraId="00B28903" w14:textId="77777777" w:rsidR="00A53735" w:rsidRPr="00FD64CC" w:rsidRDefault="00A53735" w:rsidP="002B73A8">
            <w:pPr>
              <w:pStyle w:val="Tabletext"/>
              <w:ind w:left="0" w:right="0"/>
            </w:pPr>
            <w:r w:rsidRPr="00FD64CC">
              <w:t>Hyponatremia</w:t>
            </w:r>
          </w:p>
        </w:tc>
        <w:tc>
          <w:tcPr>
            <w:tcW w:w="1024" w:type="dxa"/>
            <w:tcBorders>
              <w:top w:val="single" w:sz="4" w:space="0" w:color="auto"/>
            </w:tcBorders>
          </w:tcPr>
          <w:p w14:paraId="5C3ED875" w14:textId="77777777" w:rsidR="00A53735" w:rsidRPr="00FD64CC" w:rsidRDefault="00A53735" w:rsidP="002B73A8">
            <w:pPr>
              <w:pStyle w:val="Tabletext"/>
              <w:ind w:left="0" w:right="0"/>
            </w:pPr>
            <w:r w:rsidRPr="00FD64CC">
              <w:sym w:font="Wingdings" w:char="F0FC"/>
            </w:r>
          </w:p>
        </w:tc>
        <w:tc>
          <w:tcPr>
            <w:tcW w:w="1170" w:type="dxa"/>
            <w:tcBorders>
              <w:top w:val="single" w:sz="4" w:space="0" w:color="auto"/>
            </w:tcBorders>
          </w:tcPr>
          <w:p w14:paraId="7202EC53" w14:textId="77777777" w:rsidR="00A53735" w:rsidRPr="00FD64CC" w:rsidRDefault="00A53735" w:rsidP="002B73A8">
            <w:pPr>
              <w:pStyle w:val="Tabletext"/>
              <w:ind w:left="0" w:right="0"/>
            </w:pPr>
            <w:r w:rsidRPr="00FD64CC">
              <w:t>–</w:t>
            </w:r>
          </w:p>
        </w:tc>
        <w:tc>
          <w:tcPr>
            <w:tcW w:w="990" w:type="dxa"/>
            <w:tcBorders>
              <w:top w:val="single" w:sz="4" w:space="0" w:color="auto"/>
            </w:tcBorders>
          </w:tcPr>
          <w:p w14:paraId="75312010" w14:textId="77777777" w:rsidR="00A53735" w:rsidRPr="00FD64CC" w:rsidRDefault="00A53735" w:rsidP="002B73A8">
            <w:pPr>
              <w:pStyle w:val="Tabletext"/>
              <w:ind w:left="0" w:right="0"/>
            </w:pPr>
            <w:r w:rsidRPr="00FD64CC">
              <w:sym w:font="Wingdings" w:char="F0FC"/>
            </w:r>
          </w:p>
        </w:tc>
        <w:tc>
          <w:tcPr>
            <w:tcW w:w="1170" w:type="dxa"/>
            <w:tcBorders>
              <w:top w:val="single" w:sz="4" w:space="0" w:color="auto"/>
            </w:tcBorders>
          </w:tcPr>
          <w:p w14:paraId="78A80603" w14:textId="77777777" w:rsidR="00A53735" w:rsidRPr="00FD64CC" w:rsidRDefault="00A53735" w:rsidP="002B73A8">
            <w:pPr>
              <w:pStyle w:val="Tabletext"/>
              <w:ind w:left="0" w:right="0"/>
            </w:pPr>
            <w:r w:rsidRPr="00FD64CC">
              <w:t>–</w:t>
            </w:r>
          </w:p>
        </w:tc>
      </w:tr>
      <w:tr w:rsidR="00A53735" w:rsidRPr="00FD64CC" w14:paraId="6E525A04" w14:textId="77777777" w:rsidTr="002B73A8">
        <w:trPr>
          <w:trHeight w:val="94"/>
        </w:trPr>
        <w:tc>
          <w:tcPr>
            <w:tcW w:w="1435" w:type="dxa"/>
            <w:vMerge/>
          </w:tcPr>
          <w:p w14:paraId="2F3119F6" w14:textId="77777777" w:rsidR="00A53735" w:rsidRPr="00FD64CC" w:rsidRDefault="00A53735" w:rsidP="002B73A8">
            <w:pPr>
              <w:pStyle w:val="Tabletext"/>
              <w:ind w:left="0" w:right="0"/>
            </w:pPr>
          </w:p>
        </w:tc>
        <w:tc>
          <w:tcPr>
            <w:tcW w:w="2666" w:type="dxa"/>
          </w:tcPr>
          <w:p w14:paraId="09BDC371" w14:textId="77777777" w:rsidR="00A53735" w:rsidRPr="00FD64CC" w:rsidRDefault="00A53735" w:rsidP="002B73A8">
            <w:pPr>
              <w:pStyle w:val="Tabletext"/>
              <w:ind w:left="0" w:right="0"/>
            </w:pPr>
            <w:r w:rsidRPr="00FD64CC">
              <w:t>Cutaneous adverse reactions</w:t>
            </w:r>
          </w:p>
        </w:tc>
        <w:tc>
          <w:tcPr>
            <w:tcW w:w="1024" w:type="dxa"/>
          </w:tcPr>
          <w:p w14:paraId="4FFF8E0E" w14:textId="77777777" w:rsidR="00A53735" w:rsidRPr="00FD64CC" w:rsidRDefault="00A53735" w:rsidP="002B73A8">
            <w:pPr>
              <w:pStyle w:val="Tabletext"/>
              <w:ind w:left="0" w:right="0"/>
            </w:pPr>
            <w:r w:rsidRPr="00FD64CC">
              <w:sym w:font="Wingdings" w:char="F0FC"/>
            </w:r>
            <w:r w:rsidRPr="00FD64CC">
              <w:t>*</w:t>
            </w:r>
          </w:p>
        </w:tc>
        <w:tc>
          <w:tcPr>
            <w:tcW w:w="1170" w:type="dxa"/>
          </w:tcPr>
          <w:p w14:paraId="19F99E48" w14:textId="77777777" w:rsidR="00A53735" w:rsidRPr="00FD64CC" w:rsidRDefault="00A53735" w:rsidP="002B73A8">
            <w:pPr>
              <w:pStyle w:val="Tabletext"/>
              <w:ind w:left="0" w:right="0"/>
            </w:pPr>
            <w:r w:rsidRPr="00FD64CC">
              <w:t>–</w:t>
            </w:r>
          </w:p>
        </w:tc>
        <w:tc>
          <w:tcPr>
            <w:tcW w:w="990" w:type="dxa"/>
          </w:tcPr>
          <w:p w14:paraId="1839F8EA" w14:textId="77777777" w:rsidR="00A53735" w:rsidRPr="00FD64CC" w:rsidRDefault="00A53735" w:rsidP="002B73A8">
            <w:pPr>
              <w:pStyle w:val="Tabletext"/>
              <w:ind w:left="0" w:right="0"/>
            </w:pPr>
            <w:r w:rsidRPr="00FD64CC">
              <w:sym w:font="Wingdings" w:char="F0FC"/>
            </w:r>
          </w:p>
        </w:tc>
        <w:tc>
          <w:tcPr>
            <w:tcW w:w="1170" w:type="dxa"/>
          </w:tcPr>
          <w:p w14:paraId="030EEACD" w14:textId="77777777" w:rsidR="00A53735" w:rsidRPr="00FD64CC" w:rsidRDefault="00A53735" w:rsidP="002B73A8">
            <w:pPr>
              <w:pStyle w:val="Tabletext"/>
              <w:ind w:left="0" w:right="0"/>
            </w:pPr>
            <w:r w:rsidRPr="00FD64CC">
              <w:t>–</w:t>
            </w:r>
          </w:p>
        </w:tc>
      </w:tr>
      <w:tr w:rsidR="00A53735" w:rsidRPr="00FD64CC" w14:paraId="1650FD6A" w14:textId="77777777" w:rsidTr="002B73A8">
        <w:trPr>
          <w:trHeight w:val="159"/>
        </w:trPr>
        <w:tc>
          <w:tcPr>
            <w:tcW w:w="1435" w:type="dxa"/>
            <w:vMerge w:val="restart"/>
          </w:tcPr>
          <w:p w14:paraId="6854375A" w14:textId="77777777" w:rsidR="00A53735" w:rsidRPr="00FD64CC" w:rsidRDefault="00A53735" w:rsidP="002B73A8">
            <w:pPr>
              <w:pStyle w:val="Tabletext"/>
              <w:ind w:left="0" w:right="0"/>
            </w:pPr>
            <w:r w:rsidRPr="00FD64CC">
              <w:t>Important potential risks</w:t>
            </w:r>
          </w:p>
        </w:tc>
        <w:tc>
          <w:tcPr>
            <w:tcW w:w="2666" w:type="dxa"/>
          </w:tcPr>
          <w:p w14:paraId="01DC57D5" w14:textId="77777777" w:rsidR="00A53735" w:rsidRPr="00FD64CC" w:rsidRDefault="00A53735" w:rsidP="002B73A8">
            <w:pPr>
              <w:pStyle w:val="Tabletext"/>
              <w:ind w:left="0" w:right="0"/>
            </w:pPr>
            <w:r w:rsidRPr="00FD64CC">
              <w:t>Thyroid function changes</w:t>
            </w:r>
          </w:p>
        </w:tc>
        <w:tc>
          <w:tcPr>
            <w:tcW w:w="1024" w:type="dxa"/>
          </w:tcPr>
          <w:p w14:paraId="7D223B93" w14:textId="77777777" w:rsidR="00A53735" w:rsidRPr="00FD64CC" w:rsidRDefault="00A53735" w:rsidP="002B73A8">
            <w:pPr>
              <w:pStyle w:val="Tabletext"/>
              <w:ind w:left="0" w:right="0"/>
            </w:pPr>
            <w:r w:rsidRPr="00FD64CC">
              <w:sym w:font="Wingdings" w:char="F0FC"/>
            </w:r>
          </w:p>
        </w:tc>
        <w:tc>
          <w:tcPr>
            <w:tcW w:w="1170" w:type="dxa"/>
          </w:tcPr>
          <w:p w14:paraId="25547543" w14:textId="77777777" w:rsidR="00A53735" w:rsidRPr="00FD64CC" w:rsidRDefault="00A53735" w:rsidP="002B73A8">
            <w:pPr>
              <w:pStyle w:val="Tabletext"/>
              <w:ind w:left="0" w:right="0"/>
            </w:pPr>
            <w:r w:rsidRPr="00FD64CC">
              <w:t>–</w:t>
            </w:r>
          </w:p>
        </w:tc>
        <w:tc>
          <w:tcPr>
            <w:tcW w:w="990" w:type="dxa"/>
          </w:tcPr>
          <w:p w14:paraId="34234350" w14:textId="77777777" w:rsidR="00A53735" w:rsidRPr="00FD64CC" w:rsidRDefault="00A53735" w:rsidP="002B73A8">
            <w:pPr>
              <w:pStyle w:val="Tabletext"/>
              <w:ind w:left="0" w:right="0"/>
            </w:pPr>
            <w:r w:rsidRPr="00FD64CC">
              <w:sym w:font="Wingdings" w:char="F0FC"/>
            </w:r>
          </w:p>
        </w:tc>
        <w:tc>
          <w:tcPr>
            <w:tcW w:w="1170" w:type="dxa"/>
          </w:tcPr>
          <w:p w14:paraId="47DA21D7" w14:textId="77777777" w:rsidR="00A53735" w:rsidRPr="00FD64CC" w:rsidRDefault="00A53735" w:rsidP="002B73A8">
            <w:pPr>
              <w:pStyle w:val="Tabletext"/>
              <w:ind w:left="0" w:right="0"/>
            </w:pPr>
            <w:r w:rsidRPr="00FD64CC">
              <w:t>–</w:t>
            </w:r>
          </w:p>
        </w:tc>
      </w:tr>
      <w:tr w:rsidR="00A53735" w:rsidRPr="00FD64CC" w14:paraId="50DF0553" w14:textId="77777777" w:rsidTr="002B73A8">
        <w:trPr>
          <w:trHeight w:val="122"/>
        </w:trPr>
        <w:tc>
          <w:tcPr>
            <w:tcW w:w="1435" w:type="dxa"/>
            <w:vMerge/>
          </w:tcPr>
          <w:p w14:paraId="3C1689D9" w14:textId="77777777" w:rsidR="00A53735" w:rsidRPr="00FD64CC" w:rsidRDefault="00A53735" w:rsidP="002B73A8">
            <w:pPr>
              <w:pStyle w:val="Tabletext"/>
              <w:ind w:left="0" w:right="0"/>
            </w:pPr>
          </w:p>
        </w:tc>
        <w:tc>
          <w:tcPr>
            <w:tcW w:w="2666" w:type="dxa"/>
          </w:tcPr>
          <w:p w14:paraId="47B32877" w14:textId="10EA0DF0" w:rsidR="00A53735" w:rsidRPr="00FD64CC" w:rsidRDefault="006F4512" w:rsidP="002B73A8">
            <w:pPr>
              <w:pStyle w:val="Tabletext"/>
              <w:ind w:left="0" w:right="0"/>
            </w:pPr>
            <w:r w:rsidRPr="00FD64CC">
              <w:t>International normalised ratio (</w:t>
            </w:r>
            <w:r w:rsidR="00A53735" w:rsidRPr="00FD64CC">
              <w:t>INR</w:t>
            </w:r>
            <w:r w:rsidRPr="00FD64CC">
              <w:t>)</w:t>
            </w:r>
            <w:r w:rsidR="00A53735" w:rsidRPr="00FD64CC">
              <w:t xml:space="preserve"> and </w:t>
            </w:r>
            <w:r w:rsidRPr="00FD64CC">
              <w:t>activated partial thromboplastin time (</w:t>
            </w:r>
            <w:proofErr w:type="spellStart"/>
            <w:r w:rsidR="00A53735" w:rsidRPr="00FD64CC">
              <w:t>aPTT</w:t>
            </w:r>
            <w:proofErr w:type="spellEnd"/>
            <w:r w:rsidRPr="00FD64CC">
              <w:t>)</w:t>
            </w:r>
            <w:r w:rsidR="00A53735" w:rsidRPr="00FD64CC">
              <w:t xml:space="preserve"> increase</w:t>
            </w:r>
          </w:p>
        </w:tc>
        <w:tc>
          <w:tcPr>
            <w:tcW w:w="1024" w:type="dxa"/>
          </w:tcPr>
          <w:p w14:paraId="3F2446E1" w14:textId="77777777" w:rsidR="00A53735" w:rsidRPr="00FD64CC" w:rsidRDefault="00A53735" w:rsidP="002B73A8">
            <w:pPr>
              <w:pStyle w:val="Tabletext"/>
              <w:ind w:left="0" w:right="0"/>
            </w:pPr>
            <w:r w:rsidRPr="00FD64CC">
              <w:sym w:font="Wingdings" w:char="F0FC"/>
            </w:r>
          </w:p>
        </w:tc>
        <w:tc>
          <w:tcPr>
            <w:tcW w:w="1170" w:type="dxa"/>
          </w:tcPr>
          <w:p w14:paraId="6DC003EC" w14:textId="77777777" w:rsidR="00A53735" w:rsidRPr="00FD64CC" w:rsidRDefault="00A53735" w:rsidP="002B73A8">
            <w:pPr>
              <w:pStyle w:val="Tabletext"/>
              <w:ind w:left="0" w:right="0"/>
            </w:pPr>
            <w:r w:rsidRPr="00FD64CC">
              <w:t>–</w:t>
            </w:r>
          </w:p>
        </w:tc>
        <w:tc>
          <w:tcPr>
            <w:tcW w:w="990" w:type="dxa"/>
          </w:tcPr>
          <w:p w14:paraId="7A635AEF" w14:textId="77777777" w:rsidR="00A53735" w:rsidRPr="00FD64CC" w:rsidRDefault="00A53735" w:rsidP="002B73A8">
            <w:pPr>
              <w:pStyle w:val="Tabletext"/>
              <w:ind w:left="0" w:right="0"/>
            </w:pPr>
            <w:r w:rsidRPr="00FD64CC">
              <w:sym w:font="Wingdings" w:char="F0FC"/>
            </w:r>
          </w:p>
        </w:tc>
        <w:tc>
          <w:tcPr>
            <w:tcW w:w="1170" w:type="dxa"/>
          </w:tcPr>
          <w:p w14:paraId="50A479BC" w14:textId="77777777" w:rsidR="00A53735" w:rsidRPr="00FD64CC" w:rsidRDefault="00A53735" w:rsidP="002B73A8">
            <w:pPr>
              <w:pStyle w:val="Tabletext"/>
              <w:ind w:left="0" w:right="0"/>
            </w:pPr>
            <w:r w:rsidRPr="00FD64CC">
              <w:t>–</w:t>
            </w:r>
          </w:p>
        </w:tc>
      </w:tr>
      <w:tr w:rsidR="00A53735" w:rsidRPr="00FD64CC" w14:paraId="5A47ADF7" w14:textId="77777777" w:rsidTr="002B73A8">
        <w:trPr>
          <w:trHeight w:val="122"/>
        </w:trPr>
        <w:tc>
          <w:tcPr>
            <w:tcW w:w="1435" w:type="dxa"/>
            <w:vMerge/>
          </w:tcPr>
          <w:p w14:paraId="16DC2DCD" w14:textId="77777777" w:rsidR="00A53735" w:rsidRPr="00FD64CC" w:rsidRDefault="00A53735" w:rsidP="002B73A8">
            <w:pPr>
              <w:pStyle w:val="Tabletext"/>
              <w:ind w:left="0" w:right="0"/>
            </w:pPr>
          </w:p>
        </w:tc>
        <w:tc>
          <w:tcPr>
            <w:tcW w:w="2666" w:type="dxa"/>
          </w:tcPr>
          <w:p w14:paraId="17D5D37D" w14:textId="77777777" w:rsidR="00A53735" w:rsidRPr="00FD64CC" w:rsidRDefault="00A53735" w:rsidP="002B73A8">
            <w:pPr>
              <w:pStyle w:val="Tabletext"/>
              <w:ind w:left="0" w:right="0"/>
            </w:pPr>
            <w:r w:rsidRPr="00FD64CC">
              <w:t>Cardiovascular/cerebrovascular ischemia</w:t>
            </w:r>
          </w:p>
        </w:tc>
        <w:tc>
          <w:tcPr>
            <w:tcW w:w="1024" w:type="dxa"/>
          </w:tcPr>
          <w:p w14:paraId="011F16DD" w14:textId="77777777" w:rsidR="00A53735" w:rsidRPr="00FD64CC" w:rsidRDefault="00A53735" w:rsidP="002B73A8">
            <w:pPr>
              <w:pStyle w:val="Tabletext"/>
              <w:ind w:left="0" w:right="0"/>
            </w:pPr>
            <w:r w:rsidRPr="00FD64CC">
              <w:sym w:font="Wingdings" w:char="F0FC"/>
            </w:r>
            <w:r w:rsidRPr="00FD64CC">
              <w:t>*</w:t>
            </w:r>
          </w:p>
        </w:tc>
        <w:tc>
          <w:tcPr>
            <w:tcW w:w="1170" w:type="dxa"/>
          </w:tcPr>
          <w:p w14:paraId="20BCD575" w14:textId="77777777" w:rsidR="00A53735" w:rsidRPr="00FD64CC" w:rsidRDefault="00A53735" w:rsidP="002B73A8">
            <w:pPr>
              <w:pStyle w:val="Tabletext"/>
              <w:ind w:left="0" w:right="0"/>
            </w:pPr>
            <w:r w:rsidRPr="00FD64CC">
              <w:t>–</w:t>
            </w:r>
          </w:p>
        </w:tc>
        <w:tc>
          <w:tcPr>
            <w:tcW w:w="990" w:type="dxa"/>
          </w:tcPr>
          <w:p w14:paraId="0755B3B0" w14:textId="77777777" w:rsidR="00A53735" w:rsidRPr="00FD64CC" w:rsidRDefault="00A53735" w:rsidP="002B73A8">
            <w:pPr>
              <w:pStyle w:val="Tabletext"/>
              <w:ind w:left="0" w:right="0"/>
            </w:pPr>
            <w:r w:rsidRPr="00FD64CC">
              <w:sym w:font="Wingdings" w:char="F0FC"/>
            </w:r>
          </w:p>
        </w:tc>
        <w:tc>
          <w:tcPr>
            <w:tcW w:w="1170" w:type="dxa"/>
          </w:tcPr>
          <w:p w14:paraId="7DDB1F2B" w14:textId="77777777" w:rsidR="00A53735" w:rsidRPr="00FD64CC" w:rsidRDefault="00A53735" w:rsidP="002B73A8">
            <w:pPr>
              <w:pStyle w:val="Tabletext"/>
              <w:ind w:left="0" w:right="0"/>
            </w:pPr>
            <w:r w:rsidRPr="00FD64CC">
              <w:t>–</w:t>
            </w:r>
          </w:p>
        </w:tc>
      </w:tr>
      <w:tr w:rsidR="00A53735" w:rsidRPr="00FD64CC" w14:paraId="408F3154" w14:textId="77777777" w:rsidTr="002B73A8">
        <w:trPr>
          <w:trHeight w:val="122"/>
        </w:trPr>
        <w:tc>
          <w:tcPr>
            <w:tcW w:w="1435" w:type="dxa"/>
            <w:vMerge/>
          </w:tcPr>
          <w:p w14:paraId="0AE9D033" w14:textId="77777777" w:rsidR="00A53735" w:rsidRPr="00FD64CC" w:rsidRDefault="00A53735" w:rsidP="002B73A8">
            <w:pPr>
              <w:pStyle w:val="Tabletext"/>
              <w:ind w:left="0" w:right="0"/>
            </w:pPr>
          </w:p>
        </w:tc>
        <w:tc>
          <w:tcPr>
            <w:tcW w:w="2666" w:type="dxa"/>
          </w:tcPr>
          <w:p w14:paraId="46E4E47B" w14:textId="77777777" w:rsidR="00A53735" w:rsidRPr="00FD64CC" w:rsidRDefault="00A53735" w:rsidP="002B73A8">
            <w:pPr>
              <w:pStyle w:val="Tabletext"/>
              <w:ind w:left="0" w:right="0"/>
            </w:pPr>
            <w:r w:rsidRPr="00FD64CC">
              <w:t>Potential for suicidality as antiepileptic drug</w:t>
            </w:r>
          </w:p>
        </w:tc>
        <w:tc>
          <w:tcPr>
            <w:tcW w:w="1024" w:type="dxa"/>
          </w:tcPr>
          <w:p w14:paraId="561E261D" w14:textId="77777777" w:rsidR="00A53735" w:rsidRPr="00FD64CC" w:rsidRDefault="00A53735" w:rsidP="002B73A8">
            <w:pPr>
              <w:pStyle w:val="Tabletext"/>
              <w:ind w:left="0" w:right="0"/>
            </w:pPr>
            <w:r w:rsidRPr="00FD64CC">
              <w:sym w:font="Wingdings" w:char="F0FC"/>
            </w:r>
          </w:p>
        </w:tc>
        <w:tc>
          <w:tcPr>
            <w:tcW w:w="1170" w:type="dxa"/>
          </w:tcPr>
          <w:p w14:paraId="5DA901CC" w14:textId="77777777" w:rsidR="00A53735" w:rsidRPr="00FD64CC" w:rsidRDefault="00A53735" w:rsidP="002B73A8">
            <w:pPr>
              <w:pStyle w:val="Tabletext"/>
              <w:ind w:left="0" w:right="0"/>
            </w:pPr>
            <w:r w:rsidRPr="00FD64CC">
              <w:t>–</w:t>
            </w:r>
          </w:p>
        </w:tc>
        <w:tc>
          <w:tcPr>
            <w:tcW w:w="990" w:type="dxa"/>
          </w:tcPr>
          <w:p w14:paraId="37B6D217" w14:textId="77777777" w:rsidR="00A53735" w:rsidRPr="00FD64CC" w:rsidRDefault="00A53735" w:rsidP="002B73A8">
            <w:pPr>
              <w:pStyle w:val="Tabletext"/>
              <w:ind w:left="0" w:right="0"/>
            </w:pPr>
            <w:r w:rsidRPr="00FD64CC">
              <w:sym w:font="Wingdings" w:char="F0FC"/>
            </w:r>
          </w:p>
        </w:tc>
        <w:tc>
          <w:tcPr>
            <w:tcW w:w="1170" w:type="dxa"/>
          </w:tcPr>
          <w:p w14:paraId="7BA6942B" w14:textId="77777777" w:rsidR="00A53735" w:rsidRPr="00FD64CC" w:rsidRDefault="00A53735" w:rsidP="002B73A8">
            <w:pPr>
              <w:pStyle w:val="Tabletext"/>
              <w:ind w:left="0" w:right="0"/>
            </w:pPr>
            <w:r w:rsidRPr="00FD64CC">
              <w:t>–</w:t>
            </w:r>
          </w:p>
        </w:tc>
      </w:tr>
      <w:tr w:rsidR="00A53735" w:rsidRPr="00FD64CC" w14:paraId="6F33ED7B" w14:textId="77777777" w:rsidTr="002B73A8">
        <w:trPr>
          <w:trHeight w:val="112"/>
        </w:trPr>
        <w:tc>
          <w:tcPr>
            <w:tcW w:w="1435" w:type="dxa"/>
            <w:vMerge/>
          </w:tcPr>
          <w:p w14:paraId="50643928" w14:textId="77777777" w:rsidR="00A53735" w:rsidRPr="00FD64CC" w:rsidRDefault="00A53735" w:rsidP="002B73A8">
            <w:pPr>
              <w:pStyle w:val="Tabletext"/>
              <w:ind w:left="0" w:right="0"/>
            </w:pPr>
          </w:p>
        </w:tc>
        <w:tc>
          <w:tcPr>
            <w:tcW w:w="2666" w:type="dxa"/>
          </w:tcPr>
          <w:p w14:paraId="2FF1A4F9" w14:textId="77777777" w:rsidR="00A53735" w:rsidRPr="00FD64CC" w:rsidRDefault="00A53735" w:rsidP="002B73A8">
            <w:pPr>
              <w:pStyle w:val="Tabletext"/>
              <w:ind w:left="0" w:right="0"/>
            </w:pPr>
            <w:r w:rsidRPr="00FD64CC">
              <w:t>Bone disorders</w:t>
            </w:r>
          </w:p>
        </w:tc>
        <w:tc>
          <w:tcPr>
            <w:tcW w:w="1024" w:type="dxa"/>
          </w:tcPr>
          <w:p w14:paraId="6452BE72" w14:textId="77777777" w:rsidR="00A53735" w:rsidRPr="00FD64CC" w:rsidRDefault="00A53735" w:rsidP="002B73A8">
            <w:pPr>
              <w:pStyle w:val="Tabletext"/>
              <w:ind w:left="0" w:right="0"/>
            </w:pPr>
            <w:r w:rsidRPr="00FD64CC">
              <w:sym w:font="Wingdings" w:char="F0FC"/>
            </w:r>
          </w:p>
        </w:tc>
        <w:tc>
          <w:tcPr>
            <w:tcW w:w="1170" w:type="dxa"/>
          </w:tcPr>
          <w:p w14:paraId="5560FB06" w14:textId="77777777" w:rsidR="00A53735" w:rsidRPr="00FD64CC" w:rsidRDefault="00A53735" w:rsidP="002B73A8">
            <w:pPr>
              <w:pStyle w:val="Tabletext"/>
              <w:ind w:left="0" w:right="0"/>
            </w:pPr>
            <w:r w:rsidRPr="00FD64CC">
              <w:t>–</w:t>
            </w:r>
          </w:p>
        </w:tc>
        <w:tc>
          <w:tcPr>
            <w:tcW w:w="990" w:type="dxa"/>
          </w:tcPr>
          <w:p w14:paraId="048AE655" w14:textId="77777777" w:rsidR="00A53735" w:rsidRPr="00FD64CC" w:rsidRDefault="00A53735" w:rsidP="002B73A8">
            <w:pPr>
              <w:pStyle w:val="Tabletext"/>
              <w:ind w:left="0" w:right="0"/>
            </w:pPr>
            <w:r w:rsidRPr="00FD64CC">
              <w:sym w:font="Wingdings" w:char="F0FC"/>
            </w:r>
          </w:p>
        </w:tc>
        <w:tc>
          <w:tcPr>
            <w:tcW w:w="1170" w:type="dxa"/>
          </w:tcPr>
          <w:p w14:paraId="5FB2F37D" w14:textId="77777777" w:rsidR="00A53735" w:rsidRPr="00FD64CC" w:rsidRDefault="00A53735" w:rsidP="002B73A8">
            <w:pPr>
              <w:pStyle w:val="Tabletext"/>
              <w:ind w:left="0" w:right="0"/>
            </w:pPr>
            <w:r w:rsidRPr="00FD64CC">
              <w:t>–</w:t>
            </w:r>
          </w:p>
        </w:tc>
      </w:tr>
      <w:tr w:rsidR="00A53735" w:rsidRPr="00FD64CC" w14:paraId="4A3E5AF8" w14:textId="77777777" w:rsidTr="002B73A8">
        <w:trPr>
          <w:trHeight w:val="178"/>
        </w:trPr>
        <w:tc>
          <w:tcPr>
            <w:tcW w:w="1435" w:type="dxa"/>
            <w:vMerge w:val="restart"/>
          </w:tcPr>
          <w:p w14:paraId="362A772E" w14:textId="77777777" w:rsidR="00A53735" w:rsidRPr="00FD64CC" w:rsidRDefault="00A53735" w:rsidP="002B73A8">
            <w:pPr>
              <w:pStyle w:val="Tabletext"/>
              <w:ind w:left="0" w:right="0"/>
            </w:pPr>
            <w:r w:rsidRPr="00FD64CC">
              <w:t>Missing information</w:t>
            </w:r>
          </w:p>
        </w:tc>
        <w:tc>
          <w:tcPr>
            <w:tcW w:w="2666" w:type="dxa"/>
          </w:tcPr>
          <w:p w14:paraId="162ADDFB" w14:textId="77777777" w:rsidR="00A53735" w:rsidRPr="00FD64CC" w:rsidRDefault="00A53735" w:rsidP="002B73A8">
            <w:pPr>
              <w:pStyle w:val="Tabletext"/>
              <w:ind w:left="0" w:right="0"/>
            </w:pPr>
            <w:r w:rsidRPr="00FD64CC">
              <w:t>Exposure during pregnancy</w:t>
            </w:r>
          </w:p>
        </w:tc>
        <w:tc>
          <w:tcPr>
            <w:tcW w:w="1024" w:type="dxa"/>
          </w:tcPr>
          <w:p w14:paraId="0592977E" w14:textId="77777777" w:rsidR="00A53735" w:rsidRPr="00FD64CC" w:rsidRDefault="00A53735" w:rsidP="002B73A8">
            <w:pPr>
              <w:pStyle w:val="Tabletext"/>
              <w:ind w:left="0" w:right="0"/>
            </w:pPr>
            <w:r w:rsidRPr="00FD64CC">
              <w:sym w:font="Wingdings" w:char="F0FC"/>
            </w:r>
          </w:p>
        </w:tc>
        <w:tc>
          <w:tcPr>
            <w:tcW w:w="1170" w:type="dxa"/>
          </w:tcPr>
          <w:p w14:paraId="63CA5DD1" w14:textId="77777777" w:rsidR="00A53735" w:rsidRPr="00FD64CC" w:rsidRDefault="00A53735" w:rsidP="002B73A8">
            <w:pPr>
              <w:pStyle w:val="Tabletext"/>
              <w:ind w:left="0" w:right="0"/>
            </w:pPr>
            <w:r w:rsidRPr="00FD64CC">
              <w:sym w:font="Wingdings" w:char="F0FC"/>
            </w:r>
            <w:r w:rsidRPr="00FD64CC">
              <w:t>†</w:t>
            </w:r>
          </w:p>
        </w:tc>
        <w:tc>
          <w:tcPr>
            <w:tcW w:w="990" w:type="dxa"/>
          </w:tcPr>
          <w:p w14:paraId="657DF8BC" w14:textId="77777777" w:rsidR="00A53735" w:rsidRPr="00FD64CC" w:rsidRDefault="00A53735" w:rsidP="002B73A8">
            <w:pPr>
              <w:pStyle w:val="Tabletext"/>
              <w:ind w:left="0" w:right="0"/>
            </w:pPr>
            <w:r w:rsidRPr="00FD64CC">
              <w:sym w:font="Wingdings" w:char="F0FC"/>
            </w:r>
          </w:p>
        </w:tc>
        <w:tc>
          <w:tcPr>
            <w:tcW w:w="1170" w:type="dxa"/>
          </w:tcPr>
          <w:p w14:paraId="2CBC2E06" w14:textId="77777777" w:rsidR="00A53735" w:rsidRPr="00FD64CC" w:rsidRDefault="00A53735" w:rsidP="002B73A8">
            <w:pPr>
              <w:pStyle w:val="Tabletext"/>
              <w:ind w:left="0" w:right="0"/>
            </w:pPr>
            <w:r w:rsidRPr="00FD64CC">
              <w:t>–</w:t>
            </w:r>
          </w:p>
        </w:tc>
      </w:tr>
      <w:tr w:rsidR="00A53735" w:rsidRPr="00FD64CC" w14:paraId="0A6D615C" w14:textId="77777777" w:rsidTr="002B73A8">
        <w:trPr>
          <w:trHeight w:val="103"/>
        </w:trPr>
        <w:tc>
          <w:tcPr>
            <w:tcW w:w="1435" w:type="dxa"/>
            <w:vMerge/>
          </w:tcPr>
          <w:p w14:paraId="5534BE2D" w14:textId="77777777" w:rsidR="00A53735" w:rsidRPr="00FD64CC" w:rsidRDefault="00A53735" w:rsidP="002B73A8">
            <w:pPr>
              <w:pStyle w:val="Tabletext"/>
              <w:ind w:left="0" w:right="0"/>
            </w:pPr>
          </w:p>
        </w:tc>
        <w:tc>
          <w:tcPr>
            <w:tcW w:w="2666" w:type="dxa"/>
          </w:tcPr>
          <w:p w14:paraId="63709545" w14:textId="6E5C4ABA" w:rsidR="00A53735" w:rsidRPr="00FD64CC" w:rsidRDefault="006F4512" w:rsidP="002B73A8">
            <w:pPr>
              <w:pStyle w:val="Tabletext"/>
              <w:ind w:left="0" w:right="0"/>
            </w:pPr>
            <w:r w:rsidRPr="00FD64CC">
              <w:t>Paediatric population (&lt; </w:t>
            </w:r>
            <w:r w:rsidR="00A53735" w:rsidRPr="00FD64CC">
              <w:t>2 years of age)</w:t>
            </w:r>
          </w:p>
        </w:tc>
        <w:tc>
          <w:tcPr>
            <w:tcW w:w="1024" w:type="dxa"/>
          </w:tcPr>
          <w:p w14:paraId="711B587F" w14:textId="77777777" w:rsidR="00A53735" w:rsidRPr="00FD64CC" w:rsidRDefault="00A53735" w:rsidP="002B73A8">
            <w:pPr>
              <w:pStyle w:val="Tabletext"/>
              <w:ind w:left="0" w:right="0"/>
            </w:pPr>
            <w:r w:rsidRPr="00FD64CC">
              <w:sym w:font="Wingdings" w:char="F0FC"/>
            </w:r>
          </w:p>
        </w:tc>
        <w:tc>
          <w:tcPr>
            <w:tcW w:w="1170" w:type="dxa"/>
          </w:tcPr>
          <w:p w14:paraId="411EF793" w14:textId="77777777" w:rsidR="00A53735" w:rsidRPr="00FD64CC" w:rsidRDefault="00A53735" w:rsidP="002B73A8">
            <w:pPr>
              <w:pStyle w:val="Tabletext"/>
              <w:ind w:left="0" w:right="0"/>
            </w:pPr>
            <w:r w:rsidRPr="00FD64CC">
              <w:t>–</w:t>
            </w:r>
          </w:p>
        </w:tc>
        <w:tc>
          <w:tcPr>
            <w:tcW w:w="990" w:type="dxa"/>
          </w:tcPr>
          <w:p w14:paraId="5C0C8A8F" w14:textId="77777777" w:rsidR="00A53735" w:rsidRPr="00FD64CC" w:rsidRDefault="00A53735" w:rsidP="002B73A8">
            <w:pPr>
              <w:pStyle w:val="Tabletext"/>
              <w:ind w:left="0" w:right="0"/>
            </w:pPr>
            <w:r w:rsidRPr="00FD64CC">
              <w:sym w:font="Wingdings" w:char="F0FC"/>
            </w:r>
          </w:p>
        </w:tc>
        <w:tc>
          <w:tcPr>
            <w:tcW w:w="1170" w:type="dxa"/>
          </w:tcPr>
          <w:p w14:paraId="682C66B7" w14:textId="77777777" w:rsidR="00A53735" w:rsidRPr="00FD64CC" w:rsidRDefault="00A53735" w:rsidP="002B73A8">
            <w:pPr>
              <w:pStyle w:val="Tabletext"/>
              <w:ind w:left="0" w:right="0"/>
            </w:pPr>
            <w:r w:rsidRPr="00FD64CC">
              <w:t>–</w:t>
            </w:r>
          </w:p>
        </w:tc>
      </w:tr>
      <w:tr w:rsidR="00A53735" w:rsidRPr="00FD64CC" w14:paraId="4194EEC1" w14:textId="77777777" w:rsidTr="002B73A8">
        <w:trPr>
          <w:trHeight w:val="103"/>
        </w:trPr>
        <w:tc>
          <w:tcPr>
            <w:tcW w:w="1435" w:type="dxa"/>
            <w:vMerge/>
          </w:tcPr>
          <w:p w14:paraId="213CC8F6" w14:textId="77777777" w:rsidR="00A53735" w:rsidRPr="00FD64CC" w:rsidRDefault="00A53735" w:rsidP="002B73A8">
            <w:pPr>
              <w:pStyle w:val="Tabletext"/>
              <w:ind w:left="0" w:right="0"/>
            </w:pPr>
          </w:p>
        </w:tc>
        <w:tc>
          <w:tcPr>
            <w:tcW w:w="2666" w:type="dxa"/>
          </w:tcPr>
          <w:p w14:paraId="33F6443C" w14:textId="77777777" w:rsidR="00A53735" w:rsidRPr="00FD64CC" w:rsidRDefault="00A53735" w:rsidP="002B73A8">
            <w:pPr>
              <w:pStyle w:val="Tabletext"/>
              <w:ind w:left="0" w:right="0"/>
            </w:pPr>
            <w:r w:rsidRPr="00FD64CC">
              <w:t>Elderly population</w:t>
            </w:r>
          </w:p>
        </w:tc>
        <w:tc>
          <w:tcPr>
            <w:tcW w:w="1024" w:type="dxa"/>
          </w:tcPr>
          <w:p w14:paraId="09A4747D" w14:textId="77777777" w:rsidR="00A53735" w:rsidRPr="00FD64CC" w:rsidRDefault="00A53735" w:rsidP="002B73A8">
            <w:pPr>
              <w:pStyle w:val="Tabletext"/>
              <w:ind w:left="0" w:right="0"/>
            </w:pPr>
            <w:r w:rsidRPr="00FD64CC">
              <w:sym w:font="Wingdings" w:char="F0FC"/>
            </w:r>
          </w:p>
        </w:tc>
        <w:tc>
          <w:tcPr>
            <w:tcW w:w="1170" w:type="dxa"/>
          </w:tcPr>
          <w:p w14:paraId="051585DA" w14:textId="77777777" w:rsidR="00A53735" w:rsidRPr="00FD64CC" w:rsidRDefault="00A53735" w:rsidP="002B73A8">
            <w:pPr>
              <w:pStyle w:val="Tabletext"/>
              <w:ind w:left="0" w:right="0"/>
            </w:pPr>
            <w:r w:rsidRPr="00FD64CC">
              <w:t>–</w:t>
            </w:r>
          </w:p>
        </w:tc>
        <w:tc>
          <w:tcPr>
            <w:tcW w:w="990" w:type="dxa"/>
          </w:tcPr>
          <w:p w14:paraId="25BCB6A4" w14:textId="77777777" w:rsidR="00A53735" w:rsidRPr="00FD64CC" w:rsidRDefault="00A53735" w:rsidP="002B73A8">
            <w:pPr>
              <w:pStyle w:val="Tabletext"/>
              <w:ind w:left="0" w:right="0"/>
            </w:pPr>
            <w:r w:rsidRPr="00FD64CC">
              <w:sym w:font="Wingdings" w:char="F0FC"/>
            </w:r>
          </w:p>
        </w:tc>
        <w:tc>
          <w:tcPr>
            <w:tcW w:w="1170" w:type="dxa"/>
          </w:tcPr>
          <w:p w14:paraId="53B77F21" w14:textId="77777777" w:rsidR="00A53735" w:rsidRPr="00FD64CC" w:rsidRDefault="00A53735" w:rsidP="002B73A8">
            <w:pPr>
              <w:pStyle w:val="Tabletext"/>
              <w:ind w:left="0" w:right="0"/>
            </w:pPr>
            <w:r w:rsidRPr="00FD64CC">
              <w:t>–</w:t>
            </w:r>
          </w:p>
        </w:tc>
      </w:tr>
      <w:tr w:rsidR="00A53735" w:rsidRPr="00FD64CC" w14:paraId="43CB83E0" w14:textId="77777777" w:rsidTr="002B73A8">
        <w:trPr>
          <w:trHeight w:val="140"/>
        </w:trPr>
        <w:tc>
          <w:tcPr>
            <w:tcW w:w="1435" w:type="dxa"/>
            <w:vMerge/>
          </w:tcPr>
          <w:p w14:paraId="09982CD2" w14:textId="77777777" w:rsidR="00A53735" w:rsidRPr="00FD64CC" w:rsidRDefault="00A53735" w:rsidP="002B73A8">
            <w:pPr>
              <w:pStyle w:val="Tabletext"/>
              <w:ind w:left="0" w:right="0"/>
            </w:pPr>
          </w:p>
        </w:tc>
        <w:tc>
          <w:tcPr>
            <w:tcW w:w="2666" w:type="dxa"/>
          </w:tcPr>
          <w:p w14:paraId="2DFC2B70" w14:textId="77777777" w:rsidR="00A53735" w:rsidRPr="00FD64CC" w:rsidRDefault="00A53735" w:rsidP="002B73A8">
            <w:pPr>
              <w:pStyle w:val="Tabletext"/>
              <w:ind w:left="0" w:right="0"/>
            </w:pPr>
            <w:r w:rsidRPr="00FD64CC">
              <w:t xml:space="preserve">Long term effects on brain development, learning, intelligence, growth, endocrine function, </w:t>
            </w:r>
            <w:proofErr w:type="gramStart"/>
            <w:r w:rsidRPr="00FD64CC">
              <w:t>puberty</w:t>
            </w:r>
            <w:proofErr w:type="gramEnd"/>
            <w:r w:rsidRPr="00FD64CC">
              <w:t xml:space="preserve"> and childbearing potential in children</w:t>
            </w:r>
          </w:p>
        </w:tc>
        <w:tc>
          <w:tcPr>
            <w:tcW w:w="1024" w:type="dxa"/>
          </w:tcPr>
          <w:p w14:paraId="3E1B358A" w14:textId="77777777" w:rsidR="00A53735" w:rsidRPr="00FD64CC" w:rsidRDefault="00A53735" w:rsidP="002B73A8">
            <w:pPr>
              <w:pStyle w:val="Tabletext"/>
              <w:ind w:left="0" w:right="0"/>
            </w:pPr>
            <w:r w:rsidRPr="00FD64CC">
              <w:sym w:font="Wingdings" w:char="F0FC"/>
            </w:r>
          </w:p>
        </w:tc>
        <w:tc>
          <w:tcPr>
            <w:tcW w:w="1170" w:type="dxa"/>
          </w:tcPr>
          <w:p w14:paraId="34E1BE68" w14:textId="77777777" w:rsidR="00A53735" w:rsidRPr="00FD64CC" w:rsidRDefault="00A53735" w:rsidP="002B73A8">
            <w:pPr>
              <w:pStyle w:val="Tabletext"/>
              <w:ind w:left="0" w:right="0"/>
            </w:pPr>
            <w:r w:rsidRPr="00FD64CC">
              <w:t>–</w:t>
            </w:r>
          </w:p>
        </w:tc>
        <w:tc>
          <w:tcPr>
            <w:tcW w:w="990" w:type="dxa"/>
          </w:tcPr>
          <w:p w14:paraId="53527C5D" w14:textId="77777777" w:rsidR="00A53735" w:rsidRPr="00FD64CC" w:rsidRDefault="00A53735" w:rsidP="002B73A8">
            <w:pPr>
              <w:pStyle w:val="Tabletext"/>
              <w:ind w:left="0" w:right="0"/>
            </w:pPr>
            <w:r w:rsidRPr="00FD64CC">
              <w:sym w:font="Wingdings" w:char="F0FC"/>
            </w:r>
          </w:p>
        </w:tc>
        <w:tc>
          <w:tcPr>
            <w:tcW w:w="1170" w:type="dxa"/>
          </w:tcPr>
          <w:p w14:paraId="1E79DACC" w14:textId="77777777" w:rsidR="00A53735" w:rsidRPr="00FD64CC" w:rsidRDefault="00A53735" w:rsidP="002B73A8">
            <w:pPr>
              <w:pStyle w:val="Tabletext"/>
              <w:ind w:left="0" w:right="0"/>
            </w:pPr>
            <w:r w:rsidRPr="00FD64CC">
              <w:t>–</w:t>
            </w:r>
          </w:p>
        </w:tc>
      </w:tr>
    </w:tbl>
    <w:p w14:paraId="718EF1F4" w14:textId="2CB56C8A" w:rsidR="001B4352" w:rsidRPr="00FD64CC" w:rsidRDefault="00A53735" w:rsidP="001B4352">
      <w:pPr>
        <w:pStyle w:val="TableDescription"/>
      </w:pPr>
      <w:r w:rsidRPr="00FD64CC">
        <w:t>*</w:t>
      </w:r>
      <w:r w:rsidR="001B4352" w:rsidRPr="00FD64CC">
        <w:t xml:space="preserve"> </w:t>
      </w:r>
      <w:r w:rsidRPr="00FD64CC">
        <w:t xml:space="preserve">Targeted </w:t>
      </w:r>
      <w:r w:rsidR="006F4512" w:rsidRPr="00FD64CC">
        <w:t>follow-</w:t>
      </w:r>
      <w:r w:rsidRPr="00FD64CC">
        <w:t>up questionnaires</w:t>
      </w:r>
    </w:p>
    <w:p w14:paraId="13E505B8" w14:textId="60E1CCDB" w:rsidR="00A53735" w:rsidRPr="00FD64CC" w:rsidRDefault="00A53735" w:rsidP="001B4352">
      <w:pPr>
        <w:pStyle w:val="TableDescription"/>
      </w:pPr>
      <w:r w:rsidRPr="00FD64CC">
        <w:t xml:space="preserve">† </w:t>
      </w:r>
      <w:r w:rsidR="006F4512" w:rsidRPr="00FD64CC">
        <w:t xml:space="preserve">International European Registry of Antiepileptic Drugs and Pregnancy </w:t>
      </w:r>
      <w:r w:rsidR="002D09A0" w:rsidRPr="00FD64CC">
        <w:t>(</w:t>
      </w:r>
      <w:r w:rsidRPr="00FD64CC">
        <w:t>EURAP</w:t>
      </w:r>
      <w:r w:rsidR="002D09A0" w:rsidRPr="00FD64CC">
        <w:t>)</w:t>
      </w:r>
    </w:p>
    <w:p w14:paraId="541922DC" w14:textId="77777777" w:rsidR="00A53735" w:rsidRPr="00FD64CC" w:rsidRDefault="00A53735" w:rsidP="00A53735">
      <w:pPr>
        <w:pStyle w:val="ListBullet"/>
      </w:pPr>
      <w:r w:rsidRPr="00FD64CC">
        <w:t>The summary of safety concerns is considered acceptable from an RMP perspective.</w:t>
      </w:r>
    </w:p>
    <w:p w14:paraId="635B228B" w14:textId="0C0A275C" w:rsidR="00A53735" w:rsidRPr="00FD64CC" w:rsidRDefault="00A53735" w:rsidP="00A53735">
      <w:pPr>
        <w:pStyle w:val="ListBullet"/>
      </w:pPr>
      <w:r w:rsidRPr="00FD64CC">
        <w:t>The sponsor has proposed routine pharmacovigilance activities for all safety concerns including targeted follow-up forms for cutaneous adverse reactions and cardiovascular/cerebrovascular ischemia. An additional pharmacovigilance activity, in the form of an observational pregnancy registry in Europe, is co</w:t>
      </w:r>
      <w:r w:rsidR="002D09A0" w:rsidRPr="00FD64CC">
        <w:t>nsidered relevant to Australia.</w:t>
      </w:r>
    </w:p>
    <w:p w14:paraId="3A49196B" w14:textId="41E1664C" w:rsidR="00A53735" w:rsidRPr="00FD64CC" w:rsidRDefault="00A53735" w:rsidP="002D09A0">
      <w:pPr>
        <w:pStyle w:val="ListBullet"/>
      </w:pPr>
      <w:r w:rsidRPr="00FD64CC">
        <w:t xml:space="preserve">The sponsor has proposed routine risk minimisation activities through the PI and </w:t>
      </w:r>
      <w:r w:rsidR="002D09A0" w:rsidRPr="00FD64CC">
        <w:t>Consumer Medicines Information (</w:t>
      </w:r>
      <w:r w:rsidRPr="00FD64CC">
        <w:t>CMI</w:t>
      </w:r>
      <w:r w:rsidR="002D09A0" w:rsidRPr="00FD64CC">
        <w:t>)</w:t>
      </w:r>
      <w:r w:rsidRPr="00FD64CC">
        <w:t xml:space="preserve"> to address all important potential and identified risks. The sponsor has not proposed any additional risk minimisation activities. The proposed risk minimisation plan is considered acceptable.</w:t>
      </w:r>
    </w:p>
    <w:p w14:paraId="2160FF6E" w14:textId="77777777" w:rsidR="008E7846" w:rsidRPr="00FD64CC" w:rsidRDefault="00AA0ED0" w:rsidP="008E7846">
      <w:pPr>
        <w:pStyle w:val="Heading3"/>
      </w:pPr>
      <w:bookmarkStart w:id="57" w:name="_Toc247691531"/>
      <w:bookmarkStart w:id="58" w:name="_Toc314842515"/>
      <w:bookmarkStart w:id="59" w:name="_Toc196046505"/>
      <w:bookmarkStart w:id="60" w:name="_Toc196046949"/>
      <w:bookmarkStart w:id="61" w:name="_Toc84514221"/>
      <w:r w:rsidRPr="00FD64CC">
        <w:t>Risk-benefit a</w:t>
      </w:r>
      <w:r w:rsidR="008E7846" w:rsidRPr="00FD64CC">
        <w:t>nalysis</w:t>
      </w:r>
      <w:bookmarkEnd w:id="57"/>
      <w:bookmarkEnd w:id="58"/>
      <w:bookmarkEnd w:id="61"/>
    </w:p>
    <w:p w14:paraId="2133E578" w14:textId="77777777" w:rsidR="00D23139" w:rsidRPr="00FD64CC" w:rsidRDefault="007D53B6" w:rsidP="00D23139">
      <w:pPr>
        <w:pStyle w:val="Heading4"/>
      </w:pPr>
      <w:r w:rsidRPr="00FD64CC">
        <w:t>Delegate’s considerations</w:t>
      </w:r>
    </w:p>
    <w:p w14:paraId="5EF70382" w14:textId="60C43AC0" w:rsidR="00970113" w:rsidRPr="00FD64CC" w:rsidRDefault="00B67599" w:rsidP="00970113">
      <w:proofErr w:type="spellStart"/>
      <w:r>
        <w:t>Eslicarbazepine</w:t>
      </w:r>
      <w:proofErr w:type="spellEnd"/>
      <w:r>
        <w:t xml:space="preserve"> acetate (</w:t>
      </w:r>
      <w:proofErr w:type="spellStart"/>
      <w:r w:rsidR="00970113" w:rsidRPr="00FD64CC">
        <w:t>Zebinix</w:t>
      </w:r>
      <w:proofErr w:type="spellEnd"/>
      <w:r>
        <w:t>)</w:t>
      </w:r>
      <w:r w:rsidR="00970113" w:rsidRPr="00FD64CC">
        <w:t xml:space="preserve"> has established efficacy as a monotherapy treatment in adult patients with partial onset seizure and as an adjunctive therapy in adults, adolescents and children aged above </w:t>
      </w:r>
      <w:r w:rsidR="002D09A0" w:rsidRPr="00FD64CC">
        <w:t>six</w:t>
      </w:r>
      <w:r w:rsidR="00970113" w:rsidRPr="00FD64CC">
        <w:t xml:space="preserve"> years, with </w:t>
      </w:r>
      <w:r w:rsidR="002D09A0" w:rsidRPr="00FD64CC">
        <w:t>POS</w:t>
      </w:r>
      <w:r w:rsidR="00970113" w:rsidRPr="00FD64CC">
        <w:t>.</w:t>
      </w:r>
    </w:p>
    <w:p w14:paraId="454E870A" w14:textId="140D39B8" w:rsidR="00970113" w:rsidRPr="00FD64CC" w:rsidRDefault="00970113" w:rsidP="00970113">
      <w:r w:rsidRPr="00FD64CC">
        <w:t>Seizure frequency per four</w:t>
      </w:r>
      <w:r w:rsidR="002D09A0" w:rsidRPr="00FD64CC">
        <w:t xml:space="preserve"> </w:t>
      </w:r>
      <w:r w:rsidRPr="00FD64CC">
        <w:t>week period was consistently statistically significantly lower in the active groups compared with placebo (</w:t>
      </w:r>
      <w:r w:rsidR="002D09A0" w:rsidRPr="00FD64CC">
        <w:t>for example, least squares (</w:t>
      </w:r>
      <w:r w:rsidRPr="00FD64CC">
        <w:t>LS</w:t>
      </w:r>
      <w:r w:rsidR="002D09A0" w:rsidRPr="00FD64CC">
        <w:t>)</w:t>
      </w:r>
      <w:r w:rsidRPr="00FD64CC">
        <w:t xml:space="preserve"> mean diff</w:t>
      </w:r>
      <w:r w:rsidR="002D09A0" w:rsidRPr="00FD64CC">
        <w:t>erence</w:t>
      </w:r>
      <w:r w:rsidRPr="00FD64CC">
        <w:t xml:space="preserve"> v</w:t>
      </w:r>
      <w:r w:rsidR="002D09A0" w:rsidRPr="00FD64CC">
        <w:t>ersu</w:t>
      </w:r>
      <w:r w:rsidRPr="00FD64CC">
        <w:t xml:space="preserve">s </w:t>
      </w:r>
      <w:r w:rsidR="002D09A0" w:rsidRPr="00FD64CC">
        <w:t>p</w:t>
      </w:r>
      <w:r w:rsidRPr="00FD64CC">
        <w:t>lacebo in Studies 301</w:t>
      </w:r>
      <w:r w:rsidR="002D09A0" w:rsidRPr="00FD64CC">
        <w:t xml:space="preserve"> to </w:t>
      </w:r>
      <w:r w:rsidRPr="00FD64CC">
        <w:t xml:space="preserve">304 between -1.4 to -2.7 </w:t>
      </w:r>
      <w:r w:rsidR="00B67599">
        <w:t xml:space="preserve">eslicarbazepine </w:t>
      </w:r>
      <w:r w:rsidRPr="00FD64CC">
        <w:t>800</w:t>
      </w:r>
      <w:r w:rsidR="002D09A0" w:rsidRPr="00FD64CC">
        <w:t> </w:t>
      </w:r>
      <w:r w:rsidRPr="00FD64CC">
        <w:t xml:space="preserve">mg and between -1.9 to -2.8, </w:t>
      </w:r>
      <w:r w:rsidR="00B67599">
        <w:t xml:space="preserve">eslicarbazepine </w:t>
      </w:r>
      <w:r w:rsidRPr="00FD64CC">
        <w:t>1200</w:t>
      </w:r>
      <w:r w:rsidR="002D09A0" w:rsidRPr="00FD64CC">
        <w:t> </w:t>
      </w:r>
      <w:r w:rsidRPr="00FD64CC">
        <w:t>mg/day. Only one comparison in Study 304 was not statistically signi</w:t>
      </w:r>
      <w:r w:rsidR="002D09A0" w:rsidRPr="00FD64CC">
        <w:t xml:space="preserve">ficant (LS mean 6.5 for </w:t>
      </w:r>
      <w:r w:rsidR="00B67599">
        <w:t xml:space="preserve">eslicarbazepine </w:t>
      </w:r>
      <w:r w:rsidR="002D09A0" w:rsidRPr="00FD64CC">
        <w:t>800 </w:t>
      </w:r>
      <w:r w:rsidRPr="00FD64CC">
        <w:t>mg</w:t>
      </w:r>
      <w:r w:rsidR="002D09A0" w:rsidRPr="00FD64CC">
        <w:t xml:space="preserve"> and LS mean 6.0 for placebo; P-</w:t>
      </w:r>
      <w:r w:rsidRPr="00FD64CC">
        <w:t>value = 0.058). Approximately 30% to 4</w:t>
      </w:r>
      <w:r w:rsidR="002D09A0" w:rsidRPr="00FD64CC">
        <w:t>0% of patients demonstrated a ≥ </w:t>
      </w:r>
      <w:r w:rsidRPr="00FD64CC">
        <w:t>50% reduction in seizures and all findings were statistically significant compared with placebo, excep</w:t>
      </w:r>
      <w:r w:rsidR="002D09A0" w:rsidRPr="00FD64CC">
        <w:t xml:space="preserve">t in two instances when </w:t>
      </w:r>
      <w:r w:rsidR="00B67599">
        <w:t xml:space="preserve">eslicarbazepine </w:t>
      </w:r>
      <w:r w:rsidR="002D09A0" w:rsidRPr="00FD64CC">
        <w:t>800 </w:t>
      </w:r>
      <w:r w:rsidRPr="00FD64CC">
        <w:t>m</w:t>
      </w:r>
      <w:r w:rsidR="002D09A0" w:rsidRPr="00FD64CC">
        <w:t>g was compared with placebo in S</w:t>
      </w:r>
      <w:r w:rsidRPr="00FD64CC">
        <w:t>tudies 303 and 304. Nu</w:t>
      </w:r>
      <w:r w:rsidR="002D09A0" w:rsidRPr="00FD64CC">
        <w:t>mbers needed to treat for the ≥ </w:t>
      </w:r>
      <w:r w:rsidRPr="00FD64CC">
        <w:t xml:space="preserve">50% reduction in seizures </w:t>
      </w:r>
      <w:r w:rsidR="002D09A0" w:rsidRPr="00FD64CC">
        <w:lastRenderedPageBreak/>
        <w:t xml:space="preserve">outcome were eight with </w:t>
      </w:r>
      <w:r w:rsidR="004B20A7">
        <w:t xml:space="preserve">eslicarbazepine </w:t>
      </w:r>
      <w:r w:rsidR="002D09A0" w:rsidRPr="00FD64CC">
        <w:t>800 </w:t>
      </w:r>
      <w:r w:rsidRPr="00FD64CC">
        <w:t>mg, and ranged fr</w:t>
      </w:r>
      <w:r w:rsidR="002D09A0" w:rsidRPr="00FD64CC">
        <w:t xml:space="preserve">om five to seven with </w:t>
      </w:r>
      <w:r w:rsidR="00B67599">
        <w:t xml:space="preserve">eslicarbazepine </w:t>
      </w:r>
      <w:r w:rsidR="002D09A0" w:rsidRPr="00FD64CC">
        <w:t>1,200 </w:t>
      </w:r>
      <w:r w:rsidRPr="00FD64CC">
        <w:t xml:space="preserve">mg. There were relatively few discontinuations in the </w:t>
      </w:r>
      <w:proofErr w:type="gramStart"/>
      <w:r w:rsidRPr="00FD64CC">
        <w:t>long</w:t>
      </w:r>
      <w:r w:rsidR="00BD2BF5" w:rsidRPr="00FD64CC">
        <w:t xml:space="preserve"> </w:t>
      </w:r>
      <w:r w:rsidRPr="00FD64CC">
        <w:t>term</w:t>
      </w:r>
      <w:proofErr w:type="gramEnd"/>
      <w:r w:rsidRPr="00FD64CC">
        <w:t xml:space="preserve"> studies in the group on the maximum of 1200</w:t>
      </w:r>
      <w:r w:rsidR="002D09A0" w:rsidRPr="00FD64CC">
        <w:t> </w:t>
      </w:r>
      <w:r w:rsidRPr="00FD64CC">
        <w:t>mg/day.</w:t>
      </w:r>
    </w:p>
    <w:p w14:paraId="709F6B4A" w14:textId="43305F30" w:rsidR="00970113" w:rsidRPr="00FD64CC" w:rsidRDefault="00970113" w:rsidP="00970113">
      <w:r w:rsidRPr="00FD64CC">
        <w:t xml:space="preserve">Due to the very close pharmacological relationship of </w:t>
      </w:r>
      <w:r w:rsidR="00BF0B9B" w:rsidRPr="00BF0B9B">
        <w:t xml:space="preserve">eslicarbazepine </w:t>
      </w:r>
      <w:r w:rsidRPr="00FD64CC">
        <w:t xml:space="preserve">with oxcarbazepine it is highly probable, that </w:t>
      </w:r>
      <w:r w:rsidR="005A33E8" w:rsidRPr="00FD64CC">
        <w:t>AE</w:t>
      </w:r>
      <w:r w:rsidRPr="00FD64CC">
        <w:t>s, which occur after administration of oxcarbazepine may also occur a</w:t>
      </w:r>
      <w:r w:rsidR="002D09A0" w:rsidRPr="00FD64CC">
        <w:t xml:space="preserve">fter administration of </w:t>
      </w:r>
      <w:proofErr w:type="spellStart"/>
      <w:r w:rsidR="002D09A0" w:rsidRPr="00FD64CC">
        <w:t>Zebinix</w:t>
      </w:r>
      <w:proofErr w:type="spellEnd"/>
      <w:r w:rsidR="002D09A0" w:rsidRPr="00FD64CC">
        <w:t>.</w:t>
      </w:r>
    </w:p>
    <w:p w14:paraId="2EE3DBDD" w14:textId="039D69C8" w:rsidR="00970113" w:rsidRPr="00FD64CC" w:rsidRDefault="00C80347" w:rsidP="00970113">
      <w:r>
        <w:t xml:space="preserve">Eslicarbazepine </w:t>
      </w:r>
      <w:r w:rsidR="00970113" w:rsidRPr="00FD64CC">
        <w:t xml:space="preserve">was generally well-tolerated with </w:t>
      </w:r>
      <w:proofErr w:type="gramStart"/>
      <w:r w:rsidR="00970113" w:rsidRPr="00FD64CC">
        <w:t>particular reference</w:t>
      </w:r>
      <w:proofErr w:type="gramEnd"/>
      <w:r w:rsidR="00970113" w:rsidRPr="00FD64CC">
        <w:t xml:space="preserve"> to potential cognitive effects when used as adjuvant therapy in the treatment of children with POS. The incidence of </w:t>
      </w:r>
      <w:r>
        <w:t>serious adverse events</w:t>
      </w:r>
      <w:r w:rsidR="00970113" w:rsidRPr="00FD64CC">
        <w:t xml:space="preserve"> and discontinuations due to AEs was overall low although slightly higher in paediatric subjects compared to adults. However, many of the </w:t>
      </w:r>
      <w:r>
        <w:t>serious adverse events</w:t>
      </w:r>
      <w:r w:rsidRPr="00FD64CC">
        <w:t xml:space="preserve"> </w:t>
      </w:r>
      <w:r w:rsidR="00970113" w:rsidRPr="00FD64CC">
        <w:t xml:space="preserve">and discontinuations were due to intrinsic factors or epilepsy and unrelated to </w:t>
      </w:r>
      <w:r>
        <w:t>eslicarbazepine</w:t>
      </w:r>
      <w:r w:rsidR="00970113" w:rsidRPr="00FD64CC">
        <w:t>.</w:t>
      </w:r>
    </w:p>
    <w:p w14:paraId="76766900" w14:textId="5AB58D7E" w:rsidR="00970113" w:rsidRPr="00FD64CC" w:rsidRDefault="00970113" w:rsidP="00970113">
      <w:r w:rsidRPr="00FD64CC">
        <w:t>There were no additional safety concerns arising from the paediatric clinical studies at the applied</w:t>
      </w:r>
      <w:r w:rsidR="002D09A0" w:rsidRPr="00FD64CC">
        <w:t xml:space="preserve"> maintenance doses of 20 and 30 </w:t>
      </w:r>
      <w:r w:rsidRPr="00FD64CC">
        <w:t xml:space="preserve">mg/kg/day. The safety profile of </w:t>
      </w:r>
      <w:r w:rsidR="00C80347">
        <w:t xml:space="preserve">eslicarbazepine </w:t>
      </w:r>
      <w:r w:rsidRPr="00FD64CC">
        <w:t xml:space="preserve">in children older than </w:t>
      </w:r>
      <w:r w:rsidR="002D09A0" w:rsidRPr="00FD64CC">
        <w:t>six</w:t>
      </w:r>
      <w:r w:rsidRPr="00FD64CC">
        <w:t xml:space="preserve"> years was overall consistent with the known safety profile of </w:t>
      </w:r>
      <w:r w:rsidR="00C80347">
        <w:t xml:space="preserve">eslicarbazepine </w:t>
      </w:r>
      <w:r w:rsidRPr="00FD64CC">
        <w:t>in adults.</w:t>
      </w:r>
    </w:p>
    <w:p w14:paraId="37A71C49" w14:textId="020200AE" w:rsidR="00970113" w:rsidRPr="00FD64CC" w:rsidRDefault="002D09A0" w:rsidP="00970113">
      <w:proofErr w:type="gramStart"/>
      <w:r w:rsidRPr="00FD64CC">
        <w:t>Overall</w:t>
      </w:r>
      <w:proofErr w:type="gramEnd"/>
      <w:r w:rsidRPr="00FD64CC">
        <w:t xml:space="preserve"> the benefit-</w:t>
      </w:r>
      <w:r w:rsidR="00970113" w:rsidRPr="00FD64CC">
        <w:t xml:space="preserve">risk balance of </w:t>
      </w:r>
      <w:proofErr w:type="spellStart"/>
      <w:r w:rsidR="00970113" w:rsidRPr="00FD64CC">
        <w:t>Zebinix</w:t>
      </w:r>
      <w:proofErr w:type="spellEnd"/>
      <w:r w:rsidR="00970113" w:rsidRPr="00FD64CC">
        <w:t xml:space="preserve"> (</w:t>
      </w:r>
      <w:proofErr w:type="spellStart"/>
      <w:r w:rsidR="00C80347">
        <w:t>eslicarbazepine</w:t>
      </w:r>
      <w:proofErr w:type="spellEnd"/>
      <w:r w:rsidR="00C80347">
        <w:t xml:space="preserve"> acetate</w:t>
      </w:r>
      <w:r w:rsidR="00970113" w:rsidRPr="00FD64CC">
        <w:t xml:space="preserve">) as a monotherapy treatment in adult patients with partial onset seizure and as an adjunctive therapy in adults, adolescents and children aged above </w:t>
      </w:r>
      <w:r w:rsidRPr="00FD64CC">
        <w:t>six</w:t>
      </w:r>
      <w:r w:rsidR="00970113" w:rsidRPr="00FD64CC">
        <w:t xml:space="preserve"> years, with </w:t>
      </w:r>
      <w:r w:rsidRPr="00FD64CC">
        <w:t>POS</w:t>
      </w:r>
      <w:r w:rsidR="00970113" w:rsidRPr="00FD64CC">
        <w:t xml:space="preserve"> is considered positive.</w:t>
      </w:r>
    </w:p>
    <w:p w14:paraId="46AD06A3" w14:textId="77777777" w:rsidR="00D23139" w:rsidRPr="00FD64CC" w:rsidRDefault="00D23139" w:rsidP="00D23139">
      <w:pPr>
        <w:pStyle w:val="Heading4"/>
      </w:pPr>
      <w:r w:rsidRPr="00FD64CC">
        <w:t>Proposed action</w:t>
      </w:r>
    </w:p>
    <w:p w14:paraId="76E47C9E" w14:textId="757CCACE" w:rsidR="00970113" w:rsidRPr="00FD64CC" w:rsidRDefault="00970113" w:rsidP="00970113">
      <w:r w:rsidRPr="00FD64CC">
        <w:t xml:space="preserve">Overall </w:t>
      </w:r>
      <w:proofErr w:type="spellStart"/>
      <w:r w:rsidRPr="00FD64CC">
        <w:t>Zebinix</w:t>
      </w:r>
      <w:proofErr w:type="spellEnd"/>
      <w:r w:rsidRPr="00FD64CC">
        <w:t xml:space="preserve"> is approvable as the quality, nonclinical and clinical evaluators have all recommended approval. The delegate considers that sufficient data and justification have been provided to support the registration of </w:t>
      </w:r>
      <w:proofErr w:type="spellStart"/>
      <w:r w:rsidRPr="00FD64CC">
        <w:t>Zebinix</w:t>
      </w:r>
      <w:proofErr w:type="spellEnd"/>
      <w:r w:rsidRPr="00FD64CC">
        <w:t xml:space="preserve"> on quality, </w:t>
      </w:r>
      <w:proofErr w:type="gramStart"/>
      <w:r w:rsidRPr="00FD64CC">
        <w:t>safety</w:t>
      </w:r>
      <w:proofErr w:type="gramEnd"/>
      <w:r w:rsidRPr="00FD64CC">
        <w:t xml:space="preserve"> and efficacy grounds for the </w:t>
      </w:r>
      <w:r w:rsidR="00C80347">
        <w:t>treatment of partial onset seizures</w:t>
      </w:r>
      <w:r w:rsidRPr="00FD64CC">
        <w:t>.</w:t>
      </w:r>
    </w:p>
    <w:p w14:paraId="368DBEB2" w14:textId="77777777" w:rsidR="008E7846" w:rsidRPr="00FD64CC" w:rsidRDefault="008E7846" w:rsidP="007D53B6">
      <w:pPr>
        <w:pStyle w:val="Heading4"/>
      </w:pPr>
      <w:r w:rsidRPr="00FD64CC">
        <w:t xml:space="preserve">Advisory Committee </w:t>
      </w:r>
      <w:r w:rsidR="007D53B6" w:rsidRPr="00FD64CC">
        <w:t>c</w:t>
      </w:r>
      <w:r w:rsidRPr="00FD64CC">
        <w:t>onsiderations</w:t>
      </w:r>
      <w:r w:rsidR="00456765" w:rsidRPr="00FD64CC">
        <w:rPr>
          <w:rStyle w:val="FootnoteReference"/>
        </w:rPr>
        <w:footnoteReference w:id="10"/>
      </w:r>
    </w:p>
    <w:p w14:paraId="76D991E5" w14:textId="77777777" w:rsidR="00744121" w:rsidRPr="00FD64CC" w:rsidRDefault="00744121" w:rsidP="00744121">
      <w:bookmarkStart w:id="62" w:name="_Toc247691532"/>
      <w:bookmarkStart w:id="63" w:name="_Toc314842516"/>
      <w:bookmarkEnd w:id="32"/>
      <w:bookmarkEnd w:id="59"/>
      <w:bookmarkEnd w:id="60"/>
      <w:r w:rsidRPr="00FD64CC">
        <w:t>The Delegate did not refer this application to the Advisory Committee on Medicines (ACM) for advice.</w:t>
      </w:r>
    </w:p>
    <w:p w14:paraId="13BEF93A" w14:textId="77777777" w:rsidR="008E7846" w:rsidRPr="00FD64CC" w:rsidRDefault="008E7846" w:rsidP="008E7846">
      <w:pPr>
        <w:pStyle w:val="Heading3"/>
      </w:pPr>
      <w:bookmarkStart w:id="64" w:name="_Toc84514222"/>
      <w:r w:rsidRPr="00FD64CC">
        <w:t>Outcome</w:t>
      </w:r>
      <w:bookmarkEnd w:id="62"/>
      <w:bookmarkEnd w:id="63"/>
      <w:bookmarkEnd w:id="64"/>
    </w:p>
    <w:p w14:paraId="206BE370" w14:textId="1B767E36" w:rsidR="00744121" w:rsidRPr="00FD64CC" w:rsidRDefault="00744121" w:rsidP="00744121">
      <w:bookmarkStart w:id="65" w:name="_Toc247691533"/>
      <w:bookmarkStart w:id="66" w:name="_Toc314842517"/>
      <w:r w:rsidRPr="00FD64CC">
        <w:t xml:space="preserve">Based on a review of quality, </w:t>
      </w:r>
      <w:proofErr w:type="gramStart"/>
      <w:r w:rsidRPr="00FD64CC">
        <w:t>safety</w:t>
      </w:r>
      <w:proofErr w:type="gramEnd"/>
      <w:r w:rsidRPr="00FD64CC">
        <w:t xml:space="preserve"> and efficacy, the TGA approved the registration of </w:t>
      </w:r>
      <w:proofErr w:type="spellStart"/>
      <w:r w:rsidR="00EA5DB4" w:rsidRPr="00FD64CC">
        <w:t>Zebinix</w:t>
      </w:r>
      <w:proofErr w:type="spellEnd"/>
      <w:r w:rsidR="00EA5DB4" w:rsidRPr="00FD64CC">
        <w:t xml:space="preserve"> </w:t>
      </w:r>
      <w:r w:rsidRPr="00FD64CC">
        <w:t>(</w:t>
      </w:r>
      <w:proofErr w:type="spellStart"/>
      <w:r w:rsidR="00EA5DB4" w:rsidRPr="00FD64CC">
        <w:t>eslicarbazepine</w:t>
      </w:r>
      <w:proofErr w:type="spellEnd"/>
      <w:r w:rsidR="00EA5DB4" w:rsidRPr="00FD64CC">
        <w:t xml:space="preserve"> acetate</w:t>
      </w:r>
      <w:r w:rsidRPr="00FD64CC">
        <w:t xml:space="preserve">) </w:t>
      </w:r>
      <w:r w:rsidR="00EA5DB4" w:rsidRPr="00FD64CC">
        <w:t>200 mg and 800 mg</w:t>
      </w:r>
      <w:r w:rsidRPr="00FD64CC">
        <w:t xml:space="preserve">, </w:t>
      </w:r>
      <w:r w:rsidR="000B68B6" w:rsidRPr="00FD64CC">
        <w:t>tablet</w:t>
      </w:r>
      <w:r w:rsidRPr="00FD64CC">
        <w:t xml:space="preserve">, </w:t>
      </w:r>
      <w:r w:rsidR="000B68B6" w:rsidRPr="00FD64CC">
        <w:t>blister pack, indicated for</w:t>
      </w:r>
      <w:r w:rsidRPr="00FD64CC">
        <w:t>:</w:t>
      </w:r>
    </w:p>
    <w:p w14:paraId="66011075" w14:textId="77777777" w:rsidR="00EA5DB4" w:rsidRPr="00FD64CC" w:rsidRDefault="00EA5DB4" w:rsidP="00EA5DB4">
      <w:pPr>
        <w:ind w:left="360"/>
        <w:rPr>
          <w:i/>
        </w:rPr>
      </w:pPr>
      <w:proofErr w:type="spellStart"/>
      <w:r w:rsidRPr="00FD64CC">
        <w:rPr>
          <w:i/>
        </w:rPr>
        <w:t>Zebinix</w:t>
      </w:r>
      <w:proofErr w:type="spellEnd"/>
      <w:r w:rsidRPr="00FD64CC">
        <w:rPr>
          <w:i/>
        </w:rPr>
        <w:t xml:space="preserve"> is indicated as:</w:t>
      </w:r>
    </w:p>
    <w:p w14:paraId="51E1515D" w14:textId="77777777" w:rsidR="00EA5DB4" w:rsidRPr="00FD64CC" w:rsidRDefault="00EA5DB4" w:rsidP="00EA5DB4">
      <w:pPr>
        <w:pStyle w:val="ListBullet"/>
        <w:ind w:left="720"/>
        <w:rPr>
          <w:i/>
        </w:rPr>
      </w:pPr>
      <w:r w:rsidRPr="00FD64CC">
        <w:rPr>
          <w:i/>
        </w:rPr>
        <w:t xml:space="preserve">monotherapy in the treatment of partial-onset seizures, with or without secondary generalisation, in adults with newly diagnosed </w:t>
      </w:r>
      <w:proofErr w:type="gramStart"/>
      <w:r w:rsidRPr="00FD64CC">
        <w:rPr>
          <w:i/>
        </w:rPr>
        <w:t>epilepsy;</w:t>
      </w:r>
      <w:proofErr w:type="gramEnd"/>
    </w:p>
    <w:p w14:paraId="4BFB3619" w14:textId="59BA5641" w:rsidR="00EA5DB4" w:rsidRPr="00FD64CC" w:rsidRDefault="00EA5DB4" w:rsidP="00EA5DB4">
      <w:pPr>
        <w:pStyle w:val="ListBullet"/>
        <w:ind w:left="720"/>
        <w:rPr>
          <w:i/>
        </w:rPr>
      </w:pPr>
      <w:r w:rsidRPr="00FD64CC">
        <w:rPr>
          <w:i/>
        </w:rPr>
        <w:t>adjunctive therapy in adults, adolescents and children aged above 6 years, with partial</w:t>
      </w:r>
      <w:r w:rsidR="00C80347">
        <w:rPr>
          <w:i/>
        </w:rPr>
        <w:t xml:space="preserve"> </w:t>
      </w:r>
      <w:r w:rsidRPr="00FD64CC">
        <w:rPr>
          <w:i/>
        </w:rPr>
        <w:t>onset seizures with or without secondary generalisation.</w:t>
      </w:r>
    </w:p>
    <w:p w14:paraId="7F574AB3" w14:textId="77777777" w:rsidR="00D23139" w:rsidRPr="00FD64CC" w:rsidRDefault="00D23139" w:rsidP="00EA5DB4">
      <w:pPr>
        <w:pStyle w:val="Heading4"/>
      </w:pPr>
      <w:r w:rsidRPr="00FD64CC">
        <w:lastRenderedPageBreak/>
        <w:t>Specific conditions of registration applying to these goods</w:t>
      </w:r>
    </w:p>
    <w:p w14:paraId="52D9AB43" w14:textId="77777777" w:rsidR="00EA5DB4" w:rsidRPr="00FD64CC" w:rsidRDefault="000B68B6" w:rsidP="00EA5DB4">
      <w:pPr>
        <w:pStyle w:val="ListBullet"/>
      </w:pPr>
      <w:proofErr w:type="spellStart"/>
      <w:r w:rsidRPr="00FD64CC">
        <w:t>Zebinix</w:t>
      </w:r>
      <w:proofErr w:type="spellEnd"/>
      <w:r w:rsidRPr="00FD64CC">
        <w:t xml:space="preserve"> </w:t>
      </w:r>
      <w:r w:rsidR="00EA5DB4" w:rsidRPr="00FD64CC">
        <w:t>(</w:t>
      </w:r>
      <w:proofErr w:type="spellStart"/>
      <w:r w:rsidRPr="00FD64CC">
        <w:t>eslicarbazepine</w:t>
      </w:r>
      <w:proofErr w:type="spellEnd"/>
      <w:r w:rsidRPr="00FD64CC">
        <w:t xml:space="preserve"> </w:t>
      </w:r>
      <w:r w:rsidR="00EA5DB4" w:rsidRPr="00FD64CC">
        <w:t xml:space="preserve">acetate) is to be included in the Black Triangle Scheme. The PI and CMI for </w:t>
      </w:r>
      <w:proofErr w:type="spellStart"/>
      <w:r w:rsidRPr="00FD64CC">
        <w:t>Zebinix</w:t>
      </w:r>
      <w:proofErr w:type="spellEnd"/>
      <w:r w:rsidRPr="00FD64CC">
        <w:t xml:space="preserve"> </w:t>
      </w:r>
      <w:r w:rsidR="00EA5DB4" w:rsidRPr="00FD64CC">
        <w:t>must include the black triangle symbol and mandatory accompanying text for five years, which starts from the date that the sponsor notifies the TGA of supply of the product.</w:t>
      </w:r>
    </w:p>
    <w:p w14:paraId="038C1B76" w14:textId="74F5F8C4" w:rsidR="00456765" w:rsidRPr="00FD64CC" w:rsidRDefault="00EA5DB4" w:rsidP="00EA5DB4">
      <w:pPr>
        <w:pStyle w:val="ListBullet"/>
      </w:pPr>
      <w:r w:rsidRPr="00FD64CC">
        <w:t xml:space="preserve">The </w:t>
      </w:r>
      <w:proofErr w:type="spellStart"/>
      <w:r w:rsidRPr="00FD64CC">
        <w:t>Zebinix</w:t>
      </w:r>
      <w:proofErr w:type="spellEnd"/>
      <w:r w:rsidRPr="00FD64CC">
        <w:t xml:space="preserve"> EU-RMP (version 22.0, dated 2 March 2017, </w:t>
      </w:r>
      <w:r w:rsidR="00A40688" w:rsidRPr="00FD64CC">
        <w:t>DLP</w:t>
      </w:r>
      <w:r w:rsidRPr="00FD64CC">
        <w:t xml:space="preserve"> 21 October 2015), with A</w:t>
      </w:r>
      <w:r w:rsidR="00A40688" w:rsidRPr="00FD64CC">
        <w:t>SA</w:t>
      </w:r>
      <w:r w:rsidRPr="00FD64CC">
        <w:t xml:space="preserve"> (version 2.0, dated 7 December 2020), included with submission PM</w:t>
      </w:r>
      <w:r w:rsidR="00A40688" w:rsidRPr="00FD64CC">
        <w:noBreakHyphen/>
      </w:r>
      <w:r w:rsidRPr="00FD64CC">
        <w:t>2020</w:t>
      </w:r>
      <w:r w:rsidR="00A40688" w:rsidRPr="00FD64CC">
        <w:noBreakHyphen/>
      </w:r>
      <w:r w:rsidRPr="00FD64CC">
        <w:t>01850</w:t>
      </w:r>
      <w:r w:rsidR="00A40688" w:rsidRPr="00FD64CC">
        <w:noBreakHyphen/>
      </w:r>
      <w:r w:rsidRPr="00FD64CC">
        <w:t>1</w:t>
      </w:r>
      <w:r w:rsidR="00A40688" w:rsidRPr="00FD64CC">
        <w:noBreakHyphen/>
      </w:r>
      <w:r w:rsidRPr="00FD64CC">
        <w:t>1, and any subsequent revisions, as agreed with the TGA will be implemented in Australia.</w:t>
      </w:r>
    </w:p>
    <w:p w14:paraId="3106237C" w14:textId="77777777" w:rsidR="00EA5DB4" w:rsidRPr="00FD64CC" w:rsidRDefault="00EA5DB4" w:rsidP="00EA5DB4">
      <w:pPr>
        <w:pStyle w:val="ListBullet"/>
        <w:numPr>
          <w:ilvl w:val="0"/>
          <w:numId w:val="0"/>
        </w:numPr>
        <w:ind w:left="360"/>
      </w:pPr>
      <w:r w:rsidRPr="00FD64CC">
        <w:t>An obligatory component of risk management plans is routine pharmacovigilance. Routine pharmacovigilance includes the submission of periodic safety update reports (PSURs).</w:t>
      </w:r>
    </w:p>
    <w:p w14:paraId="538C0691" w14:textId="514C2FA4" w:rsidR="00EA5DB4" w:rsidRPr="00FD64CC" w:rsidRDefault="00EA5DB4" w:rsidP="00EA5DB4">
      <w:pPr>
        <w:pStyle w:val="ListBullet"/>
        <w:numPr>
          <w:ilvl w:val="0"/>
          <w:numId w:val="0"/>
        </w:numPr>
        <w:ind w:left="360"/>
      </w:pPr>
      <w:r w:rsidRPr="00FD64CC">
        <w:t xml:space="preserve">Reports are to be provided in line with the current published list of EU reference dates and frequency of submission of PSURs until the period covered by such reports is not less than three years from the date of </w:t>
      </w:r>
      <w:r w:rsidR="00A40688" w:rsidRPr="00FD64CC">
        <w:t xml:space="preserve">the </w:t>
      </w:r>
      <w:r w:rsidRPr="00FD64CC">
        <w:t>approval letter.</w:t>
      </w:r>
    </w:p>
    <w:p w14:paraId="3DE4BD32" w14:textId="197FA214" w:rsidR="00EA5DB4" w:rsidRPr="00FD64CC" w:rsidRDefault="00EA5DB4" w:rsidP="00EA5DB4">
      <w:pPr>
        <w:pStyle w:val="ListBullet"/>
        <w:numPr>
          <w:ilvl w:val="0"/>
          <w:numId w:val="0"/>
        </w:numPr>
        <w:ind w:left="360"/>
      </w:pPr>
      <w:r w:rsidRPr="00FD64CC">
        <w:t xml:space="preserve">The reports are to at least meet the requirements for PSURs as described in the European Medicines Agency’s Guideline on </w:t>
      </w:r>
      <w:r w:rsidR="009F71DC" w:rsidRPr="00FD64CC">
        <w:t>G</w:t>
      </w:r>
      <w:r w:rsidRPr="00FD64CC">
        <w:t xml:space="preserve">ood </w:t>
      </w:r>
      <w:r w:rsidR="009F71DC" w:rsidRPr="00FD64CC">
        <w:t>P</w:t>
      </w:r>
      <w:r w:rsidRPr="00FD64CC">
        <w:t xml:space="preserve">harmacovigilance </w:t>
      </w:r>
      <w:r w:rsidR="009F71DC" w:rsidRPr="00FD64CC">
        <w:t>P</w:t>
      </w:r>
      <w:r w:rsidRPr="00FD64CC">
        <w:t>ractices (GVP)</w:t>
      </w:r>
      <w:r w:rsidR="00A40688" w:rsidRPr="00FD64CC">
        <w:t xml:space="preserve"> Module VII-P</w:t>
      </w:r>
      <w:r w:rsidRPr="00FD64CC">
        <w:t>eriodic safety update report (Rev 1), Part VII.B Structures and processes. Note that submission of a PSUR does not constitute an application to vary the registration.</w:t>
      </w:r>
    </w:p>
    <w:p w14:paraId="0B3AFCD0" w14:textId="77777777" w:rsidR="008E7846" w:rsidRPr="00FD64CC" w:rsidRDefault="00A80B5B" w:rsidP="00D23139">
      <w:pPr>
        <w:pStyle w:val="Heading2"/>
      </w:pPr>
      <w:bookmarkStart w:id="67" w:name="_Toc84514223"/>
      <w:r w:rsidRPr="00FD64CC">
        <w:t xml:space="preserve">Attachment 1. </w:t>
      </w:r>
      <w:r w:rsidR="008E7846" w:rsidRPr="00FD64CC">
        <w:t xml:space="preserve">Product </w:t>
      </w:r>
      <w:r w:rsidR="00AA0ED0" w:rsidRPr="00FD64CC">
        <w:t>I</w:t>
      </w:r>
      <w:r w:rsidR="008E7846" w:rsidRPr="00FD64CC">
        <w:t>nformation</w:t>
      </w:r>
      <w:bookmarkEnd w:id="65"/>
      <w:bookmarkEnd w:id="66"/>
      <w:bookmarkEnd w:id="67"/>
    </w:p>
    <w:p w14:paraId="71015C46" w14:textId="5DC185AF" w:rsidR="00C80137" w:rsidRPr="00FD64CC" w:rsidRDefault="006136D7" w:rsidP="00C80137">
      <w:pPr>
        <w:rPr>
          <w:color w:val="000000"/>
          <w:lang w:eastAsia="en-AU"/>
        </w:rPr>
      </w:pPr>
      <w:r w:rsidRPr="00FD64CC">
        <w:t xml:space="preserve">The PI for </w:t>
      </w:r>
      <w:proofErr w:type="spellStart"/>
      <w:r w:rsidR="00380510" w:rsidRPr="00FD64CC">
        <w:t>Zebinix</w:t>
      </w:r>
      <w:proofErr w:type="spellEnd"/>
      <w:r w:rsidR="00380510" w:rsidRPr="00FD64CC">
        <w:t xml:space="preserve"> </w:t>
      </w:r>
      <w:r w:rsidRPr="00FD64CC">
        <w:t xml:space="preserve">approved with the submission which is described in this </w:t>
      </w:r>
      <w:proofErr w:type="spellStart"/>
      <w:r w:rsidRPr="00FD64CC">
        <w:t>AusPAR</w:t>
      </w:r>
      <w:proofErr w:type="spellEnd"/>
      <w:r w:rsidRPr="00FD64CC">
        <w:t xml:space="preserve"> is at Attachment 1. For the most recent PI, please refer to the TGA website at </w:t>
      </w:r>
      <w:r w:rsidR="007C6B9B" w:rsidRPr="00FD64CC">
        <w:t>&lt;</w:t>
      </w:r>
      <w:hyperlink r:id="rId17" w:history="1">
        <w:r w:rsidR="007C6B9B" w:rsidRPr="00FD64CC">
          <w:rPr>
            <w:rStyle w:val="Hyperlink"/>
          </w:rPr>
          <w:t>https://www.tga.gov.au/product-information-pi</w:t>
        </w:r>
      </w:hyperlink>
      <w:r w:rsidR="000B68B6" w:rsidRPr="00FD64CC">
        <w:t>&gt;.</w:t>
      </w:r>
    </w:p>
    <w:p w14:paraId="5C3DE9C8" w14:textId="77777777" w:rsidR="00C80137" w:rsidRPr="00FD64CC" w:rsidRDefault="00C80137" w:rsidP="000B68B6">
      <w:pPr>
        <w:autoSpaceDE w:val="0"/>
        <w:autoSpaceDN w:val="0"/>
        <w:adjustRightInd w:val="0"/>
        <w:spacing w:after="0"/>
        <w:rPr>
          <w:lang w:eastAsia="ja-JP"/>
        </w:rPr>
        <w:sectPr w:rsidR="00C80137" w:rsidRPr="00FD64CC" w:rsidSect="00B452CE">
          <w:headerReference w:type="even" r:id="rId18"/>
          <w:headerReference w:type="default" r:id="rId19"/>
          <w:headerReference w:type="first" r:id="rId20"/>
          <w:footerReference w:type="first" r:id="rId21"/>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FD64CC" w14:paraId="4E5B4AB8" w14:textId="77777777" w:rsidTr="00A05FA4">
        <w:trPr>
          <w:trHeight w:hRule="exact" w:val="704"/>
        </w:trPr>
        <w:tc>
          <w:tcPr>
            <w:tcW w:w="9175" w:type="dxa"/>
          </w:tcPr>
          <w:p w14:paraId="4E3E7D57" w14:textId="77777777" w:rsidR="001C32CD" w:rsidRPr="00FD64CC" w:rsidRDefault="001C32CD" w:rsidP="00A05FA4">
            <w:pPr>
              <w:pStyle w:val="TGASignoff"/>
            </w:pPr>
            <w:r w:rsidRPr="00FD64CC">
              <w:lastRenderedPageBreak/>
              <w:t>Therapeutic Goods Administration</w:t>
            </w:r>
          </w:p>
        </w:tc>
      </w:tr>
      <w:tr w:rsidR="001C32CD" w:rsidRPr="00FE338D" w14:paraId="336C3C48" w14:textId="77777777" w:rsidTr="00A05FA4">
        <w:trPr>
          <w:trHeight w:val="1221"/>
        </w:trPr>
        <w:tc>
          <w:tcPr>
            <w:tcW w:w="9175" w:type="dxa"/>
            <w:tcMar>
              <w:top w:w="28" w:type="dxa"/>
            </w:tcMar>
          </w:tcPr>
          <w:p w14:paraId="1F4E6610" w14:textId="77777777" w:rsidR="001C32CD" w:rsidRPr="00FD64CC" w:rsidRDefault="001C32CD" w:rsidP="00A05FA4">
            <w:pPr>
              <w:pStyle w:val="Address"/>
            </w:pPr>
            <w:r w:rsidRPr="00FD64CC">
              <w:t>PO Box 100 Woden ACT 2606 Australia</w:t>
            </w:r>
          </w:p>
          <w:p w14:paraId="1DAE38E6" w14:textId="64326CCE" w:rsidR="001C32CD" w:rsidRPr="00FE338D" w:rsidRDefault="001C32CD" w:rsidP="00A05FA4">
            <w:pPr>
              <w:pStyle w:val="Address"/>
            </w:pPr>
            <w:r w:rsidRPr="00FE338D">
              <w:t xml:space="preserve">Email: </w:t>
            </w:r>
            <w:hyperlink r:id="rId22" w:history="1">
              <w:r w:rsidRPr="00FE338D">
                <w:rPr>
                  <w:rStyle w:val="Hyperlink"/>
                </w:rPr>
                <w:t>info@tga.gov.au</w:t>
              </w:r>
            </w:hyperlink>
            <w:r w:rsidRPr="00FE338D">
              <w:t xml:space="preserve">  Phone: 1800 020 </w:t>
            </w:r>
            <w:proofErr w:type="gramStart"/>
            <w:r w:rsidRPr="00FE338D">
              <w:t>653  Fax</w:t>
            </w:r>
            <w:proofErr w:type="gramEnd"/>
            <w:r w:rsidRPr="00FE338D">
              <w:t>: 02 6232 8605</w:t>
            </w:r>
          </w:p>
          <w:p w14:paraId="3FC9952A" w14:textId="7D84F9B1" w:rsidR="001C32CD" w:rsidRPr="00FE338D" w:rsidRDefault="00677FD5" w:rsidP="00A05FA4">
            <w:pPr>
              <w:pStyle w:val="Address"/>
              <w:spacing w:line="260" w:lineRule="atLeast"/>
              <w:rPr>
                <w:b/>
                <w:color w:val="0000FF"/>
                <w:u w:val="single"/>
              </w:rPr>
            </w:pPr>
            <w:hyperlink r:id="rId23" w:history="1">
              <w:r w:rsidR="007C6B9B" w:rsidRPr="00FE338D">
                <w:rPr>
                  <w:rStyle w:val="Hyperlink"/>
                  <w:b/>
                </w:rPr>
                <w:t>https://www.tga.gov.au</w:t>
              </w:r>
            </w:hyperlink>
          </w:p>
        </w:tc>
      </w:tr>
    </w:tbl>
    <w:p w14:paraId="5A516FB2" w14:textId="77777777" w:rsidR="00774E1D" w:rsidRPr="00FE338D" w:rsidRDefault="00774E1D" w:rsidP="004C239D"/>
    <w:sectPr w:rsidR="00774E1D" w:rsidRPr="00FE338D" w:rsidSect="001C32CD">
      <w:headerReference w:type="even" r:id="rId24"/>
      <w:headerReference w:type="default" r:id="rId25"/>
      <w:footerReference w:type="default" r:id="rId26"/>
      <w:headerReference w:type="first" r:id="rId27"/>
      <w:footerReference w:type="first" r:id="rId28"/>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49B7B" w14:textId="77777777" w:rsidR="00C47086" w:rsidRDefault="00C47086" w:rsidP="00C40A36">
      <w:pPr>
        <w:spacing w:after="0"/>
      </w:pPr>
      <w:r>
        <w:separator/>
      </w:r>
    </w:p>
  </w:endnote>
  <w:endnote w:type="continuationSeparator" w:id="0">
    <w:p w14:paraId="148F6D62" w14:textId="77777777" w:rsidR="00C47086" w:rsidRDefault="00C47086"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MingLiU">
    <w:altName w:val="細明體"/>
    <w:panose1 w:val="02020509000000000000"/>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2550F" w14:textId="77777777" w:rsidR="00713E52" w:rsidRDefault="00713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C47086" w:rsidRPr="00487162" w14:paraId="0D3E238E" w14:textId="77777777" w:rsidTr="00DB750B">
      <w:trPr>
        <w:trHeight w:val="269"/>
      </w:trPr>
      <w:tc>
        <w:tcPr>
          <w:tcW w:w="7371" w:type="dxa"/>
          <w:tcMar>
            <w:top w:w="142" w:type="dxa"/>
            <w:bottom w:w="0" w:type="dxa"/>
          </w:tcMar>
        </w:tcPr>
        <w:p w14:paraId="564555C2" w14:textId="2969A7AC" w:rsidR="00C47086" w:rsidRPr="00487162" w:rsidRDefault="00C47086" w:rsidP="004546EA">
          <w:pPr>
            <w:pStyle w:val="Footer"/>
          </w:pPr>
          <w:proofErr w:type="spellStart"/>
          <w:r w:rsidRPr="00487162">
            <w:t>AusPA</w:t>
          </w:r>
          <w:r>
            <w:t>R</w:t>
          </w:r>
          <w:proofErr w:type="spellEnd"/>
          <w:r>
            <w:t xml:space="preserve"> - </w:t>
          </w:r>
          <w:proofErr w:type="spellStart"/>
          <w:r w:rsidRPr="00EA5DB4">
            <w:t>Zebinix</w:t>
          </w:r>
          <w:proofErr w:type="spellEnd"/>
          <w:r w:rsidRPr="00EA5DB4">
            <w:t xml:space="preserve"> </w:t>
          </w:r>
          <w:r w:rsidRPr="00460036">
            <w:t xml:space="preserve">– </w:t>
          </w:r>
          <w:r w:rsidRPr="00EA5DB4">
            <w:t xml:space="preserve">eslicarbazepine acetate </w:t>
          </w:r>
          <w:r>
            <w:t xml:space="preserve">- </w:t>
          </w:r>
          <w:r w:rsidRPr="00380510">
            <w:t>Maxx Pharma Pty Ltd</w:t>
          </w:r>
          <w:r>
            <w:t xml:space="preserve"> - </w:t>
          </w:r>
          <w:r w:rsidRPr="00EA5DB4">
            <w:t>PM-2020-01850-1-1</w:t>
          </w:r>
          <w:r>
            <w:br/>
          </w:r>
          <w:r w:rsidR="00C0497A">
            <w:t>Final 9 September</w:t>
          </w:r>
          <w:r>
            <w:t xml:space="preserve"> 2021</w:t>
          </w:r>
        </w:p>
      </w:tc>
      <w:tc>
        <w:tcPr>
          <w:tcW w:w="1490" w:type="dxa"/>
          <w:tcMar>
            <w:top w:w="142" w:type="dxa"/>
            <w:bottom w:w="0" w:type="dxa"/>
          </w:tcMar>
        </w:tcPr>
        <w:p w14:paraId="3CF7E5F8" w14:textId="238272A2" w:rsidR="00C47086" w:rsidRPr="00487162" w:rsidRDefault="00C47086" w:rsidP="00DB750B">
          <w:pPr>
            <w:pStyle w:val="Footer"/>
            <w:jc w:val="right"/>
          </w:pPr>
          <w:r w:rsidRPr="00487162">
            <w:t xml:space="preserve">Page </w:t>
          </w:r>
          <w:r>
            <w:fldChar w:fldCharType="begin"/>
          </w:r>
          <w:r>
            <w:instrText xml:space="preserve"> PAGE  \* Arabic </w:instrText>
          </w:r>
          <w:r>
            <w:fldChar w:fldCharType="separate"/>
          </w:r>
          <w:r>
            <w:rPr>
              <w:noProof/>
            </w:rPr>
            <w:t>5</w:t>
          </w:r>
          <w:r>
            <w:fldChar w:fldCharType="end"/>
          </w:r>
          <w:r w:rsidRPr="00487162">
            <w:t xml:space="preserve"> of </w:t>
          </w:r>
          <w:fldSimple w:instr=" NUMPAGES  \* Arabic ">
            <w:r>
              <w:rPr>
                <w:noProof/>
              </w:rPr>
              <w:t>29</w:t>
            </w:r>
          </w:fldSimple>
        </w:p>
      </w:tc>
    </w:tr>
  </w:tbl>
  <w:p w14:paraId="23E6A480" w14:textId="77777777" w:rsidR="00C47086" w:rsidRDefault="00C47086" w:rsidP="003D1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0985C" w14:textId="77777777" w:rsidR="00713E52" w:rsidRDefault="00713E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C47086" w:rsidRPr="00487162" w14:paraId="2EE2108E" w14:textId="77777777" w:rsidTr="00E45619">
      <w:trPr>
        <w:trHeight w:val="269"/>
      </w:trPr>
      <w:tc>
        <w:tcPr>
          <w:tcW w:w="4519" w:type="dxa"/>
          <w:tcBorders>
            <w:top w:val="single" w:sz="4" w:space="0" w:color="auto"/>
          </w:tcBorders>
          <w:tcMar>
            <w:top w:w="142" w:type="dxa"/>
            <w:bottom w:w="0" w:type="dxa"/>
          </w:tcMar>
        </w:tcPr>
        <w:p w14:paraId="6DCC3049" w14:textId="77777777" w:rsidR="00C47086" w:rsidRPr="00487162" w:rsidRDefault="00C47086" w:rsidP="00FE1DEE">
          <w:pPr>
            <w:pStyle w:val="Footer"/>
          </w:pPr>
          <w:r w:rsidRPr="00487162">
            <w:t>Document title, Part #, Section # - Section title</w:t>
          </w:r>
        </w:p>
        <w:p w14:paraId="4D653F7E" w14:textId="77777777" w:rsidR="00C47086" w:rsidRPr="00487162" w:rsidRDefault="00C47086" w:rsidP="00FE1DEE">
          <w:pPr>
            <w:pStyle w:val="Footer"/>
          </w:pPr>
          <w:r w:rsidRPr="00487162">
            <w:t>V1.0 October 2010</w:t>
          </w:r>
        </w:p>
      </w:tc>
      <w:tc>
        <w:tcPr>
          <w:tcW w:w="4342" w:type="dxa"/>
          <w:tcBorders>
            <w:top w:val="single" w:sz="4" w:space="0" w:color="auto"/>
          </w:tcBorders>
          <w:tcMar>
            <w:top w:w="142" w:type="dxa"/>
            <w:bottom w:w="0" w:type="dxa"/>
          </w:tcMar>
        </w:tcPr>
        <w:p w14:paraId="40419446" w14:textId="77777777" w:rsidR="00C47086" w:rsidRPr="00487162" w:rsidRDefault="00C47086"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2</w:t>
            </w:r>
          </w:fldSimple>
        </w:p>
      </w:tc>
    </w:tr>
  </w:tbl>
  <w:p w14:paraId="31A1EA3C" w14:textId="77777777" w:rsidR="00C47086" w:rsidRDefault="00C4708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51D36" w14:textId="77777777" w:rsidR="00C47086" w:rsidRPr="001C32CD" w:rsidRDefault="00C47086" w:rsidP="001C32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C47086" w14:paraId="77E06E10" w14:textId="77777777" w:rsidTr="0010601F">
      <w:trPr>
        <w:trHeight w:val="108"/>
      </w:trPr>
      <w:tc>
        <w:tcPr>
          <w:tcW w:w="8875" w:type="dxa"/>
          <w:gridSpan w:val="2"/>
          <w:tcBorders>
            <w:bottom w:val="single" w:sz="4" w:space="0" w:color="auto"/>
          </w:tcBorders>
          <w:tcMar>
            <w:right w:w="284" w:type="dxa"/>
          </w:tcMar>
        </w:tcPr>
        <w:p w14:paraId="097D705B" w14:textId="77777777" w:rsidR="00C47086" w:rsidRDefault="00C47086" w:rsidP="006E08B3">
          <w:pPr>
            <w:pStyle w:val="Heading3"/>
          </w:pPr>
          <w:r>
            <w:t>Copyright</w:t>
          </w:r>
        </w:p>
        <w:p w14:paraId="2C4BFAC6" w14:textId="77777777" w:rsidR="00C47086" w:rsidRDefault="00C47086" w:rsidP="006E08B3">
          <w:r>
            <w:rPr>
              <w:rFonts w:cs="Arial"/>
            </w:rPr>
            <w:t>©</w:t>
          </w:r>
          <w:r>
            <w:t xml:space="preserve"> Commonwealth of Australia [add year]</w:t>
          </w:r>
        </w:p>
        <w:p w14:paraId="79E03BBE" w14:textId="77777777" w:rsidR="00C47086" w:rsidRDefault="00C47086" w:rsidP="006E08B3"/>
        <w:p w14:paraId="2A60E29C" w14:textId="77777777" w:rsidR="00C47086" w:rsidRDefault="00C47086"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w:t>
          </w:r>
          <w:proofErr w:type="gramStart"/>
          <w:r>
            <w:t xml:space="preserve">at  </w:t>
          </w:r>
          <w:r w:rsidRPr="006E08B3">
            <w:t>http://www.ag.gov.au/cca</w:t>
          </w:r>
          <w:proofErr w:type="gramEnd"/>
        </w:p>
        <w:p w14:paraId="61E23471" w14:textId="77777777" w:rsidR="00C47086" w:rsidRDefault="00C47086" w:rsidP="006E08B3"/>
        <w:p w14:paraId="3E02AE9D" w14:textId="77777777" w:rsidR="00C47086" w:rsidRDefault="00C47086" w:rsidP="006E08B3">
          <w:pPr>
            <w:pStyle w:val="Heading3"/>
          </w:pPr>
          <w:r>
            <w:t>Confidentiality</w:t>
          </w:r>
        </w:p>
        <w:p w14:paraId="07F19587" w14:textId="77777777" w:rsidR="00C47086" w:rsidRDefault="00C47086"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5A022360" w14:textId="77777777" w:rsidR="00C47086" w:rsidRDefault="00C47086" w:rsidP="006E08B3"/>
        <w:p w14:paraId="1F13F0B8" w14:textId="77777777" w:rsidR="00C47086" w:rsidRDefault="00C47086" w:rsidP="006E08B3">
          <w:r>
            <w:t>For submission made by individuals, all personal details, other than your name, will be removed from your submission before it is published on the TGA’s Internet site.</w:t>
          </w:r>
        </w:p>
        <w:p w14:paraId="5B068A53" w14:textId="77777777" w:rsidR="00C47086" w:rsidRDefault="00C47086" w:rsidP="006E08B3"/>
        <w:p w14:paraId="24F576EF" w14:textId="77777777" w:rsidR="00C47086" w:rsidRDefault="00C47086"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C47086" w14:paraId="6D1EE941" w14:textId="77777777" w:rsidTr="0010601F">
      <w:trPr>
        <w:trHeight w:val="417"/>
      </w:trPr>
      <w:tc>
        <w:tcPr>
          <w:tcW w:w="4519" w:type="dxa"/>
          <w:tcBorders>
            <w:top w:val="single" w:sz="4" w:space="0" w:color="auto"/>
          </w:tcBorders>
          <w:tcMar>
            <w:top w:w="142" w:type="dxa"/>
            <w:bottom w:w="0" w:type="dxa"/>
          </w:tcMar>
        </w:tcPr>
        <w:p w14:paraId="77EB4156" w14:textId="77777777" w:rsidR="00C47086" w:rsidRDefault="00C47086" w:rsidP="006E08B3">
          <w:r>
            <w:t>Document title, Part #, Section # - Section title</w:t>
          </w:r>
        </w:p>
        <w:p w14:paraId="1736853E" w14:textId="77777777" w:rsidR="00C47086" w:rsidRDefault="00C47086" w:rsidP="006E08B3">
          <w:r>
            <w:t>V1.0 October 2010</w:t>
          </w:r>
        </w:p>
      </w:tc>
      <w:tc>
        <w:tcPr>
          <w:tcW w:w="4356" w:type="dxa"/>
          <w:tcBorders>
            <w:top w:val="single" w:sz="4" w:space="0" w:color="auto"/>
          </w:tcBorders>
          <w:tcMar>
            <w:top w:w="142" w:type="dxa"/>
            <w:bottom w:w="0" w:type="dxa"/>
          </w:tcMar>
        </w:tcPr>
        <w:p w14:paraId="21A25EE3" w14:textId="77777777" w:rsidR="00C47086" w:rsidRDefault="00C47086"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2</w:t>
            </w:r>
          </w:fldSimple>
          <w:r>
            <w:t xml:space="preserve">  </w:t>
          </w:r>
        </w:p>
      </w:tc>
    </w:tr>
  </w:tbl>
  <w:p w14:paraId="55E744B2" w14:textId="77777777" w:rsidR="00C47086" w:rsidRDefault="00C470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C6A1EF" w14:textId="77777777" w:rsidR="00C47086" w:rsidRDefault="00C47086" w:rsidP="00C40A36">
      <w:pPr>
        <w:spacing w:after="0"/>
      </w:pPr>
      <w:r>
        <w:separator/>
      </w:r>
    </w:p>
  </w:footnote>
  <w:footnote w:type="continuationSeparator" w:id="0">
    <w:p w14:paraId="3D680DE6" w14:textId="77777777" w:rsidR="00C47086" w:rsidRDefault="00C47086" w:rsidP="00C40A36">
      <w:pPr>
        <w:spacing w:after="0"/>
      </w:pPr>
      <w:r>
        <w:continuationSeparator/>
      </w:r>
    </w:p>
  </w:footnote>
  <w:footnote w:id="1">
    <w:p w14:paraId="623DB379" w14:textId="77777777" w:rsidR="00C47086" w:rsidRDefault="00C47086">
      <w:pPr>
        <w:pStyle w:val="FootnoteText"/>
      </w:pPr>
      <w:r>
        <w:rPr>
          <w:rStyle w:val="FootnoteReference"/>
        </w:rPr>
        <w:footnoteRef/>
      </w:r>
      <w:r>
        <w:t xml:space="preserve"> </w:t>
      </w:r>
      <w:r w:rsidRPr="00460036">
        <w:t xml:space="preserve">The </w:t>
      </w:r>
      <w:r w:rsidRPr="00460036">
        <w:rPr>
          <w:b/>
        </w:rPr>
        <w:t>Black Triangle Scheme</w:t>
      </w:r>
      <w:r w:rsidRPr="00460036">
        <w:t xml:space="preserve"> provides a simple means for practitioners and patients to identify certain types of new prescription medicines, including those being used in new ways and to encourage the reporting of adverse events associated with their use. The Black Triangle does not denote that there are known safety problems, just that the TGA is encouraging adverse event reporting to help us build up the full picture of a medicine's safety profile.</w:t>
      </w:r>
    </w:p>
  </w:footnote>
  <w:footnote w:id="2">
    <w:p w14:paraId="1085A557" w14:textId="77777777" w:rsidR="00C47086" w:rsidRDefault="00C47086" w:rsidP="004D4D3A">
      <w:pPr>
        <w:pStyle w:val="FootnoteText"/>
      </w:pPr>
      <w:r>
        <w:rPr>
          <w:rStyle w:val="FootnoteReference"/>
        </w:rPr>
        <w:footnoteRef/>
      </w:r>
      <w:r>
        <w:t xml:space="preserve"> </w:t>
      </w:r>
      <w:r w:rsidRPr="004D4D3A">
        <w:rPr>
          <w:b/>
        </w:rPr>
        <w:t>Cytochrome P450 (CYP)</w:t>
      </w:r>
      <w:r>
        <w:t xml:space="preserve"> </w:t>
      </w:r>
      <w:r w:rsidRPr="002B73A8">
        <w:rPr>
          <w:b/>
        </w:rPr>
        <w:t>enzymes</w:t>
      </w:r>
      <w:r>
        <w:t>: CYPs are the major enzymes involved in drug metabolism, accounting for large part of the total metabolism. Most drugs undergo deactivation by CYPs, either directly or by facilitated excretion from the body. Also, many substances are bioactivated by CYPs to form their active compounds.</w:t>
      </w:r>
    </w:p>
    <w:p w14:paraId="7D0EC409" w14:textId="0750899C" w:rsidR="00C47086" w:rsidRDefault="00C47086" w:rsidP="004D4D3A">
      <w:pPr>
        <w:pStyle w:val="FootnoteText"/>
      </w:pPr>
      <w:r>
        <w:t xml:space="preserve">Many drugs may increase or decrease the activity of various CYP isozymes either by inducing the biosynthesis of an isozyme (enzyme induction) or by directly inhibiting the activity of the CYP (enzyme inhibition). This is a major source of adverse drug </w:t>
      </w:r>
      <w:proofErr w:type="gramStart"/>
      <w:r>
        <w:t>interactions, since</w:t>
      </w:r>
      <w:proofErr w:type="gramEnd"/>
      <w:r>
        <w:t xml:space="preserve"> changes in CYP enzyme activity may affect the metabolism and clearance of various drugs. Such drug interactions are especially important to take into account when using drugs of vital importance to the patient, drugs with important side-effects and drugs with small therapeutic windows, but any drug may be subject to an altered plasma concentration due to altered drug metabolism.</w:t>
      </w:r>
    </w:p>
  </w:footnote>
  <w:footnote w:id="3">
    <w:p w14:paraId="531BADDA" w14:textId="201EC5B7" w:rsidR="00C47086" w:rsidRDefault="00C47086" w:rsidP="00807E4E">
      <w:pPr>
        <w:pStyle w:val="FootnoteText"/>
      </w:pPr>
      <w:r>
        <w:rPr>
          <w:rStyle w:val="FootnoteReference"/>
        </w:rPr>
        <w:footnoteRef/>
      </w:r>
      <w:r>
        <w:t xml:space="preserve"> </w:t>
      </w:r>
      <w:r w:rsidRPr="00807E4E">
        <w:rPr>
          <w:b/>
        </w:rPr>
        <w:t>Pregnancy Category B3</w:t>
      </w:r>
      <w:r>
        <w:t xml:space="preserve">: Drugs which have been taken by only a limited number of pregnant women and women of childbearing age, without an increase in the frequency of malformation or other direct or indirect harmful effects on the human </w:t>
      </w:r>
      <w:proofErr w:type="spellStart"/>
      <w:r>
        <w:t>fetus</w:t>
      </w:r>
      <w:proofErr w:type="spellEnd"/>
      <w:r>
        <w:t xml:space="preserve"> having been observed.</w:t>
      </w:r>
    </w:p>
    <w:p w14:paraId="1CC8FB5B" w14:textId="67E9739D" w:rsidR="00C47086" w:rsidRDefault="00C47086" w:rsidP="00807E4E">
      <w:pPr>
        <w:pStyle w:val="FootnoteText"/>
      </w:pPr>
      <w:r>
        <w:t xml:space="preserve">Studies in animals have shown evidence of an increased occurrence of </w:t>
      </w:r>
      <w:proofErr w:type="spellStart"/>
      <w:r>
        <w:t>fetal</w:t>
      </w:r>
      <w:proofErr w:type="spellEnd"/>
      <w:r>
        <w:t xml:space="preserve"> damage, the significance of which is considered uncertain in humans.</w:t>
      </w:r>
    </w:p>
  </w:footnote>
  <w:footnote w:id="4">
    <w:p w14:paraId="3F51C73B" w14:textId="7C2475D0" w:rsidR="00C47086" w:rsidRDefault="00C47086">
      <w:pPr>
        <w:pStyle w:val="FootnoteText"/>
      </w:pPr>
      <w:r>
        <w:rPr>
          <w:rStyle w:val="FootnoteReference"/>
        </w:rPr>
        <w:footnoteRef/>
      </w:r>
      <w:r>
        <w:t xml:space="preserve"> </w:t>
      </w:r>
      <w:r w:rsidRPr="00807E4E">
        <w:rPr>
          <w:b/>
        </w:rPr>
        <w:t>Pregnancy Category D</w:t>
      </w:r>
      <w:r>
        <w:t xml:space="preserve">: </w:t>
      </w:r>
      <w:r w:rsidRPr="00807E4E">
        <w:t xml:space="preserve">Drugs which have caused, are suspected to have caused or may be expected to cause, an increased incidence of human </w:t>
      </w:r>
      <w:proofErr w:type="spellStart"/>
      <w:r w:rsidRPr="00807E4E">
        <w:t>fetal</w:t>
      </w:r>
      <w:proofErr w:type="spellEnd"/>
      <w:r w:rsidRPr="00807E4E">
        <w:t xml:space="preserve"> malformations or irreversible damage. These drugs may also have adverse pharmacological effects. Accompanying texts should be consulted for further details.</w:t>
      </w:r>
    </w:p>
  </w:footnote>
  <w:footnote w:id="5">
    <w:p w14:paraId="241FE862" w14:textId="7C94B049" w:rsidR="00C47086" w:rsidRPr="00193C8A" w:rsidRDefault="00C47086">
      <w:pPr>
        <w:pStyle w:val="FootnoteText"/>
        <w:rPr>
          <w:lang w:val="en-US"/>
        </w:rPr>
      </w:pPr>
      <w:r>
        <w:rPr>
          <w:rStyle w:val="FootnoteReference"/>
        </w:rPr>
        <w:footnoteRef/>
      </w:r>
      <w:r>
        <w:t xml:space="preserve"> </w:t>
      </w:r>
      <w:r w:rsidRPr="00A714EE">
        <w:t xml:space="preserve">The </w:t>
      </w:r>
      <w:r w:rsidRPr="002B73A8">
        <w:rPr>
          <w:b/>
        </w:rPr>
        <w:t>Quality of Life in Epilepsy-31 Inventory</w:t>
      </w:r>
      <w:r w:rsidRPr="00A714EE">
        <w:t xml:space="preserve"> </w:t>
      </w:r>
      <w:r>
        <w:t>(</w:t>
      </w:r>
      <w:r w:rsidRPr="00193C8A">
        <w:rPr>
          <w:b/>
        </w:rPr>
        <w:t>QOLIE-31</w:t>
      </w:r>
      <w:r>
        <w:t xml:space="preserve">) is a validated scale derived from the long form </w:t>
      </w:r>
      <w:r w:rsidRPr="00A714EE">
        <w:t xml:space="preserve">original long-form QOLIE-89. </w:t>
      </w:r>
      <w:r>
        <w:t xml:space="preserve">The QOLIE-31 </w:t>
      </w:r>
      <w:r w:rsidRPr="00A714EE">
        <w:t xml:space="preserve">includes 31 </w:t>
      </w:r>
      <w:r>
        <w:t xml:space="preserve">self-reported </w:t>
      </w:r>
      <w:r w:rsidRPr="00A714EE">
        <w:t xml:space="preserve">items clustered </w:t>
      </w:r>
      <w:r>
        <w:t>in seven multi-item scales centred on the following domains: o</w:t>
      </w:r>
      <w:r w:rsidRPr="00A714EE">
        <w:t>verall quality of li</w:t>
      </w:r>
      <w:r>
        <w:t>fe, emotional well</w:t>
      </w:r>
      <w:r>
        <w:noBreakHyphen/>
        <w:t>being, energy/fatigue, cognitive functioning, medication effects, seizure worry, and s</w:t>
      </w:r>
      <w:r w:rsidRPr="00A714EE">
        <w:t>ocial functioning. A scoring system is available for each item (from 0 to 3 or from 0 to 6)</w:t>
      </w:r>
      <w:r>
        <w:t>.</w:t>
      </w:r>
    </w:p>
  </w:footnote>
  <w:footnote w:id="6">
    <w:p w14:paraId="346F1CA3" w14:textId="0BC38A08" w:rsidR="00C47086" w:rsidRPr="0024647B" w:rsidRDefault="00C47086" w:rsidP="0024647B">
      <w:pPr>
        <w:pStyle w:val="FootnoteText"/>
      </w:pPr>
      <w:r>
        <w:rPr>
          <w:rStyle w:val="FootnoteReference"/>
        </w:rPr>
        <w:footnoteRef/>
      </w:r>
      <w:r>
        <w:t xml:space="preserve"> The </w:t>
      </w:r>
      <w:r w:rsidRPr="00193C8A">
        <w:rPr>
          <w:b/>
        </w:rPr>
        <w:t>Montgomery-</w:t>
      </w:r>
      <w:proofErr w:type="spellStart"/>
      <w:r w:rsidRPr="00193C8A">
        <w:rPr>
          <w:b/>
        </w:rPr>
        <w:t>Åsberg</w:t>
      </w:r>
      <w:proofErr w:type="spellEnd"/>
      <w:r w:rsidRPr="00193C8A">
        <w:rPr>
          <w:b/>
        </w:rPr>
        <w:t xml:space="preserve"> Depression Rating Scale</w:t>
      </w:r>
      <w:r>
        <w:t xml:space="preserve"> (</w:t>
      </w:r>
      <w:r w:rsidRPr="00193C8A">
        <w:rPr>
          <w:b/>
        </w:rPr>
        <w:t>MADRS</w:t>
      </w:r>
      <w:r>
        <w:t xml:space="preserve">) is a validated scale consisting of 10 items evaluating core symptoms of depression. Nine of the items are based upon patient report, and one is on the </w:t>
      </w:r>
      <w:proofErr w:type="spellStart"/>
      <w:r>
        <w:t>rater’s</w:t>
      </w:r>
      <w:proofErr w:type="spellEnd"/>
      <w:r>
        <w:t xml:space="preserve"> observation during the rating interview. MADRS items are rated from 0 to 6 continuum (0 = no abnormality, 6 = severe). The MADRS addresses core mood symptoms such as sadness, tension, reduced appetite or sleep, pessimistic thoughts, and suicidal thoughts.</w:t>
      </w:r>
    </w:p>
  </w:footnote>
  <w:footnote w:id="7">
    <w:p w14:paraId="0CFFA572" w14:textId="0B044A8B" w:rsidR="00C47086" w:rsidRDefault="00C47086">
      <w:pPr>
        <w:pStyle w:val="FootnoteText"/>
      </w:pPr>
      <w:r>
        <w:rPr>
          <w:rStyle w:val="FootnoteReference"/>
        </w:rPr>
        <w:footnoteRef/>
      </w:r>
      <w:r>
        <w:t xml:space="preserve"> </w:t>
      </w:r>
      <w:r w:rsidRPr="000015E5">
        <w:t>European Medicines Agency (EMA), Committee for medicinal products for human use (CHMP), 22 July 2010. Clinical Investigation of Medicinal Products in the Treatment of Epileptic Disorders (CPMP/EWP/566/98 Rev. 2/</w:t>
      </w:r>
      <w:proofErr w:type="spellStart"/>
      <w:r w:rsidRPr="000015E5">
        <w:t>Corr</w:t>
      </w:r>
      <w:proofErr w:type="spellEnd"/>
      <w:r w:rsidRPr="000015E5">
        <w:t>).</w:t>
      </w:r>
    </w:p>
  </w:footnote>
  <w:footnote w:id="8">
    <w:p w14:paraId="754DFD0E" w14:textId="5EAF572F" w:rsidR="00C47086" w:rsidRDefault="00C47086">
      <w:pPr>
        <w:pStyle w:val="FootnoteText"/>
      </w:pPr>
      <w:r>
        <w:rPr>
          <w:rStyle w:val="FootnoteReference"/>
        </w:rPr>
        <w:footnoteRef/>
      </w:r>
      <w:r>
        <w:t xml:space="preserve"> </w:t>
      </w:r>
      <w:r w:rsidRPr="007A1FCA">
        <w:t xml:space="preserve">The </w:t>
      </w:r>
      <w:r w:rsidRPr="007A1FCA">
        <w:rPr>
          <w:b/>
        </w:rPr>
        <w:t>per-protocol (PP)</w:t>
      </w:r>
      <w:r w:rsidRPr="007A1FCA">
        <w:t xml:space="preserve"> analysis is restricted to the participants who strictly adhered to the protocol. Also known as ‘on-treatment’ analysis.</w:t>
      </w:r>
    </w:p>
  </w:footnote>
  <w:footnote w:id="9">
    <w:p w14:paraId="741B0378" w14:textId="77777777" w:rsidR="00C47086" w:rsidRDefault="00C47086" w:rsidP="007D53B6">
      <w:pPr>
        <w:pStyle w:val="FootnoteText"/>
      </w:pPr>
      <w:r>
        <w:rPr>
          <w:rStyle w:val="FootnoteReference"/>
        </w:rPr>
        <w:footnoteRef/>
      </w:r>
      <w:r>
        <w:t xml:space="preserve"> </w:t>
      </w:r>
      <w:r w:rsidRPr="007D53B6">
        <w:rPr>
          <w:i/>
        </w:rPr>
        <w:t xml:space="preserve">Routine risk minimisation </w:t>
      </w:r>
      <w:r>
        <w:t>activities may be limited to ensuring that suitable warnings are included in the product information or by careful use of labelling and packaging.</w:t>
      </w:r>
    </w:p>
    <w:p w14:paraId="4B60FC9E" w14:textId="77777777" w:rsidR="00C47086" w:rsidRDefault="00C47086" w:rsidP="007D53B6">
      <w:pPr>
        <w:pStyle w:val="FootnoteText"/>
      </w:pPr>
      <w:r w:rsidRPr="007D53B6">
        <w:rPr>
          <w:i/>
        </w:rPr>
        <w:t>Routine pharmacovigilance</w:t>
      </w:r>
      <w:r>
        <w:t xml:space="preserve"> practices involve the following activities:</w:t>
      </w:r>
    </w:p>
    <w:p w14:paraId="62C81423" w14:textId="77777777" w:rsidR="00C47086" w:rsidRDefault="00C47086" w:rsidP="007D53B6">
      <w:pPr>
        <w:pStyle w:val="FootnoteText"/>
        <w:numPr>
          <w:ilvl w:val="0"/>
          <w:numId w:val="32"/>
        </w:numPr>
        <w:ind w:left="284" w:hanging="284"/>
      </w:pPr>
      <w:r>
        <w:t xml:space="preserve">All suspected adverse reactions that are reported to the personnel of the company are collected and collated in an accessible </w:t>
      </w:r>
      <w:proofErr w:type="gramStart"/>
      <w:r>
        <w:t>manner;</w:t>
      </w:r>
      <w:proofErr w:type="gramEnd"/>
    </w:p>
    <w:p w14:paraId="30B95B48" w14:textId="77777777" w:rsidR="00C47086" w:rsidRDefault="00C47086" w:rsidP="007D53B6">
      <w:pPr>
        <w:pStyle w:val="FootnoteText"/>
        <w:numPr>
          <w:ilvl w:val="0"/>
          <w:numId w:val="32"/>
        </w:numPr>
        <w:ind w:left="284" w:hanging="284"/>
      </w:pPr>
      <w:r>
        <w:t xml:space="preserve">Reporting to regulatory </w:t>
      </w:r>
      <w:proofErr w:type="gramStart"/>
      <w:r>
        <w:t>authorities;</w:t>
      </w:r>
      <w:proofErr w:type="gramEnd"/>
    </w:p>
    <w:p w14:paraId="51EFA775" w14:textId="77777777" w:rsidR="00C47086" w:rsidRDefault="00C47086" w:rsidP="007D53B6">
      <w:pPr>
        <w:pStyle w:val="FootnoteText"/>
        <w:numPr>
          <w:ilvl w:val="0"/>
          <w:numId w:val="32"/>
        </w:numPr>
        <w:ind w:left="284" w:hanging="284"/>
      </w:pPr>
      <w:r>
        <w:t xml:space="preserve">Continuous monitoring of the safety profiles of approved products including signal detection and updating of </w:t>
      </w:r>
      <w:proofErr w:type="gramStart"/>
      <w:r>
        <w:t>labelling;</w:t>
      </w:r>
      <w:proofErr w:type="gramEnd"/>
    </w:p>
    <w:p w14:paraId="71F80639" w14:textId="77777777" w:rsidR="00C47086" w:rsidRDefault="00C47086" w:rsidP="007D53B6">
      <w:pPr>
        <w:pStyle w:val="FootnoteText"/>
        <w:numPr>
          <w:ilvl w:val="0"/>
          <w:numId w:val="32"/>
        </w:numPr>
        <w:ind w:left="284" w:hanging="284"/>
      </w:pPr>
      <w:r>
        <w:t xml:space="preserve">Submission of </w:t>
      </w:r>
      <w:proofErr w:type="gramStart"/>
      <w:r>
        <w:t>PSURs;</w:t>
      </w:r>
      <w:proofErr w:type="gramEnd"/>
    </w:p>
    <w:p w14:paraId="5313A6ED" w14:textId="77777777" w:rsidR="00C47086" w:rsidRDefault="00C47086" w:rsidP="007D53B6">
      <w:pPr>
        <w:pStyle w:val="FootnoteText"/>
        <w:numPr>
          <w:ilvl w:val="0"/>
          <w:numId w:val="32"/>
        </w:numPr>
        <w:ind w:left="284" w:hanging="284"/>
      </w:pPr>
      <w:r>
        <w:t>Meeting other local regulatory agency requirements.</w:t>
      </w:r>
    </w:p>
  </w:footnote>
  <w:footnote w:id="10">
    <w:p w14:paraId="33F7B36E" w14:textId="77777777" w:rsidR="00C47086" w:rsidRDefault="00C47086" w:rsidP="00456765">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40AB5AED" w14:textId="77777777" w:rsidR="00C47086" w:rsidRPr="00456765" w:rsidRDefault="00C47086" w:rsidP="00456765">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xml:space="preserve">. ACM encompass </w:t>
      </w:r>
      <w:proofErr w:type="gramStart"/>
      <w:r>
        <w:t>pre</w:t>
      </w:r>
      <w:proofErr w:type="gramEnd"/>
      <w:r>
        <w:t xml:space="preserv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w:t>
      </w:r>
      <w:proofErr w:type="gramStart"/>
      <w:r>
        <w:t>medical</w:t>
      </w:r>
      <w:proofErr w:type="gramEnd"/>
      <w:r>
        <w:t xml:space="preserve"> or clinical expertise, as well as appropriate consumer health issues relating to medicines.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7FDA7" w14:textId="77777777" w:rsidR="00713E52" w:rsidRDefault="00713E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ABE5C" w14:textId="77777777" w:rsidR="00C47086" w:rsidRDefault="00C47086" w:rsidP="00E45619">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34D3B" w14:textId="77777777" w:rsidR="00C47086" w:rsidRDefault="00C47086">
    <w:pPr>
      <w:rPr>
        <w:noProof/>
        <w:lang w:eastAsia="en-AU"/>
      </w:rPr>
    </w:pPr>
    <w:r w:rsidRPr="00347824">
      <w:rPr>
        <w:noProof/>
        <w:lang w:val="en-GB" w:eastAsia="en-GB"/>
      </w:rPr>
      <w:drawing>
        <wp:anchor distT="0" distB="0" distL="114300" distR="114300" simplePos="0" relativeHeight="251659264" behindDoc="1" locked="0" layoutInCell="1" allowOverlap="1" wp14:anchorId="4798EA10" wp14:editId="50583031">
          <wp:simplePos x="0" y="0"/>
          <wp:positionH relativeFrom="column">
            <wp:posOffset>-1089660</wp:posOffset>
          </wp:positionH>
          <wp:positionV relativeFrom="paragraph">
            <wp:posOffset>-585470</wp:posOffset>
          </wp:positionV>
          <wp:extent cx="7572375" cy="10706100"/>
          <wp:effectExtent l="19050" t="0" r="0" b="0"/>
          <wp:wrapNone/>
          <wp:docPr id="6"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73068136" w14:textId="77777777" w:rsidR="00C47086" w:rsidRDefault="00C47086" w:rsidP="00593AD1">
    <w:pPr>
      <w:pStyle w:val="HeaderNoLi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453FE6" w14:textId="77777777" w:rsidR="00C47086" w:rsidRDefault="00C4708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74991" w14:textId="77777777" w:rsidR="00C47086" w:rsidRDefault="00C47086">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3B6F6" w14:textId="77777777" w:rsidR="00C47086" w:rsidRDefault="00C47086">
    <w:pPr>
      <w:pStyle w:val="Header"/>
    </w:pPr>
    <w:r>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3DEF4" w14:textId="77777777" w:rsidR="00C47086" w:rsidRDefault="00C4708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C8043" w14:textId="77777777" w:rsidR="00C47086" w:rsidRDefault="00C47086" w:rsidP="004C239D">
    <w:pPr>
      <w:pStyle w:val="HeaderNoLi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3392B" w14:textId="77777777" w:rsidR="00C47086" w:rsidRDefault="00C47086" w:rsidP="006E08B3">
    <w:r>
      <w:t>Therapeutic Goods Administration</w:t>
    </w:r>
  </w:p>
  <w:p w14:paraId="5C24E1BD" w14:textId="77777777" w:rsidR="00C47086" w:rsidRDefault="00C47086" w:rsidP="006D03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8E6C61F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80017AB"/>
    <w:multiLevelType w:val="hybridMultilevel"/>
    <w:tmpl w:val="7FB83D2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9108CD"/>
    <w:multiLevelType w:val="hybridMultilevel"/>
    <w:tmpl w:val="39B65962"/>
    <w:lvl w:ilvl="0" w:tplc="4852045A">
      <w:start w:val="1"/>
      <w:numFmt w:val="bullet"/>
      <w:pStyle w:val="Bulletlist"/>
      <w:lvlText w:val=""/>
      <w:lvlJc w:val="left"/>
      <w:pPr>
        <w:ind w:left="360" w:hanging="360"/>
      </w:pPr>
      <w:rPr>
        <w:rFonts w:ascii="Symbol" w:hAnsi="Symbol" w:hint="default"/>
        <w:color w:val="000000" w:themeColor="text1"/>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15:restartNumberingAfterBreak="0">
    <w:nsid w:val="11477735"/>
    <w:multiLevelType w:val="hybridMultilevel"/>
    <w:tmpl w:val="0DF24AD6"/>
    <w:lvl w:ilvl="0" w:tplc="AC74651A">
      <w:numFmt w:val="bullet"/>
      <w:lvlText w:val="•"/>
      <w:lvlJc w:val="left"/>
      <w:pPr>
        <w:ind w:left="570" w:hanging="21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F3578D"/>
    <w:multiLevelType w:val="hybridMultilevel"/>
    <w:tmpl w:val="1D92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8F13E9"/>
    <w:multiLevelType w:val="multilevel"/>
    <w:tmpl w:val="92E4CDFC"/>
    <w:styleLink w:val="ListBullets"/>
    <w:lvl w:ilvl="0">
      <w:start w:val="1"/>
      <w:numFmt w:val="bullet"/>
      <w:pStyle w:val="ListBullet"/>
      <w:lvlText w:val="•"/>
      <w:lvlJc w:val="left"/>
      <w:pPr>
        <w:ind w:left="360" w:hanging="360"/>
      </w:pPr>
      <w:rPr>
        <w:rFonts w:ascii="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23B74EC3"/>
    <w:multiLevelType w:val="hybridMultilevel"/>
    <w:tmpl w:val="9BC68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827A4D"/>
    <w:multiLevelType w:val="hybridMultilevel"/>
    <w:tmpl w:val="5C34C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B9611F"/>
    <w:multiLevelType w:val="hybridMultilevel"/>
    <w:tmpl w:val="4B7E95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2F5CDC"/>
    <w:multiLevelType w:val="hybridMultilevel"/>
    <w:tmpl w:val="CB4A66D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AE63C7"/>
    <w:multiLevelType w:val="hybridMultilevel"/>
    <w:tmpl w:val="07AE1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56145D"/>
    <w:multiLevelType w:val="hybridMultilevel"/>
    <w:tmpl w:val="BB205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07279CB"/>
    <w:multiLevelType w:val="hybridMultilevel"/>
    <w:tmpl w:val="324839D4"/>
    <w:lvl w:ilvl="0" w:tplc="E5EACD22">
      <w:numFmt w:val="bullet"/>
      <w:lvlText w:val="•"/>
      <w:lvlJc w:val="left"/>
      <w:pPr>
        <w:ind w:left="720" w:hanging="72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4615FA5"/>
    <w:multiLevelType w:val="hybridMultilevel"/>
    <w:tmpl w:val="2EDE4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9E3EC0"/>
    <w:multiLevelType w:val="hybridMultilevel"/>
    <w:tmpl w:val="08C6F6A2"/>
    <w:lvl w:ilvl="0" w:tplc="AC74651A">
      <w:numFmt w:val="bullet"/>
      <w:lvlText w:val="•"/>
      <w:lvlJc w:val="left"/>
      <w:pPr>
        <w:ind w:left="570" w:hanging="21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9"/>
  </w:num>
  <w:num w:numId="4">
    <w:abstractNumId w:val="9"/>
  </w:num>
  <w:num w:numId="5">
    <w:abstractNumId w:val="0"/>
  </w:num>
  <w:num w:numId="6">
    <w:abstractNumId w:val="9"/>
  </w:num>
  <w:num w:numId="7">
    <w:abstractNumId w:val="9"/>
  </w:num>
  <w:num w:numId="8">
    <w:abstractNumId w:val="6"/>
  </w:num>
  <w:num w:numId="9">
    <w:abstractNumId w:val="6"/>
  </w:num>
  <w:num w:numId="10">
    <w:abstractNumId w:val="6"/>
  </w:num>
  <w:num w:numId="11">
    <w:abstractNumId w:val="6"/>
  </w:num>
  <w:num w:numId="12">
    <w:abstractNumId w:val="3"/>
    <w:lvlOverride w:ilvl="0">
      <w:lvl w:ilvl="0">
        <w:numFmt w:val="bullet"/>
        <w:lvlText w:val="•"/>
        <w:legacy w:legacy="1" w:legacySpace="0" w:legacyIndent="0"/>
        <w:lvlJc w:val="left"/>
        <w:rPr>
          <w:rFonts w:ascii="Helv" w:hAnsi="Helv" w:hint="default"/>
        </w:rPr>
      </w:lvl>
    </w:lvlOverride>
  </w:num>
  <w:num w:numId="13">
    <w:abstractNumId w:val="9"/>
  </w:num>
  <w:num w:numId="14">
    <w:abstractNumId w:val="9"/>
  </w:num>
  <w:num w:numId="15">
    <w:abstractNumId w:val="9"/>
  </w:num>
  <w:num w:numId="16">
    <w:abstractNumId w:val="6"/>
  </w:num>
  <w:num w:numId="17">
    <w:abstractNumId w:val="6"/>
  </w:num>
  <w:num w:numId="18">
    <w:abstractNumId w:val="6"/>
  </w:num>
  <w:num w:numId="19">
    <w:abstractNumId w:val="9"/>
  </w:num>
  <w:num w:numId="20">
    <w:abstractNumId w:val="9"/>
  </w:num>
  <w:num w:numId="21">
    <w:abstractNumId w:val="9"/>
  </w:num>
  <w:num w:numId="22">
    <w:abstractNumId w:val="6"/>
  </w:num>
  <w:num w:numId="23">
    <w:abstractNumId w:val="6"/>
  </w:num>
  <w:num w:numId="24">
    <w:abstractNumId w:val="6"/>
  </w:num>
  <w:num w:numId="25">
    <w:abstractNumId w:val="6"/>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6"/>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6"/>
  </w:num>
  <w:num w:numId="28">
    <w:abstractNumId w:val="20"/>
  </w:num>
  <w:num w:numId="29">
    <w:abstractNumId w:val="8"/>
  </w:num>
  <w:num w:numId="30">
    <w:abstractNumId w:val="13"/>
  </w:num>
  <w:num w:numId="31">
    <w:abstractNumId w:val="4"/>
  </w:num>
  <w:num w:numId="32">
    <w:abstractNumId w:val="17"/>
  </w:num>
  <w:num w:numId="33">
    <w:abstractNumId w:val="12"/>
  </w:num>
  <w:num w:numId="34">
    <w:abstractNumId w:val="15"/>
  </w:num>
  <w:num w:numId="35">
    <w:abstractNumId w:val="18"/>
  </w:num>
  <w:num w:numId="36">
    <w:abstractNumId w:val="14"/>
  </w:num>
  <w:num w:numId="37">
    <w:abstractNumId w:val="19"/>
  </w:num>
  <w:num w:numId="38">
    <w:abstractNumId w:val="7"/>
  </w:num>
  <w:num w:numId="39">
    <w:abstractNumId w:val="5"/>
  </w:num>
  <w:num w:numId="40">
    <w:abstractNumId w:val="11"/>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510"/>
    <w:rsid w:val="000015E5"/>
    <w:rsid w:val="00002031"/>
    <w:rsid w:val="00004734"/>
    <w:rsid w:val="00006B22"/>
    <w:rsid w:val="00006FAB"/>
    <w:rsid w:val="0001276A"/>
    <w:rsid w:val="00014343"/>
    <w:rsid w:val="00020234"/>
    <w:rsid w:val="000246AE"/>
    <w:rsid w:val="0002563B"/>
    <w:rsid w:val="00025C67"/>
    <w:rsid w:val="00044772"/>
    <w:rsid w:val="0004541C"/>
    <w:rsid w:val="0005559E"/>
    <w:rsid w:val="000604D6"/>
    <w:rsid w:val="000734D8"/>
    <w:rsid w:val="00075308"/>
    <w:rsid w:val="000775F3"/>
    <w:rsid w:val="00077775"/>
    <w:rsid w:val="00090471"/>
    <w:rsid w:val="00096AA7"/>
    <w:rsid w:val="000A3AED"/>
    <w:rsid w:val="000B0B7B"/>
    <w:rsid w:val="000B3532"/>
    <w:rsid w:val="000B3A75"/>
    <w:rsid w:val="000B68B6"/>
    <w:rsid w:val="000B68D6"/>
    <w:rsid w:val="000C00C2"/>
    <w:rsid w:val="000C690F"/>
    <w:rsid w:val="000D1295"/>
    <w:rsid w:val="000D391B"/>
    <w:rsid w:val="000D3D6D"/>
    <w:rsid w:val="000D4FC7"/>
    <w:rsid w:val="000D6204"/>
    <w:rsid w:val="000D6AC7"/>
    <w:rsid w:val="000E5D98"/>
    <w:rsid w:val="000E6196"/>
    <w:rsid w:val="000F4869"/>
    <w:rsid w:val="000F5B42"/>
    <w:rsid w:val="000F6E6F"/>
    <w:rsid w:val="0010601F"/>
    <w:rsid w:val="0010788A"/>
    <w:rsid w:val="00107A31"/>
    <w:rsid w:val="00110EA5"/>
    <w:rsid w:val="00112F56"/>
    <w:rsid w:val="00113E42"/>
    <w:rsid w:val="00122C2E"/>
    <w:rsid w:val="0012461B"/>
    <w:rsid w:val="00124ACD"/>
    <w:rsid w:val="00125318"/>
    <w:rsid w:val="00130010"/>
    <w:rsid w:val="001305A2"/>
    <w:rsid w:val="00133238"/>
    <w:rsid w:val="00133A1B"/>
    <w:rsid w:val="00136977"/>
    <w:rsid w:val="0014197B"/>
    <w:rsid w:val="001428B6"/>
    <w:rsid w:val="001447CD"/>
    <w:rsid w:val="001516B1"/>
    <w:rsid w:val="00154EBB"/>
    <w:rsid w:val="00156316"/>
    <w:rsid w:val="00161181"/>
    <w:rsid w:val="00162D14"/>
    <w:rsid w:val="00163780"/>
    <w:rsid w:val="00165389"/>
    <w:rsid w:val="0017693F"/>
    <w:rsid w:val="0018110E"/>
    <w:rsid w:val="00181684"/>
    <w:rsid w:val="00182632"/>
    <w:rsid w:val="001842E8"/>
    <w:rsid w:val="001843C6"/>
    <w:rsid w:val="001850E0"/>
    <w:rsid w:val="00185313"/>
    <w:rsid w:val="00193C8A"/>
    <w:rsid w:val="001A03AF"/>
    <w:rsid w:val="001A2158"/>
    <w:rsid w:val="001A525F"/>
    <w:rsid w:val="001B09F9"/>
    <w:rsid w:val="001B0F31"/>
    <w:rsid w:val="001B4352"/>
    <w:rsid w:val="001B5C90"/>
    <w:rsid w:val="001B61F1"/>
    <w:rsid w:val="001B6448"/>
    <w:rsid w:val="001C07A7"/>
    <w:rsid w:val="001C07F9"/>
    <w:rsid w:val="001C32CD"/>
    <w:rsid w:val="001D0873"/>
    <w:rsid w:val="001D2984"/>
    <w:rsid w:val="001E07CF"/>
    <w:rsid w:val="001E59F1"/>
    <w:rsid w:val="001F15D9"/>
    <w:rsid w:val="001F2CEE"/>
    <w:rsid w:val="001F49EB"/>
    <w:rsid w:val="001F6CBA"/>
    <w:rsid w:val="00201D4E"/>
    <w:rsid w:val="002076C9"/>
    <w:rsid w:val="00213F85"/>
    <w:rsid w:val="00220B8A"/>
    <w:rsid w:val="002257F3"/>
    <w:rsid w:val="00233456"/>
    <w:rsid w:val="002339A5"/>
    <w:rsid w:val="002401ED"/>
    <w:rsid w:val="0024647B"/>
    <w:rsid w:val="00250271"/>
    <w:rsid w:val="00251947"/>
    <w:rsid w:val="00256D0A"/>
    <w:rsid w:val="00257848"/>
    <w:rsid w:val="002578E8"/>
    <w:rsid w:val="00257F7C"/>
    <w:rsid w:val="0027084A"/>
    <w:rsid w:val="00276F36"/>
    <w:rsid w:val="00280265"/>
    <w:rsid w:val="00286434"/>
    <w:rsid w:val="00286C59"/>
    <w:rsid w:val="00291379"/>
    <w:rsid w:val="00291957"/>
    <w:rsid w:val="00291F3D"/>
    <w:rsid w:val="002942D1"/>
    <w:rsid w:val="0029501A"/>
    <w:rsid w:val="002A3721"/>
    <w:rsid w:val="002B1638"/>
    <w:rsid w:val="002B3624"/>
    <w:rsid w:val="002B4375"/>
    <w:rsid w:val="002B73A8"/>
    <w:rsid w:val="002D0952"/>
    <w:rsid w:val="002D09A0"/>
    <w:rsid w:val="002D6F01"/>
    <w:rsid w:val="002E40B3"/>
    <w:rsid w:val="002E4C9A"/>
    <w:rsid w:val="002F11F8"/>
    <w:rsid w:val="002F2A3B"/>
    <w:rsid w:val="002F3F56"/>
    <w:rsid w:val="002F44B5"/>
    <w:rsid w:val="002F5122"/>
    <w:rsid w:val="00311AC0"/>
    <w:rsid w:val="003176FC"/>
    <w:rsid w:val="00324E45"/>
    <w:rsid w:val="0032583B"/>
    <w:rsid w:val="00325A45"/>
    <w:rsid w:val="00327359"/>
    <w:rsid w:val="00327883"/>
    <w:rsid w:val="00335504"/>
    <w:rsid w:val="00340C18"/>
    <w:rsid w:val="0034356E"/>
    <w:rsid w:val="003442FD"/>
    <w:rsid w:val="00347824"/>
    <w:rsid w:val="00350567"/>
    <w:rsid w:val="003521E8"/>
    <w:rsid w:val="00355E90"/>
    <w:rsid w:val="00370714"/>
    <w:rsid w:val="00370CE3"/>
    <w:rsid w:val="003728F3"/>
    <w:rsid w:val="003735BC"/>
    <w:rsid w:val="0037496E"/>
    <w:rsid w:val="00380510"/>
    <w:rsid w:val="00383221"/>
    <w:rsid w:val="00383FBD"/>
    <w:rsid w:val="00386150"/>
    <w:rsid w:val="003874CE"/>
    <w:rsid w:val="00390900"/>
    <w:rsid w:val="00397747"/>
    <w:rsid w:val="003A3025"/>
    <w:rsid w:val="003A7F6C"/>
    <w:rsid w:val="003B4D60"/>
    <w:rsid w:val="003B7E39"/>
    <w:rsid w:val="003C58DC"/>
    <w:rsid w:val="003D1E62"/>
    <w:rsid w:val="003E0B99"/>
    <w:rsid w:val="003E2486"/>
    <w:rsid w:val="003E3208"/>
    <w:rsid w:val="003F07D9"/>
    <w:rsid w:val="003F0B04"/>
    <w:rsid w:val="0040134E"/>
    <w:rsid w:val="00406F74"/>
    <w:rsid w:val="0041655D"/>
    <w:rsid w:val="004334C7"/>
    <w:rsid w:val="00440A2D"/>
    <w:rsid w:val="00441C3F"/>
    <w:rsid w:val="00444D1A"/>
    <w:rsid w:val="0045186A"/>
    <w:rsid w:val="004546EA"/>
    <w:rsid w:val="004564A7"/>
    <w:rsid w:val="00456765"/>
    <w:rsid w:val="00460036"/>
    <w:rsid w:val="004611F5"/>
    <w:rsid w:val="004617BF"/>
    <w:rsid w:val="00463658"/>
    <w:rsid w:val="004637A0"/>
    <w:rsid w:val="00465344"/>
    <w:rsid w:val="004722CC"/>
    <w:rsid w:val="00490483"/>
    <w:rsid w:val="004936E4"/>
    <w:rsid w:val="00494E60"/>
    <w:rsid w:val="00497487"/>
    <w:rsid w:val="004A2771"/>
    <w:rsid w:val="004A6189"/>
    <w:rsid w:val="004A7390"/>
    <w:rsid w:val="004A763B"/>
    <w:rsid w:val="004B11D8"/>
    <w:rsid w:val="004B20A7"/>
    <w:rsid w:val="004B7B76"/>
    <w:rsid w:val="004C0954"/>
    <w:rsid w:val="004C239D"/>
    <w:rsid w:val="004C2DCA"/>
    <w:rsid w:val="004C4FBE"/>
    <w:rsid w:val="004C595D"/>
    <w:rsid w:val="004C5A05"/>
    <w:rsid w:val="004C5EA9"/>
    <w:rsid w:val="004C61D2"/>
    <w:rsid w:val="004D4D3A"/>
    <w:rsid w:val="004E6231"/>
    <w:rsid w:val="004F0C4A"/>
    <w:rsid w:val="004F0F38"/>
    <w:rsid w:val="004F3D04"/>
    <w:rsid w:val="004F47D6"/>
    <w:rsid w:val="00500337"/>
    <w:rsid w:val="0050079B"/>
    <w:rsid w:val="00501921"/>
    <w:rsid w:val="005054AA"/>
    <w:rsid w:val="00530354"/>
    <w:rsid w:val="0053625B"/>
    <w:rsid w:val="005434C6"/>
    <w:rsid w:val="00543B39"/>
    <w:rsid w:val="00546154"/>
    <w:rsid w:val="0054674C"/>
    <w:rsid w:val="00550096"/>
    <w:rsid w:val="00555280"/>
    <w:rsid w:val="00557FF9"/>
    <w:rsid w:val="00562327"/>
    <w:rsid w:val="005711D5"/>
    <w:rsid w:val="00576053"/>
    <w:rsid w:val="00576378"/>
    <w:rsid w:val="00577130"/>
    <w:rsid w:val="00577945"/>
    <w:rsid w:val="00577E38"/>
    <w:rsid w:val="00585322"/>
    <w:rsid w:val="005857C6"/>
    <w:rsid w:val="00585F68"/>
    <w:rsid w:val="00592F6E"/>
    <w:rsid w:val="00593AD1"/>
    <w:rsid w:val="00597B04"/>
    <w:rsid w:val="005A33E8"/>
    <w:rsid w:val="005A68B6"/>
    <w:rsid w:val="005B5EA7"/>
    <w:rsid w:val="005C421A"/>
    <w:rsid w:val="005C431F"/>
    <w:rsid w:val="005C5570"/>
    <w:rsid w:val="005C5B66"/>
    <w:rsid w:val="005C649D"/>
    <w:rsid w:val="005C79A4"/>
    <w:rsid w:val="005D5442"/>
    <w:rsid w:val="005D7B1E"/>
    <w:rsid w:val="005E1BBF"/>
    <w:rsid w:val="005E60DD"/>
    <w:rsid w:val="00603F32"/>
    <w:rsid w:val="00604013"/>
    <w:rsid w:val="00605AD4"/>
    <w:rsid w:val="006136D7"/>
    <w:rsid w:val="00625A6E"/>
    <w:rsid w:val="00632398"/>
    <w:rsid w:val="00633EE4"/>
    <w:rsid w:val="00640FC3"/>
    <w:rsid w:val="00642020"/>
    <w:rsid w:val="006430EE"/>
    <w:rsid w:val="0065337B"/>
    <w:rsid w:val="0065419D"/>
    <w:rsid w:val="006603BC"/>
    <w:rsid w:val="006604D8"/>
    <w:rsid w:val="00664A5B"/>
    <w:rsid w:val="0066735C"/>
    <w:rsid w:val="006763D2"/>
    <w:rsid w:val="00677FD5"/>
    <w:rsid w:val="00680C08"/>
    <w:rsid w:val="0068639B"/>
    <w:rsid w:val="006916A0"/>
    <w:rsid w:val="006931B1"/>
    <w:rsid w:val="006A1561"/>
    <w:rsid w:val="006A15C0"/>
    <w:rsid w:val="006A58A8"/>
    <w:rsid w:val="006B7FB4"/>
    <w:rsid w:val="006C3E2A"/>
    <w:rsid w:val="006C642F"/>
    <w:rsid w:val="006D03E5"/>
    <w:rsid w:val="006D5D3E"/>
    <w:rsid w:val="006E08B3"/>
    <w:rsid w:val="006F17AC"/>
    <w:rsid w:val="006F25B8"/>
    <w:rsid w:val="006F4512"/>
    <w:rsid w:val="006F572E"/>
    <w:rsid w:val="00702773"/>
    <w:rsid w:val="007046D6"/>
    <w:rsid w:val="00704D40"/>
    <w:rsid w:val="00705DB0"/>
    <w:rsid w:val="00713E52"/>
    <w:rsid w:val="00722B57"/>
    <w:rsid w:val="00730F8A"/>
    <w:rsid w:val="00735A8C"/>
    <w:rsid w:val="0074253D"/>
    <w:rsid w:val="00744121"/>
    <w:rsid w:val="0074429B"/>
    <w:rsid w:val="007456BD"/>
    <w:rsid w:val="00755094"/>
    <w:rsid w:val="007615BC"/>
    <w:rsid w:val="00762F05"/>
    <w:rsid w:val="007652FF"/>
    <w:rsid w:val="00770CAC"/>
    <w:rsid w:val="00770EF1"/>
    <w:rsid w:val="00773EF7"/>
    <w:rsid w:val="00774E1D"/>
    <w:rsid w:val="007765D8"/>
    <w:rsid w:val="0077675A"/>
    <w:rsid w:val="00780355"/>
    <w:rsid w:val="007819FD"/>
    <w:rsid w:val="00783A9F"/>
    <w:rsid w:val="00785717"/>
    <w:rsid w:val="00785721"/>
    <w:rsid w:val="00791733"/>
    <w:rsid w:val="00793A59"/>
    <w:rsid w:val="00795423"/>
    <w:rsid w:val="007A0BAA"/>
    <w:rsid w:val="007A1FCA"/>
    <w:rsid w:val="007A46F5"/>
    <w:rsid w:val="007A5E77"/>
    <w:rsid w:val="007A6505"/>
    <w:rsid w:val="007B6132"/>
    <w:rsid w:val="007B6E9F"/>
    <w:rsid w:val="007C1216"/>
    <w:rsid w:val="007C1AF7"/>
    <w:rsid w:val="007C2DF6"/>
    <w:rsid w:val="007C6B9B"/>
    <w:rsid w:val="007D53B6"/>
    <w:rsid w:val="007D64C0"/>
    <w:rsid w:val="00805D27"/>
    <w:rsid w:val="00806DCB"/>
    <w:rsid w:val="00807E4E"/>
    <w:rsid w:val="00821776"/>
    <w:rsid w:val="008321F5"/>
    <w:rsid w:val="00832369"/>
    <w:rsid w:val="00834660"/>
    <w:rsid w:val="0083577C"/>
    <w:rsid w:val="00836BC2"/>
    <w:rsid w:val="00840F64"/>
    <w:rsid w:val="008421F0"/>
    <w:rsid w:val="0084467D"/>
    <w:rsid w:val="0085156D"/>
    <w:rsid w:val="00852B28"/>
    <w:rsid w:val="0085641B"/>
    <w:rsid w:val="00856865"/>
    <w:rsid w:val="00857136"/>
    <w:rsid w:val="008604AF"/>
    <w:rsid w:val="008627BD"/>
    <w:rsid w:val="008721D8"/>
    <w:rsid w:val="00875A6B"/>
    <w:rsid w:val="00885225"/>
    <w:rsid w:val="00885B11"/>
    <w:rsid w:val="00885BAB"/>
    <w:rsid w:val="00885F3D"/>
    <w:rsid w:val="00886D15"/>
    <w:rsid w:val="00887DD8"/>
    <w:rsid w:val="00891BA9"/>
    <w:rsid w:val="00896018"/>
    <w:rsid w:val="008960DD"/>
    <w:rsid w:val="0089635C"/>
    <w:rsid w:val="008A169A"/>
    <w:rsid w:val="008A1F59"/>
    <w:rsid w:val="008A2B9D"/>
    <w:rsid w:val="008A3D9F"/>
    <w:rsid w:val="008A5E0B"/>
    <w:rsid w:val="008A6D59"/>
    <w:rsid w:val="008B4B03"/>
    <w:rsid w:val="008B4C50"/>
    <w:rsid w:val="008B596F"/>
    <w:rsid w:val="008B7289"/>
    <w:rsid w:val="008C159F"/>
    <w:rsid w:val="008C1623"/>
    <w:rsid w:val="008C1850"/>
    <w:rsid w:val="008C51A9"/>
    <w:rsid w:val="008C6054"/>
    <w:rsid w:val="008E0F41"/>
    <w:rsid w:val="008E7846"/>
    <w:rsid w:val="008F02E5"/>
    <w:rsid w:val="008F1CCC"/>
    <w:rsid w:val="008F21D4"/>
    <w:rsid w:val="008F2967"/>
    <w:rsid w:val="008F6943"/>
    <w:rsid w:val="00902A21"/>
    <w:rsid w:val="00914D14"/>
    <w:rsid w:val="0091523F"/>
    <w:rsid w:val="00920330"/>
    <w:rsid w:val="00920DAB"/>
    <w:rsid w:val="009219D7"/>
    <w:rsid w:val="00922D53"/>
    <w:rsid w:val="00923B70"/>
    <w:rsid w:val="00924482"/>
    <w:rsid w:val="00930237"/>
    <w:rsid w:val="00937C17"/>
    <w:rsid w:val="00940A89"/>
    <w:rsid w:val="00941F77"/>
    <w:rsid w:val="00946EA5"/>
    <w:rsid w:val="00957741"/>
    <w:rsid w:val="00957EF7"/>
    <w:rsid w:val="00960520"/>
    <w:rsid w:val="009636A7"/>
    <w:rsid w:val="00963C08"/>
    <w:rsid w:val="00970113"/>
    <w:rsid w:val="00974167"/>
    <w:rsid w:val="009752A5"/>
    <w:rsid w:val="00976351"/>
    <w:rsid w:val="0098585A"/>
    <w:rsid w:val="0099292B"/>
    <w:rsid w:val="009A4CED"/>
    <w:rsid w:val="009A5093"/>
    <w:rsid w:val="009A690D"/>
    <w:rsid w:val="009A6BE7"/>
    <w:rsid w:val="009B1D12"/>
    <w:rsid w:val="009B416B"/>
    <w:rsid w:val="009C460B"/>
    <w:rsid w:val="009C4BD5"/>
    <w:rsid w:val="009D4B45"/>
    <w:rsid w:val="009D4BCC"/>
    <w:rsid w:val="009D7B77"/>
    <w:rsid w:val="009E0BB0"/>
    <w:rsid w:val="009E3FBB"/>
    <w:rsid w:val="009F71DC"/>
    <w:rsid w:val="009F7353"/>
    <w:rsid w:val="00A04F85"/>
    <w:rsid w:val="00A05FA4"/>
    <w:rsid w:val="00A102E4"/>
    <w:rsid w:val="00A1219C"/>
    <w:rsid w:val="00A12C42"/>
    <w:rsid w:val="00A14DF7"/>
    <w:rsid w:val="00A20178"/>
    <w:rsid w:val="00A22D57"/>
    <w:rsid w:val="00A3246D"/>
    <w:rsid w:val="00A36FA7"/>
    <w:rsid w:val="00A40688"/>
    <w:rsid w:val="00A44DDB"/>
    <w:rsid w:val="00A475B7"/>
    <w:rsid w:val="00A47AF7"/>
    <w:rsid w:val="00A47C3E"/>
    <w:rsid w:val="00A50226"/>
    <w:rsid w:val="00A51590"/>
    <w:rsid w:val="00A53735"/>
    <w:rsid w:val="00A542F0"/>
    <w:rsid w:val="00A60BAD"/>
    <w:rsid w:val="00A714EE"/>
    <w:rsid w:val="00A77F87"/>
    <w:rsid w:val="00A80B5B"/>
    <w:rsid w:val="00A84E36"/>
    <w:rsid w:val="00A85010"/>
    <w:rsid w:val="00A964D1"/>
    <w:rsid w:val="00AA0ED0"/>
    <w:rsid w:val="00AA5A0B"/>
    <w:rsid w:val="00AB6A4B"/>
    <w:rsid w:val="00AC2B40"/>
    <w:rsid w:val="00AC2BB2"/>
    <w:rsid w:val="00AC2C3C"/>
    <w:rsid w:val="00AC512D"/>
    <w:rsid w:val="00AD0083"/>
    <w:rsid w:val="00AD3935"/>
    <w:rsid w:val="00AE13CE"/>
    <w:rsid w:val="00AE3D77"/>
    <w:rsid w:val="00AE65EB"/>
    <w:rsid w:val="00AE67A7"/>
    <w:rsid w:val="00AE7B22"/>
    <w:rsid w:val="00AF06C0"/>
    <w:rsid w:val="00AF1D94"/>
    <w:rsid w:val="00AF3ED3"/>
    <w:rsid w:val="00AF60C5"/>
    <w:rsid w:val="00B009C6"/>
    <w:rsid w:val="00B01548"/>
    <w:rsid w:val="00B12B70"/>
    <w:rsid w:val="00B130C5"/>
    <w:rsid w:val="00B13EBD"/>
    <w:rsid w:val="00B21D29"/>
    <w:rsid w:val="00B25034"/>
    <w:rsid w:val="00B33588"/>
    <w:rsid w:val="00B33863"/>
    <w:rsid w:val="00B37D17"/>
    <w:rsid w:val="00B4175E"/>
    <w:rsid w:val="00B41C85"/>
    <w:rsid w:val="00B452CE"/>
    <w:rsid w:val="00B54C25"/>
    <w:rsid w:val="00B64C25"/>
    <w:rsid w:val="00B67599"/>
    <w:rsid w:val="00B76B91"/>
    <w:rsid w:val="00B77EB1"/>
    <w:rsid w:val="00B811C6"/>
    <w:rsid w:val="00B855B0"/>
    <w:rsid w:val="00B92E08"/>
    <w:rsid w:val="00B9440A"/>
    <w:rsid w:val="00BC622A"/>
    <w:rsid w:val="00BD2BF5"/>
    <w:rsid w:val="00BD31E1"/>
    <w:rsid w:val="00BE0A78"/>
    <w:rsid w:val="00BE301A"/>
    <w:rsid w:val="00BE79F0"/>
    <w:rsid w:val="00BF046D"/>
    <w:rsid w:val="00BF0B9B"/>
    <w:rsid w:val="00BF1190"/>
    <w:rsid w:val="00BF3774"/>
    <w:rsid w:val="00BF5D04"/>
    <w:rsid w:val="00C009AA"/>
    <w:rsid w:val="00C0497A"/>
    <w:rsid w:val="00C1164D"/>
    <w:rsid w:val="00C16861"/>
    <w:rsid w:val="00C17B98"/>
    <w:rsid w:val="00C26648"/>
    <w:rsid w:val="00C346AB"/>
    <w:rsid w:val="00C404A6"/>
    <w:rsid w:val="00C40A36"/>
    <w:rsid w:val="00C44419"/>
    <w:rsid w:val="00C44A27"/>
    <w:rsid w:val="00C45E7B"/>
    <w:rsid w:val="00C4693A"/>
    <w:rsid w:val="00C47086"/>
    <w:rsid w:val="00C471B1"/>
    <w:rsid w:val="00C525A2"/>
    <w:rsid w:val="00C52E24"/>
    <w:rsid w:val="00C54EEE"/>
    <w:rsid w:val="00C6316B"/>
    <w:rsid w:val="00C634A9"/>
    <w:rsid w:val="00C64586"/>
    <w:rsid w:val="00C65EF0"/>
    <w:rsid w:val="00C70A36"/>
    <w:rsid w:val="00C70D53"/>
    <w:rsid w:val="00C73D0B"/>
    <w:rsid w:val="00C74348"/>
    <w:rsid w:val="00C74F5C"/>
    <w:rsid w:val="00C772FF"/>
    <w:rsid w:val="00C80137"/>
    <w:rsid w:val="00C801AF"/>
    <w:rsid w:val="00C80256"/>
    <w:rsid w:val="00C80347"/>
    <w:rsid w:val="00C8779F"/>
    <w:rsid w:val="00C94CD4"/>
    <w:rsid w:val="00C95E27"/>
    <w:rsid w:val="00C9747E"/>
    <w:rsid w:val="00CA0D37"/>
    <w:rsid w:val="00CB156A"/>
    <w:rsid w:val="00CB6BC0"/>
    <w:rsid w:val="00CC15B8"/>
    <w:rsid w:val="00CC1B7C"/>
    <w:rsid w:val="00CC727F"/>
    <w:rsid w:val="00CD2CF4"/>
    <w:rsid w:val="00CF15C3"/>
    <w:rsid w:val="00CF2B6F"/>
    <w:rsid w:val="00CF2F3E"/>
    <w:rsid w:val="00CF58B6"/>
    <w:rsid w:val="00CF5DAD"/>
    <w:rsid w:val="00CF62A6"/>
    <w:rsid w:val="00CF6EB8"/>
    <w:rsid w:val="00D0062D"/>
    <w:rsid w:val="00D017ED"/>
    <w:rsid w:val="00D040D3"/>
    <w:rsid w:val="00D04C65"/>
    <w:rsid w:val="00D06F43"/>
    <w:rsid w:val="00D153D8"/>
    <w:rsid w:val="00D201D2"/>
    <w:rsid w:val="00D209B7"/>
    <w:rsid w:val="00D224FE"/>
    <w:rsid w:val="00D23139"/>
    <w:rsid w:val="00D2419A"/>
    <w:rsid w:val="00D425BB"/>
    <w:rsid w:val="00D453FA"/>
    <w:rsid w:val="00D63551"/>
    <w:rsid w:val="00D6493E"/>
    <w:rsid w:val="00D7195D"/>
    <w:rsid w:val="00D7301E"/>
    <w:rsid w:val="00D83AE1"/>
    <w:rsid w:val="00D855D4"/>
    <w:rsid w:val="00D869F7"/>
    <w:rsid w:val="00D902C9"/>
    <w:rsid w:val="00D93466"/>
    <w:rsid w:val="00DA1124"/>
    <w:rsid w:val="00DA64CB"/>
    <w:rsid w:val="00DB06B8"/>
    <w:rsid w:val="00DB33AC"/>
    <w:rsid w:val="00DB6124"/>
    <w:rsid w:val="00DB750B"/>
    <w:rsid w:val="00DB75B7"/>
    <w:rsid w:val="00DC0A2F"/>
    <w:rsid w:val="00DC1948"/>
    <w:rsid w:val="00DC6E02"/>
    <w:rsid w:val="00DD28CD"/>
    <w:rsid w:val="00DE02AE"/>
    <w:rsid w:val="00DE08B9"/>
    <w:rsid w:val="00DE39D1"/>
    <w:rsid w:val="00DE6CA0"/>
    <w:rsid w:val="00DF1D7F"/>
    <w:rsid w:val="00DF3DCA"/>
    <w:rsid w:val="00DF4BE4"/>
    <w:rsid w:val="00E02382"/>
    <w:rsid w:val="00E02FB4"/>
    <w:rsid w:val="00E03137"/>
    <w:rsid w:val="00E04A3B"/>
    <w:rsid w:val="00E1168C"/>
    <w:rsid w:val="00E13FC7"/>
    <w:rsid w:val="00E20571"/>
    <w:rsid w:val="00E235F7"/>
    <w:rsid w:val="00E23659"/>
    <w:rsid w:val="00E2379A"/>
    <w:rsid w:val="00E239D4"/>
    <w:rsid w:val="00E26130"/>
    <w:rsid w:val="00E30A53"/>
    <w:rsid w:val="00E33D42"/>
    <w:rsid w:val="00E37C01"/>
    <w:rsid w:val="00E40B22"/>
    <w:rsid w:val="00E44ED1"/>
    <w:rsid w:val="00E45619"/>
    <w:rsid w:val="00E4588F"/>
    <w:rsid w:val="00E46199"/>
    <w:rsid w:val="00E46DA3"/>
    <w:rsid w:val="00E51BB1"/>
    <w:rsid w:val="00E55CB0"/>
    <w:rsid w:val="00E624A5"/>
    <w:rsid w:val="00E64BA4"/>
    <w:rsid w:val="00E7344E"/>
    <w:rsid w:val="00E82665"/>
    <w:rsid w:val="00E87252"/>
    <w:rsid w:val="00E87AC5"/>
    <w:rsid w:val="00E9053A"/>
    <w:rsid w:val="00EA5DB4"/>
    <w:rsid w:val="00EA6F21"/>
    <w:rsid w:val="00EB0798"/>
    <w:rsid w:val="00EB40AD"/>
    <w:rsid w:val="00EB586E"/>
    <w:rsid w:val="00EB5FC8"/>
    <w:rsid w:val="00EB6211"/>
    <w:rsid w:val="00EC293F"/>
    <w:rsid w:val="00EC463D"/>
    <w:rsid w:val="00EC7A85"/>
    <w:rsid w:val="00ED2922"/>
    <w:rsid w:val="00ED3CAD"/>
    <w:rsid w:val="00ED5A41"/>
    <w:rsid w:val="00EE1DE8"/>
    <w:rsid w:val="00EE27C2"/>
    <w:rsid w:val="00EF4BAD"/>
    <w:rsid w:val="00EF59DC"/>
    <w:rsid w:val="00F033EC"/>
    <w:rsid w:val="00F04F68"/>
    <w:rsid w:val="00F12670"/>
    <w:rsid w:val="00F14B27"/>
    <w:rsid w:val="00F263B0"/>
    <w:rsid w:val="00F3148D"/>
    <w:rsid w:val="00F325C5"/>
    <w:rsid w:val="00F32FE0"/>
    <w:rsid w:val="00F35298"/>
    <w:rsid w:val="00F36D7B"/>
    <w:rsid w:val="00F47333"/>
    <w:rsid w:val="00F47E37"/>
    <w:rsid w:val="00F53721"/>
    <w:rsid w:val="00F53C07"/>
    <w:rsid w:val="00F54512"/>
    <w:rsid w:val="00F54B65"/>
    <w:rsid w:val="00F63DBF"/>
    <w:rsid w:val="00F640B6"/>
    <w:rsid w:val="00F66DF2"/>
    <w:rsid w:val="00F67624"/>
    <w:rsid w:val="00F80E40"/>
    <w:rsid w:val="00F848D9"/>
    <w:rsid w:val="00FA5069"/>
    <w:rsid w:val="00FA5B82"/>
    <w:rsid w:val="00FA639E"/>
    <w:rsid w:val="00FC1FCA"/>
    <w:rsid w:val="00FC25E4"/>
    <w:rsid w:val="00FC4EF7"/>
    <w:rsid w:val="00FD0824"/>
    <w:rsid w:val="00FD119B"/>
    <w:rsid w:val="00FD1EDC"/>
    <w:rsid w:val="00FD3F4A"/>
    <w:rsid w:val="00FD64CC"/>
    <w:rsid w:val="00FE04B8"/>
    <w:rsid w:val="00FE1DEE"/>
    <w:rsid w:val="00FE338D"/>
    <w:rsid w:val="00FE5E12"/>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709D0A03"/>
  <w15:docId w15:val="{CC1E91BA-9986-4021-A0CD-96F3CA8E3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713E52"/>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C74F5C"/>
    <w:pPr>
      <w:spacing w:after="480" w:line="240" w:lineRule="auto"/>
      <w:contextualSpacing/>
      <w:outlineLvl w:val="0"/>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74F5C"/>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Default">
    <w:name w:val="Default"/>
    <w:rsid w:val="00A2017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basedOn w:val="Normal"/>
    <w:link w:val="StandardChar"/>
    <w:qFormat/>
    <w:rsid w:val="00970113"/>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970113"/>
    <w:rPr>
      <w:rFonts w:ascii="Cambria" w:eastAsia="Times New Roman" w:hAnsi="Cambria" w:cs="Times New Roman"/>
      <w:snapToGrid w:val="0"/>
      <w:kern w:val="16"/>
      <w:sz w:val="23"/>
      <w:szCs w:val="24"/>
    </w:rPr>
  </w:style>
  <w:style w:type="paragraph" w:styleId="ListParagraph">
    <w:name w:val="List Paragraph"/>
    <w:basedOn w:val="Normal"/>
    <w:uiPriority w:val="99"/>
    <w:qFormat/>
    <w:rsid w:val="00970113"/>
    <w:pPr>
      <w:adjustRightInd w:val="0"/>
      <w:snapToGrid w:val="0"/>
      <w:spacing w:before="180" w:after="180"/>
      <w:ind w:left="720"/>
      <w:contextualSpacing/>
    </w:pPr>
    <w:rPr>
      <w:rFonts w:eastAsia="MS Mincho"/>
      <w:szCs w:val="20"/>
      <w:lang w:eastAsia="ja-JP"/>
    </w:rPr>
  </w:style>
  <w:style w:type="paragraph" w:customStyle="1" w:styleId="Bulletlist">
    <w:name w:val="Bullet list"/>
    <w:basedOn w:val="Standard"/>
    <w:link w:val="BulletlistChar"/>
    <w:qFormat/>
    <w:rsid w:val="00970113"/>
    <w:pPr>
      <w:numPr>
        <w:numId w:val="39"/>
      </w:numPr>
      <w:spacing w:after="180"/>
    </w:pPr>
    <w:rPr>
      <w:kern w:val="2"/>
    </w:rPr>
  </w:style>
  <w:style w:type="character" w:customStyle="1" w:styleId="BulletlistChar">
    <w:name w:val="Bullet list Char"/>
    <w:basedOn w:val="StandardChar"/>
    <w:link w:val="Bulletlist"/>
    <w:rsid w:val="00970113"/>
    <w:rPr>
      <w:rFonts w:ascii="Cambria" w:eastAsia="Times New Roman" w:hAnsi="Cambria" w:cs="Times New Roman"/>
      <w:snapToGrid w:val="0"/>
      <w:kern w:val="2"/>
      <w:sz w:val="23"/>
      <w:szCs w:val="24"/>
    </w:rPr>
  </w:style>
  <w:style w:type="character" w:customStyle="1" w:styleId="TabletextChar">
    <w:name w:val="Table text Char"/>
    <w:basedOn w:val="StandardChar"/>
    <w:link w:val="Tabletext"/>
    <w:rsid w:val="00A53735"/>
    <w:rPr>
      <w:rFonts w:ascii="Cambria" w:eastAsia="Cambria" w:hAnsi="Cambria" w:cs="Times New Roman"/>
      <w:snapToGrid/>
      <w:kern w:val="16"/>
      <w:sz w:val="19"/>
      <w:szCs w:val="24"/>
    </w:rPr>
  </w:style>
  <w:style w:type="paragraph" w:styleId="NormalWeb">
    <w:name w:val="Normal (Web)"/>
    <w:basedOn w:val="Normal"/>
    <w:uiPriority w:val="99"/>
    <w:unhideWhenUsed/>
    <w:rsid w:val="00A53735"/>
    <w:pPr>
      <w:spacing w:before="100" w:beforeAutospacing="1" w:after="100" w:afterAutospacing="1" w:line="240" w:lineRule="auto"/>
    </w:pPr>
    <w:rPr>
      <w:rFonts w:ascii="Times New Roman" w:eastAsia="Times New Roman" w:hAnsi="Times New Roman"/>
      <w:sz w:val="24"/>
      <w:szCs w:val="24"/>
      <w:lang w:eastAsia="en-AU"/>
    </w:rPr>
  </w:style>
  <w:style w:type="paragraph" w:styleId="TOC4">
    <w:name w:val="toc 4"/>
    <w:basedOn w:val="Normal"/>
    <w:next w:val="Normal"/>
    <w:autoRedefine/>
    <w:uiPriority w:val="39"/>
    <w:semiHidden/>
    <w:unhideWhenUsed/>
    <w:rsid w:val="00856865"/>
    <w:pPr>
      <w:spacing w:after="100"/>
      <w:ind w:left="660"/>
    </w:pPr>
  </w:style>
  <w:style w:type="paragraph" w:styleId="TOC5">
    <w:name w:val="toc 5"/>
    <w:basedOn w:val="Normal"/>
    <w:next w:val="Normal"/>
    <w:autoRedefine/>
    <w:uiPriority w:val="39"/>
    <w:semiHidden/>
    <w:unhideWhenUsed/>
    <w:rsid w:val="00856865"/>
    <w:pPr>
      <w:spacing w:after="100"/>
      <w:ind w:left="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tga.gov.au/product-information-pi" TargetMode="Externa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s://www.tga.gov.au/product-information-pi" TargetMode="Externa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tga.gov.au" TargetMode="External"/><Relationship Id="rId28"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eader" Target="header3.xml"/><Relationship Id="rId22" Type="http://schemas.openxmlformats.org/officeDocument/2006/relationships/hyperlink" Target="mailto:info@tga.gov.au" TargetMode="External"/><Relationship Id="rId27" Type="http://schemas.openxmlformats.org/officeDocument/2006/relationships/header" Target="header9.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2C991-F9C6-495E-AC57-0466C5353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9273</Words>
  <Characters>52858</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Australian public assessment report for</vt:lpstr>
    </vt:vector>
  </TitlesOfParts>
  <Company>Department of Health Therapeutic Goods Administration</Company>
  <LinksUpToDate>false</LinksUpToDate>
  <CharactersWithSpaces>62007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Eslicarbazepine acetate</dc:title>
  <dc:subject>prescription medicines</dc:subject>
  <dc:creator>Therapeutic Goods Administration</dc:creator>
  <cp:keywords/>
  <cp:lastPrinted>2019-08-14T04:30:00Z</cp:lastPrinted>
  <dcterms:created xsi:type="dcterms:W3CDTF">2021-10-07T04:50:00Z</dcterms:created>
  <dcterms:modified xsi:type="dcterms:W3CDTF">2021-10-07T04:51:00Z</dcterms:modified>
  <cp:category/>
</cp:coreProperties>
</file>