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4E3BD39" w14:textId="77777777" w:rsidTr="00BF1190">
        <w:trPr>
          <w:trHeight w:val="1863"/>
        </w:trPr>
        <w:tc>
          <w:tcPr>
            <w:tcW w:w="3652" w:type="dxa"/>
            <w:tcBorders>
              <w:top w:val="nil"/>
              <w:left w:val="nil"/>
              <w:bottom w:val="nil"/>
              <w:right w:val="nil"/>
            </w:tcBorders>
          </w:tcPr>
          <w:p w14:paraId="010CD8BF" w14:textId="6B2E3979" w:rsidR="008E7846" w:rsidRPr="00096AA7" w:rsidRDefault="00061CF1" w:rsidP="00096AA7">
            <w:pPr>
              <w:rPr>
                <w:rFonts w:ascii="Arial" w:hAnsi="Arial" w:cs="Arial"/>
                <w:b/>
                <w:color w:val="002C47"/>
                <w:sz w:val="36"/>
                <w:szCs w:val="36"/>
              </w:rPr>
            </w:pPr>
            <w:r>
              <w:rPr>
                <w:rFonts w:ascii="Arial" w:hAnsi="Arial" w:cs="Arial"/>
                <w:b/>
                <w:color w:val="002C47"/>
                <w:sz w:val="36"/>
                <w:szCs w:val="36"/>
              </w:rPr>
              <w:t xml:space="preserve">May </w:t>
            </w:r>
            <w:r w:rsidR="00774800">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F47C0C1" w14:textId="77777777" w:rsidTr="0032583B">
        <w:trPr>
          <w:trHeight w:val="868"/>
        </w:trPr>
        <w:tc>
          <w:tcPr>
            <w:tcW w:w="9079" w:type="dxa"/>
          </w:tcPr>
          <w:p w14:paraId="0FDF2980" w14:textId="77777777" w:rsidR="0032583B" w:rsidRPr="00A964D1" w:rsidRDefault="0032583B" w:rsidP="00774800">
            <w:pPr>
              <w:pStyle w:val="Title"/>
              <w:rPr>
                <w:color w:val="FFFFFF" w:themeColor="background1"/>
              </w:rPr>
            </w:pPr>
            <w:r w:rsidRPr="00A964D1">
              <w:rPr>
                <w:color w:val="FFFFFF" w:themeColor="background1"/>
              </w:rPr>
              <w:t>Australia</w:t>
            </w:r>
            <w:r w:rsidR="00774800">
              <w:rPr>
                <w:color w:val="FFFFFF" w:themeColor="background1"/>
              </w:rPr>
              <w:t xml:space="preserve">n Public Assessment Report for </w:t>
            </w:r>
            <w:proofErr w:type="spellStart"/>
            <w:r w:rsidR="00774800" w:rsidRPr="00774800">
              <w:rPr>
                <w:color w:val="FFFFFF" w:themeColor="background1"/>
              </w:rPr>
              <w:t>Esketamine</w:t>
            </w:r>
            <w:proofErr w:type="spellEnd"/>
            <w:r w:rsidR="00774800" w:rsidRPr="00774800">
              <w:rPr>
                <w:color w:val="FFFFFF" w:themeColor="background1"/>
              </w:rPr>
              <w:t xml:space="preserve"> hydrochloride</w:t>
            </w:r>
          </w:p>
        </w:tc>
      </w:tr>
      <w:tr w:rsidR="0032583B" w:rsidRPr="00B64760" w14:paraId="58C80450" w14:textId="77777777" w:rsidTr="0032583B">
        <w:tc>
          <w:tcPr>
            <w:tcW w:w="9079" w:type="dxa"/>
          </w:tcPr>
          <w:p w14:paraId="7EBAA139" w14:textId="77777777" w:rsidR="0032583B" w:rsidRPr="008E7846" w:rsidRDefault="0032583B" w:rsidP="00460036">
            <w:pPr>
              <w:pStyle w:val="Subtitle"/>
              <w:rPr>
                <w:color w:val="FFFFFF" w:themeColor="background1"/>
              </w:rPr>
            </w:pPr>
            <w:r w:rsidRPr="008E7846">
              <w:rPr>
                <w:color w:val="FFFFFF" w:themeColor="background1"/>
              </w:rPr>
              <w:t xml:space="preserve">Proprietary Product Name: </w:t>
            </w:r>
            <w:proofErr w:type="spellStart"/>
            <w:r w:rsidR="00774800" w:rsidRPr="00774800">
              <w:rPr>
                <w:color w:val="FFFFFF" w:themeColor="background1"/>
              </w:rPr>
              <w:t>Spravato</w:t>
            </w:r>
            <w:proofErr w:type="spellEnd"/>
          </w:p>
        </w:tc>
      </w:tr>
      <w:tr w:rsidR="0032583B" w:rsidRPr="00B64760" w14:paraId="7F5FCCEE" w14:textId="77777777" w:rsidTr="0032583B">
        <w:trPr>
          <w:trHeight w:val="486"/>
        </w:trPr>
        <w:tc>
          <w:tcPr>
            <w:tcW w:w="9079" w:type="dxa"/>
          </w:tcPr>
          <w:p w14:paraId="0C5A4D9A" w14:textId="77777777" w:rsidR="0032583B" w:rsidRPr="008E7846" w:rsidRDefault="00460036" w:rsidP="0032583B">
            <w:pPr>
              <w:pStyle w:val="Subtitle"/>
              <w:rPr>
                <w:color w:val="FFFFFF" w:themeColor="background1"/>
              </w:rPr>
            </w:pPr>
            <w:r>
              <w:rPr>
                <w:color w:val="FFFFFF" w:themeColor="background1"/>
              </w:rPr>
              <w:t xml:space="preserve">Sponsor: </w:t>
            </w:r>
            <w:r w:rsidR="00774800" w:rsidRPr="00774800">
              <w:rPr>
                <w:color w:val="FFFFFF" w:themeColor="background1"/>
              </w:rPr>
              <w:t>Janssen-</w:t>
            </w:r>
            <w:proofErr w:type="spellStart"/>
            <w:r w:rsidR="00774800" w:rsidRPr="00774800">
              <w:rPr>
                <w:color w:val="FFFFFF" w:themeColor="background1"/>
              </w:rPr>
              <w:t>Cilag</w:t>
            </w:r>
            <w:proofErr w:type="spellEnd"/>
            <w:r w:rsidR="00774800" w:rsidRPr="00774800">
              <w:rPr>
                <w:color w:val="FFFFFF" w:themeColor="background1"/>
              </w:rPr>
              <w:t xml:space="preserve"> Pty Ltd</w:t>
            </w:r>
          </w:p>
        </w:tc>
      </w:tr>
    </w:tbl>
    <w:p w14:paraId="1945CB50" w14:textId="77777777" w:rsidR="008E7846" w:rsidRPr="0085156D" w:rsidRDefault="008E7846" w:rsidP="0085156D">
      <w:r w:rsidRPr="0085156D">
        <w:br w:type="page"/>
      </w:r>
    </w:p>
    <w:p w14:paraId="2595717D" w14:textId="77777777" w:rsidR="008E7846" w:rsidRPr="001F6CBA" w:rsidRDefault="008E7846" w:rsidP="008E7846">
      <w:pPr>
        <w:pStyle w:val="NonTOCHeading2"/>
      </w:pPr>
      <w:r w:rsidRPr="001F6CBA">
        <w:lastRenderedPageBreak/>
        <w:t>About the Therapeutic Goods Administration (TGA)</w:t>
      </w:r>
    </w:p>
    <w:p w14:paraId="712F8F71" w14:textId="77777777" w:rsidR="008E7846" w:rsidRDefault="008E7846" w:rsidP="008D162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89EC362" w14:textId="77777777" w:rsidR="008E7846" w:rsidRDefault="00C80137" w:rsidP="008D162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DBA5EA5" w14:textId="77777777" w:rsidR="008E7846" w:rsidRDefault="008E7846" w:rsidP="008D162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41CDA3D4" w14:textId="77777777" w:rsidR="008E7846" w:rsidRDefault="008E7846" w:rsidP="008D162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0912C539" w14:textId="18A65397" w:rsidR="00441C3F" w:rsidRDefault="008E7846" w:rsidP="008D162C">
      <w:pPr>
        <w:pStyle w:val="ListBullet"/>
        <w:numPr>
          <w:ilvl w:val="0"/>
          <w:numId w:val="1"/>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024E0F1" w14:textId="77777777" w:rsidR="008E7846" w:rsidRDefault="008E7846" w:rsidP="00875A6B">
      <w:pPr>
        <w:pStyle w:val="NonTOCHeading2"/>
      </w:pPr>
      <w:r>
        <w:t>About AusPARs</w:t>
      </w:r>
    </w:p>
    <w:p w14:paraId="11D65119" w14:textId="77777777" w:rsidR="008E7846" w:rsidRDefault="008E7846" w:rsidP="008D162C">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5F1F3DD" w14:textId="77777777" w:rsidR="008E7846" w:rsidRDefault="008E7846" w:rsidP="008D162C">
      <w:pPr>
        <w:pStyle w:val="ListBullet"/>
        <w:numPr>
          <w:ilvl w:val="0"/>
          <w:numId w:val="1"/>
        </w:numPr>
        <w:ind w:left="357" w:hanging="357"/>
      </w:pPr>
      <w:r>
        <w:t>AusPARs are prepared and published by the TGA.</w:t>
      </w:r>
    </w:p>
    <w:p w14:paraId="0E253F94" w14:textId="77777777" w:rsidR="008E7846" w:rsidRDefault="008E7846" w:rsidP="008D162C">
      <w:pPr>
        <w:pStyle w:val="ListBullet"/>
        <w:numPr>
          <w:ilvl w:val="0"/>
          <w:numId w:val="1"/>
        </w:numPr>
        <w:ind w:left="357" w:hanging="357"/>
      </w:pPr>
      <w:r>
        <w:t>An AusPAR is prepared for submissions that relate to new chemical entities, generic medicines, major variations and extensions of indications.</w:t>
      </w:r>
    </w:p>
    <w:p w14:paraId="4604BF85" w14:textId="77777777" w:rsidR="008E7846" w:rsidRDefault="008E7846" w:rsidP="008D162C">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F343858" w14:textId="77777777" w:rsidR="00B452CE" w:rsidRDefault="008E7846" w:rsidP="008D162C">
      <w:pPr>
        <w:pStyle w:val="ListBullet"/>
        <w:numPr>
          <w:ilvl w:val="0"/>
          <w:numId w:val="1"/>
        </w:numPr>
        <w:ind w:left="357" w:hanging="357"/>
      </w:pPr>
      <w:r>
        <w:t>A new AusPAR will be developed to reflect changes to indications and/or major variations to a prescription medicine subject to evaluation by the TGA.</w:t>
      </w:r>
    </w:p>
    <w:p w14:paraId="51625871" w14:textId="77777777" w:rsidR="00924482" w:rsidRPr="00DF1D7F" w:rsidRDefault="00924482" w:rsidP="00F54B65">
      <w:pPr>
        <w:pStyle w:val="LegalSubheading"/>
        <w:spacing w:before="3120"/>
      </w:pPr>
      <w:r w:rsidRPr="00DF1D7F">
        <w:t>Copyright</w:t>
      </w:r>
    </w:p>
    <w:p w14:paraId="44E7C409" w14:textId="3FE19542"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0A587712"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EDCB34B" w14:textId="77777777" w:rsidR="0089635C" w:rsidRPr="0089635C" w:rsidRDefault="0089635C" w:rsidP="0010788A">
          <w:pPr>
            <w:pStyle w:val="Contents"/>
          </w:pPr>
          <w:r w:rsidRPr="0010788A">
            <w:t>Co</w:t>
          </w:r>
          <w:bookmarkStart w:id="2" w:name="_GoBack"/>
          <w:bookmarkEnd w:id="2"/>
          <w:r w:rsidRPr="0010788A">
            <w:t>ntents</w:t>
          </w:r>
        </w:p>
        <w:p w14:paraId="35053CF8" w14:textId="787852CE" w:rsidR="005550A8"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2744012" w:history="1">
            <w:r w:rsidR="005550A8" w:rsidRPr="00DA363B">
              <w:rPr>
                <w:rStyle w:val="Hyperlink"/>
                <w:noProof/>
              </w:rPr>
              <w:t>List of abbreviations</w:t>
            </w:r>
            <w:r w:rsidR="005550A8">
              <w:rPr>
                <w:noProof/>
                <w:webHidden/>
              </w:rPr>
              <w:tab/>
            </w:r>
            <w:r w:rsidR="005550A8">
              <w:rPr>
                <w:noProof/>
                <w:webHidden/>
              </w:rPr>
              <w:fldChar w:fldCharType="begin"/>
            </w:r>
            <w:r w:rsidR="005550A8">
              <w:rPr>
                <w:noProof/>
                <w:webHidden/>
              </w:rPr>
              <w:instrText xml:space="preserve"> PAGEREF _Toc72744012 \h </w:instrText>
            </w:r>
            <w:r w:rsidR="005550A8">
              <w:rPr>
                <w:noProof/>
                <w:webHidden/>
              </w:rPr>
            </w:r>
            <w:r w:rsidR="005550A8">
              <w:rPr>
                <w:noProof/>
                <w:webHidden/>
              </w:rPr>
              <w:fldChar w:fldCharType="separate"/>
            </w:r>
            <w:r w:rsidR="005550A8">
              <w:rPr>
                <w:noProof/>
                <w:webHidden/>
              </w:rPr>
              <w:t>4</w:t>
            </w:r>
            <w:r w:rsidR="005550A8">
              <w:rPr>
                <w:noProof/>
                <w:webHidden/>
              </w:rPr>
              <w:fldChar w:fldCharType="end"/>
            </w:r>
          </w:hyperlink>
        </w:p>
        <w:p w14:paraId="2500D0D5" w14:textId="725F2D3A" w:rsidR="005550A8" w:rsidRDefault="005550A8">
          <w:pPr>
            <w:pStyle w:val="TOC1"/>
            <w:rPr>
              <w:rFonts w:asciiTheme="minorHAnsi" w:eastAsiaTheme="minorEastAsia" w:hAnsiTheme="minorHAnsi" w:cstheme="minorBidi"/>
              <w:b w:val="0"/>
              <w:noProof/>
              <w:sz w:val="22"/>
              <w:lang w:eastAsia="en-AU"/>
            </w:rPr>
          </w:pPr>
          <w:hyperlink w:anchor="_Toc72744013" w:history="1">
            <w:r w:rsidRPr="00DA363B">
              <w:rPr>
                <w:rStyle w:val="Hyperlink"/>
                <w:noProof/>
              </w:rPr>
              <w:t>I. Introduction to product submission</w:t>
            </w:r>
            <w:r>
              <w:rPr>
                <w:noProof/>
                <w:webHidden/>
              </w:rPr>
              <w:tab/>
            </w:r>
            <w:r>
              <w:rPr>
                <w:noProof/>
                <w:webHidden/>
              </w:rPr>
              <w:fldChar w:fldCharType="begin"/>
            </w:r>
            <w:r>
              <w:rPr>
                <w:noProof/>
                <w:webHidden/>
              </w:rPr>
              <w:instrText xml:space="preserve"> PAGEREF _Toc72744013 \h </w:instrText>
            </w:r>
            <w:r>
              <w:rPr>
                <w:noProof/>
                <w:webHidden/>
              </w:rPr>
            </w:r>
            <w:r>
              <w:rPr>
                <w:noProof/>
                <w:webHidden/>
              </w:rPr>
              <w:fldChar w:fldCharType="separate"/>
            </w:r>
            <w:r>
              <w:rPr>
                <w:noProof/>
                <w:webHidden/>
              </w:rPr>
              <w:t>7</w:t>
            </w:r>
            <w:r>
              <w:rPr>
                <w:noProof/>
                <w:webHidden/>
              </w:rPr>
              <w:fldChar w:fldCharType="end"/>
            </w:r>
          </w:hyperlink>
        </w:p>
        <w:p w14:paraId="2B5853F2" w14:textId="0C3DEB3E" w:rsidR="005550A8" w:rsidRDefault="005550A8">
          <w:pPr>
            <w:pStyle w:val="TOC2"/>
            <w:rPr>
              <w:rFonts w:asciiTheme="minorHAnsi" w:eastAsiaTheme="minorEastAsia" w:hAnsiTheme="minorHAnsi" w:cstheme="minorBidi"/>
              <w:b w:val="0"/>
              <w:noProof/>
              <w:sz w:val="22"/>
              <w:lang w:eastAsia="en-AU"/>
            </w:rPr>
          </w:pPr>
          <w:hyperlink w:anchor="_Toc72744014" w:history="1">
            <w:r w:rsidRPr="00DA363B">
              <w:rPr>
                <w:rStyle w:val="Hyperlink"/>
                <w:noProof/>
                <w:lang w:eastAsia="en-AU"/>
              </w:rPr>
              <w:t>Submission details</w:t>
            </w:r>
            <w:r>
              <w:rPr>
                <w:noProof/>
                <w:webHidden/>
              </w:rPr>
              <w:tab/>
            </w:r>
            <w:r>
              <w:rPr>
                <w:noProof/>
                <w:webHidden/>
              </w:rPr>
              <w:fldChar w:fldCharType="begin"/>
            </w:r>
            <w:r>
              <w:rPr>
                <w:noProof/>
                <w:webHidden/>
              </w:rPr>
              <w:instrText xml:space="preserve"> PAGEREF _Toc72744014 \h </w:instrText>
            </w:r>
            <w:r>
              <w:rPr>
                <w:noProof/>
                <w:webHidden/>
              </w:rPr>
            </w:r>
            <w:r>
              <w:rPr>
                <w:noProof/>
                <w:webHidden/>
              </w:rPr>
              <w:fldChar w:fldCharType="separate"/>
            </w:r>
            <w:r>
              <w:rPr>
                <w:noProof/>
                <w:webHidden/>
              </w:rPr>
              <w:t>7</w:t>
            </w:r>
            <w:r>
              <w:rPr>
                <w:noProof/>
                <w:webHidden/>
              </w:rPr>
              <w:fldChar w:fldCharType="end"/>
            </w:r>
          </w:hyperlink>
        </w:p>
        <w:p w14:paraId="76993936" w14:textId="4B3C5760" w:rsidR="005550A8" w:rsidRDefault="005550A8">
          <w:pPr>
            <w:pStyle w:val="TOC2"/>
            <w:rPr>
              <w:rFonts w:asciiTheme="minorHAnsi" w:eastAsiaTheme="minorEastAsia" w:hAnsiTheme="minorHAnsi" w:cstheme="minorBidi"/>
              <w:b w:val="0"/>
              <w:noProof/>
              <w:sz w:val="22"/>
              <w:lang w:eastAsia="en-AU"/>
            </w:rPr>
          </w:pPr>
          <w:hyperlink w:anchor="_Toc72744015" w:history="1">
            <w:r w:rsidRPr="00DA363B">
              <w:rPr>
                <w:rStyle w:val="Hyperlink"/>
                <w:noProof/>
              </w:rPr>
              <w:t>Product background</w:t>
            </w:r>
            <w:r>
              <w:rPr>
                <w:noProof/>
                <w:webHidden/>
              </w:rPr>
              <w:tab/>
            </w:r>
            <w:r>
              <w:rPr>
                <w:noProof/>
                <w:webHidden/>
              </w:rPr>
              <w:fldChar w:fldCharType="begin"/>
            </w:r>
            <w:r>
              <w:rPr>
                <w:noProof/>
                <w:webHidden/>
              </w:rPr>
              <w:instrText xml:space="preserve"> PAGEREF _Toc72744015 \h </w:instrText>
            </w:r>
            <w:r>
              <w:rPr>
                <w:noProof/>
                <w:webHidden/>
              </w:rPr>
            </w:r>
            <w:r>
              <w:rPr>
                <w:noProof/>
                <w:webHidden/>
              </w:rPr>
              <w:fldChar w:fldCharType="separate"/>
            </w:r>
            <w:r>
              <w:rPr>
                <w:noProof/>
                <w:webHidden/>
              </w:rPr>
              <w:t>8</w:t>
            </w:r>
            <w:r>
              <w:rPr>
                <w:noProof/>
                <w:webHidden/>
              </w:rPr>
              <w:fldChar w:fldCharType="end"/>
            </w:r>
          </w:hyperlink>
        </w:p>
        <w:p w14:paraId="6F34C5B3" w14:textId="3FD9307F" w:rsidR="005550A8" w:rsidRDefault="005550A8">
          <w:pPr>
            <w:pStyle w:val="TOC2"/>
            <w:rPr>
              <w:rFonts w:asciiTheme="minorHAnsi" w:eastAsiaTheme="minorEastAsia" w:hAnsiTheme="minorHAnsi" w:cstheme="minorBidi"/>
              <w:b w:val="0"/>
              <w:noProof/>
              <w:sz w:val="22"/>
              <w:lang w:eastAsia="en-AU"/>
            </w:rPr>
          </w:pPr>
          <w:hyperlink w:anchor="_Toc72744016" w:history="1">
            <w:r w:rsidRPr="00DA363B">
              <w:rPr>
                <w:rStyle w:val="Hyperlink"/>
                <w:noProof/>
              </w:rPr>
              <w:t>Regulatory status</w:t>
            </w:r>
            <w:r>
              <w:rPr>
                <w:noProof/>
                <w:webHidden/>
              </w:rPr>
              <w:tab/>
            </w:r>
            <w:r>
              <w:rPr>
                <w:noProof/>
                <w:webHidden/>
              </w:rPr>
              <w:fldChar w:fldCharType="begin"/>
            </w:r>
            <w:r>
              <w:rPr>
                <w:noProof/>
                <w:webHidden/>
              </w:rPr>
              <w:instrText xml:space="preserve"> PAGEREF _Toc72744016 \h </w:instrText>
            </w:r>
            <w:r>
              <w:rPr>
                <w:noProof/>
                <w:webHidden/>
              </w:rPr>
            </w:r>
            <w:r>
              <w:rPr>
                <w:noProof/>
                <w:webHidden/>
              </w:rPr>
              <w:fldChar w:fldCharType="separate"/>
            </w:r>
            <w:r>
              <w:rPr>
                <w:noProof/>
                <w:webHidden/>
              </w:rPr>
              <w:t>10</w:t>
            </w:r>
            <w:r>
              <w:rPr>
                <w:noProof/>
                <w:webHidden/>
              </w:rPr>
              <w:fldChar w:fldCharType="end"/>
            </w:r>
          </w:hyperlink>
        </w:p>
        <w:p w14:paraId="5691523F" w14:textId="77493F95" w:rsidR="005550A8" w:rsidRDefault="005550A8">
          <w:pPr>
            <w:pStyle w:val="TOC2"/>
            <w:rPr>
              <w:rFonts w:asciiTheme="minorHAnsi" w:eastAsiaTheme="minorEastAsia" w:hAnsiTheme="minorHAnsi" w:cstheme="minorBidi"/>
              <w:b w:val="0"/>
              <w:noProof/>
              <w:sz w:val="22"/>
              <w:lang w:eastAsia="en-AU"/>
            </w:rPr>
          </w:pPr>
          <w:hyperlink w:anchor="_Toc72744017" w:history="1">
            <w:r w:rsidRPr="00DA363B">
              <w:rPr>
                <w:rStyle w:val="Hyperlink"/>
                <w:noProof/>
              </w:rPr>
              <w:t>Product Information</w:t>
            </w:r>
            <w:r>
              <w:rPr>
                <w:noProof/>
                <w:webHidden/>
              </w:rPr>
              <w:tab/>
            </w:r>
            <w:r>
              <w:rPr>
                <w:noProof/>
                <w:webHidden/>
              </w:rPr>
              <w:fldChar w:fldCharType="begin"/>
            </w:r>
            <w:r>
              <w:rPr>
                <w:noProof/>
                <w:webHidden/>
              </w:rPr>
              <w:instrText xml:space="preserve"> PAGEREF _Toc72744017 \h </w:instrText>
            </w:r>
            <w:r>
              <w:rPr>
                <w:noProof/>
                <w:webHidden/>
              </w:rPr>
            </w:r>
            <w:r>
              <w:rPr>
                <w:noProof/>
                <w:webHidden/>
              </w:rPr>
              <w:fldChar w:fldCharType="separate"/>
            </w:r>
            <w:r>
              <w:rPr>
                <w:noProof/>
                <w:webHidden/>
              </w:rPr>
              <w:t>11</w:t>
            </w:r>
            <w:r>
              <w:rPr>
                <w:noProof/>
                <w:webHidden/>
              </w:rPr>
              <w:fldChar w:fldCharType="end"/>
            </w:r>
          </w:hyperlink>
        </w:p>
        <w:p w14:paraId="200D1C39" w14:textId="22086F88" w:rsidR="005550A8" w:rsidRDefault="005550A8">
          <w:pPr>
            <w:pStyle w:val="TOC1"/>
            <w:rPr>
              <w:rFonts w:asciiTheme="minorHAnsi" w:eastAsiaTheme="minorEastAsia" w:hAnsiTheme="minorHAnsi" w:cstheme="minorBidi"/>
              <w:b w:val="0"/>
              <w:noProof/>
              <w:sz w:val="22"/>
              <w:lang w:eastAsia="en-AU"/>
            </w:rPr>
          </w:pPr>
          <w:hyperlink w:anchor="_Toc72744018" w:history="1">
            <w:r w:rsidRPr="00DA363B">
              <w:rPr>
                <w:rStyle w:val="Hyperlink"/>
                <w:noProof/>
              </w:rPr>
              <w:t>II. Registration timeline</w:t>
            </w:r>
            <w:r>
              <w:rPr>
                <w:noProof/>
                <w:webHidden/>
              </w:rPr>
              <w:tab/>
            </w:r>
            <w:r>
              <w:rPr>
                <w:noProof/>
                <w:webHidden/>
              </w:rPr>
              <w:fldChar w:fldCharType="begin"/>
            </w:r>
            <w:r>
              <w:rPr>
                <w:noProof/>
                <w:webHidden/>
              </w:rPr>
              <w:instrText xml:space="preserve"> PAGEREF _Toc72744018 \h </w:instrText>
            </w:r>
            <w:r>
              <w:rPr>
                <w:noProof/>
                <w:webHidden/>
              </w:rPr>
            </w:r>
            <w:r>
              <w:rPr>
                <w:noProof/>
                <w:webHidden/>
              </w:rPr>
              <w:fldChar w:fldCharType="separate"/>
            </w:r>
            <w:r>
              <w:rPr>
                <w:noProof/>
                <w:webHidden/>
              </w:rPr>
              <w:t>11</w:t>
            </w:r>
            <w:r>
              <w:rPr>
                <w:noProof/>
                <w:webHidden/>
              </w:rPr>
              <w:fldChar w:fldCharType="end"/>
            </w:r>
          </w:hyperlink>
        </w:p>
        <w:p w14:paraId="32006850" w14:textId="1E290974" w:rsidR="005550A8" w:rsidRDefault="005550A8">
          <w:pPr>
            <w:pStyle w:val="TOC1"/>
            <w:rPr>
              <w:rFonts w:asciiTheme="minorHAnsi" w:eastAsiaTheme="minorEastAsia" w:hAnsiTheme="minorHAnsi" w:cstheme="minorBidi"/>
              <w:b w:val="0"/>
              <w:noProof/>
              <w:sz w:val="22"/>
              <w:lang w:eastAsia="en-AU"/>
            </w:rPr>
          </w:pPr>
          <w:hyperlink w:anchor="_Toc72744019" w:history="1">
            <w:r w:rsidRPr="00DA363B">
              <w:rPr>
                <w:rStyle w:val="Hyperlink"/>
                <w:noProof/>
              </w:rPr>
              <w:t>III. Submission overview and risk/benefit assessment</w:t>
            </w:r>
            <w:r>
              <w:rPr>
                <w:noProof/>
                <w:webHidden/>
              </w:rPr>
              <w:tab/>
            </w:r>
            <w:r>
              <w:rPr>
                <w:noProof/>
                <w:webHidden/>
              </w:rPr>
              <w:fldChar w:fldCharType="begin"/>
            </w:r>
            <w:r>
              <w:rPr>
                <w:noProof/>
                <w:webHidden/>
              </w:rPr>
              <w:instrText xml:space="preserve"> PAGEREF _Toc72744019 \h </w:instrText>
            </w:r>
            <w:r>
              <w:rPr>
                <w:noProof/>
                <w:webHidden/>
              </w:rPr>
            </w:r>
            <w:r>
              <w:rPr>
                <w:noProof/>
                <w:webHidden/>
              </w:rPr>
              <w:fldChar w:fldCharType="separate"/>
            </w:r>
            <w:r>
              <w:rPr>
                <w:noProof/>
                <w:webHidden/>
              </w:rPr>
              <w:t>12</w:t>
            </w:r>
            <w:r>
              <w:rPr>
                <w:noProof/>
                <w:webHidden/>
              </w:rPr>
              <w:fldChar w:fldCharType="end"/>
            </w:r>
          </w:hyperlink>
        </w:p>
        <w:p w14:paraId="54AE81FA" w14:textId="1A7904E4" w:rsidR="005550A8" w:rsidRDefault="005550A8">
          <w:pPr>
            <w:pStyle w:val="TOC2"/>
            <w:rPr>
              <w:rFonts w:asciiTheme="minorHAnsi" w:eastAsiaTheme="minorEastAsia" w:hAnsiTheme="minorHAnsi" w:cstheme="minorBidi"/>
              <w:b w:val="0"/>
              <w:noProof/>
              <w:sz w:val="22"/>
              <w:lang w:eastAsia="en-AU"/>
            </w:rPr>
          </w:pPr>
          <w:hyperlink w:anchor="_Toc72744020" w:history="1">
            <w:r w:rsidRPr="00DA363B">
              <w:rPr>
                <w:rStyle w:val="Hyperlink"/>
                <w:noProof/>
              </w:rPr>
              <w:t>Quality</w:t>
            </w:r>
            <w:r>
              <w:rPr>
                <w:noProof/>
                <w:webHidden/>
              </w:rPr>
              <w:tab/>
            </w:r>
            <w:r>
              <w:rPr>
                <w:noProof/>
                <w:webHidden/>
              </w:rPr>
              <w:fldChar w:fldCharType="begin"/>
            </w:r>
            <w:r>
              <w:rPr>
                <w:noProof/>
                <w:webHidden/>
              </w:rPr>
              <w:instrText xml:space="preserve"> PAGEREF _Toc72744020 \h </w:instrText>
            </w:r>
            <w:r>
              <w:rPr>
                <w:noProof/>
                <w:webHidden/>
              </w:rPr>
            </w:r>
            <w:r>
              <w:rPr>
                <w:noProof/>
                <w:webHidden/>
              </w:rPr>
              <w:fldChar w:fldCharType="separate"/>
            </w:r>
            <w:r>
              <w:rPr>
                <w:noProof/>
                <w:webHidden/>
              </w:rPr>
              <w:t>12</w:t>
            </w:r>
            <w:r>
              <w:rPr>
                <w:noProof/>
                <w:webHidden/>
              </w:rPr>
              <w:fldChar w:fldCharType="end"/>
            </w:r>
          </w:hyperlink>
        </w:p>
        <w:p w14:paraId="45BD4782" w14:textId="16A85587" w:rsidR="005550A8" w:rsidRDefault="005550A8">
          <w:pPr>
            <w:pStyle w:val="TOC2"/>
            <w:rPr>
              <w:rFonts w:asciiTheme="minorHAnsi" w:eastAsiaTheme="minorEastAsia" w:hAnsiTheme="minorHAnsi" w:cstheme="minorBidi"/>
              <w:b w:val="0"/>
              <w:noProof/>
              <w:sz w:val="22"/>
              <w:lang w:eastAsia="en-AU"/>
            </w:rPr>
          </w:pPr>
          <w:hyperlink w:anchor="_Toc72744021" w:history="1">
            <w:r w:rsidRPr="00DA363B">
              <w:rPr>
                <w:rStyle w:val="Hyperlink"/>
                <w:noProof/>
              </w:rPr>
              <w:t>Nonclinical</w:t>
            </w:r>
            <w:r>
              <w:rPr>
                <w:noProof/>
                <w:webHidden/>
              </w:rPr>
              <w:tab/>
            </w:r>
            <w:r>
              <w:rPr>
                <w:noProof/>
                <w:webHidden/>
              </w:rPr>
              <w:fldChar w:fldCharType="begin"/>
            </w:r>
            <w:r>
              <w:rPr>
                <w:noProof/>
                <w:webHidden/>
              </w:rPr>
              <w:instrText xml:space="preserve"> PAGEREF _Toc72744021 \h </w:instrText>
            </w:r>
            <w:r>
              <w:rPr>
                <w:noProof/>
                <w:webHidden/>
              </w:rPr>
            </w:r>
            <w:r>
              <w:rPr>
                <w:noProof/>
                <w:webHidden/>
              </w:rPr>
              <w:fldChar w:fldCharType="separate"/>
            </w:r>
            <w:r>
              <w:rPr>
                <w:noProof/>
                <w:webHidden/>
              </w:rPr>
              <w:t>13</w:t>
            </w:r>
            <w:r>
              <w:rPr>
                <w:noProof/>
                <w:webHidden/>
              </w:rPr>
              <w:fldChar w:fldCharType="end"/>
            </w:r>
          </w:hyperlink>
        </w:p>
        <w:p w14:paraId="096D3174" w14:textId="0EC9633C" w:rsidR="005550A8" w:rsidRDefault="005550A8">
          <w:pPr>
            <w:pStyle w:val="TOC2"/>
            <w:rPr>
              <w:rFonts w:asciiTheme="minorHAnsi" w:eastAsiaTheme="minorEastAsia" w:hAnsiTheme="minorHAnsi" w:cstheme="minorBidi"/>
              <w:b w:val="0"/>
              <w:noProof/>
              <w:sz w:val="22"/>
              <w:lang w:eastAsia="en-AU"/>
            </w:rPr>
          </w:pPr>
          <w:hyperlink w:anchor="_Toc72744022" w:history="1">
            <w:r w:rsidRPr="00DA363B">
              <w:rPr>
                <w:rStyle w:val="Hyperlink"/>
                <w:noProof/>
              </w:rPr>
              <w:t>Clinical</w:t>
            </w:r>
            <w:r>
              <w:rPr>
                <w:noProof/>
                <w:webHidden/>
              </w:rPr>
              <w:tab/>
            </w:r>
            <w:r>
              <w:rPr>
                <w:noProof/>
                <w:webHidden/>
              </w:rPr>
              <w:fldChar w:fldCharType="begin"/>
            </w:r>
            <w:r>
              <w:rPr>
                <w:noProof/>
                <w:webHidden/>
              </w:rPr>
              <w:instrText xml:space="preserve"> PAGEREF _Toc72744022 \h </w:instrText>
            </w:r>
            <w:r>
              <w:rPr>
                <w:noProof/>
                <w:webHidden/>
              </w:rPr>
            </w:r>
            <w:r>
              <w:rPr>
                <w:noProof/>
                <w:webHidden/>
              </w:rPr>
              <w:fldChar w:fldCharType="separate"/>
            </w:r>
            <w:r>
              <w:rPr>
                <w:noProof/>
                <w:webHidden/>
              </w:rPr>
              <w:t>15</w:t>
            </w:r>
            <w:r>
              <w:rPr>
                <w:noProof/>
                <w:webHidden/>
              </w:rPr>
              <w:fldChar w:fldCharType="end"/>
            </w:r>
          </w:hyperlink>
        </w:p>
        <w:p w14:paraId="3D0EDFD8" w14:textId="3451DDD6" w:rsidR="005550A8" w:rsidRDefault="005550A8">
          <w:pPr>
            <w:pStyle w:val="TOC2"/>
            <w:rPr>
              <w:rFonts w:asciiTheme="minorHAnsi" w:eastAsiaTheme="minorEastAsia" w:hAnsiTheme="minorHAnsi" w:cstheme="minorBidi"/>
              <w:b w:val="0"/>
              <w:noProof/>
              <w:sz w:val="22"/>
              <w:lang w:eastAsia="en-AU"/>
            </w:rPr>
          </w:pPr>
          <w:hyperlink w:anchor="_Toc72744023" w:history="1">
            <w:r w:rsidRPr="00DA363B">
              <w:rPr>
                <w:rStyle w:val="Hyperlink"/>
                <w:noProof/>
                <w:lang w:eastAsia="en-AU"/>
              </w:rPr>
              <w:t>Risk management plan</w:t>
            </w:r>
            <w:r>
              <w:rPr>
                <w:noProof/>
                <w:webHidden/>
              </w:rPr>
              <w:tab/>
            </w:r>
            <w:r>
              <w:rPr>
                <w:noProof/>
                <w:webHidden/>
              </w:rPr>
              <w:fldChar w:fldCharType="begin"/>
            </w:r>
            <w:r>
              <w:rPr>
                <w:noProof/>
                <w:webHidden/>
              </w:rPr>
              <w:instrText xml:space="preserve"> PAGEREF _Toc72744023 \h </w:instrText>
            </w:r>
            <w:r>
              <w:rPr>
                <w:noProof/>
                <w:webHidden/>
              </w:rPr>
            </w:r>
            <w:r>
              <w:rPr>
                <w:noProof/>
                <w:webHidden/>
              </w:rPr>
              <w:fldChar w:fldCharType="separate"/>
            </w:r>
            <w:r>
              <w:rPr>
                <w:noProof/>
                <w:webHidden/>
              </w:rPr>
              <w:t>33</w:t>
            </w:r>
            <w:r>
              <w:rPr>
                <w:noProof/>
                <w:webHidden/>
              </w:rPr>
              <w:fldChar w:fldCharType="end"/>
            </w:r>
          </w:hyperlink>
        </w:p>
        <w:p w14:paraId="7EAE3DDA" w14:textId="49BBE1D3" w:rsidR="005550A8" w:rsidRDefault="005550A8">
          <w:pPr>
            <w:pStyle w:val="TOC2"/>
            <w:rPr>
              <w:rFonts w:asciiTheme="minorHAnsi" w:eastAsiaTheme="minorEastAsia" w:hAnsiTheme="minorHAnsi" w:cstheme="minorBidi"/>
              <w:b w:val="0"/>
              <w:noProof/>
              <w:sz w:val="22"/>
              <w:lang w:eastAsia="en-AU"/>
            </w:rPr>
          </w:pPr>
          <w:hyperlink w:anchor="_Toc72744024" w:history="1">
            <w:r w:rsidRPr="00DA363B">
              <w:rPr>
                <w:rStyle w:val="Hyperlink"/>
                <w:noProof/>
              </w:rPr>
              <w:t>Risk-benefit analysis</w:t>
            </w:r>
            <w:r>
              <w:rPr>
                <w:noProof/>
                <w:webHidden/>
              </w:rPr>
              <w:tab/>
            </w:r>
            <w:r>
              <w:rPr>
                <w:noProof/>
                <w:webHidden/>
              </w:rPr>
              <w:fldChar w:fldCharType="begin"/>
            </w:r>
            <w:r>
              <w:rPr>
                <w:noProof/>
                <w:webHidden/>
              </w:rPr>
              <w:instrText xml:space="preserve"> PAGEREF _Toc72744024 \h </w:instrText>
            </w:r>
            <w:r>
              <w:rPr>
                <w:noProof/>
                <w:webHidden/>
              </w:rPr>
            </w:r>
            <w:r>
              <w:rPr>
                <w:noProof/>
                <w:webHidden/>
              </w:rPr>
              <w:fldChar w:fldCharType="separate"/>
            </w:r>
            <w:r>
              <w:rPr>
                <w:noProof/>
                <w:webHidden/>
              </w:rPr>
              <w:t>36</w:t>
            </w:r>
            <w:r>
              <w:rPr>
                <w:noProof/>
                <w:webHidden/>
              </w:rPr>
              <w:fldChar w:fldCharType="end"/>
            </w:r>
          </w:hyperlink>
        </w:p>
        <w:p w14:paraId="7D87D2F8" w14:textId="48BF9379" w:rsidR="005550A8" w:rsidRDefault="005550A8">
          <w:pPr>
            <w:pStyle w:val="TOC2"/>
            <w:rPr>
              <w:rFonts w:asciiTheme="minorHAnsi" w:eastAsiaTheme="minorEastAsia" w:hAnsiTheme="minorHAnsi" w:cstheme="minorBidi"/>
              <w:b w:val="0"/>
              <w:noProof/>
              <w:sz w:val="22"/>
              <w:lang w:eastAsia="en-AU"/>
            </w:rPr>
          </w:pPr>
          <w:hyperlink w:anchor="_Toc72744025" w:history="1">
            <w:r w:rsidRPr="00DA363B">
              <w:rPr>
                <w:rStyle w:val="Hyperlink"/>
                <w:noProof/>
              </w:rPr>
              <w:t>Outcome</w:t>
            </w:r>
            <w:r>
              <w:rPr>
                <w:noProof/>
                <w:webHidden/>
              </w:rPr>
              <w:tab/>
            </w:r>
            <w:r>
              <w:rPr>
                <w:noProof/>
                <w:webHidden/>
              </w:rPr>
              <w:fldChar w:fldCharType="begin"/>
            </w:r>
            <w:r>
              <w:rPr>
                <w:noProof/>
                <w:webHidden/>
              </w:rPr>
              <w:instrText xml:space="preserve"> PAGEREF _Toc72744025 \h </w:instrText>
            </w:r>
            <w:r>
              <w:rPr>
                <w:noProof/>
                <w:webHidden/>
              </w:rPr>
            </w:r>
            <w:r>
              <w:rPr>
                <w:noProof/>
                <w:webHidden/>
              </w:rPr>
              <w:fldChar w:fldCharType="separate"/>
            </w:r>
            <w:r>
              <w:rPr>
                <w:noProof/>
                <w:webHidden/>
              </w:rPr>
              <w:t>42</w:t>
            </w:r>
            <w:r>
              <w:rPr>
                <w:noProof/>
                <w:webHidden/>
              </w:rPr>
              <w:fldChar w:fldCharType="end"/>
            </w:r>
          </w:hyperlink>
        </w:p>
        <w:p w14:paraId="5EB5812F" w14:textId="30056471" w:rsidR="005550A8" w:rsidRDefault="005550A8">
          <w:pPr>
            <w:pStyle w:val="TOC1"/>
            <w:rPr>
              <w:rFonts w:asciiTheme="minorHAnsi" w:eastAsiaTheme="minorEastAsia" w:hAnsiTheme="minorHAnsi" w:cstheme="minorBidi"/>
              <w:b w:val="0"/>
              <w:noProof/>
              <w:sz w:val="22"/>
              <w:lang w:eastAsia="en-AU"/>
            </w:rPr>
          </w:pPr>
          <w:hyperlink w:anchor="_Toc72744026" w:history="1">
            <w:r w:rsidRPr="00DA363B">
              <w:rPr>
                <w:rStyle w:val="Hyperlink"/>
                <w:noProof/>
              </w:rPr>
              <w:t>Attachment 1. Product Information</w:t>
            </w:r>
            <w:r>
              <w:rPr>
                <w:noProof/>
                <w:webHidden/>
              </w:rPr>
              <w:tab/>
            </w:r>
            <w:r>
              <w:rPr>
                <w:noProof/>
                <w:webHidden/>
              </w:rPr>
              <w:fldChar w:fldCharType="begin"/>
            </w:r>
            <w:r>
              <w:rPr>
                <w:noProof/>
                <w:webHidden/>
              </w:rPr>
              <w:instrText xml:space="preserve"> PAGEREF _Toc72744026 \h </w:instrText>
            </w:r>
            <w:r>
              <w:rPr>
                <w:noProof/>
                <w:webHidden/>
              </w:rPr>
            </w:r>
            <w:r>
              <w:rPr>
                <w:noProof/>
                <w:webHidden/>
              </w:rPr>
              <w:fldChar w:fldCharType="separate"/>
            </w:r>
            <w:r>
              <w:rPr>
                <w:noProof/>
                <w:webHidden/>
              </w:rPr>
              <w:t>45</w:t>
            </w:r>
            <w:r>
              <w:rPr>
                <w:noProof/>
                <w:webHidden/>
              </w:rPr>
              <w:fldChar w:fldCharType="end"/>
            </w:r>
          </w:hyperlink>
        </w:p>
        <w:p w14:paraId="59189E13" w14:textId="73CA5AAB" w:rsidR="003A7F6C" w:rsidRPr="00B811C6" w:rsidRDefault="00C525A2" w:rsidP="00B811C6">
          <w:pPr>
            <w:pStyle w:val="TOC2"/>
          </w:pPr>
          <w:r>
            <w:fldChar w:fldCharType="end"/>
          </w:r>
        </w:p>
      </w:sdtContent>
    </w:sdt>
    <w:bookmarkStart w:id="3" w:name="_Toc314842482" w:displacedByCustomXml="prev"/>
    <w:p w14:paraId="2075124D" w14:textId="77777777" w:rsidR="00FD119B" w:rsidRDefault="00FD119B">
      <w:pPr>
        <w:spacing w:before="0" w:after="200" w:line="0" w:lineRule="auto"/>
      </w:pPr>
      <w:r>
        <w:br w:type="page"/>
      </w:r>
    </w:p>
    <w:p w14:paraId="464BCDD1" w14:textId="77777777" w:rsidR="00C52E24" w:rsidRPr="00C52E24" w:rsidRDefault="00324E45" w:rsidP="00774800">
      <w:pPr>
        <w:pStyle w:val="Heading2"/>
      </w:pPr>
      <w:bookmarkStart w:id="4" w:name="_Toc351716269"/>
      <w:bookmarkStart w:id="5" w:name="_Toc351718881"/>
      <w:bookmarkStart w:id="6" w:name="_Toc355338616"/>
      <w:bookmarkStart w:id="7" w:name="_Toc356306144"/>
      <w:bookmarkStart w:id="8" w:name="_Toc72744012"/>
      <w:r>
        <w:lastRenderedPageBreak/>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511FD6" w:rsidRPr="00FD119B" w14:paraId="7876A3DF"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7E51B8AA" w14:textId="77777777" w:rsidR="00511FD6" w:rsidRPr="00FD119B" w:rsidRDefault="00511FD6"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20264D77" w14:textId="77777777" w:rsidR="00511FD6" w:rsidRPr="00FD119B" w:rsidRDefault="00511FD6" w:rsidP="00CF5DAD">
            <w:pPr>
              <w:keepNext w:val="0"/>
              <w:ind w:left="0" w:right="0"/>
              <w:rPr>
                <w:szCs w:val="22"/>
                <w:lang w:eastAsia="en-US"/>
              </w:rPr>
            </w:pPr>
            <w:r w:rsidRPr="00FD119B">
              <w:rPr>
                <w:szCs w:val="22"/>
                <w:lang w:eastAsia="en-US"/>
              </w:rPr>
              <w:t>Meaning</w:t>
            </w:r>
          </w:p>
        </w:tc>
      </w:tr>
      <w:tr w:rsidR="00511FD6" w:rsidRPr="00FD119B" w14:paraId="09F6C86B" w14:textId="77777777" w:rsidTr="00CF5DAD">
        <w:tc>
          <w:tcPr>
            <w:tcW w:w="1809" w:type="dxa"/>
            <w:tcBorders>
              <w:top w:val="single" w:sz="4" w:space="0" w:color="auto"/>
            </w:tcBorders>
          </w:tcPr>
          <w:p w14:paraId="7A799373" w14:textId="77777777" w:rsidR="00511FD6" w:rsidRPr="00FD119B" w:rsidRDefault="00511FD6" w:rsidP="00953EB4">
            <w:r>
              <w:t>ACM</w:t>
            </w:r>
          </w:p>
        </w:tc>
        <w:tc>
          <w:tcPr>
            <w:tcW w:w="6911" w:type="dxa"/>
            <w:tcBorders>
              <w:top w:val="single" w:sz="4" w:space="0" w:color="auto"/>
            </w:tcBorders>
          </w:tcPr>
          <w:p w14:paraId="251AA348" w14:textId="77777777" w:rsidR="00511FD6" w:rsidRPr="00FD119B" w:rsidRDefault="00511FD6" w:rsidP="00953EB4">
            <w:r w:rsidRPr="00460036">
              <w:t>Advisory Committee on Medicines</w:t>
            </w:r>
          </w:p>
        </w:tc>
      </w:tr>
      <w:tr w:rsidR="00511FD6" w:rsidRPr="00FD119B" w14:paraId="2556084C" w14:textId="77777777" w:rsidTr="00FD119B">
        <w:tc>
          <w:tcPr>
            <w:tcW w:w="1809" w:type="dxa"/>
          </w:tcPr>
          <w:p w14:paraId="5B735A61" w14:textId="77777777" w:rsidR="00511FD6" w:rsidRPr="00247DDF" w:rsidRDefault="00511FD6" w:rsidP="00CF5DAD">
            <w:pPr>
              <w:rPr>
                <w:lang w:val="en-GB"/>
              </w:rPr>
            </w:pPr>
            <w:r>
              <w:rPr>
                <w:lang w:val="en-GB"/>
              </w:rPr>
              <w:t>AE</w:t>
            </w:r>
          </w:p>
        </w:tc>
        <w:tc>
          <w:tcPr>
            <w:tcW w:w="6911" w:type="dxa"/>
          </w:tcPr>
          <w:p w14:paraId="735F2D34" w14:textId="77777777" w:rsidR="00511FD6" w:rsidRDefault="00511FD6" w:rsidP="00E343A5">
            <w:pPr>
              <w:rPr>
                <w:lang w:val="en-GB"/>
              </w:rPr>
            </w:pPr>
            <w:r>
              <w:t>Adverse event</w:t>
            </w:r>
          </w:p>
        </w:tc>
      </w:tr>
      <w:tr w:rsidR="00511FD6" w:rsidRPr="00FD119B" w14:paraId="753E74FD" w14:textId="77777777" w:rsidTr="00FD119B">
        <w:tc>
          <w:tcPr>
            <w:tcW w:w="1809" w:type="dxa"/>
          </w:tcPr>
          <w:p w14:paraId="70890E5E" w14:textId="0708CD40" w:rsidR="00511FD6" w:rsidRPr="00FD119B" w:rsidRDefault="00511FD6" w:rsidP="00CF5DAD">
            <w:r>
              <w:t>AMPA</w:t>
            </w:r>
          </w:p>
        </w:tc>
        <w:tc>
          <w:tcPr>
            <w:tcW w:w="6911" w:type="dxa"/>
          </w:tcPr>
          <w:p w14:paraId="54F92648" w14:textId="3A0C31B5" w:rsidR="00511FD6" w:rsidRPr="00FD119B" w:rsidRDefault="00511FD6" w:rsidP="00B62B98">
            <w:r>
              <w:rPr>
                <w:rFonts w:eastAsia="TimesNewRoman" w:cs="TimesNewRoman"/>
              </w:rPr>
              <w:t>α-amino-3-hydroxy-5-methyl-4-isoxazole propionic acid</w:t>
            </w:r>
          </w:p>
        </w:tc>
      </w:tr>
      <w:tr w:rsidR="00511FD6" w:rsidRPr="00FD119B" w14:paraId="5693F582" w14:textId="77777777" w:rsidTr="00FD119B">
        <w:tc>
          <w:tcPr>
            <w:tcW w:w="1809" w:type="dxa"/>
          </w:tcPr>
          <w:p w14:paraId="781B1022" w14:textId="77777777" w:rsidR="00511FD6" w:rsidRPr="00FD119B" w:rsidRDefault="00511FD6" w:rsidP="00CF5DAD">
            <w:r>
              <w:t>ANCOVA</w:t>
            </w:r>
          </w:p>
        </w:tc>
        <w:tc>
          <w:tcPr>
            <w:tcW w:w="6911" w:type="dxa"/>
          </w:tcPr>
          <w:p w14:paraId="4146DCDE" w14:textId="77777777" w:rsidR="00511FD6" w:rsidRPr="00FD119B" w:rsidRDefault="00511FD6" w:rsidP="00CF5DAD">
            <w:r>
              <w:t>Analysis of covariance</w:t>
            </w:r>
          </w:p>
        </w:tc>
      </w:tr>
      <w:tr w:rsidR="00511FD6" w:rsidRPr="00FD119B" w14:paraId="14D25F45" w14:textId="77777777" w:rsidTr="00FD119B">
        <w:tc>
          <w:tcPr>
            <w:tcW w:w="1809" w:type="dxa"/>
          </w:tcPr>
          <w:p w14:paraId="053E534C" w14:textId="77777777" w:rsidR="00511FD6" w:rsidRPr="00FD119B" w:rsidRDefault="00511FD6" w:rsidP="00953EB4">
            <w:r>
              <w:t>ARTG</w:t>
            </w:r>
          </w:p>
        </w:tc>
        <w:tc>
          <w:tcPr>
            <w:tcW w:w="6911" w:type="dxa"/>
          </w:tcPr>
          <w:p w14:paraId="430E40A2" w14:textId="77777777" w:rsidR="00511FD6" w:rsidRPr="00FD119B" w:rsidRDefault="00511FD6" w:rsidP="00953EB4">
            <w:r w:rsidRPr="00460036">
              <w:t>Australian Register of Therapeutic Goods</w:t>
            </w:r>
          </w:p>
        </w:tc>
      </w:tr>
      <w:tr w:rsidR="00511FD6" w:rsidRPr="00FD119B" w14:paraId="590C7334" w14:textId="77777777" w:rsidTr="00FD119B">
        <w:tc>
          <w:tcPr>
            <w:tcW w:w="1809" w:type="dxa"/>
          </w:tcPr>
          <w:p w14:paraId="659D9A6E" w14:textId="77777777" w:rsidR="00511FD6" w:rsidRPr="00247DDF" w:rsidRDefault="00511FD6" w:rsidP="00CF5DAD">
            <w:pPr>
              <w:rPr>
                <w:lang w:val="en-GB"/>
              </w:rPr>
            </w:pPr>
            <w:r>
              <w:rPr>
                <w:lang w:val="en-GB"/>
              </w:rPr>
              <w:t>ASA</w:t>
            </w:r>
          </w:p>
        </w:tc>
        <w:tc>
          <w:tcPr>
            <w:tcW w:w="6911" w:type="dxa"/>
          </w:tcPr>
          <w:p w14:paraId="6A3A48EC" w14:textId="77777777" w:rsidR="00511FD6" w:rsidRDefault="00511FD6" w:rsidP="00E343A5">
            <w:pPr>
              <w:rPr>
                <w:lang w:val="en-GB"/>
              </w:rPr>
            </w:pPr>
            <w:r>
              <w:t>Australian specific Annex</w:t>
            </w:r>
          </w:p>
        </w:tc>
      </w:tr>
      <w:tr w:rsidR="00511FD6" w:rsidRPr="00FD119B" w14:paraId="48590699" w14:textId="77777777" w:rsidTr="00FD119B">
        <w:tc>
          <w:tcPr>
            <w:tcW w:w="1809" w:type="dxa"/>
          </w:tcPr>
          <w:p w14:paraId="4DAC7A31" w14:textId="77777777" w:rsidR="00511FD6" w:rsidRPr="00FD119B" w:rsidRDefault="00511FD6" w:rsidP="00CF5DAD">
            <w:r>
              <w:t>AUC</w:t>
            </w:r>
          </w:p>
        </w:tc>
        <w:tc>
          <w:tcPr>
            <w:tcW w:w="6911" w:type="dxa"/>
          </w:tcPr>
          <w:p w14:paraId="6CD87DA5" w14:textId="77777777" w:rsidR="00511FD6" w:rsidRPr="00FD119B" w:rsidRDefault="00511FD6" w:rsidP="00CF5DAD">
            <w:r>
              <w:rPr>
                <w:rFonts w:eastAsia="TimesNewRoman" w:cs="TimesNewRoman"/>
              </w:rPr>
              <w:t>Area under the plasma concentration time curve</w:t>
            </w:r>
          </w:p>
        </w:tc>
      </w:tr>
      <w:tr w:rsidR="00511FD6" w:rsidRPr="00FD119B" w14:paraId="0AD849DB" w14:textId="77777777" w:rsidTr="00FD119B">
        <w:tc>
          <w:tcPr>
            <w:tcW w:w="1809" w:type="dxa"/>
          </w:tcPr>
          <w:p w14:paraId="1A5EE58A" w14:textId="663704DB" w:rsidR="00511FD6" w:rsidRPr="00FD119B" w:rsidRDefault="00511FD6" w:rsidP="00CF5DAD">
            <w:r>
              <w:rPr>
                <w:lang w:val="en-GB"/>
              </w:rPr>
              <w:t>AUC</w:t>
            </w:r>
            <w:r w:rsidR="00981AF0">
              <w:rPr>
                <w:vertAlign w:val="subscript"/>
                <w:lang w:val="en-GB"/>
              </w:rPr>
              <w:t>0-</w:t>
            </w:r>
            <w:r>
              <w:rPr>
                <w:vertAlign w:val="subscript"/>
                <w:lang w:val="en-GB"/>
              </w:rPr>
              <w:t>∞</w:t>
            </w:r>
          </w:p>
        </w:tc>
        <w:tc>
          <w:tcPr>
            <w:tcW w:w="6911" w:type="dxa"/>
          </w:tcPr>
          <w:p w14:paraId="45989D53" w14:textId="77777777" w:rsidR="00511FD6" w:rsidRPr="00FD119B" w:rsidRDefault="00511FD6" w:rsidP="007D5C56">
            <w:r>
              <w:rPr>
                <w:lang w:val="en-GB"/>
              </w:rPr>
              <w:t>Area under the plasma concentration time curve from time 0 to infinity</w:t>
            </w:r>
          </w:p>
        </w:tc>
      </w:tr>
      <w:tr w:rsidR="00511FD6" w:rsidRPr="00FD119B" w14:paraId="4A3911D3" w14:textId="77777777" w:rsidTr="00FD119B">
        <w:tc>
          <w:tcPr>
            <w:tcW w:w="1809" w:type="dxa"/>
          </w:tcPr>
          <w:p w14:paraId="2695FBBA" w14:textId="77777777" w:rsidR="00511FD6" w:rsidRPr="00FD119B" w:rsidRDefault="00511FD6" w:rsidP="00CF5DAD">
            <w:r>
              <w:t>BCRP</w:t>
            </w:r>
          </w:p>
        </w:tc>
        <w:tc>
          <w:tcPr>
            <w:tcW w:w="6911" w:type="dxa"/>
          </w:tcPr>
          <w:p w14:paraId="62E6C5A4" w14:textId="77777777" w:rsidR="00511FD6" w:rsidRPr="00FD119B" w:rsidRDefault="00511FD6" w:rsidP="00CF5DAD">
            <w:r>
              <w:t>Breast cancer resistance protein</w:t>
            </w:r>
          </w:p>
        </w:tc>
      </w:tr>
      <w:tr w:rsidR="00511FD6" w:rsidRPr="00FD119B" w14:paraId="5C73F034" w14:textId="77777777" w:rsidTr="00FD119B">
        <w:tc>
          <w:tcPr>
            <w:tcW w:w="1809" w:type="dxa"/>
          </w:tcPr>
          <w:p w14:paraId="0A6D9F0D" w14:textId="77777777" w:rsidR="00511FD6" w:rsidRPr="00FD119B" w:rsidRDefault="00511FD6" w:rsidP="00CF5DAD">
            <w:r>
              <w:rPr>
                <w:lang w:val="en-GB"/>
              </w:rPr>
              <w:t>CGI-S</w:t>
            </w:r>
          </w:p>
        </w:tc>
        <w:tc>
          <w:tcPr>
            <w:tcW w:w="6911" w:type="dxa"/>
          </w:tcPr>
          <w:p w14:paraId="2A7B6F92" w14:textId="77777777" w:rsidR="00511FD6" w:rsidRPr="00FD119B" w:rsidRDefault="00511FD6" w:rsidP="00E343A5">
            <w:r>
              <w:rPr>
                <w:lang w:val="en-GB"/>
              </w:rPr>
              <w:t>Clinical Global Impressions-Severity scale</w:t>
            </w:r>
          </w:p>
        </w:tc>
      </w:tr>
      <w:tr w:rsidR="00511FD6" w:rsidRPr="00FD119B" w14:paraId="31B038B3" w14:textId="77777777" w:rsidTr="00FD119B">
        <w:tc>
          <w:tcPr>
            <w:tcW w:w="1809" w:type="dxa"/>
          </w:tcPr>
          <w:p w14:paraId="66D2F59F" w14:textId="77777777" w:rsidR="00511FD6" w:rsidRPr="00FD119B" w:rsidRDefault="00511FD6" w:rsidP="00CF5DAD">
            <w:r>
              <w:t>CHMP</w:t>
            </w:r>
          </w:p>
        </w:tc>
        <w:tc>
          <w:tcPr>
            <w:tcW w:w="6911" w:type="dxa"/>
          </w:tcPr>
          <w:p w14:paraId="4625C2D5" w14:textId="14252BEE" w:rsidR="00511FD6" w:rsidRPr="00FD119B" w:rsidRDefault="00511FD6" w:rsidP="00CF5DAD">
            <w:r w:rsidRPr="008A54ED">
              <w:t>Committee for Medicin</w:t>
            </w:r>
            <w:r>
              <w:t>al Products for Human Use</w:t>
            </w:r>
            <w:r w:rsidR="00055827">
              <w:t xml:space="preserve"> (European Medicines Agency)</w:t>
            </w:r>
          </w:p>
        </w:tc>
      </w:tr>
      <w:tr w:rsidR="00511FD6" w:rsidRPr="00FD119B" w14:paraId="1C3AF60E" w14:textId="77777777" w:rsidTr="00FD119B">
        <w:tc>
          <w:tcPr>
            <w:tcW w:w="1809" w:type="dxa"/>
          </w:tcPr>
          <w:p w14:paraId="507C0444" w14:textId="77777777" w:rsidR="00511FD6" w:rsidRPr="00FD119B" w:rsidRDefault="00511FD6" w:rsidP="00CF5DAD">
            <w:r>
              <w:t>CI</w:t>
            </w:r>
          </w:p>
        </w:tc>
        <w:tc>
          <w:tcPr>
            <w:tcW w:w="6911" w:type="dxa"/>
          </w:tcPr>
          <w:p w14:paraId="40BC8B5B" w14:textId="77777777" w:rsidR="00511FD6" w:rsidRPr="00FD119B" w:rsidRDefault="00511FD6" w:rsidP="00CF5DAD">
            <w:r>
              <w:t>Confidence interval</w:t>
            </w:r>
          </w:p>
        </w:tc>
      </w:tr>
      <w:tr w:rsidR="00511FD6" w:rsidRPr="00FD119B" w14:paraId="5D716746" w14:textId="77777777" w:rsidTr="00FD119B">
        <w:tc>
          <w:tcPr>
            <w:tcW w:w="1809" w:type="dxa"/>
          </w:tcPr>
          <w:p w14:paraId="1CFE4251" w14:textId="77777777" w:rsidR="00511FD6" w:rsidRPr="00FD119B" w:rsidRDefault="00511FD6" w:rsidP="00CF5DAD">
            <w:proofErr w:type="spellStart"/>
            <w:r>
              <w:rPr>
                <w:rFonts w:eastAsia="TimesNewRoman" w:cs="TimesNewRoman"/>
              </w:rPr>
              <w:t>C</w:t>
            </w:r>
            <w:r>
              <w:rPr>
                <w:rFonts w:eastAsia="TimesNewRoman" w:cs="TimesNewRoman"/>
                <w:vertAlign w:val="subscript"/>
              </w:rPr>
              <w:t>max</w:t>
            </w:r>
            <w:proofErr w:type="spellEnd"/>
          </w:p>
        </w:tc>
        <w:tc>
          <w:tcPr>
            <w:tcW w:w="6911" w:type="dxa"/>
          </w:tcPr>
          <w:p w14:paraId="6142DEFD" w14:textId="77777777" w:rsidR="00511FD6" w:rsidRPr="00FD119B" w:rsidRDefault="00511FD6" w:rsidP="00996B5F">
            <w:r>
              <w:rPr>
                <w:rFonts w:eastAsia="TimesNewRoman" w:cs="TimesNewRoman"/>
              </w:rPr>
              <w:t>Maximum plasma concentration</w:t>
            </w:r>
          </w:p>
        </w:tc>
      </w:tr>
      <w:tr w:rsidR="00511FD6" w:rsidRPr="00FD119B" w14:paraId="006BF5AA" w14:textId="77777777" w:rsidTr="00FD119B">
        <w:tc>
          <w:tcPr>
            <w:tcW w:w="1809" w:type="dxa"/>
          </w:tcPr>
          <w:p w14:paraId="6293E0B0" w14:textId="77777777" w:rsidR="00511FD6" w:rsidRPr="00FD119B" w:rsidRDefault="00511FD6" w:rsidP="00CF5DAD">
            <w:r>
              <w:t>CMI</w:t>
            </w:r>
          </w:p>
        </w:tc>
        <w:tc>
          <w:tcPr>
            <w:tcW w:w="6911" w:type="dxa"/>
          </w:tcPr>
          <w:p w14:paraId="5E1FAE3B" w14:textId="77777777" w:rsidR="00511FD6" w:rsidRPr="00FD119B" w:rsidRDefault="00511FD6" w:rsidP="00CF5DAD">
            <w:r>
              <w:t>Consumer Medicines Information</w:t>
            </w:r>
          </w:p>
        </w:tc>
      </w:tr>
      <w:tr w:rsidR="00511FD6" w:rsidRPr="00FD119B" w14:paraId="04E5A25E" w14:textId="77777777" w:rsidTr="00FD119B">
        <w:tc>
          <w:tcPr>
            <w:tcW w:w="1809" w:type="dxa"/>
          </w:tcPr>
          <w:p w14:paraId="48BC2145" w14:textId="77777777" w:rsidR="00511FD6" w:rsidRPr="00FD119B" w:rsidRDefault="00511FD6" w:rsidP="00CF5DAD">
            <w:r>
              <w:t>CNS</w:t>
            </w:r>
          </w:p>
        </w:tc>
        <w:tc>
          <w:tcPr>
            <w:tcW w:w="6911" w:type="dxa"/>
          </w:tcPr>
          <w:p w14:paraId="74553BD7" w14:textId="77777777" w:rsidR="00511FD6" w:rsidRPr="00FD119B" w:rsidRDefault="00511FD6" w:rsidP="00CF5DAD">
            <w:r>
              <w:t>Central nervous system</w:t>
            </w:r>
          </w:p>
        </w:tc>
      </w:tr>
      <w:tr w:rsidR="00511FD6" w:rsidRPr="00FD119B" w14:paraId="0815F4A8" w14:textId="77777777" w:rsidTr="00FD119B">
        <w:tc>
          <w:tcPr>
            <w:tcW w:w="1809" w:type="dxa"/>
          </w:tcPr>
          <w:p w14:paraId="78929BFA" w14:textId="77777777" w:rsidR="00511FD6" w:rsidRPr="00247DDF" w:rsidRDefault="00511FD6" w:rsidP="00CF5DAD">
            <w:pPr>
              <w:rPr>
                <w:lang w:val="en-GB"/>
              </w:rPr>
            </w:pPr>
            <w:r>
              <w:rPr>
                <w:lang w:val="en-GB"/>
              </w:rPr>
              <w:t>CSR</w:t>
            </w:r>
          </w:p>
        </w:tc>
        <w:tc>
          <w:tcPr>
            <w:tcW w:w="6911" w:type="dxa"/>
          </w:tcPr>
          <w:p w14:paraId="2B76CFFD" w14:textId="77777777" w:rsidR="00511FD6" w:rsidRDefault="00511FD6" w:rsidP="00E343A5">
            <w:pPr>
              <w:rPr>
                <w:lang w:val="en-GB"/>
              </w:rPr>
            </w:pPr>
            <w:r>
              <w:t>Clinical study report</w:t>
            </w:r>
          </w:p>
        </w:tc>
      </w:tr>
      <w:tr w:rsidR="00511FD6" w:rsidRPr="00FD119B" w14:paraId="2B4847AD" w14:textId="77777777" w:rsidTr="00FD119B">
        <w:tc>
          <w:tcPr>
            <w:tcW w:w="1809" w:type="dxa"/>
          </w:tcPr>
          <w:p w14:paraId="4D57790B" w14:textId="77777777" w:rsidR="00511FD6" w:rsidRPr="00FD119B" w:rsidRDefault="00511FD6" w:rsidP="00CF5DAD">
            <w:r>
              <w:t>CYP</w:t>
            </w:r>
          </w:p>
        </w:tc>
        <w:tc>
          <w:tcPr>
            <w:tcW w:w="6911" w:type="dxa"/>
          </w:tcPr>
          <w:p w14:paraId="2FCB74B0" w14:textId="77777777" w:rsidR="00511FD6" w:rsidRPr="00FD119B" w:rsidRDefault="00511FD6" w:rsidP="00CF5DAD">
            <w:r>
              <w:t>Cytochrome P450</w:t>
            </w:r>
          </w:p>
        </w:tc>
      </w:tr>
      <w:tr w:rsidR="00511FD6" w:rsidRPr="00FD119B" w14:paraId="09EF1CAD" w14:textId="77777777" w:rsidTr="00FD119B">
        <w:tc>
          <w:tcPr>
            <w:tcW w:w="1809" w:type="dxa"/>
          </w:tcPr>
          <w:p w14:paraId="0EF2731F" w14:textId="77777777" w:rsidR="00511FD6" w:rsidRPr="00247DDF" w:rsidRDefault="00511FD6" w:rsidP="00CF5DAD">
            <w:pPr>
              <w:rPr>
                <w:lang w:val="en-GB"/>
              </w:rPr>
            </w:pPr>
            <w:r>
              <w:rPr>
                <w:lang w:val="en-GB"/>
              </w:rPr>
              <w:t>DLP</w:t>
            </w:r>
          </w:p>
        </w:tc>
        <w:tc>
          <w:tcPr>
            <w:tcW w:w="6911" w:type="dxa"/>
          </w:tcPr>
          <w:p w14:paraId="06371361" w14:textId="77777777" w:rsidR="00511FD6" w:rsidRDefault="00511FD6" w:rsidP="00E343A5">
            <w:pPr>
              <w:rPr>
                <w:lang w:val="en-GB"/>
              </w:rPr>
            </w:pPr>
            <w:r>
              <w:t>Data lock point</w:t>
            </w:r>
          </w:p>
        </w:tc>
      </w:tr>
      <w:tr w:rsidR="00511FD6" w:rsidRPr="00FD119B" w14:paraId="298F731E" w14:textId="77777777" w:rsidTr="00FD119B">
        <w:tc>
          <w:tcPr>
            <w:tcW w:w="1809" w:type="dxa"/>
          </w:tcPr>
          <w:p w14:paraId="352BC14F" w14:textId="77777777" w:rsidR="00511FD6" w:rsidRPr="00FD119B" w:rsidRDefault="00511FD6" w:rsidP="00CF5DAD">
            <w:r>
              <w:rPr>
                <w:rFonts w:cs="Arial"/>
                <w:lang w:val="en-GB"/>
              </w:rPr>
              <w:t>ECT</w:t>
            </w:r>
          </w:p>
        </w:tc>
        <w:tc>
          <w:tcPr>
            <w:tcW w:w="6911" w:type="dxa"/>
          </w:tcPr>
          <w:p w14:paraId="6AA3D0D5" w14:textId="77777777" w:rsidR="00511FD6" w:rsidRPr="00FD119B" w:rsidRDefault="00511FD6" w:rsidP="00B6248C">
            <w:r>
              <w:rPr>
                <w:rFonts w:cs="Arial"/>
                <w:lang w:val="en-GB"/>
              </w:rPr>
              <w:t>E</w:t>
            </w:r>
            <w:r w:rsidRPr="007F7E72">
              <w:rPr>
                <w:rFonts w:cs="Arial"/>
                <w:lang w:val="en-GB"/>
              </w:rPr>
              <w:t>lectroconvulsive therapy</w:t>
            </w:r>
          </w:p>
        </w:tc>
      </w:tr>
      <w:tr w:rsidR="00511FD6" w:rsidRPr="00FD119B" w14:paraId="21A6A69A" w14:textId="77777777" w:rsidTr="00FD119B">
        <w:tc>
          <w:tcPr>
            <w:tcW w:w="1809" w:type="dxa"/>
          </w:tcPr>
          <w:p w14:paraId="7F400369" w14:textId="77777777" w:rsidR="00511FD6" w:rsidRPr="00FD119B" w:rsidRDefault="00511FD6" w:rsidP="00CF5DAD">
            <w:r>
              <w:t>EMA</w:t>
            </w:r>
          </w:p>
        </w:tc>
        <w:tc>
          <w:tcPr>
            <w:tcW w:w="6911" w:type="dxa"/>
          </w:tcPr>
          <w:p w14:paraId="55CFD837" w14:textId="40A0AFD3" w:rsidR="00511FD6" w:rsidRPr="00FD119B" w:rsidRDefault="00511FD6" w:rsidP="00CF5DAD">
            <w:r>
              <w:t>European Medicines Agency</w:t>
            </w:r>
            <w:r w:rsidR="00055827">
              <w:t xml:space="preserve"> (European Union)</w:t>
            </w:r>
          </w:p>
        </w:tc>
      </w:tr>
      <w:tr w:rsidR="00511FD6" w:rsidRPr="00FD119B" w14:paraId="6B7F5857" w14:textId="77777777" w:rsidTr="00FD119B">
        <w:tc>
          <w:tcPr>
            <w:tcW w:w="1809" w:type="dxa"/>
          </w:tcPr>
          <w:p w14:paraId="115215A6" w14:textId="77777777" w:rsidR="00511FD6" w:rsidRPr="00FD119B" w:rsidRDefault="00511FD6" w:rsidP="00CF5DAD">
            <w:r w:rsidRPr="00247DDF">
              <w:rPr>
                <w:lang w:val="en-GB"/>
              </w:rPr>
              <w:t>EQ-5D-5L</w:t>
            </w:r>
          </w:p>
        </w:tc>
        <w:tc>
          <w:tcPr>
            <w:tcW w:w="6911" w:type="dxa"/>
          </w:tcPr>
          <w:p w14:paraId="15154185" w14:textId="03B2B3EF" w:rsidR="00511FD6" w:rsidRPr="00FD119B" w:rsidRDefault="00511FD6" w:rsidP="00E343A5">
            <w:r>
              <w:rPr>
                <w:lang w:val="en-GB"/>
              </w:rPr>
              <w:t xml:space="preserve">5-level </w:t>
            </w:r>
            <w:proofErr w:type="spellStart"/>
            <w:r w:rsidRPr="004444B5">
              <w:rPr>
                <w:lang w:val="en-GB"/>
              </w:rPr>
              <w:t>EuroQol</w:t>
            </w:r>
            <w:proofErr w:type="spellEnd"/>
            <w:r w:rsidRPr="004444B5">
              <w:rPr>
                <w:lang w:val="en-GB"/>
              </w:rPr>
              <w:t xml:space="preserve"> 5 dimensions</w:t>
            </w:r>
            <w:r w:rsidR="00981AF0">
              <w:rPr>
                <w:lang w:val="en-GB"/>
              </w:rPr>
              <w:t xml:space="preserve"> questionnaire</w:t>
            </w:r>
          </w:p>
        </w:tc>
      </w:tr>
      <w:tr w:rsidR="00511FD6" w:rsidRPr="00FD119B" w14:paraId="02B2C295" w14:textId="77777777" w:rsidTr="00FD119B">
        <w:tc>
          <w:tcPr>
            <w:tcW w:w="1809" w:type="dxa"/>
          </w:tcPr>
          <w:p w14:paraId="0F6CF752" w14:textId="77777777" w:rsidR="00511FD6" w:rsidRPr="00FD119B" w:rsidRDefault="00511FD6" w:rsidP="00CF5DAD">
            <w:r>
              <w:t>EU</w:t>
            </w:r>
          </w:p>
        </w:tc>
        <w:tc>
          <w:tcPr>
            <w:tcW w:w="6911" w:type="dxa"/>
          </w:tcPr>
          <w:p w14:paraId="6258C60D" w14:textId="77777777" w:rsidR="00511FD6" w:rsidRPr="00FD119B" w:rsidRDefault="00511FD6" w:rsidP="00CF5DAD">
            <w:r>
              <w:t>European Union</w:t>
            </w:r>
          </w:p>
        </w:tc>
      </w:tr>
      <w:tr w:rsidR="00511FD6" w:rsidRPr="00FD119B" w14:paraId="6B00FD1C" w14:textId="77777777" w:rsidTr="00FD119B">
        <w:tc>
          <w:tcPr>
            <w:tcW w:w="1809" w:type="dxa"/>
          </w:tcPr>
          <w:p w14:paraId="1EDF8A26" w14:textId="77777777" w:rsidR="00511FD6" w:rsidRPr="00247DDF" w:rsidRDefault="00511FD6" w:rsidP="00CF5DAD">
            <w:pPr>
              <w:rPr>
                <w:lang w:val="en-GB"/>
              </w:rPr>
            </w:pPr>
            <w:r>
              <w:rPr>
                <w:lang w:val="en-GB"/>
              </w:rPr>
              <w:t>FDA</w:t>
            </w:r>
          </w:p>
        </w:tc>
        <w:tc>
          <w:tcPr>
            <w:tcW w:w="6911" w:type="dxa"/>
          </w:tcPr>
          <w:p w14:paraId="00C39A3E" w14:textId="3468A619" w:rsidR="00511FD6" w:rsidRDefault="00511FD6" w:rsidP="00E343A5">
            <w:pPr>
              <w:rPr>
                <w:lang w:val="en-GB"/>
              </w:rPr>
            </w:pPr>
            <w:r>
              <w:t>Food and Drug Administration</w:t>
            </w:r>
            <w:r w:rsidR="00055827">
              <w:t xml:space="preserve"> (United States</w:t>
            </w:r>
            <w:r w:rsidR="00981AF0">
              <w:t xml:space="preserve"> of America</w:t>
            </w:r>
            <w:r w:rsidR="00055827">
              <w:t>)</w:t>
            </w:r>
          </w:p>
        </w:tc>
      </w:tr>
      <w:tr w:rsidR="00511FD6" w:rsidRPr="00FD119B" w14:paraId="3B9A4B0A" w14:textId="77777777" w:rsidTr="00FD119B">
        <w:tc>
          <w:tcPr>
            <w:tcW w:w="1809" w:type="dxa"/>
          </w:tcPr>
          <w:p w14:paraId="1FFB0B0B" w14:textId="77777777" w:rsidR="00511FD6" w:rsidRPr="00FD119B" w:rsidRDefault="00511FD6" w:rsidP="00CF5DAD">
            <w:r>
              <w:t>GAD-7</w:t>
            </w:r>
          </w:p>
        </w:tc>
        <w:tc>
          <w:tcPr>
            <w:tcW w:w="6911" w:type="dxa"/>
          </w:tcPr>
          <w:p w14:paraId="7CE36B5A" w14:textId="32D19BBC" w:rsidR="00511FD6" w:rsidRPr="00FD119B" w:rsidRDefault="00511FD6" w:rsidP="00CF5DAD">
            <w:r w:rsidRPr="00E343A5">
              <w:t>General Anxiety Disorder-7</w:t>
            </w:r>
            <w:r w:rsidR="00981AF0">
              <w:t xml:space="preserve"> scale</w:t>
            </w:r>
          </w:p>
        </w:tc>
      </w:tr>
      <w:tr w:rsidR="00511FD6" w:rsidRPr="00FD119B" w14:paraId="15090D41" w14:textId="77777777" w:rsidTr="00FD119B">
        <w:tc>
          <w:tcPr>
            <w:tcW w:w="1809" w:type="dxa"/>
          </w:tcPr>
          <w:p w14:paraId="293D957A" w14:textId="77777777" w:rsidR="00511FD6" w:rsidRPr="00FD119B" w:rsidRDefault="00511FD6" w:rsidP="00CF5DAD">
            <w:r>
              <w:lastRenderedPageBreak/>
              <w:t>GCP</w:t>
            </w:r>
          </w:p>
        </w:tc>
        <w:tc>
          <w:tcPr>
            <w:tcW w:w="6911" w:type="dxa"/>
          </w:tcPr>
          <w:p w14:paraId="3A9C30CD" w14:textId="77777777" w:rsidR="00511FD6" w:rsidRPr="00FD119B" w:rsidRDefault="00511FD6" w:rsidP="00CF5DAD">
            <w:r>
              <w:rPr>
                <w:lang w:val="en-GB"/>
              </w:rPr>
              <w:t>Good Clinical Practice</w:t>
            </w:r>
          </w:p>
        </w:tc>
      </w:tr>
      <w:tr w:rsidR="00511FD6" w:rsidRPr="00FD119B" w14:paraId="529E84C4" w14:textId="77777777" w:rsidTr="00FD119B">
        <w:tc>
          <w:tcPr>
            <w:tcW w:w="1809" w:type="dxa"/>
          </w:tcPr>
          <w:p w14:paraId="174E35DB" w14:textId="77777777" w:rsidR="00511FD6" w:rsidRPr="00247DDF" w:rsidRDefault="00511FD6" w:rsidP="00CF5DAD">
            <w:pPr>
              <w:rPr>
                <w:lang w:val="en-GB"/>
              </w:rPr>
            </w:pPr>
            <w:r>
              <w:rPr>
                <w:lang w:val="en-GB"/>
              </w:rPr>
              <w:t>HCP</w:t>
            </w:r>
          </w:p>
        </w:tc>
        <w:tc>
          <w:tcPr>
            <w:tcW w:w="6911" w:type="dxa"/>
          </w:tcPr>
          <w:p w14:paraId="2E74D1B9" w14:textId="77777777" w:rsidR="00511FD6" w:rsidRDefault="00511FD6" w:rsidP="00E343A5">
            <w:pPr>
              <w:rPr>
                <w:lang w:val="en-GB"/>
              </w:rPr>
            </w:pPr>
            <w:r>
              <w:t>Healthcare professional</w:t>
            </w:r>
          </w:p>
        </w:tc>
      </w:tr>
      <w:tr w:rsidR="00511FD6" w:rsidRPr="00FD119B" w14:paraId="30FAD89C" w14:textId="77777777" w:rsidTr="00FD119B">
        <w:tc>
          <w:tcPr>
            <w:tcW w:w="1809" w:type="dxa"/>
          </w:tcPr>
          <w:p w14:paraId="265835E3" w14:textId="77777777" w:rsidR="00511FD6" w:rsidRPr="00FD119B" w:rsidRDefault="00511FD6" w:rsidP="00CF5DAD">
            <w:r>
              <w:t>ICH</w:t>
            </w:r>
          </w:p>
        </w:tc>
        <w:tc>
          <w:tcPr>
            <w:tcW w:w="6911" w:type="dxa"/>
          </w:tcPr>
          <w:p w14:paraId="21180169" w14:textId="3D45DC95" w:rsidR="00511FD6" w:rsidRPr="00FD119B" w:rsidRDefault="00511FD6" w:rsidP="00981AF0">
            <w:r>
              <w:t>International Council for Harmonisation</w:t>
            </w:r>
          </w:p>
        </w:tc>
      </w:tr>
      <w:tr w:rsidR="00511FD6" w:rsidRPr="00FD119B" w14:paraId="65AE9325" w14:textId="77777777" w:rsidTr="00FD119B">
        <w:tc>
          <w:tcPr>
            <w:tcW w:w="1809" w:type="dxa"/>
          </w:tcPr>
          <w:p w14:paraId="2254ACBE" w14:textId="77777777" w:rsidR="00511FD6" w:rsidRPr="00FD119B" w:rsidRDefault="00511FD6" w:rsidP="00CF5DAD">
            <w:r>
              <w:t>IV</w:t>
            </w:r>
          </w:p>
        </w:tc>
        <w:tc>
          <w:tcPr>
            <w:tcW w:w="6911" w:type="dxa"/>
          </w:tcPr>
          <w:p w14:paraId="2573C739" w14:textId="77777777" w:rsidR="00511FD6" w:rsidRPr="00FD119B" w:rsidRDefault="00511FD6" w:rsidP="00CF5DAD">
            <w:r>
              <w:t>Intravenous</w:t>
            </w:r>
          </w:p>
        </w:tc>
      </w:tr>
      <w:tr w:rsidR="00511FD6" w:rsidRPr="00FD119B" w14:paraId="2A254CA3" w14:textId="77777777" w:rsidTr="00FD119B">
        <w:tc>
          <w:tcPr>
            <w:tcW w:w="1809" w:type="dxa"/>
          </w:tcPr>
          <w:p w14:paraId="754FF08B" w14:textId="77777777" w:rsidR="00511FD6" w:rsidRPr="00FD119B" w:rsidRDefault="00511FD6" w:rsidP="00CF5DAD">
            <w:r>
              <w:t>LOCF</w:t>
            </w:r>
          </w:p>
        </w:tc>
        <w:tc>
          <w:tcPr>
            <w:tcW w:w="6911" w:type="dxa"/>
          </w:tcPr>
          <w:p w14:paraId="16CBF93D" w14:textId="77777777" w:rsidR="00511FD6" w:rsidRPr="00FD119B" w:rsidRDefault="00511FD6" w:rsidP="00CF5DAD">
            <w:r>
              <w:t>Last observation carried forward</w:t>
            </w:r>
          </w:p>
        </w:tc>
      </w:tr>
      <w:tr w:rsidR="00511FD6" w:rsidRPr="00FD119B" w14:paraId="1B2012DC" w14:textId="77777777" w:rsidTr="00FD119B">
        <w:tc>
          <w:tcPr>
            <w:tcW w:w="1809" w:type="dxa"/>
          </w:tcPr>
          <w:p w14:paraId="73F9DAE2" w14:textId="77777777" w:rsidR="00511FD6" w:rsidRPr="00FD119B" w:rsidRDefault="00511FD6" w:rsidP="00CF5DAD">
            <w:r>
              <w:t>LS</w:t>
            </w:r>
          </w:p>
        </w:tc>
        <w:tc>
          <w:tcPr>
            <w:tcW w:w="6911" w:type="dxa"/>
          </w:tcPr>
          <w:p w14:paraId="534F0FDA" w14:textId="77777777" w:rsidR="00511FD6" w:rsidRPr="00FD119B" w:rsidRDefault="00511FD6" w:rsidP="00CF5DAD">
            <w:r>
              <w:t>Least squares</w:t>
            </w:r>
          </w:p>
        </w:tc>
      </w:tr>
      <w:tr w:rsidR="00511FD6" w:rsidRPr="00FD119B" w14:paraId="4FB7445E" w14:textId="77777777" w:rsidTr="00FD119B">
        <w:tc>
          <w:tcPr>
            <w:tcW w:w="1809" w:type="dxa"/>
          </w:tcPr>
          <w:p w14:paraId="388054A5" w14:textId="77777777" w:rsidR="00511FD6" w:rsidRPr="00FD119B" w:rsidRDefault="00511FD6" w:rsidP="00CF5DAD">
            <w:r w:rsidRPr="00E343A5">
              <w:t>MADRS</w:t>
            </w:r>
          </w:p>
        </w:tc>
        <w:tc>
          <w:tcPr>
            <w:tcW w:w="6911" w:type="dxa"/>
          </w:tcPr>
          <w:p w14:paraId="2E3C05CD" w14:textId="2634B67D" w:rsidR="00511FD6" w:rsidRPr="00FD119B" w:rsidRDefault="00511FD6" w:rsidP="00B62B98">
            <w:r w:rsidRPr="00E343A5">
              <w:t>Montgomery-</w:t>
            </w:r>
            <w:proofErr w:type="spellStart"/>
            <w:r w:rsidR="00B62B98">
              <w:t>Å</w:t>
            </w:r>
            <w:r>
              <w:t>sberg</w:t>
            </w:r>
            <w:proofErr w:type="spellEnd"/>
            <w:r>
              <w:t xml:space="preserve"> Depression Rating Scale</w:t>
            </w:r>
          </w:p>
        </w:tc>
      </w:tr>
      <w:tr w:rsidR="00511FD6" w:rsidRPr="00FD119B" w14:paraId="732B486B" w14:textId="77777777" w:rsidTr="00FD119B">
        <w:tc>
          <w:tcPr>
            <w:tcW w:w="1809" w:type="dxa"/>
          </w:tcPr>
          <w:p w14:paraId="44C69B25" w14:textId="77777777" w:rsidR="00511FD6" w:rsidRPr="00FD119B" w:rsidRDefault="00511FD6" w:rsidP="00953EB4">
            <w:pPr>
              <w:rPr>
                <w:color w:val="auto"/>
                <w:szCs w:val="22"/>
                <w:lang w:eastAsia="en-US"/>
              </w:rPr>
            </w:pPr>
            <w:r>
              <w:rPr>
                <w:color w:val="auto"/>
                <w:szCs w:val="22"/>
                <w:lang w:eastAsia="en-US"/>
              </w:rPr>
              <w:t>MDD</w:t>
            </w:r>
          </w:p>
        </w:tc>
        <w:tc>
          <w:tcPr>
            <w:tcW w:w="6911" w:type="dxa"/>
          </w:tcPr>
          <w:p w14:paraId="123AC1D8" w14:textId="77777777" w:rsidR="00511FD6" w:rsidRPr="00FD119B" w:rsidRDefault="00511FD6" w:rsidP="00953EB4">
            <w:pPr>
              <w:rPr>
                <w:color w:val="auto"/>
                <w:szCs w:val="22"/>
                <w:lang w:eastAsia="en-US"/>
              </w:rPr>
            </w:pPr>
            <w:r>
              <w:rPr>
                <w:lang w:val="en-GB"/>
              </w:rPr>
              <w:t>Major depressive disorder</w:t>
            </w:r>
          </w:p>
        </w:tc>
      </w:tr>
      <w:tr w:rsidR="00511FD6" w:rsidRPr="00FD119B" w14:paraId="3D887B02" w14:textId="77777777" w:rsidTr="00FD119B">
        <w:tc>
          <w:tcPr>
            <w:tcW w:w="1809" w:type="dxa"/>
          </w:tcPr>
          <w:p w14:paraId="5E861F9D" w14:textId="77777777" w:rsidR="00511FD6" w:rsidRPr="00FD119B" w:rsidRDefault="00511FD6" w:rsidP="00CF5DAD">
            <w:r>
              <w:t>MDSI</w:t>
            </w:r>
          </w:p>
        </w:tc>
        <w:tc>
          <w:tcPr>
            <w:tcW w:w="6911" w:type="dxa"/>
          </w:tcPr>
          <w:p w14:paraId="5A77B5DB" w14:textId="77777777" w:rsidR="00511FD6" w:rsidRPr="00FD119B" w:rsidRDefault="00511FD6" w:rsidP="00CF5DAD">
            <w:r>
              <w:t>Major depressive disorder with suicidal ideation</w:t>
            </w:r>
          </w:p>
        </w:tc>
      </w:tr>
      <w:tr w:rsidR="00511FD6" w:rsidRPr="00FD119B" w14:paraId="41BA2122" w14:textId="77777777" w:rsidTr="00FD119B">
        <w:tc>
          <w:tcPr>
            <w:tcW w:w="1809" w:type="dxa"/>
          </w:tcPr>
          <w:p w14:paraId="37E3DD82" w14:textId="77777777" w:rsidR="00511FD6" w:rsidRPr="00FD119B" w:rsidRDefault="00511FD6" w:rsidP="00CF5DAD">
            <w:r w:rsidRPr="00E343A5">
              <w:t>MGH-ATRQ</w:t>
            </w:r>
          </w:p>
        </w:tc>
        <w:tc>
          <w:tcPr>
            <w:tcW w:w="6911" w:type="dxa"/>
          </w:tcPr>
          <w:p w14:paraId="3BB59FA4" w14:textId="77777777" w:rsidR="00511FD6" w:rsidRPr="00FD119B" w:rsidRDefault="00511FD6" w:rsidP="00E343A5">
            <w:r w:rsidRPr="00E343A5">
              <w:t>Massachusetts General Hospital Antidepressant Treatment Res</w:t>
            </w:r>
            <w:r>
              <w:t>ponse Questionnaire</w:t>
            </w:r>
          </w:p>
        </w:tc>
      </w:tr>
      <w:tr w:rsidR="00511FD6" w:rsidRPr="00FD119B" w14:paraId="6004DC53" w14:textId="77777777" w:rsidTr="00FD119B">
        <w:tc>
          <w:tcPr>
            <w:tcW w:w="1809" w:type="dxa"/>
          </w:tcPr>
          <w:p w14:paraId="1C95E4EE" w14:textId="77777777" w:rsidR="00511FD6" w:rsidRPr="00FD119B" w:rsidRDefault="00511FD6" w:rsidP="00CF5DAD">
            <w:r>
              <w:t>M</w:t>
            </w:r>
            <w:r w:rsidRPr="005A5324">
              <w:rPr>
                <w:i/>
              </w:rPr>
              <w:t>X</w:t>
            </w:r>
          </w:p>
        </w:tc>
        <w:tc>
          <w:tcPr>
            <w:tcW w:w="6911" w:type="dxa"/>
          </w:tcPr>
          <w:p w14:paraId="3D7C2E31" w14:textId="77777777" w:rsidR="00511FD6" w:rsidRPr="00FD119B" w:rsidRDefault="00511FD6" w:rsidP="00CF5DAD">
            <w:proofErr w:type="spellStart"/>
            <w:r>
              <w:rPr>
                <w:rFonts w:eastAsia="TimesNewRoman" w:cs="TimesNewRoman"/>
              </w:rPr>
              <w:t>Esketamine</w:t>
            </w:r>
            <w:proofErr w:type="spellEnd"/>
            <w:r>
              <w:rPr>
                <w:rFonts w:eastAsia="TimesNewRoman" w:cs="TimesNewRoman"/>
              </w:rPr>
              <w:t xml:space="preserve">-derived metabolites (for example: M4, </w:t>
            </w:r>
            <w:r w:rsidRPr="0036798B">
              <w:rPr>
                <w:rFonts w:eastAsia="TimesNewRoman" w:cs="TimesNewRoman"/>
              </w:rPr>
              <w:t>M9, M10 and M19</w:t>
            </w:r>
            <w:r>
              <w:rPr>
                <w:rFonts w:eastAsia="TimesNewRoman" w:cs="TimesNewRoman"/>
              </w:rPr>
              <w:t>)</w:t>
            </w:r>
          </w:p>
        </w:tc>
      </w:tr>
      <w:tr w:rsidR="00511FD6" w:rsidRPr="00FD119B" w14:paraId="35669330" w14:textId="77777777" w:rsidTr="00FD119B">
        <w:tc>
          <w:tcPr>
            <w:tcW w:w="1809" w:type="dxa"/>
          </w:tcPr>
          <w:p w14:paraId="358543C7" w14:textId="32FA72FD" w:rsidR="00511FD6" w:rsidRPr="00FD119B" w:rsidRDefault="00511FD6" w:rsidP="00CF5DAD">
            <w:r>
              <w:t>NMDA</w:t>
            </w:r>
          </w:p>
        </w:tc>
        <w:tc>
          <w:tcPr>
            <w:tcW w:w="6911" w:type="dxa"/>
          </w:tcPr>
          <w:p w14:paraId="54860B26" w14:textId="2346EF07" w:rsidR="00511FD6" w:rsidRPr="00FD119B" w:rsidRDefault="00511FD6" w:rsidP="00B62B98">
            <w:r>
              <w:t>N-methyl-D-aspartate</w:t>
            </w:r>
          </w:p>
        </w:tc>
      </w:tr>
      <w:tr w:rsidR="00511FD6" w:rsidRPr="00FD119B" w14:paraId="77798FEF" w14:textId="77777777" w:rsidTr="00FD119B">
        <w:tc>
          <w:tcPr>
            <w:tcW w:w="1809" w:type="dxa"/>
          </w:tcPr>
          <w:p w14:paraId="3B295EDF" w14:textId="77777777" w:rsidR="00511FD6" w:rsidRPr="00FD119B" w:rsidRDefault="00511FD6" w:rsidP="00CF5DAD">
            <w:r>
              <w:t>OAT</w:t>
            </w:r>
          </w:p>
        </w:tc>
        <w:tc>
          <w:tcPr>
            <w:tcW w:w="6911" w:type="dxa"/>
          </w:tcPr>
          <w:p w14:paraId="3D2960F6" w14:textId="77777777" w:rsidR="00511FD6" w:rsidRPr="00FD119B" w:rsidRDefault="00511FD6" w:rsidP="00CF5DAD">
            <w:r>
              <w:t>Organic anion transporter</w:t>
            </w:r>
          </w:p>
        </w:tc>
      </w:tr>
      <w:tr w:rsidR="00511FD6" w:rsidRPr="00FD119B" w14:paraId="067613D7" w14:textId="77777777" w:rsidTr="00FD119B">
        <w:tc>
          <w:tcPr>
            <w:tcW w:w="1809" w:type="dxa"/>
          </w:tcPr>
          <w:p w14:paraId="0D93CA79" w14:textId="77777777" w:rsidR="00511FD6" w:rsidRPr="00FD119B" w:rsidRDefault="00511FD6" w:rsidP="00CF5DAD">
            <w:r>
              <w:t>OATP</w:t>
            </w:r>
          </w:p>
        </w:tc>
        <w:tc>
          <w:tcPr>
            <w:tcW w:w="6911" w:type="dxa"/>
          </w:tcPr>
          <w:p w14:paraId="79CB472A" w14:textId="77777777" w:rsidR="00511FD6" w:rsidRPr="00FD119B" w:rsidRDefault="00511FD6" w:rsidP="00CF5DAD">
            <w:r>
              <w:t>Organic anion transporting polypeptide</w:t>
            </w:r>
          </w:p>
        </w:tc>
      </w:tr>
      <w:tr w:rsidR="00511FD6" w:rsidRPr="00FD119B" w14:paraId="4FDAE4F5" w14:textId="77777777" w:rsidTr="00FD119B">
        <w:tc>
          <w:tcPr>
            <w:tcW w:w="1809" w:type="dxa"/>
          </w:tcPr>
          <w:p w14:paraId="7AE3E310" w14:textId="77777777" w:rsidR="00511FD6" w:rsidRPr="00FD119B" w:rsidRDefault="00511FD6" w:rsidP="00CF5DAD">
            <w:r>
              <w:t>OCT</w:t>
            </w:r>
          </w:p>
        </w:tc>
        <w:tc>
          <w:tcPr>
            <w:tcW w:w="6911" w:type="dxa"/>
          </w:tcPr>
          <w:p w14:paraId="138AD35A" w14:textId="77777777" w:rsidR="00511FD6" w:rsidRPr="00FD119B" w:rsidRDefault="00511FD6" w:rsidP="00CF5DAD">
            <w:r>
              <w:t>Organic cation transporter</w:t>
            </w:r>
          </w:p>
        </w:tc>
      </w:tr>
      <w:tr w:rsidR="00511FD6" w:rsidRPr="00FD119B" w14:paraId="25AB74C5" w14:textId="77777777" w:rsidTr="00FD119B">
        <w:tc>
          <w:tcPr>
            <w:tcW w:w="1809" w:type="dxa"/>
          </w:tcPr>
          <w:p w14:paraId="1B8E6CDD" w14:textId="77777777" w:rsidR="00511FD6" w:rsidRPr="00FD119B" w:rsidRDefault="00511FD6" w:rsidP="00CF5DAD">
            <w:r>
              <w:t>PD</w:t>
            </w:r>
          </w:p>
        </w:tc>
        <w:tc>
          <w:tcPr>
            <w:tcW w:w="6911" w:type="dxa"/>
          </w:tcPr>
          <w:p w14:paraId="41F3164E" w14:textId="77777777" w:rsidR="00511FD6" w:rsidRPr="00FD119B" w:rsidRDefault="00511FD6" w:rsidP="00CF5DAD">
            <w:r>
              <w:t>Pharmacodynamic(s)</w:t>
            </w:r>
          </w:p>
        </w:tc>
      </w:tr>
      <w:tr w:rsidR="00511FD6" w:rsidRPr="00FD119B" w14:paraId="17CBE7F7" w14:textId="77777777" w:rsidTr="00FD119B">
        <w:tc>
          <w:tcPr>
            <w:tcW w:w="1809" w:type="dxa"/>
          </w:tcPr>
          <w:p w14:paraId="3DAB7984" w14:textId="77777777" w:rsidR="00511FD6" w:rsidRPr="00FD119B" w:rsidRDefault="00511FD6" w:rsidP="00CF5DAD">
            <w:r>
              <w:t>P-</w:t>
            </w:r>
            <w:proofErr w:type="spellStart"/>
            <w:r>
              <w:t>gp</w:t>
            </w:r>
            <w:proofErr w:type="spellEnd"/>
          </w:p>
        </w:tc>
        <w:tc>
          <w:tcPr>
            <w:tcW w:w="6911" w:type="dxa"/>
          </w:tcPr>
          <w:p w14:paraId="76618F85" w14:textId="77777777" w:rsidR="00511FD6" w:rsidRPr="00FD119B" w:rsidRDefault="00511FD6" w:rsidP="00CF5DAD">
            <w:r>
              <w:t>P-glycoprotein</w:t>
            </w:r>
          </w:p>
        </w:tc>
      </w:tr>
      <w:tr w:rsidR="00511FD6" w:rsidRPr="00FD119B" w14:paraId="3BE0E687" w14:textId="77777777" w:rsidTr="00FD119B">
        <w:tc>
          <w:tcPr>
            <w:tcW w:w="1809" w:type="dxa"/>
          </w:tcPr>
          <w:p w14:paraId="048EB1F2" w14:textId="77777777" w:rsidR="00511FD6" w:rsidRPr="00FD119B" w:rsidRDefault="00511FD6" w:rsidP="00CF5DAD">
            <w:r>
              <w:rPr>
                <w:lang w:val="en-GB"/>
              </w:rPr>
              <w:t>PHQ-9</w:t>
            </w:r>
          </w:p>
        </w:tc>
        <w:tc>
          <w:tcPr>
            <w:tcW w:w="6911" w:type="dxa"/>
          </w:tcPr>
          <w:p w14:paraId="714D41C4" w14:textId="77777777" w:rsidR="00511FD6" w:rsidRPr="00FD119B" w:rsidRDefault="00511FD6" w:rsidP="00E343A5">
            <w:r>
              <w:rPr>
                <w:lang w:val="en-GB"/>
              </w:rPr>
              <w:t>Patient Health Questionnaire, 9-item</w:t>
            </w:r>
          </w:p>
        </w:tc>
      </w:tr>
      <w:tr w:rsidR="00511FD6" w:rsidRPr="00FD119B" w14:paraId="5BB65850" w14:textId="77777777" w:rsidTr="00FD119B">
        <w:tc>
          <w:tcPr>
            <w:tcW w:w="1809" w:type="dxa"/>
          </w:tcPr>
          <w:p w14:paraId="3DF8994B" w14:textId="77777777" w:rsidR="00511FD6" w:rsidRPr="00FD119B" w:rsidRDefault="00511FD6" w:rsidP="00CF5DAD">
            <w:r>
              <w:t>PI</w:t>
            </w:r>
          </w:p>
        </w:tc>
        <w:tc>
          <w:tcPr>
            <w:tcW w:w="6911" w:type="dxa"/>
          </w:tcPr>
          <w:p w14:paraId="051D9A55" w14:textId="77777777" w:rsidR="00511FD6" w:rsidRPr="00FD119B" w:rsidRDefault="00511FD6" w:rsidP="00CF5DAD">
            <w:r>
              <w:t>Product Information</w:t>
            </w:r>
          </w:p>
        </w:tc>
      </w:tr>
      <w:tr w:rsidR="00511FD6" w:rsidRPr="00FD119B" w14:paraId="38A34448" w14:textId="77777777" w:rsidTr="00FD119B">
        <w:tc>
          <w:tcPr>
            <w:tcW w:w="1809" w:type="dxa"/>
          </w:tcPr>
          <w:p w14:paraId="7D66E00F" w14:textId="77777777" w:rsidR="00511FD6" w:rsidRPr="00FD119B" w:rsidRDefault="00511FD6" w:rsidP="00CF5DAD">
            <w:r>
              <w:t>PK</w:t>
            </w:r>
          </w:p>
        </w:tc>
        <w:tc>
          <w:tcPr>
            <w:tcW w:w="6911" w:type="dxa"/>
          </w:tcPr>
          <w:p w14:paraId="6EAE87F9" w14:textId="77777777" w:rsidR="00511FD6" w:rsidRPr="00FD119B" w:rsidRDefault="00511FD6" w:rsidP="00CF5DAD">
            <w:r>
              <w:t>Pharmacokinetic(s)</w:t>
            </w:r>
          </w:p>
        </w:tc>
      </w:tr>
      <w:tr w:rsidR="00511FD6" w:rsidRPr="00FD119B" w14:paraId="7289B887" w14:textId="77777777" w:rsidTr="00FD119B">
        <w:tc>
          <w:tcPr>
            <w:tcW w:w="1809" w:type="dxa"/>
          </w:tcPr>
          <w:p w14:paraId="6A7F5C7D" w14:textId="77777777" w:rsidR="00511FD6" w:rsidRPr="00FD119B" w:rsidRDefault="00511FD6" w:rsidP="00CF5DAD">
            <w:r>
              <w:t>PopPK</w:t>
            </w:r>
          </w:p>
        </w:tc>
        <w:tc>
          <w:tcPr>
            <w:tcW w:w="6911" w:type="dxa"/>
          </w:tcPr>
          <w:p w14:paraId="330C1B8D" w14:textId="0D1D19C4" w:rsidR="00511FD6" w:rsidRPr="00FD119B" w:rsidRDefault="00511FD6" w:rsidP="00055827">
            <w:r>
              <w:t xml:space="preserve">Population </w:t>
            </w:r>
            <w:r w:rsidR="00055827">
              <w:t>pharmacokinetics</w:t>
            </w:r>
          </w:p>
        </w:tc>
      </w:tr>
      <w:tr w:rsidR="00511FD6" w:rsidRPr="00FD119B" w14:paraId="00295E78" w14:textId="77777777" w:rsidTr="00FD119B">
        <w:tc>
          <w:tcPr>
            <w:tcW w:w="1809" w:type="dxa"/>
          </w:tcPr>
          <w:p w14:paraId="2878F7C0" w14:textId="77777777" w:rsidR="00511FD6" w:rsidRPr="00247DDF" w:rsidRDefault="00511FD6" w:rsidP="00CF5DAD">
            <w:pPr>
              <w:rPr>
                <w:lang w:val="en-GB"/>
              </w:rPr>
            </w:pPr>
            <w:r>
              <w:rPr>
                <w:lang w:val="en-GB"/>
              </w:rPr>
              <w:t>REMS</w:t>
            </w:r>
          </w:p>
        </w:tc>
        <w:tc>
          <w:tcPr>
            <w:tcW w:w="6911" w:type="dxa"/>
          </w:tcPr>
          <w:p w14:paraId="43C53905" w14:textId="2B2DD317" w:rsidR="00511FD6" w:rsidRDefault="00511FD6" w:rsidP="00E343A5">
            <w:pPr>
              <w:rPr>
                <w:lang w:val="en-GB"/>
              </w:rPr>
            </w:pPr>
            <w:r>
              <w:t>Risk Evaluation and Mitigation Strategy</w:t>
            </w:r>
            <w:r w:rsidR="00151766">
              <w:t xml:space="preserve"> (United States Food and Drug Administration)</w:t>
            </w:r>
          </w:p>
        </w:tc>
      </w:tr>
      <w:tr w:rsidR="00511FD6" w:rsidRPr="00FD119B" w14:paraId="08CD2E0E" w14:textId="77777777" w:rsidTr="00FD119B">
        <w:tc>
          <w:tcPr>
            <w:tcW w:w="1809" w:type="dxa"/>
          </w:tcPr>
          <w:p w14:paraId="4E19D96A" w14:textId="77777777" w:rsidR="00511FD6" w:rsidRPr="00247DDF" w:rsidRDefault="00511FD6" w:rsidP="00CF5DAD">
            <w:pPr>
              <w:rPr>
                <w:lang w:val="en-GB"/>
              </w:rPr>
            </w:pPr>
            <w:r>
              <w:rPr>
                <w:lang w:val="en-GB"/>
              </w:rPr>
              <w:t>RMP</w:t>
            </w:r>
          </w:p>
        </w:tc>
        <w:tc>
          <w:tcPr>
            <w:tcW w:w="6911" w:type="dxa"/>
          </w:tcPr>
          <w:p w14:paraId="50B69DB6" w14:textId="77777777" w:rsidR="00511FD6" w:rsidRDefault="00511FD6" w:rsidP="00E343A5">
            <w:pPr>
              <w:rPr>
                <w:lang w:val="en-GB"/>
              </w:rPr>
            </w:pPr>
            <w:r>
              <w:t>Risk management plan</w:t>
            </w:r>
          </w:p>
        </w:tc>
      </w:tr>
      <w:tr w:rsidR="00511FD6" w:rsidRPr="00FD119B" w14:paraId="6862BE2C" w14:textId="77777777" w:rsidTr="00FD119B">
        <w:tc>
          <w:tcPr>
            <w:tcW w:w="1809" w:type="dxa"/>
          </w:tcPr>
          <w:p w14:paraId="426C87E2" w14:textId="77777777" w:rsidR="00511FD6" w:rsidRPr="00247DDF" w:rsidRDefault="00511FD6" w:rsidP="00CF5DAD">
            <w:pPr>
              <w:rPr>
                <w:lang w:val="en-GB"/>
              </w:rPr>
            </w:pPr>
            <w:r>
              <w:rPr>
                <w:lang w:val="en-GB"/>
              </w:rPr>
              <w:t>SAE</w:t>
            </w:r>
          </w:p>
        </w:tc>
        <w:tc>
          <w:tcPr>
            <w:tcW w:w="6911" w:type="dxa"/>
          </w:tcPr>
          <w:p w14:paraId="58A5B6CD" w14:textId="77777777" w:rsidR="00511FD6" w:rsidRDefault="00511FD6" w:rsidP="00E343A5">
            <w:pPr>
              <w:rPr>
                <w:lang w:val="en-GB"/>
              </w:rPr>
            </w:pPr>
            <w:r>
              <w:t>Serious adverse event</w:t>
            </w:r>
          </w:p>
        </w:tc>
      </w:tr>
      <w:tr w:rsidR="00511FD6" w:rsidRPr="00FD119B" w14:paraId="6DEF22AC" w14:textId="77777777" w:rsidTr="00FD119B">
        <w:tc>
          <w:tcPr>
            <w:tcW w:w="1809" w:type="dxa"/>
          </w:tcPr>
          <w:p w14:paraId="2F2686CF" w14:textId="77777777" w:rsidR="00511FD6" w:rsidRPr="00FD119B" w:rsidRDefault="00511FD6" w:rsidP="00CF5DAD">
            <w:r>
              <w:lastRenderedPageBreak/>
              <w:t>SDS</w:t>
            </w:r>
          </w:p>
        </w:tc>
        <w:tc>
          <w:tcPr>
            <w:tcW w:w="6911" w:type="dxa"/>
          </w:tcPr>
          <w:p w14:paraId="740E9175" w14:textId="77777777" w:rsidR="00511FD6" w:rsidRPr="00FD119B" w:rsidRDefault="00511FD6" w:rsidP="00E343A5">
            <w:r>
              <w:rPr>
                <w:lang w:val="en-GB"/>
              </w:rPr>
              <w:t>Sheehan Disability Scale</w:t>
            </w:r>
          </w:p>
        </w:tc>
      </w:tr>
      <w:tr w:rsidR="00511FD6" w:rsidRPr="00FD119B" w14:paraId="468F6665" w14:textId="77777777" w:rsidTr="00FD119B">
        <w:tc>
          <w:tcPr>
            <w:tcW w:w="1809" w:type="dxa"/>
          </w:tcPr>
          <w:p w14:paraId="0A12135A" w14:textId="77777777" w:rsidR="00511FD6" w:rsidRPr="00FD119B" w:rsidRDefault="00511FD6" w:rsidP="00CF5DAD">
            <w:r>
              <w:t>SNRI</w:t>
            </w:r>
          </w:p>
        </w:tc>
        <w:tc>
          <w:tcPr>
            <w:tcW w:w="6911" w:type="dxa"/>
          </w:tcPr>
          <w:p w14:paraId="727D28B4" w14:textId="15C75846" w:rsidR="00511FD6" w:rsidRPr="00FD119B" w:rsidRDefault="00511FD6" w:rsidP="00151766">
            <w:r>
              <w:t xml:space="preserve">Serotonin and </w:t>
            </w:r>
            <w:r w:rsidR="00151766">
              <w:t xml:space="preserve">noradrenaline </w:t>
            </w:r>
            <w:r>
              <w:t>reuptake inhibitor</w:t>
            </w:r>
          </w:p>
        </w:tc>
      </w:tr>
      <w:tr w:rsidR="00511FD6" w:rsidRPr="00FD119B" w14:paraId="174BC9F8" w14:textId="77777777" w:rsidTr="00FD119B">
        <w:tc>
          <w:tcPr>
            <w:tcW w:w="1809" w:type="dxa"/>
          </w:tcPr>
          <w:p w14:paraId="065804D7" w14:textId="77777777" w:rsidR="00511FD6" w:rsidRPr="00FD119B" w:rsidRDefault="00511FD6" w:rsidP="00CF5DAD">
            <w:r>
              <w:t>SSRI</w:t>
            </w:r>
          </w:p>
        </w:tc>
        <w:tc>
          <w:tcPr>
            <w:tcW w:w="6911" w:type="dxa"/>
          </w:tcPr>
          <w:p w14:paraId="79BE5EE7" w14:textId="77777777" w:rsidR="00511FD6" w:rsidRPr="00FD119B" w:rsidRDefault="00511FD6" w:rsidP="00CF5DAD">
            <w:r>
              <w:t>Selective serotonin reuptake inhibitor</w:t>
            </w:r>
          </w:p>
        </w:tc>
      </w:tr>
      <w:tr w:rsidR="00511FD6" w:rsidRPr="00FD119B" w14:paraId="04F421EA" w14:textId="77777777" w:rsidTr="00FD119B">
        <w:tc>
          <w:tcPr>
            <w:tcW w:w="1809" w:type="dxa"/>
          </w:tcPr>
          <w:p w14:paraId="518FE0EC" w14:textId="77777777" w:rsidR="00511FD6" w:rsidRPr="00FD119B" w:rsidRDefault="00511FD6" w:rsidP="00CF5DAD">
            <w:r>
              <w:t>t½</w:t>
            </w:r>
          </w:p>
        </w:tc>
        <w:tc>
          <w:tcPr>
            <w:tcW w:w="6911" w:type="dxa"/>
          </w:tcPr>
          <w:p w14:paraId="17B48F8F" w14:textId="77777777" w:rsidR="00511FD6" w:rsidRPr="00FD119B" w:rsidRDefault="00511FD6" w:rsidP="007D5C56">
            <w:r>
              <w:t>Terminal half life</w:t>
            </w:r>
          </w:p>
        </w:tc>
      </w:tr>
      <w:tr w:rsidR="00511FD6" w:rsidRPr="00FD119B" w14:paraId="62662E3A" w14:textId="77777777" w:rsidTr="00FD119B">
        <w:tc>
          <w:tcPr>
            <w:tcW w:w="1809" w:type="dxa"/>
          </w:tcPr>
          <w:p w14:paraId="24C5D3FE" w14:textId="77777777" w:rsidR="00511FD6" w:rsidRPr="00247DDF" w:rsidRDefault="00511FD6" w:rsidP="00CF5DAD">
            <w:pPr>
              <w:rPr>
                <w:lang w:val="en-GB"/>
              </w:rPr>
            </w:pPr>
            <w:r>
              <w:rPr>
                <w:lang w:val="en-GB"/>
              </w:rPr>
              <w:t>TEAE</w:t>
            </w:r>
          </w:p>
        </w:tc>
        <w:tc>
          <w:tcPr>
            <w:tcW w:w="6911" w:type="dxa"/>
          </w:tcPr>
          <w:p w14:paraId="546283C6" w14:textId="77777777" w:rsidR="00511FD6" w:rsidRDefault="00511FD6" w:rsidP="00E343A5">
            <w:pPr>
              <w:rPr>
                <w:lang w:val="en-GB"/>
              </w:rPr>
            </w:pPr>
            <w:r>
              <w:t>Treatment emergent adverse event</w:t>
            </w:r>
          </w:p>
        </w:tc>
      </w:tr>
      <w:tr w:rsidR="00511FD6" w:rsidRPr="00FD119B" w14:paraId="7B79B2B0" w14:textId="77777777" w:rsidTr="00FD119B">
        <w:tc>
          <w:tcPr>
            <w:tcW w:w="1809" w:type="dxa"/>
          </w:tcPr>
          <w:p w14:paraId="0508451C" w14:textId="77777777" w:rsidR="00511FD6" w:rsidRPr="00FD119B" w:rsidRDefault="00511FD6" w:rsidP="00CF5DAD">
            <w:proofErr w:type="spellStart"/>
            <w:r>
              <w:t>T</w:t>
            </w:r>
            <w:r>
              <w:rPr>
                <w:vertAlign w:val="subscript"/>
              </w:rPr>
              <w:t>max</w:t>
            </w:r>
            <w:proofErr w:type="spellEnd"/>
          </w:p>
        </w:tc>
        <w:tc>
          <w:tcPr>
            <w:tcW w:w="6911" w:type="dxa"/>
          </w:tcPr>
          <w:p w14:paraId="294FF513" w14:textId="77777777" w:rsidR="00511FD6" w:rsidRPr="00FD119B" w:rsidRDefault="00511FD6" w:rsidP="00996B5F">
            <w:r>
              <w:t>Time to maximum plasma concentration</w:t>
            </w:r>
          </w:p>
        </w:tc>
      </w:tr>
      <w:tr w:rsidR="00511FD6" w:rsidRPr="00FD119B" w14:paraId="3367CB79" w14:textId="77777777" w:rsidTr="00FD119B">
        <w:tc>
          <w:tcPr>
            <w:tcW w:w="1809" w:type="dxa"/>
          </w:tcPr>
          <w:p w14:paraId="06C91382" w14:textId="77777777" w:rsidR="00511FD6" w:rsidRPr="00FD119B" w:rsidRDefault="00511FD6" w:rsidP="00CF5DAD">
            <w:r>
              <w:t>TRD</w:t>
            </w:r>
          </w:p>
        </w:tc>
        <w:tc>
          <w:tcPr>
            <w:tcW w:w="6911" w:type="dxa"/>
          </w:tcPr>
          <w:p w14:paraId="6AFE2895" w14:textId="77777777" w:rsidR="00511FD6" w:rsidRPr="00FD119B" w:rsidRDefault="00511FD6" w:rsidP="00CF5DAD">
            <w:r>
              <w:rPr>
                <w:rFonts w:cs="Arial"/>
                <w:lang w:val="en-GB"/>
              </w:rPr>
              <w:t>Treatment resistant depression</w:t>
            </w:r>
          </w:p>
        </w:tc>
      </w:tr>
      <w:tr w:rsidR="00511FD6" w:rsidRPr="00FD119B" w14:paraId="07E0476C" w14:textId="77777777" w:rsidTr="00FD119B">
        <w:tc>
          <w:tcPr>
            <w:tcW w:w="1809" w:type="dxa"/>
          </w:tcPr>
          <w:p w14:paraId="2FF5B7CD" w14:textId="77777777" w:rsidR="00511FD6" w:rsidRPr="00FD119B" w:rsidRDefault="00511FD6" w:rsidP="00CF5DAD">
            <w:r>
              <w:t>UGT</w:t>
            </w:r>
          </w:p>
        </w:tc>
        <w:tc>
          <w:tcPr>
            <w:tcW w:w="6911" w:type="dxa"/>
          </w:tcPr>
          <w:p w14:paraId="0098FAF5" w14:textId="77777777" w:rsidR="00511FD6" w:rsidRPr="00FD119B" w:rsidRDefault="00511FD6" w:rsidP="00CF5DAD">
            <w:r>
              <w:rPr>
                <w:rFonts w:eastAsia="TimesNewRoman" w:cs="TimesNewRoman"/>
              </w:rPr>
              <w:t>Uridine 5'-diphospho-glucuronosyltransferase</w:t>
            </w:r>
          </w:p>
        </w:tc>
      </w:tr>
      <w:tr w:rsidR="00511FD6" w:rsidRPr="00FD119B" w14:paraId="2D6E7BCB" w14:textId="77777777" w:rsidTr="00FD119B">
        <w:tc>
          <w:tcPr>
            <w:tcW w:w="1809" w:type="dxa"/>
          </w:tcPr>
          <w:p w14:paraId="4220B97A" w14:textId="1901BF21" w:rsidR="00511FD6" w:rsidRPr="00FD119B" w:rsidRDefault="00511FD6" w:rsidP="00CF5DAD">
            <w:r>
              <w:t>US</w:t>
            </w:r>
            <w:r w:rsidR="00151766">
              <w:t>(A)</w:t>
            </w:r>
          </w:p>
        </w:tc>
        <w:tc>
          <w:tcPr>
            <w:tcW w:w="6911" w:type="dxa"/>
          </w:tcPr>
          <w:p w14:paraId="7C7847FC" w14:textId="447B77BF" w:rsidR="00511FD6" w:rsidRPr="00FD119B" w:rsidRDefault="00511FD6" w:rsidP="00CF5DAD">
            <w:r>
              <w:rPr>
                <w:rFonts w:cs="Arial"/>
                <w:lang w:val="en-GB"/>
              </w:rPr>
              <w:t>United States</w:t>
            </w:r>
            <w:r w:rsidR="00151766">
              <w:rPr>
                <w:rFonts w:cs="Arial"/>
                <w:lang w:val="en-GB"/>
              </w:rPr>
              <w:t xml:space="preserve"> of America</w:t>
            </w:r>
          </w:p>
        </w:tc>
      </w:tr>
      <w:tr w:rsidR="00511FD6" w:rsidRPr="00FD119B" w14:paraId="5B3D95D5" w14:textId="77777777" w:rsidTr="00FD119B">
        <w:tc>
          <w:tcPr>
            <w:tcW w:w="1809" w:type="dxa"/>
          </w:tcPr>
          <w:p w14:paraId="028FEE4C" w14:textId="77777777" w:rsidR="00511FD6" w:rsidRPr="00FD119B" w:rsidRDefault="00511FD6" w:rsidP="00953EB4">
            <w:pPr>
              <w:rPr>
                <w:color w:val="auto"/>
                <w:szCs w:val="22"/>
                <w:lang w:eastAsia="en-US"/>
              </w:rPr>
            </w:pPr>
            <w:r>
              <w:rPr>
                <w:color w:val="auto"/>
                <w:szCs w:val="22"/>
                <w:lang w:eastAsia="en-US"/>
              </w:rPr>
              <w:t>WHO</w:t>
            </w:r>
          </w:p>
        </w:tc>
        <w:tc>
          <w:tcPr>
            <w:tcW w:w="6911" w:type="dxa"/>
          </w:tcPr>
          <w:p w14:paraId="66B57B06" w14:textId="77777777" w:rsidR="00511FD6" w:rsidRPr="00FD119B" w:rsidRDefault="00511FD6" w:rsidP="00953EB4">
            <w:pPr>
              <w:rPr>
                <w:color w:val="auto"/>
                <w:szCs w:val="22"/>
                <w:lang w:eastAsia="en-US"/>
              </w:rPr>
            </w:pPr>
            <w:r>
              <w:rPr>
                <w:lang w:val="en-GB"/>
              </w:rPr>
              <w:t>World Health Organization</w:t>
            </w:r>
          </w:p>
        </w:tc>
      </w:tr>
    </w:tbl>
    <w:p w14:paraId="2A14E53A" w14:textId="77777777" w:rsidR="00FD119B" w:rsidRDefault="00FD119B" w:rsidP="00FD119B"/>
    <w:p w14:paraId="7EAAA44E" w14:textId="77777777" w:rsidR="00FD119B" w:rsidRPr="00FD119B" w:rsidRDefault="00FD119B" w:rsidP="00FD119B">
      <w:pPr>
        <w:spacing w:before="0" w:after="200" w:line="0" w:lineRule="auto"/>
        <w:rPr>
          <w:b/>
          <w:i/>
          <w:sz w:val="24"/>
          <w:szCs w:val="24"/>
        </w:rPr>
      </w:pPr>
      <w:r w:rsidRPr="00FD119B">
        <w:rPr>
          <w:b/>
          <w:i/>
          <w:sz w:val="24"/>
          <w:szCs w:val="24"/>
        </w:rPr>
        <w:br w:type="page"/>
      </w:r>
    </w:p>
    <w:p w14:paraId="736E340D" w14:textId="77777777" w:rsidR="008E7846" w:rsidRDefault="00F53C07" w:rsidP="008E7846">
      <w:pPr>
        <w:pStyle w:val="Heading2"/>
      </w:pPr>
      <w:bookmarkStart w:id="9" w:name="_Toc72744013"/>
      <w:r>
        <w:lastRenderedPageBreak/>
        <w:t>I.</w:t>
      </w:r>
      <w:r w:rsidR="008E7846">
        <w:t xml:space="preserve"> Introduction to product submission</w:t>
      </w:r>
      <w:bookmarkEnd w:id="3"/>
      <w:bookmarkEnd w:id="0"/>
      <w:bookmarkEnd w:id="9"/>
    </w:p>
    <w:p w14:paraId="65CFD054" w14:textId="77777777" w:rsidR="008E7846" w:rsidRDefault="008E7846" w:rsidP="008E7846">
      <w:pPr>
        <w:pStyle w:val="Heading3"/>
        <w:rPr>
          <w:lang w:eastAsia="en-AU"/>
        </w:rPr>
      </w:pPr>
      <w:bookmarkStart w:id="10" w:name="_Toc247691502"/>
      <w:bookmarkStart w:id="11" w:name="_Toc314842483"/>
      <w:bookmarkStart w:id="12" w:name="_Toc7274401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774800" w:rsidRPr="003D1E62" w14:paraId="40876E6D" w14:textId="77777777" w:rsidTr="003735BC">
        <w:tc>
          <w:tcPr>
            <w:tcW w:w="2907" w:type="dxa"/>
          </w:tcPr>
          <w:p w14:paraId="70781F39" w14:textId="77777777" w:rsidR="00774800" w:rsidRPr="003D1E62" w:rsidRDefault="00774800" w:rsidP="00774800">
            <w:pPr>
              <w:rPr>
                <w:i/>
              </w:rPr>
            </w:pPr>
            <w:r>
              <w:rPr>
                <w:i/>
              </w:rPr>
              <w:t>Type of s</w:t>
            </w:r>
            <w:r w:rsidRPr="003D1E62">
              <w:rPr>
                <w:i/>
              </w:rPr>
              <w:t>ubmission</w:t>
            </w:r>
            <w:r>
              <w:rPr>
                <w:i/>
              </w:rPr>
              <w:t>:</w:t>
            </w:r>
          </w:p>
        </w:tc>
        <w:tc>
          <w:tcPr>
            <w:tcW w:w="6307" w:type="dxa"/>
          </w:tcPr>
          <w:p w14:paraId="4B52BF73" w14:textId="77777777" w:rsidR="00774800" w:rsidRPr="00D75678" w:rsidRDefault="00774800" w:rsidP="00774800">
            <w:r>
              <w:t>New chemical entity</w:t>
            </w:r>
          </w:p>
        </w:tc>
      </w:tr>
      <w:tr w:rsidR="00774800" w:rsidRPr="003D1E62" w14:paraId="00BD6B1D" w14:textId="77777777" w:rsidTr="003735BC">
        <w:tc>
          <w:tcPr>
            <w:tcW w:w="2907" w:type="dxa"/>
          </w:tcPr>
          <w:p w14:paraId="26A428A9" w14:textId="77777777" w:rsidR="00774800" w:rsidRPr="003D1E62" w:rsidRDefault="00C802B0" w:rsidP="00774800">
            <w:pPr>
              <w:rPr>
                <w:i/>
              </w:rPr>
            </w:pPr>
            <w:r>
              <w:rPr>
                <w:i/>
              </w:rPr>
              <w:t>Product name</w:t>
            </w:r>
            <w:r w:rsidR="00774800" w:rsidRPr="00460036">
              <w:rPr>
                <w:i/>
              </w:rPr>
              <w:t>:</w:t>
            </w:r>
          </w:p>
        </w:tc>
        <w:tc>
          <w:tcPr>
            <w:tcW w:w="6307" w:type="dxa"/>
          </w:tcPr>
          <w:p w14:paraId="02B8A5CD" w14:textId="77777777" w:rsidR="00774800" w:rsidRPr="00D75678" w:rsidRDefault="00774800" w:rsidP="00774800">
            <w:proofErr w:type="spellStart"/>
            <w:r w:rsidRPr="00F63DF6">
              <w:t>Spravato</w:t>
            </w:r>
            <w:proofErr w:type="spellEnd"/>
          </w:p>
        </w:tc>
      </w:tr>
      <w:tr w:rsidR="00774800" w:rsidRPr="003D1E62" w14:paraId="3D90597F" w14:textId="77777777" w:rsidTr="003735BC">
        <w:tc>
          <w:tcPr>
            <w:tcW w:w="2907" w:type="dxa"/>
          </w:tcPr>
          <w:p w14:paraId="7DC2EF81" w14:textId="77777777" w:rsidR="00774800" w:rsidRPr="003D1E62" w:rsidRDefault="00C802B0" w:rsidP="00774800">
            <w:pPr>
              <w:rPr>
                <w:i/>
              </w:rPr>
            </w:pPr>
            <w:r>
              <w:rPr>
                <w:i/>
              </w:rPr>
              <w:t>Active ingredient</w:t>
            </w:r>
            <w:r w:rsidR="00774800" w:rsidRPr="00460036">
              <w:rPr>
                <w:i/>
              </w:rPr>
              <w:t>:</w:t>
            </w:r>
          </w:p>
        </w:tc>
        <w:tc>
          <w:tcPr>
            <w:tcW w:w="6307" w:type="dxa"/>
          </w:tcPr>
          <w:p w14:paraId="3A6B3300" w14:textId="77777777" w:rsidR="00774800" w:rsidRPr="00D75678" w:rsidRDefault="00774800" w:rsidP="00774800">
            <w:proofErr w:type="spellStart"/>
            <w:r>
              <w:t>E</w:t>
            </w:r>
            <w:r w:rsidRPr="00F63DF6">
              <w:t>sketamine</w:t>
            </w:r>
            <w:proofErr w:type="spellEnd"/>
            <w:r w:rsidRPr="00F63DF6">
              <w:t xml:space="preserve"> hydrochloride</w:t>
            </w:r>
          </w:p>
        </w:tc>
      </w:tr>
      <w:tr w:rsidR="00774800" w:rsidRPr="003D1E62" w14:paraId="77A563ED" w14:textId="77777777" w:rsidTr="003735BC">
        <w:tc>
          <w:tcPr>
            <w:tcW w:w="2907" w:type="dxa"/>
          </w:tcPr>
          <w:p w14:paraId="65C63673" w14:textId="77777777" w:rsidR="00774800" w:rsidRPr="003D1E62" w:rsidRDefault="00774800" w:rsidP="00774800">
            <w:r w:rsidRPr="003D1E62">
              <w:rPr>
                <w:i/>
              </w:rPr>
              <w:t>Decision</w:t>
            </w:r>
            <w:r w:rsidRPr="003D1E62">
              <w:t>:</w:t>
            </w:r>
          </w:p>
        </w:tc>
        <w:tc>
          <w:tcPr>
            <w:tcW w:w="6307" w:type="dxa"/>
          </w:tcPr>
          <w:p w14:paraId="0023C767" w14:textId="77777777" w:rsidR="00774800" w:rsidRPr="00915AB2" w:rsidRDefault="00774800" w:rsidP="00774800">
            <w:r w:rsidRPr="00915AB2">
              <w:t>Approved</w:t>
            </w:r>
          </w:p>
        </w:tc>
      </w:tr>
      <w:tr w:rsidR="00774800" w:rsidRPr="003D1E62" w14:paraId="05876526" w14:textId="77777777" w:rsidTr="003735BC">
        <w:tc>
          <w:tcPr>
            <w:tcW w:w="2907" w:type="dxa"/>
          </w:tcPr>
          <w:p w14:paraId="1EF76D11" w14:textId="77777777" w:rsidR="00774800" w:rsidRPr="003D1E62" w:rsidRDefault="00774800" w:rsidP="00774800">
            <w:pPr>
              <w:rPr>
                <w:i/>
              </w:rPr>
            </w:pPr>
            <w:r w:rsidRPr="003D1E62">
              <w:rPr>
                <w:i/>
              </w:rPr>
              <w:t xml:space="preserve">Date of </w:t>
            </w:r>
            <w:r>
              <w:rPr>
                <w:i/>
              </w:rPr>
              <w:t>d</w:t>
            </w:r>
            <w:r w:rsidRPr="003D1E62">
              <w:rPr>
                <w:i/>
              </w:rPr>
              <w:t>ecision:</w:t>
            </w:r>
          </w:p>
        </w:tc>
        <w:tc>
          <w:tcPr>
            <w:tcW w:w="6307" w:type="dxa"/>
          </w:tcPr>
          <w:p w14:paraId="151FF1AE" w14:textId="77777777" w:rsidR="00774800" w:rsidRPr="00D75678" w:rsidRDefault="00774800" w:rsidP="00774800">
            <w:r w:rsidRPr="009202B4">
              <w:t>5 March 2021</w:t>
            </w:r>
          </w:p>
        </w:tc>
      </w:tr>
      <w:tr w:rsidR="00774800" w:rsidRPr="003D1E62" w14:paraId="65B85D48" w14:textId="77777777" w:rsidTr="003735BC">
        <w:tc>
          <w:tcPr>
            <w:tcW w:w="2907" w:type="dxa"/>
          </w:tcPr>
          <w:p w14:paraId="36401A7A" w14:textId="77777777" w:rsidR="00774800" w:rsidRPr="00441C3F" w:rsidRDefault="00774800" w:rsidP="00774800">
            <w:pPr>
              <w:rPr>
                <w:i/>
              </w:rPr>
            </w:pPr>
            <w:r w:rsidRPr="00441C3F">
              <w:rPr>
                <w:i/>
              </w:rPr>
              <w:t>Date of entry onto ARTG</w:t>
            </w:r>
            <w:r>
              <w:rPr>
                <w:i/>
              </w:rPr>
              <w:t>:</w:t>
            </w:r>
          </w:p>
        </w:tc>
        <w:tc>
          <w:tcPr>
            <w:tcW w:w="6307" w:type="dxa"/>
          </w:tcPr>
          <w:p w14:paraId="54449296" w14:textId="77777777" w:rsidR="00774800" w:rsidRPr="003F27DD" w:rsidRDefault="00774800" w:rsidP="00774800">
            <w:r w:rsidRPr="003F27DD">
              <w:t>9 March 2021</w:t>
            </w:r>
          </w:p>
        </w:tc>
      </w:tr>
      <w:tr w:rsidR="00774800" w:rsidRPr="003D1E62" w14:paraId="6A5C187F" w14:textId="77777777" w:rsidTr="003735BC">
        <w:tc>
          <w:tcPr>
            <w:tcW w:w="2907" w:type="dxa"/>
          </w:tcPr>
          <w:p w14:paraId="6CDF765C" w14:textId="77777777" w:rsidR="00774800" w:rsidRPr="00441C3F" w:rsidRDefault="00C802B0" w:rsidP="00774800">
            <w:pPr>
              <w:rPr>
                <w:i/>
              </w:rPr>
            </w:pPr>
            <w:r>
              <w:rPr>
                <w:i/>
              </w:rPr>
              <w:t>ARTG number</w:t>
            </w:r>
            <w:r w:rsidR="00774800">
              <w:rPr>
                <w:i/>
              </w:rPr>
              <w:t>:</w:t>
            </w:r>
          </w:p>
        </w:tc>
        <w:tc>
          <w:tcPr>
            <w:tcW w:w="6307" w:type="dxa"/>
          </w:tcPr>
          <w:p w14:paraId="53CC9424" w14:textId="77777777" w:rsidR="00774800" w:rsidRPr="00D75678" w:rsidRDefault="00774800" w:rsidP="00774800">
            <w:r w:rsidRPr="009202B4">
              <w:t>311827</w:t>
            </w:r>
          </w:p>
        </w:tc>
      </w:tr>
      <w:tr w:rsidR="00774800" w:rsidRPr="003D1E62" w14:paraId="4A7187D3" w14:textId="77777777" w:rsidTr="003735BC">
        <w:tc>
          <w:tcPr>
            <w:tcW w:w="2907" w:type="dxa"/>
          </w:tcPr>
          <w:p w14:paraId="6A249DCB" w14:textId="77777777" w:rsidR="00774800" w:rsidRDefault="00774800" w:rsidP="00774800">
            <w:pPr>
              <w:rPr>
                <w:i/>
              </w:rPr>
            </w:pPr>
            <w:r>
              <w:rPr>
                <w:rFonts w:ascii="Wingdings 3" w:hAnsi="Wingdings 3"/>
                <w:sz w:val="34"/>
                <w:szCs w:val="34"/>
                <w:lang w:eastAsia="en-AU"/>
              </w:rPr>
              <w:t></w:t>
            </w:r>
            <w:r w:rsidRPr="003735BC">
              <w:rPr>
                <w:i/>
              </w:rPr>
              <w:t>Black Triangle Scheme</w:t>
            </w:r>
            <w:r>
              <w:rPr>
                <w:i/>
              </w:rPr>
              <w:t>:</w:t>
            </w:r>
            <w:r>
              <w:rPr>
                <w:rStyle w:val="FootnoteReference"/>
                <w:i/>
              </w:rPr>
              <w:footnoteReference w:id="1"/>
            </w:r>
          </w:p>
        </w:tc>
        <w:tc>
          <w:tcPr>
            <w:tcW w:w="6307" w:type="dxa"/>
          </w:tcPr>
          <w:p w14:paraId="19C676E6" w14:textId="77777777" w:rsidR="00774800" w:rsidRDefault="00774800" w:rsidP="00774800">
            <w:r>
              <w:t>Yes.</w:t>
            </w:r>
          </w:p>
          <w:p w14:paraId="6DCC1C96" w14:textId="77777777" w:rsidR="00774800" w:rsidRPr="00D75678" w:rsidRDefault="00774800" w:rsidP="00774800">
            <w:r w:rsidRPr="00D75678">
              <w:t>This product will remain in the scheme for 5 years, starting on the date the product is first supplied in Australia</w:t>
            </w:r>
          </w:p>
        </w:tc>
      </w:tr>
      <w:tr w:rsidR="00774800" w:rsidRPr="00487162" w14:paraId="41C065E5" w14:textId="77777777" w:rsidTr="00BF1190">
        <w:tc>
          <w:tcPr>
            <w:tcW w:w="2907" w:type="dxa"/>
          </w:tcPr>
          <w:p w14:paraId="10A04D8D" w14:textId="77777777" w:rsidR="00774800" w:rsidRPr="00487162" w:rsidRDefault="00774800" w:rsidP="00774800">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70CBE36D" w14:textId="77777777" w:rsidR="00774800" w:rsidRPr="00F86572" w:rsidRDefault="00774800" w:rsidP="00774800">
            <w:pPr>
              <w:rPr>
                <w:lang w:val="es-ES"/>
              </w:rPr>
            </w:pPr>
            <w:proofErr w:type="spellStart"/>
            <w:r w:rsidRPr="00F86572">
              <w:rPr>
                <w:lang w:val="es-ES"/>
              </w:rPr>
              <w:t>Janssen-Cilag</w:t>
            </w:r>
            <w:proofErr w:type="spellEnd"/>
            <w:r w:rsidRPr="00F86572">
              <w:rPr>
                <w:lang w:val="es-ES"/>
              </w:rPr>
              <w:t xml:space="preserve"> </w:t>
            </w:r>
            <w:proofErr w:type="spellStart"/>
            <w:r w:rsidRPr="00F86572">
              <w:rPr>
                <w:lang w:val="es-ES"/>
              </w:rPr>
              <w:t>Pty</w:t>
            </w:r>
            <w:proofErr w:type="spellEnd"/>
            <w:r w:rsidRPr="00F86572">
              <w:rPr>
                <w:lang w:val="es-ES"/>
              </w:rPr>
              <w:t xml:space="preserve"> </w:t>
            </w:r>
            <w:proofErr w:type="spellStart"/>
            <w:r w:rsidRPr="00F86572">
              <w:rPr>
                <w:lang w:val="es-ES"/>
              </w:rPr>
              <w:t>Ltd</w:t>
            </w:r>
            <w:proofErr w:type="spellEnd"/>
          </w:p>
          <w:p w14:paraId="7441D775" w14:textId="77777777" w:rsidR="00151766" w:rsidRDefault="00774800" w:rsidP="00774800">
            <w:pPr>
              <w:rPr>
                <w:lang w:val="es-ES"/>
              </w:rPr>
            </w:pPr>
            <w:r w:rsidRPr="00F86572">
              <w:rPr>
                <w:lang w:val="es-ES"/>
              </w:rPr>
              <w:t xml:space="preserve">1-5 </w:t>
            </w:r>
            <w:proofErr w:type="spellStart"/>
            <w:r w:rsidRPr="00F86572">
              <w:rPr>
                <w:lang w:val="es-ES"/>
              </w:rPr>
              <w:t>Khartoum</w:t>
            </w:r>
            <w:proofErr w:type="spellEnd"/>
            <w:r w:rsidRPr="00F86572">
              <w:rPr>
                <w:lang w:val="es-ES"/>
              </w:rPr>
              <w:t xml:space="preserve"> Road,</w:t>
            </w:r>
          </w:p>
          <w:p w14:paraId="58E0C3B2" w14:textId="6D20D683" w:rsidR="00774800" w:rsidRPr="00D75678" w:rsidRDefault="00774800" w:rsidP="00774800">
            <w:pPr>
              <w:rPr>
                <w:lang w:val="es-ES"/>
              </w:rPr>
            </w:pPr>
            <w:proofErr w:type="spellStart"/>
            <w:r>
              <w:rPr>
                <w:lang w:val="es-ES"/>
              </w:rPr>
              <w:t>Macquarie</w:t>
            </w:r>
            <w:proofErr w:type="spellEnd"/>
            <w:r>
              <w:rPr>
                <w:lang w:val="es-ES"/>
              </w:rPr>
              <w:t xml:space="preserve"> Park, NSW, 2113</w:t>
            </w:r>
          </w:p>
        </w:tc>
      </w:tr>
      <w:tr w:rsidR="00774800" w:rsidRPr="00487162" w14:paraId="76B1EDD4" w14:textId="77777777" w:rsidTr="00BF1190">
        <w:tc>
          <w:tcPr>
            <w:tcW w:w="2907" w:type="dxa"/>
          </w:tcPr>
          <w:p w14:paraId="0D11E10E" w14:textId="77777777" w:rsidR="00774800" w:rsidRPr="00487162" w:rsidRDefault="00C802B0" w:rsidP="00774800">
            <w:pPr>
              <w:rPr>
                <w:i/>
              </w:rPr>
            </w:pPr>
            <w:r>
              <w:rPr>
                <w:i/>
              </w:rPr>
              <w:t>Dose form</w:t>
            </w:r>
            <w:r w:rsidR="00774800">
              <w:rPr>
                <w:i/>
              </w:rPr>
              <w:t>:</w:t>
            </w:r>
          </w:p>
        </w:tc>
        <w:tc>
          <w:tcPr>
            <w:tcW w:w="6307" w:type="dxa"/>
          </w:tcPr>
          <w:p w14:paraId="01F387EB" w14:textId="77777777" w:rsidR="00774800" w:rsidRPr="00D75678" w:rsidRDefault="00774800" w:rsidP="00774800">
            <w:r w:rsidRPr="00EE2264">
              <w:t>Nasal spray solution</w:t>
            </w:r>
          </w:p>
        </w:tc>
      </w:tr>
      <w:tr w:rsidR="00774800" w:rsidRPr="00487162" w14:paraId="20208371" w14:textId="77777777" w:rsidTr="00BF1190">
        <w:tc>
          <w:tcPr>
            <w:tcW w:w="2907" w:type="dxa"/>
          </w:tcPr>
          <w:p w14:paraId="22FDC559" w14:textId="77777777" w:rsidR="00774800" w:rsidRPr="00487162" w:rsidRDefault="00C802B0" w:rsidP="00774800">
            <w:pPr>
              <w:rPr>
                <w:i/>
              </w:rPr>
            </w:pPr>
            <w:r>
              <w:rPr>
                <w:i/>
              </w:rPr>
              <w:t>Strength</w:t>
            </w:r>
            <w:r w:rsidR="00774800">
              <w:rPr>
                <w:i/>
              </w:rPr>
              <w:t>:</w:t>
            </w:r>
          </w:p>
        </w:tc>
        <w:tc>
          <w:tcPr>
            <w:tcW w:w="6307" w:type="dxa"/>
          </w:tcPr>
          <w:p w14:paraId="7C889DF4" w14:textId="77777777" w:rsidR="00774800" w:rsidRPr="00D75678" w:rsidRDefault="00774800" w:rsidP="00774800">
            <w:r>
              <w:t xml:space="preserve">32.3 mg </w:t>
            </w:r>
            <w:proofErr w:type="spellStart"/>
            <w:r>
              <w:t>esketamine</w:t>
            </w:r>
            <w:proofErr w:type="spellEnd"/>
            <w:r>
              <w:t xml:space="preserve"> hydrochloride (equivalent to 28 mg of </w:t>
            </w:r>
            <w:proofErr w:type="spellStart"/>
            <w:r>
              <w:t>esketamine</w:t>
            </w:r>
            <w:proofErr w:type="spellEnd"/>
            <w:r>
              <w:t xml:space="preserve">) </w:t>
            </w:r>
            <w:r w:rsidRPr="00F86572">
              <w:t>per 2 actuations</w:t>
            </w:r>
          </w:p>
        </w:tc>
      </w:tr>
      <w:tr w:rsidR="00C802B0" w:rsidRPr="00487162" w14:paraId="01E75032" w14:textId="77777777" w:rsidTr="00BF1190">
        <w:tc>
          <w:tcPr>
            <w:tcW w:w="2907" w:type="dxa"/>
          </w:tcPr>
          <w:p w14:paraId="1A5F4BD0" w14:textId="77777777" w:rsidR="00C802B0" w:rsidRPr="00487162" w:rsidRDefault="00C802B0" w:rsidP="00C802B0">
            <w:pPr>
              <w:rPr>
                <w:i/>
              </w:rPr>
            </w:pPr>
            <w:r>
              <w:rPr>
                <w:i/>
              </w:rPr>
              <w:t>Container</w:t>
            </w:r>
            <w:r w:rsidRPr="00487162">
              <w:rPr>
                <w:i/>
              </w:rPr>
              <w:t>:</w:t>
            </w:r>
          </w:p>
        </w:tc>
        <w:tc>
          <w:tcPr>
            <w:tcW w:w="6307" w:type="dxa"/>
          </w:tcPr>
          <w:p w14:paraId="54EC2229" w14:textId="77777777" w:rsidR="00C802B0" w:rsidRPr="00D75678" w:rsidRDefault="00C802B0" w:rsidP="00C802B0">
            <w:r w:rsidRPr="00F86572">
              <w:t>Vial assembled in nasal spray device</w:t>
            </w:r>
          </w:p>
        </w:tc>
      </w:tr>
      <w:tr w:rsidR="00C802B0" w:rsidRPr="00487162" w14:paraId="17FD372A" w14:textId="77777777" w:rsidTr="00BF1190">
        <w:tc>
          <w:tcPr>
            <w:tcW w:w="2907" w:type="dxa"/>
          </w:tcPr>
          <w:p w14:paraId="21FC44B7" w14:textId="77777777" w:rsidR="00C802B0" w:rsidRPr="00487162" w:rsidRDefault="00C802B0" w:rsidP="00C802B0">
            <w:pPr>
              <w:rPr>
                <w:i/>
              </w:rPr>
            </w:pPr>
            <w:r>
              <w:rPr>
                <w:i/>
              </w:rPr>
              <w:t>Pack sizes</w:t>
            </w:r>
            <w:r w:rsidRPr="00487162">
              <w:rPr>
                <w:i/>
              </w:rPr>
              <w:t>:</w:t>
            </w:r>
          </w:p>
        </w:tc>
        <w:tc>
          <w:tcPr>
            <w:tcW w:w="6307" w:type="dxa"/>
          </w:tcPr>
          <w:p w14:paraId="65E4DCF3" w14:textId="77777777" w:rsidR="00C802B0" w:rsidRPr="00D75678" w:rsidRDefault="00C802B0" w:rsidP="00C802B0">
            <w:r w:rsidRPr="00F86572">
              <w:t>1, 2 or 3 single-use nasal spray devices</w:t>
            </w:r>
          </w:p>
        </w:tc>
      </w:tr>
      <w:tr w:rsidR="008E7846" w:rsidRPr="00487162" w14:paraId="6633BDE0" w14:textId="77777777" w:rsidTr="00BF1190">
        <w:tc>
          <w:tcPr>
            <w:tcW w:w="2907" w:type="dxa"/>
          </w:tcPr>
          <w:p w14:paraId="6839F46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2625C27" w14:textId="77777777" w:rsidR="00C802B0" w:rsidRPr="00F63DF6" w:rsidRDefault="00C802B0" w:rsidP="00C802B0">
            <w:pPr>
              <w:rPr>
                <w:i/>
              </w:rPr>
            </w:pPr>
            <w:proofErr w:type="spellStart"/>
            <w:r w:rsidRPr="00F63DF6">
              <w:rPr>
                <w:i/>
              </w:rPr>
              <w:t>Spravato</w:t>
            </w:r>
            <w:proofErr w:type="spellEnd"/>
            <w:r w:rsidRPr="00F63DF6">
              <w:rPr>
                <w:i/>
              </w:rPr>
              <w:t xml:space="preserve"> is indicated for treatment resistant depression (Major Depressive Disorder in adults who have not responded adequately to at least two different antidepressants of adequate dose and duration to treat the current moderate to severe depressive episode).</w:t>
            </w:r>
          </w:p>
          <w:p w14:paraId="62760F3F" w14:textId="77777777" w:rsidR="008E7846" w:rsidRPr="00E61A31" w:rsidRDefault="00C802B0" w:rsidP="00E45619">
            <w:pPr>
              <w:rPr>
                <w:i/>
              </w:rPr>
            </w:pPr>
            <w:proofErr w:type="spellStart"/>
            <w:r w:rsidRPr="00F63DF6">
              <w:rPr>
                <w:i/>
              </w:rPr>
              <w:t>Spravato</w:t>
            </w:r>
            <w:proofErr w:type="spellEnd"/>
            <w:r w:rsidRPr="00F63DF6">
              <w:rPr>
                <w:i/>
              </w:rPr>
              <w:t xml:space="preserve"> is to be initiated in conjunction with a newly initiated oral antidepressant.</w:t>
            </w:r>
          </w:p>
        </w:tc>
      </w:tr>
      <w:tr w:rsidR="00C802B0" w:rsidRPr="00487162" w14:paraId="604FE0A3" w14:textId="77777777" w:rsidTr="00BF1190">
        <w:tc>
          <w:tcPr>
            <w:tcW w:w="2907" w:type="dxa"/>
          </w:tcPr>
          <w:p w14:paraId="6A0819FB" w14:textId="77777777" w:rsidR="00C802B0" w:rsidRPr="00487162" w:rsidRDefault="00C802B0" w:rsidP="00C802B0">
            <w:pPr>
              <w:rPr>
                <w:i/>
              </w:rPr>
            </w:pPr>
            <w:r>
              <w:rPr>
                <w:i/>
              </w:rPr>
              <w:t>Route</w:t>
            </w:r>
            <w:r w:rsidRPr="00487162">
              <w:rPr>
                <w:i/>
              </w:rPr>
              <w:t xml:space="preserve"> of administration:</w:t>
            </w:r>
          </w:p>
        </w:tc>
        <w:tc>
          <w:tcPr>
            <w:tcW w:w="6307" w:type="dxa"/>
          </w:tcPr>
          <w:p w14:paraId="53D9A9B1" w14:textId="77777777" w:rsidR="00C802B0" w:rsidRPr="00D75678" w:rsidRDefault="00C802B0" w:rsidP="00C802B0">
            <w:r w:rsidRPr="00F86572">
              <w:t>Nasal</w:t>
            </w:r>
          </w:p>
        </w:tc>
      </w:tr>
      <w:tr w:rsidR="00C802B0" w:rsidRPr="00487162" w14:paraId="2C5A0FCB" w14:textId="77777777" w:rsidTr="00BF1190">
        <w:tc>
          <w:tcPr>
            <w:tcW w:w="2907" w:type="dxa"/>
          </w:tcPr>
          <w:p w14:paraId="7369B849" w14:textId="77777777" w:rsidR="00C802B0" w:rsidRPr="00487162" w:rsidRDefault="00C802B0" w:rsidP="00C802B0">
            <w:pPr>
              <w:rPr>
                <w:i/>
              </w:rPr>
            </w:pPr>
            <w:r w:rsidRPr="00487162">
              <w:rPr>
                <w:i/>
              </w:rPr>
              <w:t>Dosage:</w:t>
            </w:r>
          </w:p>
        </w:tc>
        <w:tc>
          <w:tcPr>
            <w:tcW w:w="6307" w:type="dxa"/>
          </w:tcPr>
          <w:p w14:paraId="39CFB803" w14:textId="3757E80E" w:rsidR="00C802B0" w:rsidRDefault="00C802B0" w:rsidP="00C802B0">
            <w:proofErr w:type="spellStart"/>
            <w:r w:rsidRPr="0051509E">
              <w:t>Spravato</w:t>
            </w:r>
            <w:proofErr w:type="spellEnd"/>
            <w:r w:rsidRPr="0051509E">
              <w:t xml:space="preserve"> should be administered in conjunction with a newly init</w:t>
            </w:r>
            <w:r>
              <w:t>iated oral antidepressant. During the P</w:t>
            </w:r>
            <w:r w:rsidRPr="0051509E">
              <w:t xml:space="preserve">hase III clinical </w:t>
            </w:r>
            <w:r w:rsidRPr="0051509E">
              <w:lastRenderedPageBreak/>
              <w:t>program patients were assign</w:t>
            </w:r>
            <w:r>
              <w:t>ed a s</w:t>
            </w:r>
            <w:r w:rsidRPr="00B60F39">
              <w:t xml:space="preserve">erotonin and </w:t>
            </w:r>
            <w:r w:rsidR="00151766" w:rsidRPr="00B60F39">
              <w:t>nor</w:t>
            </w:r>
            <w:r w:rsidR="00151766">
              <w:t>adrenaline</w:t>
            </w:r>
            <w:r w:rsidR="00151766" w:rsidRPr="00B60F39">
              <w:t xml:space="preserve"> </w:t>
            </w:r>
            <w:r>
              <w:t>reuptake inhibitor</w:t>
            </w:r>
            <w:r w:rsidRPr="00B60F39">
              <w:t xml:space="preserve"> </w:t>
            </w:r>
            <w:r>
              <w:t>(SNRI) or s</w:t>
            </w:r>
            <w:r w:rsidRPr="00B60F39">
              <w:t>electi</w:t>
            </w:r>
            <w:r>
              <w:t>ve serotonin reuptake inhibitor</w:t>
            </w:r>
            <w:r w:rsidRPr="00B60F39">
              <w:t xml:space="preserve"> </w:t>
            </w:r>
            <w:r>
              <w:t>(SSRI) as the new oral antidepressant (see S</w:t>
            </w:r>
            <w:r w:rsidRPr="0051509E">
              <w:t>ection 5.1 Pharmacodynamic properties, clinical trials</w:t>
            </w:r>
            <w:r>
              <w:t>, in the Product Information</w:t>
            </w:r>
            <w:r w:rsidRPr="0051509E">
              <w:t>).</w:t>
            </w:r>
          </w:p>
          <w:p w14:paraId="70D32FB7" w14:textId="77777777" w:rsidR="00C802B0" w:rsidRDefault="00C802B0" w:rsidP="00C802B0">
            <w:proofErr w:type="spellStart"/>
            <w:r w:rsidRPr="0051509E">
              <w:t>Spravato</w:t>
            </w:r>
            <w:proofErr w:type="spellEnd"/>
            <w:r w:rsidRPr="0051509E">
              <w:t xml:space="preserve"> will be provided by the supervising healthcare </w:t>
            </w:r>
            <w:r>
              <w:t xml:space="preserve">professional for the patient to </w:t>
            </w:r>
            <w:r w:rsidRPr="0051509E">
              <w:t>self-administer under their direct supervision. A treatment session c</w:t>
            </w:r>
            <w:r>
              <w:t xml:space="preserve">onsists of nasal administration </w:t>
            </w:r>
            <w:r w:rsidRPr="0051509E">
              <w:t xml:space="preserve">of </w:t>
            </w:r>
            <w:proofErr w:type="spellStart"/>
            <w:r w:rsidRPr="0051509E">
              <w:t>Spravato</w:t>
            </w:r>
            <w:proofErr w:type="spellEnd"/>
            <w:r w:rsidRPr="0051509E">
              <w:t xml:space="preserve"> and post administration observation under </w:t>
            </w:r>
            <w:r>
              <w:t xml:space="preserve">the supervision of a healthcare </w:t>
            </w:r>
            <w:r w:rsidRPr="0051509E">
              <w:t>professional (s</w:t>
            </w:r>
            <w:r>
              <w:t>ee S</w:t>
            </w:r>
            <w:r w:rsidRPr="0051509E">
              <w:t>ection 4.4 Special warnings and precautions for use</w:t>
            </w:r>
            <w:r>
              <w:t>, in the Product Information</w:t>
            </w:r>
            <w:r w:rsidRPr="0051509E">
              <w:t>).</w:t>
            </w:r>
          </w:p>
          <w:p w14:paraId="70DA7D82" w14:textId="77777777" w:rsidR="00C802B0" w:rsidRPr="0051509E" w:rsidRDefault="00C802B0" w:rsidP="00C802B0">
            <w:pPr>
              <w:rPr>
                <w:i/>
              </w:rPr>
            </w:pPr>
            <w:r w:rsidRPr="0051509E">
              <w:rPr>
                <w:i/>
              </w:rPr>
              <w:t>Dosage – adults</w:t>
            </w:r>
          </w:p>
          <w:p w14:paraId="090DD226" w14:textId="77777777" w:rsidR="00C802B0" w:rsidRDefault="00C802B0" w:rsidP="00C802B0">
            <w:r w:rsidRPr="0051509E">
              <w:t xml:space="preserve">The dosage recommendations for </w:t>
            </w:r>
            <w:proofErr w:type="spellStart"/>
            <w:r w:rsidRPr="0051509E">
              <w:t>Spravato</w:t>
            </w:r>
            <w:proofErr w:type="spellEnd"/>
            <w:r w:rsidRPr="0051509E">
              <w:t xml:space="preserve"> are shown in Tabl</w:t>
            </w:r>
            <w:r>
              <w:t xml:space="preserve">e 1 of the Product Information. Recommended dosing consists of an induction phase (Weeks 1 to 4), followed by a maintenance phase (Week 5 onwards). Dose adjustments should be </w:t>
            </w:r>
            <w:r w:rsidRPr="0051509E">
              <w:t>made based on efficacy and tolerability to the previous dose.</w:t>
            </w:r>
          </w:p>
          <w:p w14:paraId="7243C143" w14:textId="77777777" w:rsidR="00C802B0" w:rsidRPr="00D75678" w:rsidRDefault="00C802B0" w:rsidP="00C802B0">
            <w:r w:rsidRPr="007473D5">
              <w:t>For further information refer to the Product Information.</w:t>
            </w:r>
          </w:p>
        </w:tc>
      </w:tr>
      <w:tr w:rsidR="00C802B0" w:rsidRPr="00487162" w14:paraId="381369AC" w14:textId="77777777" w:rsidTr="00BF1190">
        <w:tc>
          <w:tcPr>
            <w:tcW w:w="2907" w:type="dxa"/>
          </w:tcPr>
          <w:p w14:paraId="161C9A51" w14:textId="77777777" w:rsidR="00C802B0" w:rsidRPr="00487162" w:rsidRDefault="00C802B0" w:rsidP="00C802B0">
            <w:pPr>
              <w:rPr>
                <w:i/>
              </w:rPr>
            </w:pPr>
            <w:r w:rsidRPr="00460036">
              <w:rPr>
                <w:i/>
              </w:rPr>
              <w:lastRenderedPageBreak/>
              <w:t>Pregnancy category</w:t>
            </w:r>
            <w:r>
              <w:rPr>
                <w:i/>
              </w:rPr>
              <w:t>:</w:t>
            </w:r>
          </w:p>
        </w:tc>
        <w:tc>
          <w:tcPr>
            <w:tcW w:w="6307" w:type="dxa"/>
          </w:tcPr>
          <w:p w14:paraId="6258D869" w14:textId="77777777" w:rsidR="00C802B0" w:rsidRDefault="00C802B0" w:rsidP="00C802B0">
            <w:r>
              <w:t>B3</w:t>
            </w:r>
          </w:p>
          <w:p w14:paraId="05731CD3" w14:textId="77777777" w:rsidR="00C802B0" w:rsidRPr="00F86572" w:rsidRDefault="00C802B0" w:rsidP="00C802B0">
            <w:r w:rsidRPr="00F86572">
              <w:t>Drugs which have been taken by only a limited number of pregnant women and women of childbearing age, without an increase in the frequency of malformation or other direct or indirect harmful effects on the hu</w:t>
            </w:r>
            <w:r>
              <w:t>man fetus having been observed.</w:t>
            </w:r>
          </w:p>
          <w:p w14:paraId="2C25749D" w14:textId="77777777" w:rsidR="00C802B0" w:rsidRDefault="00C802B0" w:rsidP="00C802B0">
            <w:r w:rsidRPr="00F86572">
              <w:t>Studies in animals have shown evidence of an increased occurrence of fetal damage, the significance of which is considered uncertain in humans.</w:t>
            </w:r>
          </w:p>
          <w:p w14:paraId="33F77A16" w14:textId="77777777" w:rsidR="00C802B0" w:rsidRPr="00D75678" w:rsidRDefault="00C802B0" w:rsidP="00C802B0">
            <w:pPr>
              <w:rPr>
                <w:color w:val="773CBB" w:themeColor="accent5" w:themeTint="BF"/>
              </w:rPr>
            </w:pPr>
            <w:r>
              <w:t xml:space="preserve">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w:t>
            </w:r>
            <w:r w:rsidRPr="00F06C2C">
              <w:t>obstetric drug information services</w:t>
            </w:r>
            <w:r>
              <w:t xml:space="preserve"> in your State or Territory.</w:t>
            </w:r>
          </w:p>
        </w:tc>
      </w:tr>
    </w:tbl>
    <w:p w14:paraId="5BC9B07E" w14:textId="77777777" w:rsidR="008E7846" w:rsidRDefault="008E7846" w:rsidP="008E7846">
      <w:pPr>
        <w:pStyle w:val="Heading3"/>
      </w:pPr>
      <w:bookmarkStart w:id="13" w:name="_Toc247691503"/>
      <w:bookmarkStart w:id="14" w:name="_Toc314842484"/>
      <w:bookmarkStart w:id="15" w:name="_Toc72744015"/>
      <w:r>
        <w:t>Product background</w:t>
      </w:r>
      <w:bookmarkEnd w:id="13"/>
      <w:bookmarkEnd w:id="14"/>
      <w:bookmarkEnd w:id="15"/>
    </w:p>
    <w:p w14:paraId="6384B6C6" w14:textId="77777777" w:rsidR="008E7846" w:rsidRDefault="00250271" w:rsidP="00940A89">
      <w:r w:rsidRPr="00250271">
        <w:t xml:space="preserve">This AusPAR describes the application by </w:t>
      </w:r>
      <w:r w:rsidR="00C802B0" w:rsidRPr="00C802B0">
        <w:t>Janssen-</w:t>
      </w:r>
      <w:proofErr w:type="spellStart"/>
      <w:r w:rsidR="00C802B0" w:rsidRPr="00C802B0">
        <w:t>Cilag</w:t>
      </w:r>
      <w:proofErr w:type="spellEnd"/>
      <w:r w:rsidR="00C802B0" w:rsidRPr="00C802B0">
        <w:t xml:space="preserve"> Pty Ltd</w:t>
      </w:r>
      <w:r w:rsidRPr="00250271">
        <w:t xml:space="preserve"> (the sponsor) to register </w:t>
      </w:r>
      <w:proofErr w:type="spellStart"/>
      <w:r w:rsidR="00C802B0">
        <w:t>Spravato</w:t>
      </w:r>
      <w:proofErr w:type="spellEnd"/>
      <w:r w:rsidR="00C802B0" w:rsidRPr="00C802B0">
        <w:t xml:space="preserve"> </w:t>
      </w:r>
      <w:r w:rsidR="00C802B0">
        <w:t>(</w:t>
      </w:r>
      <w:proofErr w:type="spellStart"/>
      <w:r w:rsidR="00C802B0">
        <w:t>esketamine</w:t>
      </w:r>
      <w:proofErr w:type="spellEnd"/>
      <w:r w:rsidR="00C802B0">
        <w:t xml:space="preserve"> hydrochloride) 28 mg of </w:t>
      </w:r>
      <w:proofErr w:type="spellStart"/>
      <w:r w:rsidR="00C802B0">
        <w:t>esketamine</w:t>
      </w:r>
      <w:proofErr w:type="spellEnd"/>
      <w:r w:rsidR="00C802B0">
        <w:t xml:space="preserve"> per 2 actuations</w:t>
      </w:r>
      <w:r w:rsidRPr="00250271">
        <w:t xml:space="preserve">, </w:t>
      </w:r>
      <w:r w:rsidR="00C802B0">
        <w:t>n</w:t>
      </w:r>
      <w:r w:rsidR="00C802B0" w:rsidRPr="00C802B0">
        <w:t>asal spray solution</w:t>
      </w:r>
      <w:r w:rsidRPr="00250271">
        <w:t xml:space="preserve"> for the following proposed indication</w:t>
      </w:r>
      <w:r w:rsidR="00CF5DAD">
        <w:t>:</w:t>
      </w:r>
    </w:p>
    <w:p w14:paraId="7564C46F" w14:textId="77777777" w:rsidR="007A6505" w:rsidRPr="00363E87" w:rsidRDefault="00363E87" w:rsidP="00363E87">
      <w:pPr>
        <w:ind w:left="720"/>
        <w:rPr>
          <w:i/>
        </w:rPr>
      </w:pPr>
      <w:proofErr w:type="spellStart"/>
      <w:r w:rsidRPr="00363E87">
        <w:rPr>
          <w:i/>
        </w:rPr>
        <w:t>Spravato</w:t>
      </w:r>
      <w:proofErr w:type="spellEnd"/>
      <w:r w:rsidRPr="00363E87">
        <w:rPr>
          <w:i/>
        </w:rPr>
        <w:t xml:space="preserve"> is indicated for treatment resistant depression (Major Depressive Disorder in adults who have not responded adequately to at least two different antidepressants of adequate dose and duration to treat the current depressive episode).</w:t>
      </w:r>
    </w:p>
    <w:p w14:paraId="35D0D5DA" w14:textId="3CB2AABE" w:rsidR="00630749" w:rsidRPr="001C2F99" w:rsidRDefault="00630749" w:rsidP="001C2F99">
      <w:pPr>
        <w:rPr>
          <w:lang w:val="en-GB"/>
        </w:rPr>
      </w:pPr>
      <w:r w:rsidRPr="00057424">
        <w:rPr>
          <w:lang w:val="en-GB"/>
        </w:rPr>
        <w:t xml:space="preserve">Major depressive disorder </w:t>
      </w:r>
      <w:r>
        <w:rPr>
          <w:lang w:val="en-GB"/>
        </w:rPr>
        <w:t>(MDD)</w:t>
      </w:r>
      <w:r w:rsidRPr="00AA14DA">
        <w:rPr>
          <w:rFonts w:cs="Arial"/>
          <w:lang w:val="en-GB"/>
        </w:rPr>
        <w:t xml:space="preserve"> </w:t>
      </w:r>
      <w:r w:rsidRPr="007F7E72">
        <w:rPr>
          <w:rFonts w:cs="Arial"/>
          <w:lang w:val="en-GB"/>
        </w:rPr>
        <w:t>is a common, serious, severely debilitating and recurrent</w:t>
      </w:r>
      <w:r>
        <w:rPr>
          <w:rFonts w:cs="Arial"/>
          <w:lang w:val="en-GB"/>
        </w:rPr>
        <w:t xml:space="preserve"> </w:t>
      </w:r>
      <w:r w:rsidRPr="007F7E72">
        <w:rPr>
          <w:rFonts w:cs="Arial"/>
          <w:lang w:val="en-GB"/>
        </w:rPr>
        <w:t>psychiatric disorder</w:t>
      </w:r>
      <w:r>
        <w:rPr>
          <w:rFonts w:cs="Arial"/>
          <w:lang w:val="en-GB"/>
        </w:rPr>
        <w:t>. It</w:t>
      </w:r>
      <w:r>
        <w:rPr>
          <w:lang w:val="en-GB"/>
        </w:rPr>
        <w:t xml:space="preserve"> </w:t>
      </w:r>
      <w:r w:rsidRPr="00057424">
        <w:rPr>
          <w:lang w:val="en-GB"/>
        </w:rPr>
        <w:t xml:space="preserve">is the leading cause of disability </w:t>
      </w:r>
      <w:r w:rsidRPr="007F7E72">
        <w:rPr>
          <w:rFonts w:cs="Arial"/>
          <w:lang w:val="en-GB"/>
        </w:rPr>
        <w:t>(years lived with</w:t>
      </w:r>
      <w:r>
        <w:rPr>
          <w:rFonts w:cs="Arial"/>
          <w:lang w:val="en-GB"/>
        </w:rPr>
        <w:t xml:space="preserve"> </w:t>
      </w:r>
      <w:r w:rsidRPr="007F7E72">
        <w:rPr>
          <w:rFonts w:cs="Arial"/>
          <w:lang w:val="en-GB"/>
        </w:rPr>
        <w:lastRenderedPageBreak/>
        <w:t>disability)</w:t>
      </w:r>
      <w:r>
        <w:rPr>
          <w:rFonts w:cs="Arial"/>
          <w:lang w:val="en-GB"/>
        </w:rPr>
        <w:t xml:space="preserve"> </w:t>
      </w:r>
      <w:r w:rsidRPr="00057424">
        <w:rPr>
          <w:lang w:val="en-GB"/>
        </w:rPr>
        <w:t xml:space="preserve">worldwide </w:t>
      </w:r>
      <w:r w:rsidR="003F22F7">
        <w:rPr>
          <w:lang w:val="en-GB"/>
        </w:rPr>
        <w:t>according to the World Health Organization (WHO)</w:t>
      </w:r>
      <w:bookmarkStart w:id="16" w:name="_Ref69389586"/>
      <w:r w:rsidR="00D16B00">
        <w:rPr>
          <w:lang w:val="en-GB"/>
        </w:rPr>
        <w:t>.</w:t>
      </w:r>
      <w:r w:rsidR="00D16B00">
        <w:rPr>
          <w:rStyle w:val="FootnoteReference"/>
          <w:lang w:val="en-GB"/>
        </w:rPr>
        <w:footnoteReference w:id="2"/>
      </w:r>
      <w:bookmarkEnd w:id="16"/>
      <w:r w:rsidR="00D16B00">
        <w:rPr>
          <w:lang w:val="en-GB"/>
        </w:rPr>
        <w:t xml:space="preserve"> Severe mental illness is</w:t>
      </w:r>
      <w:r w:rsidRPr="00057424">
        <w:rPr>
          <w:lang w:val="en-GB"/>
        </w:rPr>
        <w:t xml:space="preserve"> associated with a reduction in life expectancy by 10</w:t>
      </w:r>
      <w:r w:rsidR="00D16B00">
        <w:rPr>
          <w:lang w:val="en-GB"/>
        </w:rPr>
        <w:t xml:space="preserve"> to 20</w:t>
      </w:r>
      <w:r w:rsidRPr="00057424">
        <w:rPr>
          <w:lang w:val="en-GB"/>
        </w:rPr>
        <w:t xml:space="preserve"> years</w:t>
      </w:r>
      <w:r w:rsidRPr="00AA14DA">
        <w:rPr>
          <w:rFonts w:cs="Arial"/>
          <w:lang w:val="en-GB"/>
        </w:rPr>
        <w:t xml:space="preserve"> </w:t>
      </w:r>
      <w:r w:rsidRPr="007F7E72">
        <w:rPr>
          <w:rFonts w:cs="Arial"/>
          <w:lang w:val="en-GB"/>
        </w:rPr>
        <w:t>compared to the general population</w:t>
      </w:r>
      <w:r w:rsidRPr="00AA14DA">
        <w:rPr>
          <w:lang w:val="en-GB"/>
        </w:rPr>
        <w:t>.</w:t>
      </w:r>
      <w:r w:rsidR="00D16B00">
        <w:rPr>
          <w:rStyle w:val="FootnoteReference"/>
          <w:lang w:val="en-GB"/>
        </w:rPr>
        <w:footnoteReference w:id="3"/>
      </w:r>
      <w:r w:rsidRPr="00AA14DA">
        <w:rPr>
          <w:lang w:val="en-GB"/>
        </w:rPr>
        <w:t xml:space="preserve"> Mo</w:t>
      </w:r>
      <w:r w:rsidRPr="00057424">
        <w:rPr>
          <w:lang w:val="en-GB"/>
        </w:rPr>
        <w:t>re than 300 million individuals worldwide, including 40.2 million in Europe and 17.5 million in the US, are living with depression, an increase of more than 18% between 2005 and 2015.</w:t>
      </w:r>
      <w:r w:rsidR="003F22F7">
        <w:rPr>
          <w:lang w:val="en-GB"/>
        </w:rPr>
        <w:fldChar w:fldCharType="begin"/>
      </w:r>
      <w:r w:rsidR="003F22F7">
        <w:rPr>
          <w:lang w:val="en-GB"/>
        </w:rPr>
        <w:instrText xml:space="preserve"> NOTEREF _Ref69389586 \f \h </w:instrText>
      </w:r>
      <w:r w:rsidR="003F22F7">
        <w:rPr>
          <w:lang w:val="en-GB"/>
        </w:rPr>
      </w:r>
      <w:r w:rsidR="003F22F7">
        <w:rPr>
          <w:lang w:val="en-GB"/>
        </w:rPr>
        <w:fldChar w:fldCharType="separate"/>
      </w:r>
      <w:r w:rsidR="003938C9" w:rsidRPr="003938C9">
        <w:rPr>
          <w:rStyle w:val="FootnoteReference"/>
        </w:rPr>
        <w:t>2</w:t>
      </w:r>
      <w:r w:rsidR="003F22F7">
        <w:rPr>
          <w:lang w:val="en-GB"/>
        </w:rPr>
        <w:fldChar w:fldCharType="end"/>
      </w:r>
      <w:r w:rsidRPr="00057424">
        <w:rPr>
          <w:lang w:val="en-GB"/>
        </w:rPr>
        <w:t xml:space="preserve"> </w:t>
      </w:r>
      <w:r>
        <w:rPr>
          <w:lang w:val="en-GB"/>
        </w:rPr>
        <w:t>Based on a 2007 Australian survey, depressive</w:t>
      </w:r>
      <w:r w:rsidRPr="007F7E72">
        <w:rPr>
          <w:rFonts w:cs="Arial"/>
          <w:lang w:val="en-GB"/>
        </w:rPr>
        <w:t xml:space="preserve"> episode </w:t>
      </w:r>
      <w:r w:rsidR="000A67BD">
        <w:rPr>
          <w:rFonts w:cs="Arial"/>
          <w:lang w:val="en-GB"/>
        </w:rPr>
        <w:t xml:space="preserve">(that is, a period of depression lasting at least 2 weeks) </w:t>
      </w:r>
      <w:r w:rsidRPr="007F7E72">
        <w:rPr>
          <w:rFonts w:cs="Arial"/>
          <w:lang w:val="en-GB"/>
        </w:rPr>
        <w:t>was the most common type of affective</w:t>
      </w:r>
      <w:r>
        <w:rPr>
          <w:rFonts w:cs="Arial"/>
          <w:lang w:val="en-GB"/>
        </w:rPr>
        <w:t xml:space="preserve"> </w:t>
      </w:r>
      <w:r w:rsidRPr="007F7E72">
        <w:rPr>
          <w:rFonts w:cs="Arial"/>
          <w:lang w:val="en-GB"/>
        </w:rPr>
        <w:t>disorder with a prevalence of 4.1% in the population</w:t>
      </w:r>
      <w:r>
        <w:rPr>
          <w:rFonts w:cs="Arial"/>
          <w:lang w:val="en-GB"/>
        </w:rPr>
        <w:t xml:space="preserve">, with an estimated </w:t>
      </w:r>
      <w:r w:rsidRPr="007F7E72">
        <w:rPr>
          <w:rFonts w:cs="Arial"/>
          <w:lang w:val="en-GB"/>
        </w:rPr>
        <w:t>1 million Australians</w:t>
      </w:r>
      <w:r>
        <w:rPr>
          <w:rFonts w:cs="Arial"/>
          <w:lang w:val="en-GB"/>
        </w:rPr>
        <w:t xml:space="preserve"> having</w:t>
      </w:r>
      <w:r w:rsidRPr="007F7E72">
        <w:rPr>
          <w:rFonts w:cs="Arial"/>
          <w:lang w:val="en-GB"/>
        </w:rPr>
        <w:t xml:space="preserve"> had depression</w:t>
      </w:r>
      <w:r>
        <w:rPr>
          <w:rFonts w:cs="Arial"/>
          <w:lang w:val="en-GB"/>
        </w:rPr>
        <w:t xml:space="preserve"> in their lifetime.</w:t>
      </w:r>
      <w:r w:rsidR="000A4F36">
        <w:rPr>
          <w:rStyle w:val="FootnoteReference"/>
          <w:rFonts w:cs="Arial"/>
          <w:lang w:val="en-GB"/>
        </w:rPr>
        <w:footnoteReference w:id="4"/>
      </w:r>
    </w:p>
    <w:p w14:paraId="27A8EC08" w14:textId="67D822FD" w:rsidR="00630749" w:rsidRDefault="00D16B00" w:rsidP="001C2F99">
      <w:pPr>
        <w:rPr>
          <w:lang w:val="en-GB"/>
        </w:rPr>
      </w:pPr>
      <w:r>
        <w:rPr>
          <w:rFonts w:cs="Arial"/>
          <w:lang w:val="en-GB"/>
        </w:rPr>
        <w:t>Treatment</w:t>
      </w:r>
      <w:r w:rsidR="000A67BD">
        <w:rPr>
          <w:rFonts w:cs="Arial"/>
          <w:lang w:val="en-GB"/>
        </w:rPr>
        <w:noBreakHyphen/>
      </w:r>
      <w:r>
        <w:rPr>
          <w:rFonts w:cs="Arial"/>
          <w:lang w:val="en-GB"/>
        </w:rPr>
        <w:t>resistant depression (</w:t>
      </w:r>
      <w:r w:rsidR="00630749" w:rsidRPr="007F7E72">
        <w:rPr>
          <w:rFonts w:cs="Arial"/>
          <w:lang w:val="en-GB"/>
        </w:rPr>
        <w:t>TRD</w:t>
      </w:r>
      <w:r>
        <w:rPr>
          <w:rFonts w:cs="Arial"/>
          <w:lang w:val="en-GB"/>
        </w:rPr>
        <w:t>)</w:t>
      </w:r>
      <w:r w:rsidR="00630749" w:rsidRPr="007F7E72">
        <w:rPr>
          <w:rFonts w:cs="Arial"/>
          <w:lang w:val="en-GB"/>
        </w:rPr>
        <w:t xml:space="preserve"> is considered </w:t>
      </w:r>
      <w:r w:rsidR="005E7689">
        <w:rPr>
          <w:rFonts w:cs="Arial"/>
          <w:lang w:val="en-GB"/>
        </w:rPr>
        <w:t xml:space="preserve">to be </w:t>
      </w:r>
      <w:r w:rsidR="00630749" w:rsidRPr="007F7E72">
        <w:rPr>
          <w:rFonts w:cs="Arial"/>
          <w:lang w:val="en-GB"/>
        </w:rPr>
        <w:t>a subset of MDD and is defined as lack of clinically</w:t>
      </w:r>
      <w:r w:rsidR="00630749">
        <w:rPr>
          <w:rFonts w:cs="Arial"/>
          <w:lang w:val="en-GB"/>
        </w:rPr>
        <w:t xml:space="preserve"> </w:t>
      </w:r>
      <w:r w:rsidR="00630749" w:rsidRPr="007F7E72">
        <w:rPr>
          <w:rFonts w:cs="Arial"/>
          <w:lang w:val="en-GB"/>
        </w:rPr>
        <w:t>meaningful improvement to at least two different antidepressant agents prescribed in adequate</w:t>
      </w:r>
      <w:r w:rsidR="00630749">
        <w:rPr>
          <w:rFonts w:cs="Arial"/>
          <w:lang w:val="en-GB"/>
        </w:rPr>
        <w:t xml:space="preserve"> </w:t>
      </w:r>
      <w:r w:rsidR="00630749" w:rsidRPr="007F7E72">
        <w:rPr>
          <w:rFonts w:cs="Arial"/>
          <w:lang w:val="en-GB"/>
        </w:rPr>
        <w:t xml:space="preserve">dosages for adequate duration. </w:t>
      </w:r>
      <w:r w:rsidR="00630749" w:rsidRPr="002E2A22">
        <w:rPr>
          <w:lang w:val="en-GB"/>
        </w:rPr>
        <w:t>TRD is a</w:t>
      </w:r>
      <w:r w:rsidR="00630749">
        <w:rPr>
          <w:lang w:val="en-GB"/>
        </w:rPr>
        <w:t xml:space="preserve"> </w:t>
      </w:r>
      <w:r w:rsidR="00630749" w:rsidRPr="002E2A22">
        <w:rPr>
          <w:lang w:val="en-GB"/>
        </w:rPr>
        <w:t>principal contributor to the morbidity and mortality associated with depression.</w:t>
      </w:r>
      <w:r w:rsidR="00630749" w:rsidRPr="002E2A22">
        <w:rPr>
          <w:color w:val="0000FF"/>
          <w:lang w:val="en-GB"/>
        </w:rPr>
        <w:t xml:space="preserve"> </w:t>
      </w:r>
      <w:r w:rsidR="00630749" w:rsidRPr="002E2A22">
        <w:rPr>
          <w:lang w:val="en-GB"/>
        </w:rPr>
        <w:t>Patients with TRD are more likely to have lower remission rates</w:t>
      </w:r>
      <w:r w:rsidR="004E3568">
        <w:rPr>
          <w:lang w:val="en-GB"/>
        </w:rPr>
        <w:t>,</w:t>
      </w:r>
      <w:r w:rsidR="00630749" w:rsidRPr="002E2A22">
        <w:rPr>
          <w:lang w:val="en-GB"/>
        </w:rPr>
        <w:t xml:space="preserve"> p</w:t>
      </w:r>
      <w:r w:rsidR="004E3568">
        <w:rPr>
          <w:lang w:val="en-GB"/>
        </w:rPr>
        <w:t>ronounced functional impairment,</w:t>
      </w:r>
      <w:r w:rsidR="00630749" w:rsidRPr="002E2A22">
        <w:rPr>
          <w:lang w:val="en-GB"/>
        </w:rPr>
        <w:t xml:space="preserve"> substantially lower quality of life</w:t>
      </w:r>
      <w:r w:rsidR="004E3568">
        <w:rPr>
          <w:lang w:val="en-GB"/>
        </w:rPr>
        <w:t>,</w:t>
      </w:r>
      <w:r w:rsidR="00630749" w:rsidRPr="002E2A22">
        <w:rPr>
          <w:lang w:val="en-GB"/>
        </w:rPr>
        <w:t xml:space="preserve"> higher suicide rates</w:t>
      </w:r>
      <w:r w:rsidR="004E3568">
        <w:rPr>
          <w:lang w:val="en-GB"/>
        </w:rPr>
        <w:t>,</w:t>
      </w:r>
      <w:r w:rsidR="00630749" w:rsidRPr="002E2A22">
        <w:rPr>
          <w:lang w:val="en-GB"/>
        </w:rPr>
        <w:t xml:space="preserve"> and incur higher medical </w:t>
      </w:r>
      <w:r w:rsidR="000A4F36">
        <w:rPr>
          <w:lang w:val="en-GB"/>
        </w:rPr>
        <w:t>and</w:t>
      </w:r>
      <w:r w:rsidR="00630749">
        <w:rPr>
          <w:lang w:val="en-GB"/>
        </w:rPr>
        <w:t xml:space="preserve"> </w:t>
      </w:r>
      <w:r w:rsidR="00630749" w:rsidRPr="002E2A22">
        <w:rPr>
          <w:lang w:val="en-GB"/>
        </w:rPr>
        <w:t xml:space="preserve">mental healthcare costs </w:t>
      </w:r>
      <w:r w:rsidR="000A4F36">
        <w:rPr>
          <w:lang w:val="en-GB"/>
        </w:rPr>
        <w:t>compared to</w:t>
      </w:r>
      <w:r w:rsidR="00630749" w:rsidRPr="002E2A22">
        <w:rPr>
          <w:lang w:val="en-GB"/>
        </w:rPr>
        <w:t xml:space="preserve"> pat</w:t>
      </w:r>
      <w:r w:rsidR="000A4F36">
        <w:rPr>
          <w:lang w:val="en-GB"/>
        </w:rPr>
        <w:t>ients with MDD who respond to antidepressant</w:t>
      </w:r>
      <w:r w:rsidR="00630749" w:rsidRPr="002E2A22">
        <w:rPr>
          <w:lang w:val="en-GB"/>
        </w:rPr>
        <w:t xml:space="preserve"> treatment.</w:t>
      </w:r>
    </w:p>
    <w:p w14:paraId="1673AE99" w14:textId="785FFB13" w:rsidR="00630749" w:rsidRPr="001C2F99" w:rsidRDefault="000A4F36" w:rsidP="001C2F99">
      <w:pPr>
        <w:rPr>
          <w:rFonts w:cs="Arial"/>
          <w:lang w:val="en-GB"/>
        </w:rPr>
      </w:pPr>
      <w:r>
        <w:rPr>
          <w:rFonts w:cs="Arial"/>
          <w:lang w:val="en-GB"/>
        </w:rPr>
        <w:t>At the time the submission described in this AusPAR was under consideration, no medication was</w:t>
      </w:r>
      <w:r w:rsidR="00630749" w:rsidRPr="007F7E72">
        <w:rPr>
          <w:rFonts w:cs="Arial"/>
          <w:lang w:val="en-GB"/>
        </w:rPr>
        <w:t xml:space="preserve"> currently indicated for TRD in Australia. </w:t>
      </w:r>
      <w:r w:rsidR="00630749">
        <w:rPr>
          <w:rFonts w:cs="Arial"/>
          <w:lang w:val="en-GB"/>
        </w:rPr>
        <w:t>Q</w:t>
      </w:r>
      <w:r w:rsidR="00630749" w:rsidRPr="007F7E72">
        <w:rPr>
          <w:rFonts w:cs="Arial"/>
          <w:lang w:val="en-GB"/>
        </w:rPr>
        <w:t>uetiapine</w:t>
      </w:r>
      <w:r w:rsidR="00630749">
        <w:rPr>
          <w:rFonts w:cs="Arial"/>
          <w:lang w:val="en-GB"/>
        </w:rPr>
        <w:t>, an atypical antipsychotic agent,</w:t>
      </w:r>
      <w:r w:rsidR="00630749" w:rsidRPr="007F7E72">
        <w:rPr>
          <w:rFonts w:cs="Arial"/>
          <w:lang w:val="en-GB"/>
        </w:rPr>
        <w:t xml:space="preserve"> is approved </w:t>
      </w:r>
      <w:r w:rsidR="00AF58E6">
        <w:rPr>
          <w:rFonts w:cs="Arial"/>
          <w:lang w:val="en-GB"/>
        </w:rPr>
        <w:t xml:space="preserve">in Australia </w:t>
      </w:r>
      <w:r w:rsidR="00630749" w:rsidRPr="007F7E72">
        <w:rPr>
          <w:rFonts w:cs="Arial"/>
          <w:lang w:val="en-GB"/>
        </w:rPr>
        <w:t>for treatment of recurrent MDD in patients</w:t>
      </w:r>
      <w:r w:rsidR="00630749">
        <w:rPr>
          <w:rFonts w:cs="Arial"/>
          <w:lang w:val="en-GB"/>
        </w:rPr>
        <w:t xml:space="preserve"> </w:t>
      </w:r>
      <w:r w:rsidR="00630749" w:rsidRPr="007F7E72">
        <w:rPr>
          <w:rFonts w:cs="Arial"/>
          <w:lang w:val="en-GB"/>
        </w:rPr>
        <w:t xml:space="preserve">who are </w:t>
      </w:r>
      <w:r w:rsidR="00630749">
        <w:rPr>
          <w:rFonts w:cs="Arial"/>
          <w:lang w:val="en-GB"/>
        </w:rPr>
        <w:t>i</w:t>
      </w:r>
      <w:r w:rsidR="00630749" w:rsidRPr="007F7E72">
        <w:rPr>
          <w:rFonts w:cs="Arial"/>
          <w:lang w:val="en-GB"/>
        </w:rPr>
        <w:t>ntolerant of, or who have an inadequate response to alternative therapies.</w:t>
      </w:r>
      <w:bookmarkStart w:id="17" w:name="_Ref69798432"/>
      <w:r w:rsidR="00AF58E6">
        <w:rPr>
          <w:rStyle w:val="FootnoteReference"/>
          <w:rFonts w:cs="Arial"/>
          <w:lang w:val="en-GB"/>
        </w:rPr>
        <w:footnoteReference w:id="5"/>
      </w:r>
      <w:bookmarkEnd w:id="17"/>
      <w:r w:rsidR="00630749" w:rsidRPr="007F7E72">
        <w:rPr>
          <w:rFonts w:cs="Arial"/>
          <w:lang w:val="en-GB"/>
        </w:rPr>
        <w:t xml:space="preserve"> However,</w:t>
      </w:r>
      <w:r w:rsidR="00630749">
        <w:rPr>
          <w:rFonts w:cs="Arial"/>
          <w:lang w:val="en-GB"/>
        </w:rPr>
        <w:t xml:space="preserve"> </w:t>
      </w:r>
      <w:r w:rsidR="00630749" w:rsidRPr="007F7E72">
        <w:rPr>
          <w:rFonts w:cs="Arial"/>
          <w:lang w:val="en-GB"/>
        </w:rPr>
        <w:t>atypical antipsychotic</w:t>
      </w:r>
      <w:r w:rsidR="00630749">
        <w:rPr>
          <w:rFonts w:cs="Arial"/>
          <w:lang w:val="en-GB"/>
        </w:rPr>
        <w:t xml:space="preserve"> usage</w:t>
      </w:r>
      <w:r w:rsidR="00630749" w:rsidRPr="007F7E72">
        <w:rPr>
          <w:rFonts w:cs="Arial"/>
          <w:lang w:val="en-GB"/>
        </w:rPr>
        <w:t xml:space="preserve"> has been limited by significant adverse</w:t>
      </w:r>
      <w:r w:rsidR="00630749">
        <w:rPr>
          <w:rFonts w:cs="Arial"/>
          <w:lang w:val="en-GB"/>
        </w:rPr>
        <w:t xml:space="preserve"> </w:t>
      </w:r>
      <w:r w:rsidR="00630749" w:rsidRPr="007F7E72">
        <w:rPr>
          <w:rFonts w:cs="Arial"/>
          <w:lang w:val="en-GB"/>
        </w:rPr>
        <w:t xml:space="preserve">reactions, including metabolic disturbances, weight gain </w:t>
      </w:r>
      <w:r w:rsidR="00630749" w:rsidRPr="00E45B49">
        <w:rPr>
          <w:rFonts w:cs="Arial"/>
          <w:lang w:val="en-GB"/>
        </w:rPr>
        <w:t xml:space="preserve">and neuroleptic malignant syndrome. </w:t>
      </w:r>
      <w:r w:rsidR="00AF58E6">
        <w:rPr>
          <w:rFonts w:cs="Arial"/>
          <w:lang w:val="en-GB"/>
        </w:rPr>
        <w:t>In the United States</w:t>
      </w:r>
      <w:r w:rsidR="000A67BD">
        <w:rPr>
          <w:rFonts w:cs="Arial"/>
          <w:lang w:val="en-GB"/>
        </w:rPr>
        <w:t xml:space="preserve"> of America</w:t>
      </w:r>
      <w:r w:rsidR="00AF58E6">
        <w:rPr>
          <w:rFonts w:cs="Arial"/>
          <w:lang w:val="en-GB"/>
        </w:rPr>
        <w:t xml:space="preserve"> (US</w:t>
      </w:r>
      <w:r w:rsidR="000A67BD">
        <w:rPr>
          <w:rFonts w:cs="Arial"/>
          <w:lang w:val="en-GB"/>
        </w:rPr>
        <w:t>A</w:t>
      </w:r>
      <w:r w:rsidR="00AF58E6">
        <w:rPr>
          <w:rFonts w:cs="Arial"/>
          <w:lang w:val="en-GB"/>
        </w:rPr>
        <w:t>), a</w:t>
      </w:r>
      <w:r w:rsidR="00630749">
        <w:rPr>
          <w:rFonts w:cs="Arial"/>
          <w:lang w:val="en-GB"/>
        </w:rPr>
        <w:t>n olanzapine-fluoxetine combina</w:t>
      </w:r>
      <w:r w:rsidR="004E3568">
        <w:rPr>
          <w:rFonts w:cs="Arial"/>
          <w:lang w:val="en-GB"/>
        </w:rPr>
        <w:t>tion product has been</w:t>
      </w:r>
      <w:r w:rsidR="00AF58E6">
        <w:rPr>
          <w:rFonts w:cs="Arial"/>
          <w:lang w:val="en-GB"/>
        </w:rPr>
        <w:t xml:space="preserve"> approved for </w:t>
      </w:r>
      <w:r w:rsidR="00630749">
        <w:rPr>
          <w:rFonts w:cs="Arial"/>
          <w:lang w:val="en-GB"/>
        </w:rPr>
        <w:t>TRD.</w:t>
      </w:r>
      <w:r w:rsidR="00AF58E6">
        <w:rPr>
          <w:rStyle w:val="FootnoteReference"/>
          <w:rFonts w:cs="Arial"/>
          <w:lang w:val="en-GB"/>
        </w:rPr>
        <w:footnoteReference w:id="6"/>
      </w:r>
      <w:r w:rsidR="00630749">
        <w:rPr>
          <w:rFonts w:cs="Arial"/>
          <w:lang w:val="en-GB"/>
        </w:rPr>
        <w:t xml:space="preserve"> N</w:t>
      </w:r>
      <w:r w:rsidR="00630749" w:rsidRPr="007F7E72">
        <w:rPr>
          <w:rFonts w:cs="Arial"/>
          <w:lang w:val="en-GB"/>
        </w:rPr>
        <w:t xml:space="preserve">on-pharmacological treatment options for TRD have </w:t>
      </w:r>
      <w:r w:rsidR="00630749">
        <w:rPr>
          <w:rFonts w:cs="Arial"/>
          <w:lang w:val="en-GB"/>
        </w:rPr>
        <w:t>limited</w:t>
      </w:r>
      <w:r w:rsidR="00630749" w:rsidRPr="007F7E72">
        <w:rPr>
          <w:rFonts w:cs="Arial"/>
          <w:lang w:val="en-GB"/>
        </w:rPr>
        <w:t xml:space="preserve"> efficacy or </w:t>
      </w:r>
      <w:r w:rsidR="00630749">
        <w:rPr>
          <w:rFonts w:cs="Arial"/>
          <w:lang w:val="en-GB"/>
        </w:rPr>
        <w:t xml:space="preserve">patient </w:t>
      </w:r>
      <w:r w:rsidR="00630749" w:rsidRPr="007F7E72">
        <w:rPr>
          <w:rFonts w:cs="Arial"/>
          <w:lang w:val="en-GB"/>
        </w:rPr>
        <w:t>acceptability. These include electroconvulsive therapy</w:t>
      </w:r>
      <w:r w:rsidR="00B6248C">
        <w:rPr>
          <w:rFonts w:cs="Arial"/>
          <w:lang w:val="en-GB"/>
        </w:rPr>
        <w:t xml:space="preserve"> (ECT)</w:t>
      </w:r>
      <w:r w:rsidR="00630749" w:rsidRPr="007F7E72">
        <w:rPr>
          <w:rFonts w:cs="Arial"/>
          <w:lang w:val="en-GB"/>
        </w:rPr>
        <w:t>,</w:t>
      </w:r>
      <w:r w:rsidR="00630749">
        <w:rPr>
          <w:rFonts w:cs="Arial"/>
          <w:lang w:val="en-GB"/>
        </w:rPr>
        <w:t xml:space="preserve"> </w:t>
      </w:r>
      <w:r w:rsidR="00630749" w:rsidRPr="007F7E72">
        <w:rPr>
          <w:rFonts w:cs="Arial"/>
          <w:lang w:val="en-GB"/>
        </w:rPr>
        <w:t xml:space="preserve">transcranial direct current stimulation, repetitive transcranial magnetic stimulation, </w:t>
      </w:r>
      <w:proofErr w:type="spellStart"/>
      <w:r w:rsidR="00630749" w:rsidRPr="007F7E72">
        <w:rPr>
          <w:rFonts w:cs="Arial"/>
          <w:lang w:val="en-GB"/>
        </w:rPr>
        <w:t>vagus</w:t>
      </w:r>
      <w:proofErr w:type="spellEnd"/>
      <w:r w:rsidR="00630749" w:rsidRPr="007F7E72">
        <w:rPr>
          <w:rFonts w:cs="Arial"/>
          <w:lang w:val="en-GB"/>
        </w:rPr>
        <w:t xml:space="preserve"> nerve stimulation and deep brain stimulation. Most options</w:t>
      </w:r>
      <w:r w:rsidR="00630749">
        <w:rPr>
          <w:rFonts w:cs="Arial"/>
          <w:lang w:val="en-GB"/>
        </w:rPr>
        <w:t xml:space="preserve"> </w:t>
      </w:r>
      <w:r w:rsidR="00630749" w:rsidRPr="007F7E72">
        <w:rPr>
          <w:rFonts w:cs="Arial"/>
          <w:lang w:val="en-GB"/>
        </w:rPr>
        <w:t xml:space="preserve">require anaesthesia and </w:t>
      </w:r>
      <w:r w:rsidR="00630749">
        <w:rPr>
          <w:rFonts w:cs="Arial"/>
          <w:lang w:val="en-GB"/>
        </w:rPr>
        <w:t>are</w:t>
      </w:r>
      <w:r w:rsidR="00630749" w:rsidRPr="007F7E72">
        <w:rPr>
          <w:rFonts w:cs="Arial"/>
          <w:lang w:val="en-GB"/>
        </w:rPr>
        <w:t xml:space="preserve"> associated wit</w:t>
      </w:r>
      <w:r w:rsidR="00AF58E6">
        <w:rPr>
          <w:rFonts w:cs="Arial"/>
          <w:lang w:val="en-GB"/>
        </w:rPr>
        <w:t>h significant adverse events</w:t>
      </w:r>
      <w:r w:rsidR="00630749" w:rsidRPr="007F7E72">
        <w:rPr>
          <w:rFonts w:cs="Arial"/>
          <w:lang w:val="en-GB"/>
        </w:rPr>
        <w:t>.</w:t>
      </w:r>
    </w:p>
    <w:p w14:paraId="6EFDE631" w14:textId="2799F881" w:rsidR="00940A89" w:rsidRDefault="001C2F99" w:rsidP="008E1890">
      <w:r>
        <w:t>The sponsor</w:t>
      </w:r>
      <w:r w:rsidR="008E1890">
        <w:t xml:space="preserve"> has applied to register a new chemical entity, </w:t>
      </w:r>
      <w:proofErr w:type="spellStart"/>
      <w:r w:rsidR="00AF58E6">
        <w:t>Spravato</w:t>
      </w:r>
      <w:proofErr w:type="spellEnd"/>
      <w:r w:rsidR="00AF58E6">
        <w:t xml:space="preserve"> (</w:t>
      </w:r>
      <w:proofErr w:type="spellStart"/>
      <w:r w:rsidR="008E1890">
        <w:t>esk</w:t>
      </w:r>
      <w:r w:rsidR="00AF58E6">
        <w:t>etamine</w:t>
      </w:r>
      <w:proofErr w:type="spellEnd"/>
      <w:r w:rsidR="00AF58E6">
        <w:t xml:space="preserve"> hydrochloride</w:t>
      </w:r>
      <w:r w:rsidR="00055827">
        <w:t>)</w:t>
      </w:r>
      <w:r w:rsidR="008E1890">
        <w:t>, a</w:t>
      </w:r>
      <w:r w:rsidR="00AF58E6">
        <w:t>n</w:t>
      </w:r>
      <w:r w:rsidR="008E1890">
        <w:t xml:space="preserve"> N-methyl-D-aspartate</w:t>
      </w:r>
      <w:r w:rsidR="000A67BD">
        <w:t xml:space="preserve"> (NMDA)</w:t>
      </w:r>
      <w:r w:rsidR="008E1890">
        <w:t xml:space="preserve"> receptor</w:t>
      </w:r>
      <w:r w:rsidR="004E3568">
        <w:t xml:space="preserve"> antagonist for use in </w:t>
      </w:r>
      <w:r w:rsidR="00AF58E6">
        <w:t>TRD (</w:t>
      </w:r>
      <w:r w:rsidR="004E3568">
        <w:t>MDD</w:t>
      </w:r>
      <w:r w:rsidR="008E1890">
        <w:t xml:space="preserve"> in adults who have not responded adequately to a least two different antidepressants</w:t>
      </w:r>
      <w:r w:rsidR="00AF58E6">
        <w:t>)</w:t>
      </w:r>
      <w:r w:rsidR="008E1890">
        <w:t xml:space="preserve">. </w:t>
      </w:r>
      <w:proofErr w:type="spellStart"/>
      <w:r w:rsidR="005A5324">
        <w:rPr>
          <w:kern w:val="2"/>
        </w:rPr>
        <w:t>Esketamine</w:t>
      </w:r>
      <w:proofErr w:type="spellEnd"/>
      <w:r w:rsidR="005A5324">
        <w:rPr>
          <w:kern w:val="2"/>
        </w:rPr>
        <w:t xml:space="preserve"> belongs to the same pharmacological class as ketamine (</w:t>
      </w:r>
      <w:r w:rsidR="005A5324">
        <w:rPr>
          <w:rFonts w:eastAsia="TimesNewRoman" w:cs="TimesNewRoman"/>
        </w:rPr>
        <w:t xml:space="preserve">a racemic mixture containing 50% </w:t>
      </w:r>
      <w:proofErr w:type="spellStart"/>
      <w:r w:rsidR="005A5324">
        <w:rPr>
          <w:rFonts w:eastAsia="TimesNewRoman" w:cs="TimesNewRoman"/>
        </w:rPr>
        <w:t>esketamine</w:t>
      </w:r>
      <w:proofErr w:type="spellEnd"/>
      <w:r w:rsidR="005A5324">
        <w:rPr>
          <w:rFonts w:eastAsia="TimesNewRoman" w:cs="TimesNewRoman"/>
        </w:rPr>
        <w:t xml:space="preserve"> and 50% </w:t>
      </w:r>
      <w:proofErr w:type="spellStart"/>
      <w:r w:rsidR="005A5324">
        <w:rPr>
          <w:rFonts w:eastAsia="TimesNewRoman" w:cs="TimesNewRoman"/>
        </w:rPr>
        <w:t>arketamine</w:t>
      </w:r>
      <w:proofErr w:type="spellEnd"/>
      <w:r w:rsidR="005A5324">
        <w:rPr>
          <w:rFonts w:eastAsia="TimesNewRoman" w:cs="TimesNewRoman"/>
        </w:rPr>
        <w:t xml:space="preserve">). </w:t>
      </w:r>
      <w:r w:rsidR="004E3568">
        <w:t xml:space="preserve">While, the exact mechanism of action for </w:t>
      </w:r>
      <w:proofErr w:type="spellStart"/>
      <w:r w:rsidR="004E3568">
        <w:t>esketamine</w:t>
      </w:r>
      <w:proofErr w:type="spellEnd"/>
      <w:r w:rsidR="004E3568">
        <w:t xml:space="preserve"> as an antidepressant is not completely understood, </w:t>
      </w:r>
      <w:r w:rsidR="004E3568" w:rsidRPr="00EF2BB3">
        <w:t>e</w:t>
      </w:r>
      <w:r w:rsidR="004E3568" w:rsidRPr="00EF2BB3">
        <w:rPr>
          <w:rFonts w:eastAsia="TimesNewRoman" w:cs="TimesNewRoman"/>
        </w:rPr>
        <w:t>vidence with</w:t>
      </w:r>
      <w:r w:rsidR="004E3568">
        <w:rPr>
          <w:rFonts w:eastAsia="TimesNewRoman" w:cs="TimesNewRoman"/>
        </w:rPr>
        <w:t>in the literature suggests that</w:t>
      </w:r>
      <w:r w:rsidR="004E3568" w:rsidRPr="00EF2BB3">
        <w:rPr>
          <w:rFonts w:eastAsia="TimesNewRoman" w:cs="TimesNewRoman"/>
        </w:rPr>
        <w:t xml:space="preserve"> through NMDA</w:t>
      </w:r>
      <w:r w:rsidR="000A67BD">
        <w:rPr>
          <w:rFonts w:eastAsia="TimesNewRoman" w:cs="TimesNewRoman"/>
        </w:rPr>
        <w:t xml:space="preserve"> receptor</w:t>
      </w:r>
      <w:r w:rsidR="004E3568" w:rsidRPr="00EF2BB3">
        <w:rPr>
          <w:rFonts w:eastAsia="TimesNewRoman" w:cs="TimesNewRoman"/>
        </w:rPr>
        <w:t xml:space="preserve"> antagonism, </w:t>
      </w:r>
      <w:proofErr w:type="spellStart"/>
      <w:r w:rsidR="004E3568" w:rsidRPr="00EF2BB3">
        <w:rPr>
          <w:rFonts w:eastAsia="TimesNewRoman" w:cs="TimesNewRoman"/>
        </w:rPr>
        <w:t>esketamine</w:t>
      </w:r>
      <w:proofErr w:type="spellEnd"/>
      <w:r w:rsidR="004E3568" w:rsidRPr="00EF2BB3">
        <w:rPr>
          <w:rFonts w:eastAsia="TimesNewRoman" w:cs="TimesNewRoman"/>
        </w:rPr>
        <w:t xml:space="preserve"> produces a transient increase in glutamate release leading to increases in </w:t>
      </w:r>
      <w:r w:rsidR="000A67BD">
        <w:rPr>
          <w:rFonts w:eastAsia="TimesNewRoman" w:cs="TimesNewRoman"/>
        </w:rPr>
        <w:t xml:space="preserve">AMPA </w:t>
      </w:r>
      <w:r w:rsidR="004E3568" w:rsidRPr="00EF2BB3">
        <w:rPr>
          <w:rFonts w:eastAsia="TimesNewRoman" w:cs="TimesNewRoman"/>
        </w:rPr>
        <w:t>receptor stimulation</w:t>
      </w:r>
      <w:r w:rsidR="000A67BD">
        <w:rPr>
          <w:rFonts w:eastAsia="TimesNewRoman" w:cs="TimesNewRoman"/>
        </w:rPr>
        <w:t>,</w:t>
      </w:r>
      <w:r w:rsidR="000A67BD">
        <w:rPr>
          <w:rStyle w:val="FootnoteReference"/>
          <w:rFonts w:eastAsia="TimesNewRoman" w:cs="TimesNewRoman"/>
        </w:rPr>
        <w:footnoteReference w:id="7"/>
      </w:r>
      <w:r w:rsidR="004E3568" w:rsidRPr="00EF2BB3">
        <w:rPr>
          <w:rFonts w:eastAsia="TimesNewRoman" w:cs="TimesNewRoman"/>
        </w:rPr>
        <w:t xml:space="preserve"> and subsequently to increases in neurotrophic signalling that restore synaptic f</w:t>
      </w:r>
      <w:r w:rsidR="004E3568">
        <w:rPr>
          <w:rFonts w:eastAsia="TimesNewRoman" w:cs="TimesNewRoman"/>
        </w:rPr>
        <w:t>unction in these brain regions</w:t>
      </w:r>
      <w:r w:rsidR="004E3568" w:rsidRPr="00EF2BB3">
        <w:rPr>
          <w:rFonts w:eastAsia="TimesNewRoman" w:cs="TimesNewRoman"/>
        </w:rPr>
        <w:t>.</w:t>
      </w:r>
      <w:r w:rsidR="004E3568">
        <w:rPr>
          <w:rStyle w:val="FootnoteReference"/>
          <w:rFonts w:eastAsia="TimesNewRoman" w:cs="TimesNewRoman"/>
        </w:rPr>
        <w:footnoteReference w:id="8"/>
      </w:r>
      <w:r w:rsidR="004E3568">
        <w:rPr>
          <w:rFonts w:eastAsia="TimesNewRoman" w:cs="TimesNewRoman"/>
        </w:rPr>
        <w:t xml:space="preserve"> </w:t>
      </w:r>
      <w:proofErr w:type="spellStart"/>
      <w:r>
        <w:t>Spravato</w:t>
      </w:r>
      <w:proofErr w:type="spellEnd"/>
      <w:r w:rsidR="005A5324">
        <w:t xml:space="preserve"> is to</w:t>
      </w:r>
      <w:r w:rsidR="008E1890">
        <w:t xml:space="preserve"> be sel</w:t>
      </w:r>
      <w:r w:rsidR="00AF58E6">
        <w:t xml:space="preserve">f-administered </w:t>
      </w:r>
      <w:proofErr w:type="spellStart"/>
      <w:r w:rsidR="00AF58E6">
        <w:t>intranasally</w:t>
      </w:r>
      <w:proofErr w:type="spellEnd"/>
      <w:r w:rsidR="008E1890">
        <w:t xml:space="preserve"> using a single-use device under the supervisio</w:t>
      </w:r>
      <w:r w:rsidR="000A4F36">
        <w:t>n of a healthcare professional.</w:t>
      </w:r>
    </w:p>
    <w:p w14:paraId="1D74D200" w14:textId="77777777" w:rsidR="008E7846" w:rsidRPr="003F31A2" w:rsidRDefault="00386150" w:rsidP="004E3568">
      <w:pPr>
        <w:pStyle w:val="Heading3"/>
      </w:pPr>
      <w:bookmarkStart w:id="18" w:name="_Toc314842485"/>
      <w:bookmarkStart w:id="19" w:name="_Toc247691504"/>
      <w:bookmarkStart w:id="20" w:name="_Toc72744016"/>
      <w:r>
        <w:lastRenderedPageBreak/>
        <w:t>Regulatory s</w:t>
      </w:r>
      <w:r w:rsidR="008E7846">
        <w:t>tatus</w:t>
      </w:r>
      <w:bookmarkEnd w:id="18"/>
      <w:bookmarkEnd w:id="19"/>
      <w:bookmarkEnd w:id="20"/>
    </w:p>
    <w:p w14:paraId="25A90891" w14:textId="77777777" w:rsidR="00940A89" w:rsidRDefault="00006FAB" w:rsidP="00652508">
      <w:bookmarkStart w:id="21" w:name="_Toc247691505"/>
      <w:bookmarkStart w:id="22" w:name="_Toc314842486"/>
      <w:r w:rsidRPr="00006FAB">
        <w:t>This product is considered a new chemical entity for Australian regulatory purposes.</w:t>
      </w:r>
    </w:p>
    <w:p w14:paraId="60BA6FDA" w14:textId="3874CA61" w:rsidR="00006FAB" w:rsidRDefault="00006FAB" w:rsidP="00006FAB">
      <w:r>
        <w:t>At the time the TGA considered this application, similar application</w:t>
      </w:r>
      <w:r w:rsidR="0086400B">
        <w:t>s</w:t>
      </w:r>
      <w:r>
        <w:t xml:space="preserve"> had been approved </w:t>
      </w:r>
      <w:r w:rsidR="004E3568">
        <w:t>in the US</w:t>
      </w:r>
      <w:r w:rsidR="0086400B">
        <w:t>A</w:t>
      </w:r>
      <w:r w:rsidR="00624A81">
        <w:t>, European Union (EU), Switzerland and New Zealand, and</w:t>
      </w:r>
      <w:r>
        <w:t xml:space="preserve"> w</w:t>
      </w:r>
      <w:r w:rsidR="0086400B">
        <w:t>ere</w:t>
      </w:r>
      <w:r>
        <w:t xml:space="preserve"> under</w:t>
      </w:r>
      <w:r w:rsidR="00624A81">
        <w:t xml:space="preserve"> consideration in Canada and Singapore (see </w:t>
      </w:r>
      <w:r w:rsidR="00624A81">
        <w:fldChar w:fldCharType="begin"/>
      </w:r>
      <w:r w:rsidR="00624A81">
        <w:instrText xml:space="preserve"> REF _Ref69306572 \h </w:instrText>
      </w:r>
      <w:r w:rsidR="00624A81">
        <w:fldChar w:fldCharType="separate"/>
      </w:r>
      <w:r w:rsidR="003938C9">
        <w:t xml:space="preserve">Table </w:t>
      </w:r>
      <w:r w:rsidR="003938C9">
        <w:rPr>
          <w:noProof/>
        </w:rPr>
        <w:t>1</w:t>
      </w:r>
      <w:r w:rsidR="00624A81">
        <w:fldChar w:fldCharType="end"/>
      </w:r>
      <w:r w:rsidR="00624A81">
        <w:t>)</w:t>
      </w:r>
      <w:r>
        <w:t>.</w:t>
      </w:r>
    </w:p>
    <w:p w14:paraId="6B61DB7B" w14:textId="5D5BB952" w:rsidR="00324E45" w:rsidRPr="00F0146F" w:rsidRDefault="00324E45" w:rsidP="00324E45">
      <w:pPr>
        <w:pStyle w:val="TableTitle"/>
      </w:pPr>
      <w:bookmarkStart w:id="23" w:name="_Ref69306572"/>
      <w:r>
        <w:t xml:space="preserve">Table </w:t>
      </w:r>
      <w:r w:rsidR="00D42A0C">
        <w:fldChar w:fldCharType="begin"/>
      </w:r>
      <w:r w:rsidR="00D42A0C">
        <w:instrText xml:space="preserve"> SEQ Table \* ARABIC </w:instrText>
      </w:r>
      <w:r w:rsidR="00D42A0C">
        <w:fldChar w:fldCharType="separate"/>
      </w:r>
      <w:r w:rsidR="003938C9">
        <w:rPr>
          <w:noProof/>
        </w:rPr>
        <w:t>1</w:t>
      </w:r>
      <w:r w:rsidR="00D42A0C">
        <w:rPr>
          <w:noProof/>
        </w:rPr>
        <w:fldChar w:fldCharType="end"/>
      </w:r>
      <w:bookmarkEnd w:id="23"/>
      <w:r>
        <w:t>: International regulatory status</w:t>
      </w:r>
      <w:r w:rsidR="00775E2E">
        <w:t xml:space="preserve"> as of March 2020</w:t>
      </w:r>
    </w:p>
    <w:tbl>
      <w:tblPr>
        <w:tblStyle w:val="TableTGAblue"/>
        <w:tblW w:w="0" w:type="auto"/>
        <w:tblLook w:val="04A0" w:firstRow="1" w:lastRow="0" w:firstColumn="1" w:lastColumn="0" w:noHBand="0" w:noVBand="1"/>
      </w:tblPr>
      <w:tblGrid>
        <w:gridCol w:w="1384"/>
        <w:gridCol w:w="2107"/>
        <w:gridCol w:w="2004"/>
        <w:gridCol w:w="3225"/>
      </w:tblGrid>
      <w:tr w:rsidR="00006FAB" w14:paraId="4315971C" w14:textId="77777777" w:rsidTr="008D162C">
        <w:trPr>
          <w:cnfStyle w:val="100000000000" w:firstRow="1" w:lastRow="0" w:firstColumn="0" w:lastColumn="0" w:oddVBand="0" w:evenVBand="0" w:oddHBand="0" w:evenHBand="0" w:firstRowFirstColumn="0" w:firstRowLastColumn="0" w:lastRowFirstColumn="0" w:lastRowLastColumn="0"/>
        </w:trPr>
        <w:tc>
          <w:tcPr>
            <w:tcW w:w="1384" w:type="dxa"/>
            <w:tcBorders>
              <w:top w:val="single" w:sz="4" w:space="0" w:color="auto"/>
              <w:left w:val="single" w:sz="4" w:space="0" w:color="auto"/>
              <w:bottom w:val="single" w:sz="4" w:space="0" w:color="auto"/>
              <w:right w:val="single" w:sz="4" w:space="0" w:color="auto"/>
            </w:tcBorders>
          </w:tcPr>
          <w:p w14:paraId="242DDCFF" w14:textId="77777777" w:rsidR="00006FAB" w:rsidRDefault="00006FAB" w:rsidP="00006FAB">
            <w:pPr>
              <w:ind w:left="0" w:right="0"/>
            </w:pPr>
            <w:r>
              <w:t>Region</w:t>
            </w:r>
          </w:p>
        </w:tc>
        <w:tc>
          <w:tcPr>
            <w:tcW w:w="2107" w:type="dxa"/>
            <w:tcBorders>
              <w:top w:val="single" w:sz="4" w:space="0" w:color="auto"/>
              <w:left w:val="single" w:sz="4" w:space="0" w:color="auto"/>
              <w:bottom w:val="single" w:sz="4" w:space="0" w:color="auto"/>
              <w:right w:val="single" w:sz="4" w:space="0" w:color="auto"/>
            </w:tcBorders>
          </w:tcPr>
          <w:p w14:paraId="0E83D7EA" w14:textId="77777777" w:rsidR="00006FAB" w:rsidRDefault="00006FAB" w:rsidP="00006FAB">
            <w:pPr>
              <w:ind w:left="0" w:right="0"/>
            </w:pPr>
            <w:r>
              <w:t>Submission date</w:t>
            </w:r>
          </w:p>
        </w:tc>
        <w:tc>
          <w:tcPr>
            <w:tcW w:w="2004" w:type="dxa"/>
            <w:tcBorders>
              <w:top w:val="single" w:sz="4" w:space="0" w:color="auto"/>
              <w:left w:val="single" w:sz="4" w:space="0" w:color="auto"/>
              <w:bottom w:val="single" w:sz="4" w:space="0" w:color="auto"/>
              <w:right w:val="single" w:sz="4" w:space="0" w:color="auto"/>
            </w:tcBorders>
          </w:tcPr>
          <w:p w14:paraId="72FEE51A" w14:textId="77777777" w:rsidR="00006FAB" w:rsidRDefault="00006FAB" w:rsidP="00006FAB">
            <w:pPr>
              <w:ind w:left="0" w:right="0"/>
            </w:pPr>
            <w:r>
              <w:t>Status</w:t>
            </w:r>
          </w:p>
        </w:tc>
        <w:tc>
          <w:tcPr>
            <w:tcW w:w="3225" w:type="dxa"/>
            <w:tcBorders>
              <w:top w:val="single" w:sz="4" w:space="0" w:color="auto"/>
              <w:left w:val="single" w:sz="4" w:space="0" w:color="auto"/>
              <w:bottom w:val="single" w:sz="4" w:space="0" w:color="auto"/>
              <w:right w:val="single" w:sz="4" w:space="0" w:color="auto"/>
            </w:tcBorders>
          </w:tcPr>
          <w:p w14:paraId="37A80005" w14:textId="77777777" w:rsidR="00006FAB" w:rsidRDefault="00006FAB" w:rsidP="00006FAB">
            <w:pPr>
              <w:ind w:left="0" w:right="0"/>
            </w:pPr>
            <w:r>
              <w:t>Approved indications</w:t>
            </w:r>
          </w:p>
        </w:tc>
      </w:tr>
      <w:tr w:rsidR="00775E2E" w14:paraId="4FCDB2B7" w14:textId="77777777" w:rsidTr="008D162C">
        <w:tc>
          <w:tcPr>
            <w:tcW w:w="1384" w:type="dxa"/>
            <w:tcBorders>
              <w:top w:val="single" w:sz="4" w:space="0" w:color="auto"/>
            </w:tcBorders>
          </w:tcPr>
          <w:p w14:paraId="2E52D81A" w14:textId="64927C5D"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US</w:t>
            </w:r>
            <w:r w:rsidR="0086400B">
              <w:rPr>
                <w:rFonts w:asciiTheme="minorHAnsi" w:eastAsiaTheme="minorHAnsi" w:hAnsiTheme="minorHAnsi" w:cs="Arial"/>
                <w:szCs w:val="22"/>
                <w:lang w:val="en-GB"/>
              </w:rPr>
              <w:t>A</w:t>
            </w:r>
          </w:p>
        </w:tc>
        <w:tc>
          <w:tcPr>
            <w:tcW w:w="2107" w:type="dxa"/>
            <w:tcBorders>
              <w:top w:val="single" w:sz="4" w:space="0" w:color="auto"/>
            </w:tcBorders>
          </w:tcPr>
          <w:p w14:paraId="3B392980" w14:textId="77777777"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4 September 2018</w:t>
            </w:r>
          </w:p>
        </w:tc>
        <w:tc>
          <w:tcPr>
            <w:tcW w:w="2004" w:type="dxa"/>
            <w:tcBorders>
              <w:top w:val="single" w:sz="4" w:space="0" w:color="auto"/>
            </w:tcBorders>
          </w:tcPr>
          <w:p w14:paraId="1AF9D4FD" w14:textId="77777777"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Approved on 5 March 2019</w:t>
            </w:r>
          </w:p>
        </w:tc>
        <w:tc>
          <w:tcPr>
            <w:tcW w:w="3225" w:type="dxa"/>
            <w:tcBorders>
              <w:top w:val="single" w:sz="4" w:space="0" w:color="auto"/>
            </w:tcBorders>
          </w:tcPr>
          <w:p w14:paraId="7D6CBE4E" w14:textId="77777777" w:rsidR="00775E2E" w:rsidRPr="008B1FD0" w:rsidRDefault="00775E2E" w:rsidP="008B1FD0">
            <w:pPr>
              <w:ind w:left="0" w:right="0"/>
              <w:rPr>
                <w:i/>
                <w:iCs/>
                <w:lang w:eastAsia="ja-JP"/>
              </w:rPr>
            </w:pPr>
            <w:proofErr w:type="spellStart"/>
            <w:r w:rsidRPr="00600269">
              <w:rPr>
                <w:i/>
                <w:iCs/>
                <w:lang w:eastAsia="ja-JP"/>
              </w:rPr>
              <w:t>Spravato</w:t>
            </w:r>
            <w:proofErr w:type="spellEnd"/>
            <w:r w:rsidRPr="00600269">
              <w:rPr>
                <w:i/>
                <w:iCs/>
                <w:lang w:eastAsia="ja-JP"/>
              </w:rPr>
              <w:t xml:space="preserve"> is indicated, in conjunction with an oral antidepressant, for the treatment of treatment-resistant depression (TRD) in adults</w:t>
            </w:r>
            <w:r w:rsidR="008B1FD0">
              <w:rPr>
                <w:i/>
                <w:iCs/>
                <w:lang w:eastAsia="ja-JP"/>
              </w:rPr>
              <w:t xml:space="preserve"> (see Clinical Studies (14.1))</w:t>
            </w:r>
          </w:p>
        </w:tc>
      </w:tr>
      <w:tr w:rsidR="00775E2E" w14:paraId="0047F68A" w14:textId="77777777" w:rsidTr="008D162C">
        <w:tc>
          <w:tcPr>
            <w:tcW w:w="1384" w:type="dxa"/>
          </w:tcPr>
          <w:p w14:paraId="214E0467" w14:textId="77777777"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EU</w:t>
            </w:r>
            <w:r w:rsidRPr="00391E2D">
              <w:rPr>
                <w:rFonts w:asciiTheme="minorHAnsi" w:eastAsiaTheme="minorHAnsi" w:hAnsiTheme="minorHAnsi" w:cs="Arial"/>
                <w:szCs w:val="22"/>
                <w:lang w:val="en-GB"/>
              </w:rPr>
              <w:t xml:space="preserve"> </w:t>
            </w:r>
            <w:r>
              <w:rPr>
                <w:rFonts w:asciiTheme="minorHAnsi" w:eastAsiaTheme="minorHAnsi" w:hAnsiTheme="minorHAnsi" w:cs="Arial"/>
                <w:szCs w:val="22"/>
                <w:lang w:val="en-GB"/>
              </w:rPr>
              <w:t>(</w:t>
            </w:r>
            <w:r w:rsidRPr="00391E2D">
              <w:rPr>
                <w:rFonts w:asciiTheme="minorHAnsi" w:eastAsiaTheme="minorHAnsi" w:hAnsiTheme="minorHAnsi" w:cs="Arial"/>
                <w:szCs w:val="22"/>
                <w:lang w:val="en-GB"/>
              </w:rPr>
              <w:t>Centralised Procedure</w:t>
            </w:r>
            <w:r>
              <w:rPr>
                <w:rFonts w:asciiTheme="minorHAnsi" w:eastAsiaTheme="minorHAnsi" w:hAnsiTheme="minorHAnsi" w:cs="Arial"/>
                <w:szCs w:val="22"/>
                <w:lang w:val="en-GB"/>
              </w:rPr>
              <w:t>)</w:t>
            </w:r>
          </w:p>
        </w:tc>
        <w:tc>
          <w:tcPr>
            <w:tcW w:w="2107" w:type="dxa"/>
          </w:tcPr>
          <w:p w14:paraId="490BA8CD" w14:textId="77777777"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10 October 2018</w:t>
            </w:r>
          </w:p>
        </w:tc>
        <w:tc>
          <w:tcPr>
            <w:tcW w:w="2004" w:type="dxa"/>
          </w:tcPr>
          <w:p w14:paraId="5F57A1F4" w14:textId="77777777" w:rsidR="00775E2E" w:rsidRPr="00391E2D" w:rsidRDefault="00775E2E" w:rsidP="00775E2E">
            <w:pPr>
              <w:autoSpaceDE w:val="0"/>
              <w:autoSpaceDN w:val="0"/>
              <w:adjustRightInd w:val="0"/>
              <w:spacing w:after="0" w:line="240" w:lineRule="auto"/>
              <w:ind w:left="0" w:right="0"/>
              <w:rPr>
                <w:rFonts w:asciiTheme="minorHAnsi" w:eastAsiaTheme="minorHAnsi" w:hAnsiTheme="minorHAnsi" w:cs="Arial"/>
                <w:szCs w:val="22"/>
                <w:lang w:val="en-GB"/>
              </w:rPr>
            </w:pPr>
            <w:r>
              <w:rPr>
                <w:rFonts w:asciiTheme="minorHAnsi" w:eastAsiaTheme="minorHAnsi" w:hAnsiTheme="minorHAnsi" w:cs="Arial"/>
                <w:szCs w:val="22"/>
                <w:lang w:val="en-GB"/>
              </w:rPr>
              <w:t>Approved on 18 December 2019</w:t>
            </w:r>
          </w:p>
        </w:tc>
        <w:tc>
          <w:tcPr>
            <w:tcW w:w="3225" w:type="dxa"/>
          </w:tcPr>
          <w:p w14:paraId="3FECF38B" w14:textId="77777777" w:rsidR="00775E2E" w:rsidRPr="00775E2E" w:rsidRDefault="00775E2E" w:rsidP="008B1FD0">
            <w:pPr>
              <w:ind w:left="0" w:right="0"/>
              <w:rPr>
                <w:i/>
              </w:rPr>
            </w:pPr>
            <w:proofErr w:type="spellStart"/>
            <w:r w:rsidRPr="00775E2E">
              <w:rPr>
                <w:i/>
              </w:rPr>
              <w:t>Spravato</w:t>
            </w:r>
            <w:proofErr w:type="spellEnd"/>
            <w:r w:rsidRPr="00775E2E">
              <w:rPr>
                <w:i/>
              </w:rPr>
              <w:t>, in combination with a SSRI or SNRI, is indicated for adults with treatment-resistant major depressive disorder, who have not responded to at least two different antidepressants in the current modera</w:t>
            </w:r>
            <w:r w:rsidR="008B1FD0">
              <w:rPr>
                <w:i/>
              </w:rPr>
              <w:t xml:space="preserve">te to severe depressive episode (see section </w:t>
            </w:r>
            <w:r w:rsidR="008B1FD0" w:rsidRPr="008B1FD0">
              <w:rPr>
                <w:i/>
              </w:rPr>
              <w:t>5.1).</w:t>
            </w:r>
          </w:p>
        </w:tc>
      </w:tr>
      <w:tr w:rsidR="00E61A31" w14:paraId="52661E0C" w14:textId="77777777" w:rsidTr="00652508">
        <w:trPr>
          <w:trHeight w:val="6927"/>
        </w:trPr>
        <w:tc>
          <w:tcPr>
            <w:tcW w:w="1384" w:type="dxa"/>
          </w:tcPr>
          <w:p w14:paraId="63C9B3D8"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Switzerland</w:t>
            </w:r>
          </w:p>
        </w:tc>
        <w:tc>
          <w:tcPr>
            <w:tcW w:w="2107" w:type="dxa"/>
          </w:tcPr>
          <w:p w14:paraId="4C0549A6"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20 December 2018</w:t>
            </w:r>
          </w:p>
        </w:tc>
        <w:tc>
          <w:tcPr>
            <w:tcW w:w="2004" w:type="dxa"/>
          </w:tcPr>
          <w:p w14:paraId="01E747EA"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25 February 2020</w:t>
            </w:r>
          </w:p>
        </w:tc>
        <w:tc>
          <w:tcPr>
            <w:tcW w:w="3225" w:type="dxa"/>
          </w:tcPr>
          <w:p w14:paraId="20BE90FC" w14:textId="77777777" w:rsidR="00E61A31" w:rsidRPr="00E61A31" w:rsidRDefault="00E61A31" w:rsidP="00E61A31">
            <w:pPr>
              <w:ind w:left="0" w:right="0"/>
              <w:rPr>
                <w:i/>
              </w:rPr>
            </w:pPr>
            <w:proofErr w:type="spellStart"/>
            <w:r w:rsidRPr="00E61A31">
              <w:rPr>
                <w:i/>
              </w:rPr>
              <w:t>Sprav</w:t>
            </w:r>
            <w:r>
              <w:rPr>
                <w:i/>
              </w:rPr>
              <w:t>ato</w:t>
            </w:r>
            <w:proofErr w:type="spellEnd"/>
            <w:r>
              <w:rPr>
                <w:i/>
              </w:rPr>
              <w:t xml:space="preserve"> in combination with an oral </w:t>
            </w:r>
            <w:r w:rsidRPr="00E61A31">
              <w:rPr>
                <w:i/>
              </w:rPr>
              <w:t>anti</w:t>
            </w:r>
            <w:r>
              <w:rPr>
                <w:i/>
              </w:rPr>
              <w:t xml:space="preserve">depressant is indicated for the </w:t>
            </w:r>
            <w:r w:rsidRPr="00E61A31">
              <w:rPr>
                <w:i/>
              </w:rPr>
              <w:t>t</w:t>
            </w:r>
            <w:r>
              <w:rPr>
                <w:i/>
              </w:rPr>
              <w:t xml:space="preserve">reatment of treatment resistant episodes of major depression in </w:t>
            </w:r>
            <w:r w:rsidRPr="00E61A31">
              <w:rPr>
                <w:i/>
              </w:rPr>
              <w:t>adults who have not responded to at</w:t>
            </w:r>
            <w:r>
              <w:rPr>
                <w:i/>
              </w:rPr>
              <w:t xml:space="preserve"> </w:t>
            </w:r>
            <w:r w:rsidRPr="00E61A31">
              <w:rPr>
                <w:i/>
              </w:rPr>
              <w:t xml:space="preserve">least two different </w:t>
            </w:r>
            <w:r>
              <w:rPr>
                <w:i/>
              </w:rPr>
              <w:t xml:space="preserve">treatments with antidepressants in the current moderate to severe depressive </w:t>
            </w:r>
            <w:r w:rsidRPr="00E61A31">
              <w:rPr>
                <w:i/>
              </w:rPr>
              <w:t>episode.</w:t>
            </w:r>
          </w:p>
          <w:p w14:paraId="49CCD722" w14:textId="77777777" w:rsidR="00E61A31" w:rsidRDefault="00E61A31" w:rsidP="00E61A31">
            <w:pPr>
              <w:ind w:left="0" w:right="0"/>
              <w:rPr>
                <w:i/>
              </w:rPr>
            </w:pPr>
            <w:proofErr w:type="spellStart"/>
            <w:r w:rsidRPr="00E61A31">
              <w:rPr>
                <w:i/>
              </w:rPr>
              <w:t>Spr</w:t>
            </w:r>
            <w:r>
              <w:rPr>
                <w:i/>
              </w:rPr>
              <w:t>avato</w:t>
            </w:r>
            <w:proofErr w:type="spellEnd"/>
            <w:r>
              <w:rPr>
                <w:i/>
              </w:rPr>
              <w:t xml:space="preserve"> must only be administered </w:t>
            </w:r>
            <w:r w:rsidRPr="00E61A31">
              <w:rPr>
                <w:i/>
              </w:rPr>
              <w:t>in a</w:t>
            </w:r>
            <w:r>
              <w:rPr>
                <w:i/>
              </w:rPr>
              <w:t xml:space="preserve"> treatment setting in which the necessary safety measures (including cardiopulmonary resuscitation measures) can be </w:t>
            </w:r>
            <w:r w:rsidRPr="00E61A31">
              <w:rPr>
                <w:i/>
              </w:rPr>
              <w:t>e</w:t>
            </w:r>
            <w:r>
              <w:rPr>
                <w:i/>
              </w:rPr>
              <w:t xml:space="preserve">nsured before, during and after </w:t>
            </w:r>
            <w:r w:rsidRPr="00E61A31">
              <w:rPr>
                <w:i/>
              </w:rPr>
              <w:t>administration of the medicin</w:t>
            </w:r>
            <w:r>
              <w:rPr>
                <w:i/>
              </w:rPr>
              <w:t xml:space="preserve">al </w:t>
            </w:r>
            <w:r w:rsidRPr="00E61A31">
              <w:rPr>
                <w:i/>
              </w:rPr>
              <w:t>pro</w:t>
            </w:r>
            <w:r>
              <w:rPr>
                <w:i/>
              </w:rPr>
              <w:t xml:space="preserve">duct (see Dosage/Administration </w:t>
            </w:r>
            <w:r w:rsidRPr="00E61A31">
              <w:rPr>
                <w:i/>
              </w:rPr>
              <w:t>and Warnings and precautions).</w:t>
            </w:r>
          </w:p>
        </w:tc>
      </w:tr>
      <w:tr w:rsidR="00E61A31" w14:paraId="21B4F552" w14:textId="77777777" w:rsidTr="008D162C">
        <w:tc>
          <w:tcPr>
            <w:tcW w:w="1384" w:type="dxa"/>
          </w:tcPr>
          <w:p w14:paraId="329BA560" w14:textId="77777777" w:rsidR="00E61A31" w:rsidRDefault="00E61A31" w:rsidP="00652508">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lastRenderedPageBreak/>
              <w:t>New Zealand</w:t>
            </w:r>
          </w:p>
        </w:tc>
        <w:tc>
          <w:tcPr>
            <w:tcW w:w="2107" w:type="dxa"/>
          </w:tcPr>
          <w:p w14:paraId="182426C0" w14:textId="77777777" w:rsidR="00E61A31" w:rsidRDefault="00E61A31" w:rsidP="004E3568">
            <w:pPr>
              <w:keepNext/>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17 December 2018</w:t>
            </w:r>
          </w:p>
        </w:tc>
        <w:tc>
          <w:tcPr>
            <w:tcW w:w="2004" w:type="dxa"/>
          </w:tcPr>
          <w:p w14:paraId="3DEF432E" w14:textId="77777777" w:rsidR="00E61A31" w:rsidRDefault="00E61A31" w:rsidP="004E3568">
            <w:pPr>
              <w:keepNext/>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19 December 2019</w:t>
            </w:r>
          </w:p>
        </w:tc>
        <w:tc>
          <w:tcPr>
            <w:tcW w:w="3225" w:type="dxa"/>
          </w:tcPr>
          <w:p w14:paraId="1EF114BA" w14:textId="77777777" w:rsidR="00E61A31" w:rsidRPr="00775E2E" w:rsidRDefault="00E61A31" w:rsidP="004E3568">
            <w:pPr>
              <w:keepNext/>
              <w:ind w:left="0" w:right="0"/>
              <w:rPr>
                <w:i/>
              </w:rPr>
            </w:pPr>
            <w:proofErr w:type="spellStart"/>
            <w:r>
              <w:rPr>
                <w:i/>
              </w:rPr>
              <w:t>Spravato</w:t>
            </w:r>
            <w:proofErr w:type="spellEnd"/>
            <w:r>
              <w:rPr>
                <w:i/>
              </w:rPr>
              <w:t xml:space="preserve"> is indicated for treatment resistant depression </w:t>
            </w:r>
            <w:r w:rsidRPr="00E61A31">
              <w:rPr>
                <w:i/>
              </w:rPr>
              <w:t>(Majo</w:t>
            </w:r>
            <w:r>
              <w:rPr>
                <w:i/>
              </w:rPr>
              <w:t xml:space="preserve">r Depressive Disorder in adults who have not responded </w:t>
            </w:r>
            <w:r w:rsidRPr="00E61A31">
              <w:rPr>
                <w:i/>
              </w:rPr>
              <w:t>adequ</w:t>
            </w:r>
            <w:r>
              <w:rPr>
                <w:i/>
              </w:rPr>
              <w:t xml:space="preserve">ately to at least two different </w:t>
            </w:r>
            <w:r w:rsidRPr="00E61A31">
              <w:rPr>
                <w:i/>
              </w:rPr>
              <w:t>antidepressants of adequate dose</w:t>
            </w:r>
            <w:r>
              <w:rPr>
                <w:i/>
              </w:rPr>
              <w:t xml:space="preserve"> </w:t>
            </w:r>
            <w:r w:rsidRPr="00E61A31">
              <w:rPr>
                <w:i/>
              </w:rPr>
              <w:t xml:space="preserve">and duration to treat the </w:t>
            </w:r>
            <w:r>
              <w:rPr>
                <w:i/>
              </w:rPr>
              <w:t xml:space="preserve">current </w:t>
            </w:r>
            <w:r w:rsidRPr="00E61A31">
              <w:rPr>
                <w:i/>
              </w:rPr>
              <w:t>depressive episode).</w:t>
            </w:r>
          </w:p>
        </w:tc>
      </w:tr>
      <w:tr w:rsidR="00E61A31" w14:paraId="573D7151" w14:textId="77777777" w:rsidTr="008D162C">
        <w:tc>
          <w:tcPr>
            <w:tcW w:w="1384" w:type="dxa"/>
          </w:tcPr>
          <w:p w14:paraId="363404C9"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Canada</w:t>
            </w:r>
          </w:p>
        </w:tc>
        <w:tc>
          <w:tcPr>
            <w:tcW w:w="2107" w:type="dxa"/>
          </w:tcPr>
          <w:p w14:paraId="04A85D21"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7 December 2018</w:t>
            </w:r>
          </w:p>
        </w:tc>
        <w:tc>
          <w:tcPr>
            <w:tcW w:w="2004" w:type="dxa"/>
          </w:tcPr>
          <w:p w14:paraId="4A0960C0"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Under consideration</w:t>
            </w:r>
          </w:p>
        </w:tc>
        <w:tc>
          <w:tcPr>
            <w:tcW w:w="3225" w:type="dxa"/>
          </w:tcPr>
          <w:p w14:paraId="64D19491" w14:textId="77777777" w:rsidR="00E61A31" w:rsidRPr="00E61A31" w:rsidRDefault="00E61A31" w:rsidP="00E61A31">
            <w:pPr>
              <w:ind w:left="0" w:right="0"/>
            </w:pPr>
            <w:r w:rsidRPr="00E61A31">
              <w:t>Under consideration</w:t>
            </w:r>
          </w:p>
        </w:tc>
      </w:tr>
      <w:tr w:rsidR="00E61A31" w14:paraId="7818593D" w14:textId="77777777" w:rsidTr="008D162C">
        <w:tc>
          <w:tcPr>
            <w:tcW w:w="1384" w:type="dxa"/>
          </w:tcPr>
          <w:p w14:paraId="6B3106D1"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Singapore</w:t>
            </w:r>
          </w:p>
        </w:tc>
        <w:tc>
          <w:tcPr>
            <w:tcW w:w="2107" w:type="dxa"/>
          </w:tcPr>
          <w:p w14:paraId="52DF6A53"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12 April 2019</w:t>
            </w:r>
          </w:p>
        </w:tc>
        <w:tc>
          <w:tcPr>
            <w:tcW w:w="2004" w:type="dxa"/>
          </w:tcPr>
          <w:p w14:paraId="5FFEC94B" w14:textId="77777777" w:rsidR="00E61A31" w:rsidRDefault="00E61A31" w:rsidP="00E61A31">
            <w:pPr>
              <w:autoSpaceDE w:val="0"/>
              <w:autoSpaceDN w:val="0"/>
              <w:adjustRightInd w:val="0"/>
              <w:spacing w:after="0" w:line="240" w:lineRule="auto"/>
              <w:ind w:left="0" w:right="0"/>
              <w:rPr>
                <w:rFonts w:asciiTheme="minorHAnsi" w:eastAsiaTheme="minorHAnsi" w:hAnsiTheme="minorHAnsi" w:cs="Arial"/>
                <w:lang w:val="en-GB"/>
              </w:rPr>
            </w:pPr>
            <w:r>
              <w:rPr>
                <w:rFonts w:asciiTheme="minorHAnsi" w:eastAsiaTheme="minorHAnsi" w:hAnsiTheme="minorHAnsi" w:cs="Arial"/>
                <w:lang w:val="en-GB"/>
              </w:rPr>
              <w:t>Under consideration</w:t>
            </w:r>
          </w:p>
        </w:tc>
        <w:tc>
          <w:tcPr>
            <w:tcW w:w="3225" w:type="dxa"/>
          </w:tcPr>
          <w:p w14:paraId="4C7D259A" w14:textId="77777777" w:rsidR="00E61A31" w:rsidRPr="00E61A31" w:rsidRDefault="00E61A31" w:rsidP="00E61A31">
            <w:pPr>
              <w:ind w:left="0" w:right="0"/>
            </w:pPr>
            <w:r w:rsidRPr="00E61A31">
              <w:t>Under consideration</w:t>
            </w:r>
          </w:p>
        </w:tc>
      </w:tr>
    </w:tbl>
    <w:p w14:paraId="59246043" w14:textId="6A9332E5" w:rsidR="004E3568" w:rsidRDefault="004E3568" w:rsidP="004E3568">
      <w:pPr>
        <w:pStyle w:val="TableDescription"/>
      </w:pPr>
      <w:r>
        <w:t xml:space="preserve">SNRI = serotonin and </w:t>
      </w:r>
      <w:r w:rsidR="0086400B">
        <w:t xml:space="preserve">noradrenaline </w:t>
      </w:r>
      <w:r>
        <w:t>reuptake inhibitor; SSRI = selective serotonin reuptake inhibitor.</w:t>
      </w:r>
    </w:p>
    <w:p w14:paraId="638DC1C8" w14:textId="77777777" w:rsidR="008E7846" w:rsidRDefault="008E7846" w:rsidP="00940A89">
      <w:pPr>
        <w:pStyle w:val="Heading3"/>
      </w:pPr>
      <w:bookmarkStart w:id="24" w:name="_Toc72744017"/>
      <w:r>
        <w:t>Product Information</w:t>
      </w:r>
      <w:bookmarkEnd w:id="21"/>
      <w:bookmarkEnd w:id="22"/>
      <w:bookmarkEnd w:id="24"/>
    </w:p>
    <w:p w14:paraId="504FEE85" w14:textId="0B2955EB" w:rsidR="00940A89" w:rsidRDefault="006136D7" w:rsidP="00940A89">
      <w:bookmarkStart w:id="25" w:name="_Toc247691506"/>
      <w:bookmarkStart w:id="26"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257E4E7E" w14:textId="77777777" w:rsidR="00500337" w:rsidRDefault="00500337" w:rsidP="00500337">
      <w:pPr>
        <w:pStyle w:val="Heading2"/>
      </w:pPr>
      <w:bookmarkStart w:id="27" w:name="_Toc504480011"/>
      <w:bookmarkStart w:id="28" w:name="_Toc72744018"/>
      <w:r>
        <w:t>II. Registration timeline</w:t>
      </w:r>
      <w:bookmarkEnd w:id="27"/>
      <w:bookmarkEnd w:id="28"/>
    </w:p>
    <w:p w14:paraId="7995FA02" w14:textId="77777777" w:rsidR="00500337" w:rsidRDefault="00500337" w:rsidP="00500337">
      <w:r>
        <w:t>The following table captures the key steps and dates for this application and which are detailed and discussed in this AusPAR.</w:t>
      </w:r>
    </w:p>
    <w:p w14:paraId="09A50E73" w14:textId="010351A4" w:rsidR="00500337" w:rsidRPr="00377BD4" w:rsidRDefault="00485D18" w:rsidP="00485D18">
      <w:pPr>
        <w:pStyle w:val="TableTitle"/>
      </w:pPr>
      <w:r>
        <w:t xml:space="preserve">Table </w:t>
      </w:r>
      <w:r w:rsidR="00D42A0C">
        <w:fldChar w:fldCharType="begin"/>
      </w:r>
      <w:r w:rsidR="00D42A0C">
        <w:instrText xml:space="preserve"> SEQ Table \* ARABIC </w:instrText>
      </w:r>
      <w:r w:rsidR="00D42A0C">
        <w:fldChar w:fldCharType="separate"/>
      </w:r>
      <w:r w:rsidR="003938C9">
        <w:rPr>
          <w:noProof/>
        </w:rPr>
        <w:t>2</w:t>
      </w:r>
      <w:r w:rsidR="00D42A0C">
        <w:rPr>
          <w:noProof/>
        </w:rPr>
        <w:fldChar w:fldCharType="end"/>
      </w:r>
      <w:r w:rsidR="00006FAB">
        <w:t>:</w:t>
      </w:r>
      <w:r w:rsidR="006A58A8" w:rsidRPr="006A58A8">
        <w:t xml:space="preserve"> Timeline for Submission </w:t>
      </w:r>
      <w:r w:rsidRPr="00774800">
        <w:t>PM-2018-04814-1-1</w:t>
      </w:r>
    </w:p>
    <w:tbl>
      <w:tblPr>
        <w:tblStyle w:val="TableTGAblue"/>
        <w:tblW w:w="0" w:type="auto"/>
        <w:tblLook w:val="04A0" w:firstRow="1" w:lastRow="0" w:firstColumn="1" w:lastColumn="0" w:noHBand="0" w:noVBand="1"/>
      </w:tblPr>
      <w:tblGrid>
        <w:gridCol w:w="6629"/>
        <w:gridCol w:w="2091"/>
      </w:tblGrid>
      <w:tr w:rsidR="00500337" w14:paraId="456C4388" w14:textId="77777777" w:rsidTr="00652508">
        <w:trPr>
          <w:cnfStyle w:val="100000000000" w:firstRow="1" w:lastRow="0" w:firstColumn="0" w:lastColumn="0" w:oddVBand="0" w:evenVBand="0" w:oddHBand="0" w:evenHBand="0" w:firstRowFirstColumn="0" w:firstRowLastColumn="0" w:lastRowFirstColumn="0" w:lastRowLastColumn="0"/>
          <w:cantSplit/>
        </w:trPr>
        <w:tc>
          <w:tcPr>
            <w:tcW w:w="6629" w:type="dxa"/>
            <w:tcBorders>
              <w:top w:val="single" w:sz="4" w:space="0" w:color="auto"/>
              <w:left w:val="single" w:sz="4" w:space="0" w:color="auto"/>
              <w:bottom w:val="single" w:sz="4" w:space="0" w:color="auto"/>
              <w:right w:val="single" w:sz="4" w:space="0" w:color="auto"/>
            </w:tcBorders>
          </w:tcPr>
          <w:p w14:paraId="1C27FEA9" w14:textId="77777777" w:rsidR="00500337" w:rsidRDefault="00500337" w:rsidP="0086400B">
            <w:pPr>
              <w:ind w:left="0" w:right="0"/>
            </w:pPr>
            <w:r>
              <w:t>Description</w:t>
            </w:r>
          </w:p>
        </w:tc>
        <w:tc>
          <w:tcPr>
            <w:tcW w:w="2091" w:type="dxa"/>
            <w:tcBorders>
              <w:top w:val="single" w:sz="4" w:space="0" w:color="auto"/>
              <w:left w:val="single" w:sz="4" w:space="0" w:color="auto"/>
              <w:bottom w:val="single" w:sz="4" w:space="0" w:color="auto"/>
              <w:right w:val="single" w:sz="4" w:space="0" w:color="auto"/>
            </w:tcBorders>
          </w:tcPr>
          <w:p w14:paraId="45616BAA" w14:textId="77777777" w:rsidR="00500337" w:rsidRDefault="00500337" w:rsidP="0086400B">
            <w:pPr>
              <w:ind w:left="0" w:right="0"/>
            </w:pPr>
            <w:r>
              <w:t>Date</w:t>
            </w:r>
          </w:p>
        </w:tc>
      </w:tr>
      <w:tr w:rsidR="00485D18" w14:paraId="024B8E6B" w14:textId="77777777" w:rsidTr="00652508">
        <w:tc>
          <w:tcPr>
            <w:tcW w:w="6629" w:type="dxa"/>
            <w:tcBorders>
              <w:top w:val="single" w:sz="4" w:space="0" w:color="auto"/>
            </w:tcBorders>
          </w:tcPr>
          <w:p w14:paraId="65678C06" w14:textId="77777777" w:rsidR="00485D18" w:rsidRPr="00563017" w:rsidRDefault="00485D18" w:rsidP="000B5BD7">
            <w:pPr>
              <w:ind w:left="0" w:right="0"/>
            </w:pPr>
            <w:r w:rsidRPr="00563017">
              <w:t>Submission dossier accepted and first round evaluation commenced</w:t>
            </w:r>
          </w:p>
        </w:tc>
        <w:tc>
          <w:tcPr>
            <w:tcW w:w="2091" w:type="dxa"/>
            <w:tcBorders>
              <w:top w:val="single" w:sz="4" w:space="0" w:color="auto"/>
            </w:tcBorders>
          </w:tcPr>
          <w:p w14:paraId="5073B74B" w14:textId="77777777" w:rsidR="00485D18" w:rsidRPr="00563017" w:rsidRDefault="00485D18" w:rsidP="000B5BD7">
            <w:pPr>
              <w:ind w:left="0" w:right="0"/>
            </w:pPr>
            <w:r w:rsidRPr="00563017">
              <w:t>2 January 2019</w:t>
            </w:r>
          </w:p>
        </w:tc>
      </w:tr>
      <w:tr w:rsidR="00485D18" w14:paraId="3A4F0319" w14:textId="77777777" w:rsidTr="00652508">
        <w:tc>
          <w:tcPr>
            <w:tcW w:w="6629" w:type="dxa"/>
          </w:tcPr>
          <w:p w14:paraId="27A34E01" w14:textId="77777777" w:rsidR="00485D18" w:rsidRPr="00563017" w:rsidRDefault="00485D18" w:rsidP="000B5BD7">
            <w:pPr>
              <w:ind w:left="0" w:right="0"/>
            </w:pPr>
            <w:r w:rsidRPr="00563017">
              <w:t>First round evaluation completed</w:t>
            </w:r>
          </w:p>
        </w:tc>
        <w:tc>
          <w:tcPr>
            <w:tcW w:w="2091" w:type="dxa"/>
          </w:tcPr>
          <w:p w14:paraId="3EF43982" w14:textId="77777777" w:rsidR="00485D18" w:rsidRPr="00563017" w:rsidRDefault="00485D18" w:rsidP="000B5BD7">
            <w:pPr>
              <w:ind w:left="0" w:right="0"/>
            </w:pPr>
            <w:r w:rsidRPr="00563017">
              <w:t>11 July 2019</w:t>
            </w:r>
          </w:p>
        </w:tc>
      </w:tr>
      <w:tr w:rsidR="00485D18" w14:paraId="1EDF9314" w14:textId="77777777" w:rsidTr="00652508">
        <w:tc>
          <w:tcPr>
            <w:tcW w:w="6629" w:type="dxa"/>
          </w:tcPr>
          <w:p w14:paraId="0436ABE1" w14:textId="77777777" w:rsidR="00485D18" w:rsidRPr="00563017" w:rsidRDefault="00485D18" w:rsidP="000B5BD7">
            <w:pPr>
              <w:ind w:left="0" w:right="0"/>
            </w:pPr>
            <w:r w:rsidRPr="00563017">
              <w:t>Sponsor provides responses on questions raised in first round evaluation</w:t>
            </w:r>
          </w:p>
        </w:tc>
        <w:tc>
          <w:tcPr>
            <w:tcW w:w="2091" w:type="dxa"/>
          </w:tcPr>
          <w:p w14:paraId="406C8964" w14:textId="77777777" w:rsidR="00485D18" w:rsidRPr="00563017" w:rsidRDefault="00485D18" w:rsidP="000B5BD7">
            <w:pPr>
              <w:ind w:left="0" w:right="0"/>
            </w:pPr>
            <w:r w:rsidRPr="00563017">
              <w:t>6 August 2019</w:t>
            </w:r>
          </w:p>
        </w:tc>
      </w:tr>
      <w:tr w:rsidR="00485D18" w14:paraId="2604058C" w14:textId="77777777" w:rsidTr="00652508">
        <w:tc>
          <w:tcPr>
            <w:tcW w:w="6629" w:type="dxa"/>
          </w:tcPr>
          <w:p w14:paraId="021A2044" w14:textId="77777777" w:rsidR="00485D18" w:rsidRPr="00563017" w:rsidRDefault="00485D18" w:rsidP="000B5BD7">
            <w:pPr>
              <w:ind w:left="0" w:right="0"/>
            </w:pPr>
            <w:r w:rsidRPr="00563017">
              <w:t>Second round evaluation completed</w:t>
            </w:r>
          </w:p>
        </w:tc>
        <w:tc>
          <w:tcPr>
            <w:tcW w:w="2091" w:type="dxa"/>
          </w:tcPr>
          <w:p w14:paraId="3F547472" w14:textId="77777777" w:rsidR="00485D18" w:rsidRPr="00563017" w:rsidRDefault="00485D18" w:rsidP="000B5BD7">
            <w:pPr>
              <w:ind w:left="0" w:right="0"/>
            </w:pPr>
            <w:r w:rsidRPr="00563017">
              <w:t>12 September 2019</w:t>
            </w:r>
          </w:p>
        </w:tc>
      </w:tr>
      <w:tr w:rsidR="00485D18" w14:paraId="10C30B33" w14:textId="77777777" w:rsidTr="00652508">
        <w:tc>
          <w:tcPr>
            <w:tcW w:w="6629" w:type="dxa"/>
          </w:tcPr>
          <w:p w14:paraId="035584F5" w14:textId="77777777" w:rsidR="00485D18" w:rsidRPr="00563017" w:rsidRDefault="00485D18" w:rsidP="000B5BD7">
            <w:pPr>
              <w:ind w:left="0" w:right="0"/>
            </w:pPr>
            <w:r w:rsidRPr="00563017">
              <w:t>Delegate’s Overall benefit-risk assessment and request for Advisory Committee advice</w:t>
            </w:r>
          </w:p>
        </w:tc>
        <w:tc>
          <w:tcPr>
            <w:tcW w:w="2091" w:type="dxa"/>
          </w:tcPr>
          <w:p w14:paraId="02DA6E38" w14:textId="77777777" w:rsidR="00485D18" w:rsidRPr="00563017" w:rsidRDefault="00485D18" w:rsidP="000B5BD7">
            <w:pPr>
              <w:ind w:left="0" w:right="0"/>
            </w:pPr>
            <w:r w:rsidRPr="00563017">
              <w:t>2 March 2020</w:t>
            </w:r>
          </w:p>
        </w:tc>
      </w:tr>
      <w:tr w:rsidR="00485D18" w14:paraId="58E211E7" w14:textId="77777777" w:rsidTr="00652508">
        <w:tc>
          <w:tcPr>
            <w:tcW w:w="6629" w:type="dxa"/>
          </w:tcPr>
          <w:p w14:paraId="2591677E" w14:textId="77777777" w:rsidR="00485D18" w:rsidRPr="00563017" w:rsidRDefault="00485D18" w:rsidP="000B5BD7">
            <w:pPr>
              <w:ind w:left="0" w:right="0"/>
            </w:pPr>
            <w:r w:rsidRPr="00563017">
              <w:t>Sponsor’s pre-Advisory Committee response</w:t>
            </w:r>
          </w:p>
        </w:tc>
        <w:tc>
          <w:tcPr>
            <w:tcW w:w="2091" w:type="dxa"/>
          </w:tcPr>
          <w:p w14:paraId="563C0D96" w14:textId="77777777" w:rsidR="00485D18" w:rsidRPr="00563017" w:rsidRDefault="00485D18" w:rsidP="000B5BD7">
            <w:pPr>
              <w:ind w:left="0" w:right="0"/>
            </w:pPr>
            <w:r w:rsidRPr="00563017">
              <w:t>13 March 2020</w:t>
            </w:r>
          </w:p>
        </w:tc>
      </w:tr>
      <w:tr w:rsidR="00485D18" w14:paraId="05B77559" w14:textId="77777777" w:rsidTr="00652508">
        <w:tc>
          <w:tcPr>
            <w:tcW w:w="6629" w:type="dxa"/>
          </w:tcPr>
          <w:p w14:paraId="73D59FA9" w14:textId="327DB672" w:rsidR="00485D18" w:rsidRPr="00563017" w:rsidRDefault="00485D18" w:rsidP="000B5BD7">
            <w:pPr>
              <w:keepNext/>
              <w:ind w:left="0" w:right="0"/>
            </w:pPr>
            <w:r w:rsidRPr="00563017">
              <w:t>Advisory Committee meeting</w:t>
            </w:r>
            <w:r w:rsidR="00086DC5">
              <w:t>s</w:t>
            </w:r>
          </w:p>
        </w:tc>
        <w:tc>
          <w:tcPr>
            <w:tcW w:w="2091" w:type="dxa"/>
          </w:tcPr>
          <w:p w14:paraId="6F4002C7" w14:textId="2594EF16" w:rsidR="00485D18" w:rsidRPr="00563017" w:rsidRDefault="00485D18" w:rsidP="00652508">
            <w:pPr>
              <w:keepNext/>
              <w:ind w:left="0" w:right="0"/>
            </w:pPr>
            <w:r w:rsidRPr="00563017">
              <w:t>2 and 3 April 2020</w:t>
            </w:r>
            <w:r w:rsidR="00652508">
              <w:t xml:space="preserve"> </w:t>
            </w:r>
            <w:r w:rsidRPr="0051509E">
              <w:rPr>
                <w:color w:val="auto"/>
              </w:rPr>
              <w:t>4 and 5 June 2020</w:t>
            </w:r>
          </w:p>
        </w:tc>
      </w:tr>
      <w:tr w:rsidR="00485D18" w14:paraId="7AA33734" w14:textId="77777777" w:rsidTr="00652508">
        <w:tc>
          <w:tcPr>
            <w:tcW w:w="6629" w:type="dxa"/>
          </w:tcPr>
          <w:p w14:paraId="6A1D7DEB" w14:textId="71B58D4C" w:rsidR="00485D18" w:rsidRPr="00563017" w:rsidRDefault="00485D18" w:rsidP="000B5BD7">
            <w:pPr>
              <w:ind w:left="0" w:right="0"/>
            </w:pPr>
            <w:r w:rsidRPr="00563017">
              <w:t>Registration decision (initial rejection)</w:t>
            </w:r>
          </w:p>
        </w:tc>
        <w:tc>
          <w:tcPr>
            <w:tcW w:w="2091" w:type="dxa"/>
          </w:tcPr>
          <w:p w14:paraId="08748F1E" w14:textId="77777777" w:rsidR="00485D18" w:rsidRPr="00563017" w:rsidRDefault="00485D18" w:rsidP="000B5BD7">
            <w:pPr>
              <w:ind w:left="0" w:right="0"/>
            </w:pPr>
            <w:r w:rsidRPr="00563017">
              <w:t>10 September 2020</w:t>
            </w:r>
          </w:p>
        </w:tc>
      </w:tr>
      <w:tr w:rsidR="00485D18" w14:paraId="0FA286BD" w14:textId="77777777" w:rsidTr="00652508">
        <w:tc>
          <w:tcPr>
            <w:tcW w:w="6629" w:type="dxa"/>
          </w:tcPr>
          <w:p w14:paraId="6289C6C4" w14:textId="77777777" w:rsidR="00485D18" w:rsidRPr="00563017" w:rsidRDefault="00485D18" w:rsidP="000B5BD7">
            <w:pPr>
              <w:ind w:left="0" w:right="0"/>
            </w:pPr>
            <w:r w:rsidRPr="00563017">
              <w:lastRenderedPageBreak/>
              <w:t>Number of working days from submission dossier acceptance to initial registration decision*</w:t>
            </w:r>
          </w:p>
        </w:tc>
        <w:tc>
          <w:tcPr>
            <w:tcW w:w="2091" w:type="dxa"/>
          </w:tcPr>
          <w:p w14:paraId="5A9B373A" w14:textId="77777777" w:rsidR="00485D18" w:rsidRPr="00563017" w:rsidRDefault="00485D18" w:rsidP="000B5BD7">
            <w:pPr>
              <w:ind w:left="0" w:right="0"/>
            </w:pPr>
            <w:r w:rsidRPr="00563017">
              <w:t>188</w:t>
            </w:r>
          </w:p>
        </w:tc>
      </w:tr>
      <w:tr w:rsidR="00485D18" w14:paraId="0C4A5363" w14:textId="77777777" w:rsidTr="00652508">
        <w:tc>
          <w:tcPr>
            <w:tcW w:w="6629" w:type="dxa"/>
          </w:tcPr>
          <w:p w14:paraId="6917ABE4" w14:textId="77777777" w:rsidR="00485D18" w:rsidRPr="00563017" w:rsidRDefault="00485D18" w:rsidP="000B5BD7">
            <w:pPr>
              <w:ind w:left="0" w:right="0"/>
            </w:pPr>
            <w:r w:rsidRPr="00563017">
              <w:t>Section 60 appeal decision (initial decision revoked)</w:t>
            </w:r>
          </w:p>
        </w:tc>
        <w:tc>
          <w:tcPr>
            <w:tcW w:w="2091" w:type="dxa"/>
          </w:tcPr>
          <w:p w14:paraId="4C2A429D" w14:textId="77777777" w:rsidR="00485D18" w:rsidRPr="00563017" w:rsidRDefault="00485D18" w:rsidP="000B5BD7">
            <w:pPr>
              <w:ind w:left="0" w:right="0"/>
            </w:pPr>
            <w:r w:rsidRPr="00563017">
              <w:t>27 January 2021</w:t>
            </w:r>
          </w:p>
        </w:tc>
      </w:tr>
      <w:tr w:rsidR="00485D18" w14:paraId="4770ADB3" w14:textId="77777777" w:rsidTr="00652508">
        <w:tc>
          <w:tcPr>
            <w:tcW w:w="6629" w:type="dxa"/>
          </w:tcPr>
          <w:p w14:paraId="1A6DA1FB" w14:textId="0F9C1D51" w:rsidR="00485D18" w:rsidRPr="00563017" w:rsidRDefault="00485D18" w:rsidP="000B5BD7">
            <w:pPr>
              <w:ind w:left="0" w:right="0"/>
            </w:pPr>
            <w:r w:rsidRPr="00563017">
              <w:t>Registration decision (Section 60 approval)</w:t>
            </w:r>
          </w:p>
        </w:tc>
        <w:tc>
          <w:tcPr>
            <w:tcW w:w="2091" w:type="dxa"/>
          </w:tcPr>
          <w:p w14:paraId="7AEBE9AE" w14:textId="77777777" w:rsidR="00485D18" w:rsidRPr="00563017" w:rsidRDefault="00485D18" w:rsidP="000B5BD7">
            <w:pPr>
              <w:ind w:left="0" w:right="0"/>
            </w:pPr>
            <w:r w:rsidRPr="00563017">
              <w:t>5 March 2021</w:t>
            </w:r>
          </w:p>
        </w:tc>
      </w:tr>
      <w:tr w:rsidR="00485D18" w14:paraId="6B30D8AC" w14:textId="77777777" w:rsidTr="00652508">
        <w:tc>
          <w:tcPr>
            <w:tcW w:w="6629" w:type="dxa"/>
          </w:tcPr>
          <w:p w14:paraId="48C47EAC" w14:textId="77777777" w:rsidR="00485D18" w:rsidRPr="00563017" w:rsidRDefault="00485D18" w:rsidP="000B5BD7">
            <w:pPr>
              <w:ind w:left="0" w:right="0"/>
            </w:pPr>
            <w:r w:rsidRPr="00563017">
              <w:t>Completion of administrative activities and registration on ARTG</w:t>
            </w:r>
          </w:p>
        </w:tc>
        <w:tc>
          <w:tcPr>
            <w:tcW w:w="2091" w:type="dxa"/>
          </w:tcPr>
          <w:p w14:paraId="353C73BD" w14:textId="77777777" w:rsidR="00485D18" w:rsidRDefault="00485D18" w:rsidP="000B5BD7">
            <w:pPr>
              <w:ind w:left="0" w:right="0"/>
            </w:pPr>
            <w:r w:rsidRPr="00563017">
              <w:t>9 March 2021</w:t>
            </w:r>
          </w:p>
        </w:tc>
      </w:tr>
    </w:tbl>
    <w:p w14:paraId="4BF53578"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19112785" w14:textId="77777777" w:rsidR="008E7846" w:rsidRPr="00792A32" w:rsidRDefault="00456765" w:rsidP="008E7846">
      <w:pPr>
        <w:pStyle w:val="Heading2"/>
      </w:pPr>
      <w:bookmarkStart w:id="29" w:name="_Toc196046504"/>
      <w:bookmarkStart w:id="30" w:name="_Toc247691527"/>
      <w:bookmarkStart w:id="31" w:name="_Toc314842510"/>
      <w:bookmarkStart w:id="32" w:name="_Toc163441390"/>
      <w:bookmarkStart w:id="33" w:name="_Toc72744019"/>
      <w:bookmarkEnd w:id="25"/>
      <w:bookmarkEnd w:id="26"/>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9"/>
      <w:bookmarkEnd w:id="30"/>
      <w:bookmarkEnd w:id="31"/>
      <w:bookmarkEnd w:id="33"/>
    </w:p>
    <w:p w14:paraId="4225D483" w14:textId="77777777" w:rsidR="00006FAB" w:rsidRDefault="00006FAB" w:rsidP="00006FAB">
      <w:bookmarkStart w:id="34" w:name="_Toc247691528"/>
      <w:r>
        <w:t>The submission was summarised in the following Delegate’s overview and recommendations.</w:t>
      </w:r>
    </w:p>
    <w:p w14:paraId="40566C19" w14:textId="77777777" w:rsidR="008E7846" w:rsidRDefault="00363E87" w:rsidP="00B6248C">
      <w:r>
        <w:t xml:space="preserve">The Delegate referred to the </w:t>
      </w:r>
      <w:r w:rsidR="00953EB4">
        <w:t>TGA-adopted European M</w:t>
      </w:r>
      <w:r w:rsidR="00B6248C">
        <w:t xml:space="preserve">edicines Agency (EMA) Guideline on the </w:t>
      </w:r>
      <w:r w:rsidR="00B6248C" w:rsidRPr="00363E87">
        <w:t>clinical investigation of medicinal products in the treatment of depression</w:t>
      </w:r>
      <w:r w:rsidR="00B6248C">
        <w:t>.</w:t>
      </w:r>
      <w:bookmarkStart w:id="35" w:name="_Ref69736022"/>
      <w:r w:rsidR="00B6248C">
        <w:rPr>
          <w:rStyle w:val="FootnoteReference"/>
        </w:rPr>
        <w:footnoteReference w:id="9"/>
      </w:r>
      <w:bookmarkEnd w:id="35"/>
    </w:p>
    <w:p w14:paraId="4E7DD200" w14:textId="77777777" w:rsidR="008E7846" w:rsidRDefault="008E7846" w:rsidP="008E7846">
      <w:pPr>
        <w:pStyle w:val="Heading3"/>
      </w:pPr>
      <w:bookmarkStart w:id="36" w:name="_Toc314842511"/>
      <w:bookmarkStart w:id="37" w:name="_Toc72744020"/>
      <w:r>
        <w:t>Quality</w:t>
      </w:r>
      <w:bookmarkEnd w:id="34"/>
      <w:bookmarkEnd w:id="36"/>
      <w:bookmarkEnd w:id="37"/>
    </w:p>
    <w:p w14:paraId="4BEE1873" w14:textId="6AC0ACBA" w:rsidR="00624A81" w:rsidRDefault="00624A81" w:rsidP="00624A81">
      <w:r>
        <w:t xml:space="preserve">The drug substance </w:t>
      </w:r>
      <w:proofErr w:type="spellStart"/>
      <w:r>
        <w:t>esketamine</w:t>
      </w:r>
      <w:proofErr w:type="spellEnd"/>
      <w:r>
        <w:t xml:space="preserve"> hydrochloride (</w:t>
      </w:r>
      <w:r w:rsidR="00953EB4">
        <w:t xml:space="preserve">see </w:t>
      </w:r>
      <w:r w:rsidR="00953EB4">
        <w:fldChar w:fldCharType="begin"/>
      </w:r>
      <w:r w:rsidR="00953EB4">
        <w:instrText xml:space="preserve"> REF _Ref69718026 \h </w:instrText>
      </w:r>
      <w:r w:rsidR="00953EB4">
        <w:fldChar w:fldCharType="separate"/>
      </w:r>
      <w:r w:rsidR="003938C9">
        <w:t xml:space="preserve">Figure </w:t>
      </w:r>
      <w:r w:rsidR="003938C9">
        <w:rPr>
          <w:noProof/>
        </w:rPr>
        <w:t>1</w:t>
      </w:r>
      <w:r w:rsidR="00953EB4">
        <w:fldChar w:fldCharType="end"/>
      </w:r>
      <w:r>
        <w:t>) is the (S)-enanti</w:t>
      </w:r>
      <w:r w:rsidR="004460D3">
        <w:t>omer of ketamine hydrochloride.</w:t>
      </w:r>
    </w:p>
    <w:p w14:paraId="082CD470" w14:textId="4DA20131" w:rsidR="004460D3" w:rsidRDefault="004460D3" w:rsidP="004460D3">
      <w:pPr>
        <w:pStyle w:val="FigureTitle"/>
      </w:pPr>
      <w:bookmarkStart w:id="38" w:name="_Ref69718026"/>
      <w:r>
        <w:t xml:space="preserve">Figure </w:t>
      </w:r>
      <w:r w:rsidR="00D42A0C">
        <w:fldChar w:fldCharType="begin"/>
      </w:r>
      <w:r w:rsidR="00D42A0C">
        <w:instrText xml:space="preserve"> SEQ Figure \* ARABIC </w:instrText>
      </w:r>
      <w:r w:rsidR="00D42A0C">
        <w:fldChar w:fldCharType="separate"/>
      </w:r>
      <w:r w:rsidR="003938C9">
        <w:rPr>
          <w:noProof/>
        </w:rPr>
        <w:t>1</w:t>
      </w:r>
      <w:r w:rsidR="00D42A0C">
        <w:rPr>
          <w:noProof/>
        </w:rPr>
        <w:fldChar w:fldCharType="end"/>
      </w:r>
      <w:bookmarkEnd w:id="38"/>
      <w:r>
        <w:t xml:space="preserve">: </w:t>
      </w:r>
      <w:r w:rsidR="00086DC5">
        <w:t>C</w:t>
      </w:r>
      <w:r>
        <w:t xml:space="preserve">hemical structure of </w:t>
      </w:r>
      <w:proofErr w:type="spellStart"/>
      <w:r>
        <w:t>esketamine</w:t>
      </w:r>
      <w:proofErr w:type="spellEnd"/>
      <w:r>
        <w:t xml:space="preserve"> hydrochloride</w:t>
      </w:r>
    </w:p>
    <w:p w14:paraId="3ADE8C4D" w14:textId="77777777" w:rsidR="00624A81" w:rsidRDefault="00624A81" w:rsidP="00624A81">
      <w:r>
        <w:rPr>
          <w:noProof/>
          <w:lang w:eastAsia="en-AU"/>
        </w:rPr>
        <w:drawing>
          <wp:inline distT="0" distB="0" distL="0" distR="0" wp14:anchorId="0C05B137" wp14:editId="516C554F">
            <wp:extent cx="2682225" cy="1561605"/>
            <wp:effectExtent l="0" t="0" r="4445" b="635"/>
            <wp:docPr id="1" name="Picture 1" descr="The chemical structure of esketam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01918" cy="1573070"/>
                    </a:xfrm>
                    <a:prstGeom prst="rect">
                      <a:avLst/>
                    </a:prstGeom>
                  </pic:spPr>
                </pic:pic>
              </a:graphicData>
            </a:graphic>
          </wp:inline>
        </w:drawing>
      </w:r>
    </w:p>
    <w:p w14:paraId="06B947FC" w14:textId="77777777" w:rsidR="00624A81" w:rsidRDefault="00624A81" w:rsidP="004460D3">
      <w:proofErr w:type="spellStart"/>
      <w:r w:rsidRPr="00624A81">
        <w:t>Esketamine</w:t>
      </w:r>
      <w:proofErr w:type="spellEnd"/>
      <w:r w:rsidRPr="00624A81">
        <w:t xml:space="preserve"> hydrochloride is freely soluble in methanol, sparingly soluble in ethanol. It appears as a white to almost white crystalline powder, and is non-hygroscopic.</w:t>
      </w:r>
    </w:p>
    <w:p w14:paraId="0D0B3224" w14:textId="77777777" w:rsidR="00624A81" w:rsidRDefault="00624A81" w:rsidP="004460D3">
      <w:r>
        <w:t xml:space="preserve">The drug product is a clear, colourless to slightly yellowish </w:t>
      </w:r>
      <w:r w:rsidRPr="001C3DDB">
        <w:t xml:space="preserve">aqueous nasal solution </w:t>
      </w:r>
      <w:r>
        <w:rPr>
          <w:lang w:eastAsia="en-AU"/>
        </w:rPr>
        <w:t xml:space="preserve">containing </w:t>
      </w:r>
      <w:proofErr w:type="spellStart"/>
      <w:r w:rsidRPr="00BA7E16">
        <w:rPr>
          <w:lang w:eastAsia="en-AU"/>
        </w:rPr>
        <w:t>esketamine</w:t>
      </w:r>
      <w:proofErr w:type="spellEnd"/>
      <w:r w:rsidRPr="00BA7E16">
        <w:rPr>
          <w:lang w:eastAsia="en-AU"/>
        </w:rPr>
        <w:t xml:space="preserve"> hydrochloride</w:t>
      </w:r>
      <w:r>
        <w:rPr>
          <w:i/>
          <w:lang w:eastAsia="en-AU"/>
        </w:rPr>
        <w:t xml:space="preserve"> </w:t>
      </w:r>
      <w:r w:rsidRPr="00621FF5">
        <w:rPr>
          <w:lang w:eastAsia="en-AU"/>
        </w:rPr>
        <w:t>3</w:t>
      </w:r>
      <w:r>
        <w:rPr>
          <w:lang w:eastAsia="en-AU"/>
        </w:rPr>
        <w:t>2.3 mg /0.2 mL,</w:t>
      </w:r>
      <w:r w:rsidR="008A54ED">
        <w:rPr>
          <w:lang w:eastAsia="en-AU"/>
        </w:rPr>
        <w:t xml:space="preserve"> corresponding to </w:t>
      </w:r>
      <w:proofErr w:type="spellStart"/>
      <w:r w:rsidR="008A54ED">
        <w:rPr>
          <w:lang w:eastAsia="en-AU"/>
        </w:rPr>
        <w:t>esketamine</w:t>
      </w:r>
      <w:proofErr w:type="spellEnd"/>
      <w:r w:rsidR="008A54ED">
        <w:rPr>
          <w:lang w:eastAsia="en-AU"/>
        </w:rPr>
        <w:t xml:space="preserve"> 28 </w:t>
      </w:r>
      <w:r>
        <w:rPr>
          <w:lang w:eastAsia="en-AU"/>
        </w:rPr>
        <w:t xml:space="preserve">mg/0.2 mL as the active ingredient. The solution </w:t>
      </w:r>
      <w:r w:rsidR="008A54ED">
        <w:rPr>
          <w:lang w:eastAsia="en-AU"/>
        </w:rPr>
        <w:t xml:space="preserve">is </w:t>
      </w:r>
      <w:r>
        <w:rPr>
          <w:lang w:eastAsia="en-AU"/>
        </w:rPr>
        <w:t xml:space="preserve">supplied as </w:t>
      </w:r>
      <w:r>
        <w:t xml:space="preserve">a </w:t>
      </w:r>
      <w:r w:rsidR="008A54ED">
        <w:t xml:space="preserve">nominal fill of </w:t>
      </w:r>
      <w:r>
        <w:t>0.2 mL</w:t>
      </w:r>
      <w:r w:rsidR="008A54ED">
        <w:t xml:space="preserve"> </w:t>
      </w:r>
      <w:r>
        <w:t xml:space="preserve">in </w:t>
      </w:r>
      <w:r w:rsidR="008A54ED">
        <w:t xml:space="preserve">a </w:t>
      </w:r>
      <w:r>
        <w:t xml:space="preserve">glass vial and closed with </w:t>
      </w:r>
      <w:r w:rsidR="008A54ED">
        <w:t>a rubber stopper.</w:t>
      </w:r>
    </w:p>
    <w:p w14:paraId="018F4D46" w14:textId="765263A1" w:rsidR="00624A81" w:rsidRDefault="00624A81" w:rsidP="004460D3">
      <w:r>
        <w:t>The stoppered filled vial is assembled in a manually activated single-use nasal spray device. Each assemble</w:t>
      </w:r>
      <w:r w:rsidR="008A54ED">
        <w:t>d product (also referred to as ‘combination product’ of ‘vial and device’</w:t>
      </w:r>
      <w:r>
        <w:t>) contains 2 actuati</w:t>
      </w:r>
      <w:r w:rsidR="000B5BD7">
        <w:t xml:space="preserve">ons totalling 28 mg </w:t>
      </w:r>
      <w:proofErr w:type="spellStart"/>
      <w:r w:rsidR="000B5BD7">
        <w:t>esketamine</w:t>
      </w:r>
      <w:proofErr w:type="spellEnd"/>
      <w:r w:rsidR="000B5BD7">
        <w:t>.</w:t>
      </w:r>
    </w:p>
    <w:p w14:paraId="719420C3" w14:textId="77777777" w:rsidR="00624A81" w:rsidRDefault="00624A81" w:rsidP="004460D3">
      <w:r>
        <w:t>Each combination product is individually packaged in a blister and placed in a carton containing 1,</w:t>
      </w:r>
      <w:r>
        <w:rPr>
          <w:sz w:val="20"/>
        </w:rPr>
        <w:t xml:space="preserve"> </w:t>
      </w:r>
      <w:r>
        <w:t>2 or 3 units.</w:t>
      </w:r>
    </w:p>
    <w:p w14:paraId="5AB9CABB" w14:textId="74EAD68E" w:rsidR="00624A81" w:rsidRDefault="00624A81" w:rsidP="004460D3">
      <w:pPr>
        <w:rPr>
          <w:rFonts w:ascii="Times New Roman" w:eastAsia="Times New Roman" w:hAnsi="Times New Roman"/>
          <w:lang w:eastAsia="en-AU"/>
        </w:rPr>
      </w:pPr>
      <w:r>
        <w:rPr>
          <w:rFonts w:eastAsia="Calibri"/>
        </w:rPr>
        <w:lastRenderedPageBreak/>
        <w:t xml:space="preserve">The formulation of </w:t>
      </w:r>
      <w:proofErr w:type="spellStart"/>
      <w:r>
        <w:rPr>
          <w:lang w:eastAsia="en-AU"/>
        </w:rPr>
        <w:t>esketamine</w:t>
      </w:r>
      <w:proofErr w:type="spellEnd"/>
      <w:r>
        <w:rPr>
          <w:lang w:eastAsia="en-AU"/>
        </w:rPr>
        <w:t xml:space="preserve"> (as hydrochloride) nasal solution includes commonly used excipients for this dosage form, including citric acid (</w:t>
      </w:r>
      <w:r w:rsidR="00342B0E">
        <w:rPr>
          <w:lang w:eastAsia="en-AU"/>
        </w:rPr>
        <w:t xml:space="preserve">to </w:t>
      </w:r>
      <w:r>
        <w:rPr>
          <w:lang w:eastAsia="en-AU"/>
        </w:rPr>
        <w:t xml:space="preserve">combat </w:t>
      </w:r>
      <w:r w:rsidR="00342B0E">
        <w:rPr>
          <w:lang w:eastAsia="en-AU"/>
        </w:rPr>
        <w:t xml:space="preserve">any potential </w:t>
      </w:r>
      <w:r>
        <w:rPr>
          <w:lang w:eastAsia="en-AU"/>
        </w:rPr>
        <w:t>pH fluctuation</w:t>
      </w:r>
      <w:r w:rsidR="00342B0E">
        <w:rPr>
          <w:lang w:eastAsia="en-AU"/>
        </w:rPr>
        <w:t>s</w:t>
      </w:r>
      <w:r>
        <w:rPr>
          <w:lang w:eastAsia="en-AU"/>
        </w:rPr>
        <w:t xml:space="preserve">) and disodium </w:t>
      </w:r>
      <w:proofErr w:type="spellStart"/>
      <w:r>
        <w:rPr>
          <w:lang w:eastAsia="en-AU"/>
        </w:rPr>
        <w:t>edetate</w:t>
      </w:r>
      <w:proofErr w:type="spellEnd"/>
      <w:r>
        <w:rPr>
          <w:lang w:eastAsia="en-AU"/>
        </w:rPr>
        <w:t xml:space="preserve"> (to chelate any potential metal ions).</w:t>
      </w:r>
    </w:p>
    <w:p w14:paraId="24A350E9" w14:textId="77777777" w:rsidR="00624A81" w:rsidRDefault="00624A81" w:rsidP="004460D3">
      <w:r>
        <w:rPr>
          <w:lang w:eastAsia="en-AU"/>
        </w:rPr>
        <w:t xml:space="preserve">There is no difference between </w:t>
      </w:r>
      <w:proofErr w:type="spellStart"/>
      <w:r>
        <w:rPr>
          <w:lang w:eastAsia="en-AU"/>
        </w:rPr>
        <w:t>esketamine</w:t>
      </w:r>
      <w:proofErr w:type="spellEnd"/>
      <w:r>
        <w:rPr>
          <w:lang w:eastAsia="en-AU"/>
        </w:rPr>
        <w:t xml:space="preserve"> (as hydrochloride) nasal solution f</w:t>
      </w:r>
      <w:r w:rsidR="008A54ED">
        <w:rPr>
          <w:lang w:eastAsia="en-AU"/>
        </w:rPr>
        <w:t>ormulation used in pivotal Phase III</w:t>
      </w:r>
      <w:r>
        <w:rPr>
          <w:lang w:eastAsia="en-AU"/>
        </w:rPr>
        <w:t xml:space="preserve"> clinical studies and the formulation proposed for registration.</w:t>
      </w:r>
    </w:p>
    <w:p w14:paraId="2863C07B" w14:textId="77777777" w:rsidR="00E45619" w:rsidRDefault="00624A81" w:rsidP="004460D3">
      <w:r>
        <w:t>All quality issues have been resolved. Approval is recommended for the registration of the proposed product from a quality perspective</w:t>
      </w:r>
      <w:r w:rsidR="00006FAB">
        <w:t>.</w:t>
      </w:r>
    </w:p>
    <w:p w14:paraId="15DBED40" w14:textId="77777777" w:rsidR="008E7846" w:rsidRDefault="008E7846" w:rsidP="008E7846">
      <w:pPr>
        <w:pStyle w:val="Heading3"/>
      </w:pPr>
      <w:bookmarkStart w:id="39" w:name="_Toc314842512"/>
      <w:bookmarkStart w:id="40" w:name="_Toc72744021"/>
      <w:r>
        <w:t>Nonclinical</w:t>
      </w:r>
      <w:bookmarkEnd w:id="39"/>
      <w:bookmarkEnd w:id="40"/>
    </w:p>
    <w:p w14:paraId="31297D6D" w14:textId="11DE97C9" w:rsidR="003D09FB" w:rsidRPr="003D09FB" w:rsidRDefault="003D09FB" w:rsidP="003D09FB">
      <w:r>
        <w:t>The nonclinical evaluator summarised the following in regar</w:t>
      </w:r>
      <w:r w:rsidR="00055827">
        <w:t>d to the nonclinical evaluation:</w:t>
      </w:r>
    </w:p>
    <w:p w14:paraId="1FBD9BE3" w14:textId="77777777" w:rsidR="00624A81" w:rsidRPr="0036798B" w:rsidRDefault="00624A81" w:rsidP="00624A81">
      <w:pPr>
        <w:pStyle w:val="ListBullet"/>
      </w:pPr>
      <w:r w:rsidRPr="0036798B">
        <w:t>The submi</w:t>
      </w:r>
      <w:r w:rsidR="008A54ED">
        <w:t>tted nonclinical</w:t>
      </w:r>
      <w:r w:rsidRPr="0036798B">
        <w:t xml:space="preserve"> dossier was in accordance with the relevant ICH guideline for the nonclinical assessmen</w:t>
      </w:r>
      <w:r w:rsidR="005A5324">
        <w:t>t of pharmaceuticals</w:t>
      </w:r>
      <w:r w:rsidRPr="0036798B">
        <w:t>.</w:t>
      </w:r>
      <w:r w:rsidR="00D30DEB">
        <w:rPr>
          <w:rStyle w:val="FootnoteReference"/>
        </w:rPr>
        <w:footnoteReference w:id="10"/>
      </w:r>
      <w:r w:rsidR="00D30DEB" w:rsidRPr="00D30DEB">
        <w:rPr>
          <w:vertAlign w:val="superscript"/>
        </w:rPr>
        <w:t>,</w:t>
      </w:r>
      <w:r w:rsidR="008A54ED">
        <w:rPr>
          <w:rStyle w:val="FootnoteReference"/>
        </w:rPr>
        <w:footnoteReference w:id="11"/>
      </w:r>
      <w:r w:rsidRPr="0036798B">
        <w:t xml:space="preserve"> The overall quality of the nonclinical dossier was high. All pivotal</w:t>
      </w:r>
      <w:r w:rsidR="005A5324">
        <w:t xml:space="preserve"> safety-related studies were Good Laboratory Practice</w:t>
      </w:r>
      <w:r w:rsidRPr="0036798B">
        <w:t xml:space="preserve"> compliant.</w:t>
      </w:r>
    </w:p>
    <w:p w14:paraId="48120C69" w14:textId="7362F091" w:rsidR="00624A81" w:rsidRPr="0036798B" w:rsidRDefault="00624A81" w:rsidP="005A5324">
      <w:pPr>
        <w:pStyle w:val="ListBullet"/>
      </w:pPr>
      <w:proofErr w:type="spellStart"/>
      <w:r w:rsidRPr="0036798B">
        <w:t>Esketamine</w:t>
      </w:r>
      <w:proofErr w:type="spellEnd"/>
      <w:r w:rsidRPr="0036798B">
        <w:t>, ketamine and the metabolite M10 are non-competitive, subtype nonselective, activity</w:t>
      </w:r>
      <w:r w:rsidR="00342B0E">
        <w:noBreakHyphen/>
      </w:r>
      <w:r w:rsidRPr="0036798B">
        <w:t xml:space="preserve">dependent </w:t>
      </w:r>
      <w:r w:rsidRPr="0036798B">
        <w:rPr>
          <w:rFonts w:eastAsia="TimesNewRoman" w:cs="TimesNewRoman"/>
        </w:rPr>
        <w:t>NMDA</w:t>
      </w:r>
      <w:r w:rsidR="00342B0E">
        <w:rPr>
          <w:rFonts w:eastAsia="TimesNewRoman" w:cs="TimesNewRoman"/>
        </w:rPr>
        <w:t xml:space="preserve"> receptor</w:t>
      </w:r>
      <w:r w:rsidRPr="0036798B">
        <w:rPr>
          <w:rFonts w:eastAsia="TimesNewRoman" w:cs="TimesNewRoman"/>
        </w:rPr>
        <w:t xml:space="preserve"> </w:t>
      </w:r>
      <w:r w:rsidRPr="0036798B">
        <w:t xml:space="preserve">antagonists. </w:t>
      </w:r>
      <w:proofErr w:type="spellStart"/>
      <w:r w:rsidRPr="0036798B">
        <w:t>Esketamine</w:t>
      </w:r>
      <w:proofErr w:type="spellEnd"/>
      <w:r w:rsidRPr="0036798B">
        <w:t xml:space="preserve"> is more potent at the </w:t>
      </w:r>
      <w:r w:rsidRPr="0036798B">
        <w:rPr>
          <w:rFonts w:eastAsia="TimesNewRoman" w:cs="TimesNewRoman"/>
        </w:rPr>
        <w:t>NMDA</w:t>
      </w:r>
      <w:r w:rsidR="00342B0E">
        <w:rPr>
          <w:rFonts w:eastAsia="TimesNewRoman" w:cs="TimesNewRoman"/>
        </w:rPr>
        <w:t xml:space="preserve"> receptor</w:t>
      </w:r>
      <w:r w:rsidRPr="0036798B">
        <w:rPr>
          <w:rFonts w:eastAsia="TimesNewRoman" w:cs="TimesNewRoman"/>
        </w:rPr>
        <w:t xml:space="preserve"> than either </w:t>
      </w:r>
      <w:r w:rsidRPr="0036798B">
        <w:t xml:space="preserve">ketamine or M10. Other </w:t>
      </w:r>
      <w:proofErr w:type="spellStart"/>
      <w:r w:rsidRPr="0036798B">
        <w:t>esketamine</w:t>
      </w:r>
      <w:proofErr w:type="spellEnd"/>
      <w:r w:rsidRPr="0036798B">
        <w:t xml:space="preserve"> metabolites (M4, M5, M9 and M19) were inactive as NMDA</w:t>
      </w:r>
      <w:r w:rsidR="00342B0E">
        <w:t xml:space="preserve"> receptor</w:t>
      </w:r>
      <w:r w:rsidRPr="0036798B">
        <w:t xml:space="preserve"> antagonists. </w:t>
      </w:r>
      <w:proofErr w:type="spellStart"/>
      <w:r w:rsidRPr="0036798B">
        <w:rPr>
          <w:rFonts w:asciiTheme="minorHAnsi" w:eastAsia="TimesNewRoman" w:hAnsiTheme="minorHAnsi" w:cs="TimesNewRoman"/>
        </w:rPr>
        <w:t>Esketamine</w:t>
      </w:r>
      <w:proofErr w:type="spellEnd"/>
      <w:r>
        <w:rPr>
          <w:rFonts w:asciiTheme="minorHAnsi" w:eastAsia="TimesNewRoman" w:hAnsiTheme="minorHAnsi" w:cs="TimesNewRoman"/>
        </w:rPr>
        <w:t xml:space="preserve"> at 10 </w:t>
      </w:r>
      <w:proofErr w:type="spellStart"/>
      <w:r>
        <w:rPr>
          <w:rFonts w:asciiTheme="minorHAnsi" w:eastAsia="TimesNewRoman" w:hAnsiTheme="minorHAnsi" w:cs="TimesNewRoman"/>
        </w:rPr>
        <w:t>μM</w:t>
      </w:r>
      <w:proofErr w:type="spellEnd"/>
      <w:r w:rsidRPr="0036798B">
        <w:rPr>
          <w:rFonts w:asciiTheme="minorHAnsi" w:eastAsia="TimesNewRoman" w:hAnsiTheme="minorHAnsi" w:cs="TimesNewRoman"/>
        </w:rPr>
        <w:t xml:space="preserve"> inhibited </w:t>
      </w:r>
      <w:proofErr w:type="spellStart"/>
      <w:r w:rsidRPr="0036798B">
        <w:rPr>
          <w:rFonts w:asciiTheme="minorHAnsi" w:eastAsia="TimesNewRoman" w:hAnsiTheme="minorHAnsi" w:cs="TimesNewRoman"/>
        </w:rPr>
        <w:t>radioligand</w:t>
      </w:r>
      <w:proofErr w:type="spellEnd"/>
      <w:r w:rsidRPr="0036798B">
        <w:rPr>
          <w:rFonts w:asciiTheme="minorHAnsi" w:eastAsia="TimesNewRoman" w:hAnsiTheme="minorHAnsi" w:cs="TimesNewRoman"/>
        </w:rPr>
        <w:t xml:space="preserve"> bi</w:t>
      </w:r>
      <w:r w:rsidR="005A5324">
        <w:rPr>
          <w:rFonts w:asciiTheme="minorHAnsi" w:eastAsia="TimesNewRoman" w:hAnsiTheme="minorHAnsi" w:cs="TimesNewRoman"/>
        </w:rPr>
        <w:t xml:space="preserve">nding to </w:t>
      </w:r>
      <w:r w:rsidR="00342B0E">
        <w:rPr>
          <w:rFonts w:asciiTheme="minorHAnsi" w:eastAsia="TimesNewRoman" w:hAnsiTheme="minorHAnsi" w:cs="TimesNewRoman"/>
        </w:rPr>
        <w:t xml:space="preserve">the </w:t>
      </w:r>
      <w:r w:rsidR="005A5324">
        <w:rPr>
          <w:rFonts w:asciiTheme="minorHAnsi" w:eastAsia="TimesNewRoman" w:hAnsiTheme="minorHAnsi" w:cs="TimesNewRoman"/>
        </w:rPr>
        <w:t>μ-opioid receptor, κ-opioid receptor</w:t>
      </w:r>
      <w:r w:rsidRPr="0036798B">
        <w:rPr>
          <w:rFonts w:asciiTheme="minorHAnsi" w:eastAsia="TimesNewRoman" w:hAnsiTheme="minorHAnsi" w:cs="TimesNewRoman"/>
        </w:rPr>
        <w:t xml:space="preserve"> and </w:t>
      </w:r>
      <w:r w:rsidR="005A5324">
        <w:rPr>
          <w:rFonts w:eastAsia="TimesNewRoman" w:cs="TimesNewRoman"/>
        </w:rPr>
        <w:t>5-</w:t>
      </w:r>
      <w:r w:rsidR="00342B0E">
        <w:rPr>
          <w:rFonts w:eastAsia="TimesNewRoman" w:cs="TimesNewRoman"/>
        </w:rPr>
        <w:t>HT (</w:t>
      </w:r>
      <w:r w:rsidR="005A5324">
        <w:rPr>
          <w:rFonts w:eastAsia="TimesNewRoman" w:cs="TimesNewRoman"/>
        </w:rPr>
        <w:t>serotonin</w:t>
      </w:r>
      <w:r w:rsidR="00342B0E">
        <w:rPr>
          <w:rFonts w:eastAsia="TimesNewRoman" w:cs="TimesNewRoman"/>
        </w:rPr>
        <w:t>)</w:t>
      </w:r>
      <w:r w:rsidRPr="0036798B">
        <w:rPr>
          <w:rFonts w:eastAsia="TimesNewRoman" w:cs="TimesNewRoman"/>
        </w:rPr>
        <w:t xml:space="preserve"> transporter. No relevant interactions were noted for </w:t>
      </w:r>
      <w:proofErr w:type="spellStart"/>
      <w:r w:rsidRPr="0036798B">
        <w:rPr>
          <w:rFonts w:eastAsia="TimesNewRoman" w:cs="TimesNewRoman"/>
        </w:rPr>
        <w:t>esketamine</w:t>
      </w:r>
      <w:proofErr w:type="spellEnd"/>
      <w:r w:rsidRPr="0036798B">
        <w:rPr>
          <w:rFonts w:eastAsia="TimesNewRoman" w:cs="TimesNewRoman"/>
        </w:rPr>
        <w:t xml:space="preserve">-derived metabolites </w:t>
      </w:r>
      <w:r>
        <w:rPr>
          <w:rFonts w:eastAsia="TimesNewRoman" w:cs="TimesNewRoman"/>
        </w:rPr>
        <w:t xml:space="preserve">M4, </w:t>
      </w:r>
      <w:r w:rsidRPr="0036798B">
        <w:rPr>
          <w:rFonts w:eastAsia="TimesNewRoman" w:cs="TimesNewRoman"/>
        </w:rPr>
        <w:t xml:space="preserve">M9, M10 and M19 when tested against a panel of receptors, ion channels and transporters </w:t>
      </w:r>
      <w:r w:rsidRPr="0036798B">
        <w:rPr>
          <w:rFonts w:eastAsia="TimesNewRoman" w:cs="TimesNewRoman"/>
          <w:i/>
        </w:rPr>
        <w:t>in vitro</w:t>
      </w:r>
      <w:r w:rsidRPr="0036798B">
        <w:rPr>
          <w:rFonts w:eastAsia="TimesNewRoman" w:cs="TimesNewRoman"/>
        </w:rPr>
        <w:t xml:space="preserve">. </w:t>
      </w:r>
      <w:proofErr w:type="spellStart"/>
      <w:r w:rsidRPr="0036798B">
        <w:t>Esketamine</w:t>
      </w:r>
      <w:proofErr w:type="spellEnd"/>
      <w:r w:rsidRPr="0036798B">
        <w:t xml:space="preserve">, </w:t>
      </w:r>
      <w:proofErr w:type="spellStart"/>
      <w:r w:rsidRPr="0036798B">
        <w:t>arketamine</w:t>
      </w:r>
      <w:proofErr w:type="spellEnd"/>
      <w:r w:rsidRPr="0036798B">
        <w:t xml:space="preserve"> and the tested metabolites (M10, M4, and M19) were inactive against the human </w:t>
      </w:r>
      <w:r w:rsidR="005A5324" w:rsidRPr="005A5324">
        <w:t>α7 nicotinic acetylcholine</w:t>
      </w:r>
      <w:r w:rsidRPr="0036798B">
        <w:t xml:space="preserve"> receptor </w:t>
      </w:r>
      <w:r w:rsidRPr="0036798B">
        <w:rPr>
          <w:i/>
        </w:rPr>
        <w:t>in vitro</w:t>
      </w:r>
      <w:r w:rsidRPr="0036798B">
        <w:t>, while metabolite M9 produced weak inhibition at this receptor.</w:t>
      </w:r>
    </w:p>
    <w:p w14:paraId="7772F3C7" w14:textId="63E13E69" w:rsidR="00624A81" w:rsidRPr="00EB69F1" w:rsidRDefault="00624A81" w:rsidP="005A5324">
      <w:pPr>
        <w:pStyle w:val="ListBullet"/>
      </w:pPr>
      <w:r w:rsidRPr="0036798B">
        <w:t>Safety pharmacology studies assessed effects on the cardiovascular, respira</w:t>
      </w:r>
      <w:r w:rsidR="005A5324">
        <w:t>tory and central nervous system</w:t>
      </w:r>
      <w:r w:rsidRPr="0036798B">
        <w:t xml:space="preserve"> (CNS). In dogs, transient dose-related increases in heart rate, blood pressure, and shortening of the QT-interval</w:t>
      </w:r>
      <w:r w:rsidR="00342B0E">
        <w:rPr>
          <w:rStyle w:val="FootnoteReference"/>
        </w:rPr>
        <w:footnoteReference w:id="12"/>
      </w:r>
      <w:r w:rsidRPr="0036798B">
        <w:t xml:space="preserve"> and </w:t>
      </w:r>
      <w:r w:rsidR="00342B0E">
        <w:t xml:space="preserve">the </w:t>
      </w:r>
      <w:r w:rsidRPr="0036798B">
        <w:t>PQ-interval</w:t>
      </w:r>
      <w:r w:rsidR="00342B0E">
        <w:rPr>
          <w:rStyle w:val="FootnoteReference"/>
        </w:rPr>
        <w:footnoteReference w:id="13"/>
      </w:r>
      <w:r w:rsidRPr="0036798B">
        <w:t xml:space="preserve"> were observed following treatment with </w:t>
      </w:r>
      <w:proofErr w:type="spellStart"/>
      <w:r w:rsidRPr="0036798B">
        <w:t>esketamine</w:t>
      </w:r>
      <w:proofErr w:type="spellEnd"/>
      <w:r w:rsidRPr="0036798B">
        <w:t xml:space="preserve"> from 0.3 mg/kg </w:t>
      </w:r>
      <w:r w:rsidR="005A5324">
        <w:t>intravenous (</w:t>
      </w:r>
      <w:r w:rsidRPr="0036798B">
        <w:t>IV</w:t>
      </w:r>
      <w:r w:rsidR="005A5324">
        <w:t>)</w:t>
      </w:r>
      <w:r w:rsidRPr="0036798B">
        <w:t>. Transient increases in respiration rate were also noted in dogs at a dose of 3 mg/kg IV and increased heart rate was also obs</w:t>
      </w:r>
      <w:r w:rsidR="005A5324">
        <w:t>erved at doses of ≥ 24 mg/day intranasal</w:t>
      </w:r>
      <w:r w:rsidRPr="0036798B">
        <w:t xml:space="preserve">. These effects occurred </w:t>
      </w:r>
      <w:r>
        <w:t>at clinically relevant doses and therefore e</w:t>
      </w:r>
      <w:r w:rsidRPr="004B54A6">
        <w:t xml:space="preserve">ffects on the cardiovascular and respiratory systems may be observed in patients. </w:t>
      </w:r>
      <w:r w:rsidRPr="00681288">
        <w:t xml:space="preserve">No adverse effects were seen on cardiovascular or respiratory function in rats </w:t>
      </w:r>
      <w:r>
        <w:t xml:space="preserve">or on CNS function in rats and dogs </w:t>
      </w:r>
      <w:r w:rsidRPr="00681288">
        <w:t xml:space="preserve">following intranasal dosing. No significant inhibition of </w:t>
      </w:r>
      <w:r w:rsidR="005A5324" w:rsidRPr="005A5324">
        <w:t>human ether-à-go-go-related gene</w:t>
      </w:r>
      <w:r w:rsidR="005A5324">
        <w:t xml:space="preserve"> potassium ion</w:t>
      </w:r>
      <w:r w:rsidRPr="00681288">
        <w:t xml:space="preserve"> channel tail current was observed at clinically-relevant </w:t>
      </w:r>
      <w:r w:rsidR="005A5324">
        <w:t>concentrations.</w:t>
      </w:r>
    </w:p>
    <w:p w14:paraId="0FFF1F1E" w14:textId="56503AD9" w:rsidR="00624A81" w:rsidRPr="0024760A" w:rsidRDefault="00624A81" w:rsidP="00624A81">
      <w:pPr>
        <w:pStyle w:val="ListBullet"/>
      </w:pPr>
      <w:r w:rsidRPr="00A52646">
        <w:lastRenderedPageBreak/>
        <w:t xml:space="preserve">Overall, the pharmacokinetic </w:t>
      </w:r>
      <w:r w:rsidR="005A5324">
        <w:t xml:space="preserve">(PK) </w:t>
      </w:r>
      <w:r w:rsidRPr="00A52646">
        <w:t xml:space="preserve">profile in animals was qualitatively similar to that of humans. </w:t>
      </w:r>
      <w:proofErr w:type="spellStart"/>
      <w:r w:rsidRPr="00CB4812">
        <w:t>Esketamine</w:t>
      </w:r>
      <w:proofErr w:type="spellEnd"/>
      <w:r w:rsidRPr="00CB4812">
        <w:t xml:space="preserve"> was readily and rapidly absorbed with a similar </w:t>
      </w:r>
      <w:r w:rsidR="00996B5F">
        <w:t>time to maximum plasma concentration (</w:t>
      </w:r>
      <w:proofErr w:type="spellStart"/>
      <w:r w:rsidRPr="00CB4812">
        <w:t>T</w:t>
      </w:r>
      <w:r w:rsidRPr="00CB4812">
        <w:rPr>
          <w:vertAlign w:val="subscript"/>
        </w:rPr>
        <w:t>max</w:t>
      </w:r>
      <w:proofErr w:type="spellEnd"/>
      <w:r w:rsidR="00996B5F">
        <w:t>)</w:t>
      </w:r>
      <w:r w:rsidRPr="00CB4812">
        <w:t xml:space="preserve"> in all species following intranasal dosing. </w:t>
      </w:r>
      <w:r w:rsidRPr="00B07C09">
        <w:rPr>
          <w:rFonts w:eastAsia="TimesNewRoman" w:cs="TimesNewRoman"/>
        </w:rPr>
        <w:t xml:space="preserve">The </w:t>
      </w:r>
      <w:r w:rsidR="00996B5F">
        <w:rPr>
          <w:rFonts w:eastAsia="TimesNewRoman" w:cs="TimesNewRoman"/>
        </w:rPr>
        <w:t>maximum plasma concentration (</w:t>
      </w:r>
      <w:proofErr w:type="spellStart"/>
      <w:r w:rsidRPr="00B07C09">
        <w:rPr>
          <w:rFonts w:eastAsia="TimesNewRoman" w:cs="TimesNewRoman"/>
        </w:rPr>
        <w:t>C</w:t>
      </w:r>
      <w:r w:rsidRPr="00B07C09">
        <w:rPr>
          <w:rFonts w:eastAsia="TimesNewRoman" w:cs="TimesNewRoman"/>
          <w:vertAlign w:val="subscript"/>
        </w:rPr>
        <w:t>max</w:t>
      </w:r>
      <w:proofErr w:type="spellEnd"/>
      <w:r w:rsidR="00996B5F">
        <w:rPr>
          <w:rFonts w:eastAsia="TimesNewRoman" w:cs="TimesNewRoman"/>
        </w:rPr>
        <w:t>)</w:t>
      </w:r>
      <w:r w:rsidRPr="00B07C09">
        <w:rPr>
          <w:rFonts w:eastAsia="TimesNewRoman" w:cs="TimesNewRoman"/>
        </w:rPr>
        <w:t xml:space="preserve"> levels of the active metabolite M10 were reached</w:t>
      </w:r>
      <w:r>
        <w:rPr>
          <w:rFonts w:eastAsia="TimesNewRoman" w:cs="TimesNewRoman"/>
        </w:rPr>
        <w:t xml:space="preserve"> slightly later</w:t>
      </w:r>
      <w:r w:rsidRPr="00B07C09">
        <w:rPr>
          <w:rFonts w:eastAsia="TimesNewRoman" w:cs="TimesNewRoman"/>
        </w:rPr>
        <w:t xml:space="preserve"> than those of </w:t>
      </w:r>
      <w:r>
        <w:rPr>
          <w:rFonts w:eastAsia="TimesNewRoman" w:cs="TimesNewRoman"/>
        </w:rPr>
        <w:t xml:space="preserve">the </w:t>
      </w:r>
      <w:r w:rsidRPr="00B07C09">
        <w:rPr>
          <w:rFonts w:eastAsia="TimesNewRoman" w:cs="TimesNewRoman"/>
        </w:rPr>
        <w:t>parent</w:t>
      </w:r>
      <w:r w:rsidR="008F1E1E">
        <w:rPr>
          <w:rFonts w:eastAsia="TimesNewRoman" w:cs="TimesNewRoman"/>
        </w:rPr>
        <w:t xml:space="preserve"> drug</w:t>
      </w:r>
      <w:r>
        <w:rPr>
          <w:rFonts w:eastAsia="TimesNewRoman" w:cs="TimesNewRoman"/>
        </w:rPr>
        <w:t>,</w:t>
      </w:r>
      <w:r w:rsidRPr="00B07C09">
        <w:rPr>
          <w:rFonts w:eastAsia="TimesNewRoman" w:cs="TimesNewRoman"/>
        </w:rPr>
        <w:t xml:space="preserve"> </w:t>
      </w:r>
      <w:proofErr w:type="spellStart"/>
      <w:r w:rsidRPr="00B07C09">
        <w:rPr>
          <w:rFonts w:eastAsia="TimesNewRoman" w:cs="TimesNewRoman"/>
        </w:rPr>
        <w:t>esketamine</w:t>
      </w:r>
      <w:proofErr w:type="spellEnd"/>
      <w:r>
        <w:rPr>
          <w:rFonts w:eastAsia="TimesNewRoman" w:cs="TimesNewRoman"/>
        </w:rPr>
        <w:t xml:space="preserve">. </w:t>
      </w:r>
      <w:r w:rsidRPr="00B07C09">
        <w:rPr>
          <w:rFonts w:eastAsia="TimesNewRoman" w:cs="TimesNewRoman"/>
        </w:rPr>
        <w:t>Following intra</w:t>
      </w:r>
      <w:r>
        <w:rPr>
          <w:rFonts w:eastAsia="TimesNewRoman" w:cs="TimesNewRoman"/>
        </w:rPr>
        <w:t xml:space="preserve">nasal dosing in mice and rats, </w:t>
      </w:r>
      <w:r w:rsidR="00996B5F">
        <w:rPr>
          <w:rFonts w:eastAsia="TimesNewRoman" w:cs="TimesNewRoman"/>
        </w:rPr>
        <w:t>area under the plasma concentration time curve (</w:t>
      </w:r>
      <w:r w:rsidRPr="00B07C09">
        <w:rPr>
          <w:rFonts w:eastAsia="TimesNewRoman" w:cs="TimesNewRoman"/>
        </w:rPr>
        <w:t>AUC</w:t>
      </w:r>
      <w:r w:rsidR="00996B5F">
        <w:rPr>
          <w:rFonts w:eastAsia="TimesNewRoman" w:cs="TimesNewRoman"/>
        </w:rPr>
        <w:t>)</w:t>
      </w:r>
      <w:r w:rsidRPr="00B07C09">
        <w:rPr>
          <w:rFonts w:eastAsia="TimesNewRoman" w:cs="TimesNewRoman"/>
        </w:rPr>
        <w:t xml:space="preserve"> values were higher for M10 than for the parent</w:t>
      </w:r>
      <w:r w:rsidR="008F1E1E">
        <w:rPr>
          <w:rFonts w:eastAsia="TimesNewRoman" w:cs="TimesNewRoman"/>
        </w:rPr>
        <w:t xml:space="preserve"> drug, </w:t>
      </w:r>
      <w:proofErr w:type="spellStart"/>
      <w:r w:rsidR="008F1E1E">
        <w:rPr>
          <w:rFonts w:eastAsia="TimesNewRoman" w:cs="TimesNewRoman"/>
        </w:rPr>
        <w:t>esketamine</w:t>
      </w:r>
      <w:proofErr w:type="spellEnd"/>
      <w:r w:rsidRPr="00B07C09">
        <w:rPr>
          <w:rFonts w:eastAsia="TimesNewRoman" w:cs="TimesNewRoman"/>
        </w:rPr>
        <w:t>. In dog</w:t>
      </w:r>
      <w:r w:rsidR="008F1E1E">
        <w:rPr>
          <w:rFonts w:eastAsia="TimesNewRoman" w:cs="TimesNewRoman"/>
        </w:rPr>
        <w:t>s</w:t>
      </w:r>
      <w:r w:rsidRPr="00B07C09">
        <w:rPr>
          <w:rFonts w:eastAsia="TimesNewRoman" w:cs="TimesNewRoman"/>
        </w:rPr>
        <w:t xml:space="preserve">, exposure to M10 was lower than the exposure </w:t>
      </w:r>
      <w:r>
        <w:rPr>
          <w:rFonts w:eastAsia="TimesNewRoman" w:cs="TimesNewRoman"/>
        </w:rPr>
        <w:t xml:space="preserve">to </w:t>
      </w:r>
      <w:proofErr w:type="spellStart"/>
      <w:r>
        <w:rPr>
          <w:rFonts w:eastAsia="TimesNewRoman" w:cs="TimesNewRoman"/>
        </w:rPr>
        <w:t>esketamine</w:t>
      </w:r>
      <w:proofErr w:type="spellEnd"/>
      <w:r w:rsidRPr="00B07C09">
        <w:rPr>
          <w:rFonts w:eastAsia="TimesNewRoman" w:cs="TimesNewRoman"/>
        </w:rPr>
        <w:t xml:space="preserve">. </w:t>
      </w:r>
      <w:r>
        <w:t xml:space="preserve">The bioavailability of </w:t>
      </w:r>
      <w:proofErr w:type="spellStart"/>
      <w:r>
        <w:t>esketamine</w:t>
      </w:r>
      <w:proofErr w:type="spellEnd"/>
      <w:r>
        <w:t xml:space="preserve"> is moderate in dogs and humans following intranasal dosing (</w:t>
      </w:r>
      <w:r w:rsidRPr="006903D1">
        <w:t>54%</w:t>
      </w:r>
      <w:r>
        <w:t xml:space="preserve"> and 48%, respectively), and low following oral dosing (1.3% and 14%, respectively), indicating high first pass metabolism in these species. </w:t>
      </w:r>
      <w:r w:rsidRPr="00CB4812">
        <w:t xml:space="preserve">Plasma protein binding of </w:t>
      </w:r>
      <w:proofErr w:type="spellStart"/>
      <w:r w:rsidRPr="00CB4812">
        <w:t>esketamine</w:t>
      </w:r>
      <w:proofErr w:type="spellEnd"/>
      <w:r w:rsidRPr="00CB4812">
        <w:t xml:space="preserve"> and M10 was moderate in humans</w:t>
      </w:r>
      <w:r w:rsidRPr="00996B5F">
        <w:t xml:space="preserve">. </w:t>
      </w:r>
      <w:proofErr w:type="spellStart"/>
      <w:r w:rsidRPr="00996B5F">
        <w:t>Esketamine</w:t>
      </w:r>
      <w:proofErr w:type="spellEnd"/>
      <w:r w:rsidRPr="00996B5F">
        <w:t xml:space="preserve"> and its metabolites were found in the brain and plasma of rats after oral administration, with brain concentrations higher than plasma for </w:t>
      </w:r>
      <w:proofErr w:type="spellStart"/>
      <w:r w:rsidRPr="00996B5F">
        <w:t>esketamine</w:t>
      </w:r>
      <w:proofErr w:type="spellEnd"/>
      <w:r w:rsidRPr="00996B5F">
        <w:t>, M4 and M19.</w:t>
      </w:r>
      <w:r w:rsidRPr="00207EAD">
        <w:t xml:space="preserve"> </w:t>
      </w:r>
      <w:r>
        <w:t xml:space="preserve">The main human metabolite, </w:t>
      </w:r>
      <w:r w:rsidRPr="00CB4812">
        <w:t>M10</w:t>
      </w:r>
      <w:r>
        <w:t>,</w:t>
      </w:r>
      <w:r w:rsidRPr="00CB4812">
        <w:t xml:space="preserve"> was a significant metabolite in animals. Drug-related material was excreted via urin</w:t>
      </w:r>
      <w:r w:rsidR="00996B5F">
        <w:t>e in humans and animal species.</w:t>
      </w:r>
    </w:p>
    <w:p w14:paraId="49598542" w14:textId="0EB78B31" w:rsidR="00624A81" w:rsidRPr="00442300" w:rsidRDefault="00624A81" w:rsidP="00996B5F">
      <w:pPr>
        <w:pStyle w:val="ListBullet"/>
      </w:pPr>
      <w:r w:rsidRPr="00442300">
        <w:t xml:space="preserve">The main </w:t>
      </w:r>
      <w:r w:rsidR="00996B5F">
        <w:t>cytochrome</w:t>
      </w:r>
      <w:r w:rsidR="00996B5F" w:rsidRPr="00996B5F">
        <w:t xml:space="preserve"> P450 </w:t>
      </w:r>
      <w:r w:rsidR="00996B5F">
        <w:t>(CYP)</w:t>
      </w:r>
      <w:r w:rsidRPr="00442300">
        <w:t xml:space="preserve"> enzymes responsible for </w:t>
      </w:r>
      <w:proofErr w:type="spellStart"/>
      <w:r w:rsidRPr="00442300">
        <w:t>esketamine</w:t>
      </w:r>
      <w:proofErr w:type="spellEnd"/>
      <w:r w:rsidRPr="00442300">
        <w:t xml:space="preserve"> metabolism are CYP2B6</w:t>
      </w:r>
      <w:r w:rsidR="00996B5F">
        <w:t xml:space="preserve"> (approximately </w:t>
      </w:r>
      <w:r>
        <w:t>60%)</w:t>
      </w:r>
      <w:r w:rsidRPr="00442300">
        <w:t xml:space="preserve"> and CYP3A4</w:t>
      </w:r>
      <w:r w:rsidR="00996B5F">
        <w:t xml:space="preserve"> (35 to </w:t>
      </w:r>
      <w:r>
        <w:t>40%)</w:t>
      </w:r>
      <w:r w:rsidRPr="00442300">
        <w:t>.</w:t>
      </w:r>
      <w:r w:rsidR="008F1E1E">
        <w:rPr>
          <w:rStyle w:val="FootnoteReference"/>
        </w:rPr>
        <w:footnoteReference w:id="14"/>
      </w:r>
    </w:p>
    <w:p w14:paraId="0A5A1A22" w14:textId="77777777" w:rsidR="00624A81" w:rsidRPr="00137F19" w:rsidRDefault="00624A81" w:rsidP="00624A81">
      <w:pPr>
        <w:pStyle w:val="ListBullet"/>
      </w:pPr>
      <w:r w:rsidRPr="00137F19">
        <w:rPr>
          <w:rFonts w:eastAsia="TimesNewRoman" w:cs="TimesNewRoman"/>
        </w:rPr>
        <w:t xml:space="preserve">N-nitroso compounds were not formed under simulated gastric conditions, indicating that any orally absorbed </w:t>
      </w:r>
      <w:proofErr w:type="spellStart"/>
      <w:r w:rsidRPr="00137F19">
        <w:rPr>
          <w:rFonts w:eastAsia="TimesNewRoman" w:cs="TimesNewRoman"/>
        </w:rPr>
        <w:t>esketamine</w:t>
      </w:r>
      <w:proofErr w:type="spellEnd"/>
      <w:r w:rsidRPr="00137F19">
        <w:rPr>
          <w:rFonts w:eastAsia="TimesNewRoman" w:cs="TimesNewRoman"/>
        </w:rPr>
        <w:t xml:space="preserve"> is unlikely to react in the stomach to form the potentially genotoxic compound, N-nitroso-</w:t>
      </w:r>
      <w:proofErr w:type="spellStart"/>
      <w:r w:rsidRPr="00137F19">
        <w:rPr>
          <w:rFonts w:eastAsia="TimesNewRoman" w:cs="TimesNewRoman"/>
        </w:rPr>
        <w:t>esketamine</w:t>
      </w:r>
      <w:proofErr w:type="spellEnd"/>
      <w:r w:rsidRPr="00137F19">
        <w:rPr>
          <w:rFonts w:eastAsia="TimesNewRoman" w:cs="TimesNewRoman"/>
        </w:rPr>
        <w:t>.</w:t>
      </w:r>
    </w:p>
    <w:p w14:paraId="3DA94612" w14:textId="77777777" w:rsidR="00624A81" w:rsidRPr="00137F19" w:rsidRDefault="00624A81" w:rsidP="001D76CC">
      <w:pPr>
        <w:pStyle w:val="ListBullet"/>
      </w:pPr>
      <w:proofErr w:type="spellStart"/>
      <w:r w:rsidRPr="00137F19">
        <w:t>Esketamine</w:t>
      </w:r>
      <w:proofErr w:type="spellEnd"/>
      <w:r w:rsidRPr="00137F19">
        <w:t xml:space="preserve"> and its major circulating metabolites had no clinically relevant inducing or inhibiting effects on CYPs and </w:t>
      </w:r>
      <w:r w:rsidR="00996B5F">
        <w:rPr>
          <w:rFonts w:eastAsia="TimesNewRoman" w:cs="TimesNewRoman"/>
        </w:rPr>
        <w:t>u</w:t>
      </w:r>
      <w:r w:rsidR="00996B5F" w:rsidRPr="00996B5F">
        <w:rPr>
          <w:rFonts w:eastAsia="TimesNewRoman" w:cs="TimesNewRoman"/>
        </w:rPr>
        <w:t>ridine 5'-diphospho-glucuronosyltransferase</w:t>
      </w:r>
      <w:r w:rsidR="00996B5F">
        <w:rPr>
          <w:rFonts w:eastAsia="TimesNewRoman" w:cs="TimesNewRoman"/>
        </w:rPr>
        <w:t>s</w:t>
      </w:r>
      <w:r w:rsidR="00996B5F" w:rsidRPr="00996B5F">
        <w:rPr>
          <w:rFonts w:eastAsia="TimesNewRoman" w:cs="TimesNewRoman"/>
        </w:rPr>
        <w:t xml:space="preserve"> </w:t>
      </w:r>
      <w:r w:rsidR="00996B5F">
        <w:rPr>
          <w:rFonts w:eastAsia="TimesNewRoman" w:cs="TimesNewRoman"/>
        </w:rPr>
        <w:t>(</w:t>
      </w:r>
      <w:r w:rsidRPr="00137F19">
        <w:t>UGTs</w:t>
      </w:r>
      <w:r w:rsidR="00996B5F">
        <w:t>)</w:t>
      </w:r>
      <w:r w:rsidRPr="00137F19">
        <w:t xml:space="preserve">. </w:t>
      </w:r>
      <w:proofErr w:type="spellStart"/>
      <w:r w:rsidRPr="00137F19">
        <w:t>Esketamine</w:t>
      </w:r>
      <w:proofErr w:type="spellEnd"/>
      <w:r w:rsidRPr="00137F19">
        <w:t xml:space="preserve"> and M10 were not substrates of transporters (</w:t>
      </w:r>
      <w:r w:rsidR="001D76CC" w:rsidRPr="001D76CC">
        <w:t>P-glycoprotein</w:t>
      </w:r>
      <w:r w:rsidR="001D76CC">
        <w:t xml:space="preserve"> (P-</w:t>
      </w:r>
      <w:proofErr w:type="spellStart"/>
      <w:r w:rsidR="001D76CC">
        <w:t>gp</w:t>
      </w:r>
      <w:proofErr w:type="spellEnd"/>
      <w:r w:rsidR="001D76CC">
        <w:t>)</w:t>
      </w:r>
      <w:r w:rsidRPr="00137F19">
        <w:t xml:space="preserve">, </w:t>
      </w:r>
      <w:r w:rsidR="001D76CC">
        <w:t>b</w:t>
      </w:r>
      <w:r w:rsidR="001D76CC" w:rsidRPr="001D76CC">
        <w:t>reast cancer resistance protein</w:t>
      </w:r>
      <w:r w:rsidR="001D76CC">
        <w:t xml:space="preserve"> (</w:t>
      </w:r>
      <w:r w:rsidRPr="00137F19">
        <w:t>BCRP</w:t>
      </w:r>
      <w:r w:rsidR="001D76CC">
        <w:t>)</w:t>
      </w:r>
      <w:r w:rsidRPr="00137F19">
        <w:t xml:space="preserve">, </w:t>
      </w:r>
      <w:r w:rsidR="001D76CC" w:rsidRPr="001D76CC">
        <w:t>organic</w:t>
      </w:r>
      <w:r w:rsidR="001D76CC">
        <w:t xml:space="preserve"> anion transporting polypeptide (</w:t>
      </w:r>
      <w:r w:rsidRPr="00137F19">
        <w:t>OATP</w:t>
      </w:r>
      <w:r w:rsidR="001D76CC">
        <w:t>)</w:t>
      </w:r>
      <w:r w:rsidRPr="00137F19">
        <w:t xml:space="preserve">1B1, OATP1B3 for </w:t>
      </w:r>
      <w:proofErr w:type="spellStart"/>
      <w:r w:rsidRPr="00137F19">
        <w:t>esketamine</w:t>
      </w:r>
      <w:proofErr w:type="spellEnd"/>
      <w:r w:rsidRPr="00137F19">
        <w:t>, and P-</w:t>
      </w:r>
      <w:proofErr w:type="spellStart"/>
      <w:r w:rsidRPr="00137F19">
        <w:t>gp</w:t>
      </w:r>
      <w:proofErr w:type="spellEnd"/>
      <w:r w:rsidRPr="00137F19">
        <w:t xml:space="preserve">, BCRP, OATP1B1, OATP1B3, </w:t>
      </w:r>
      <w:r w:rsidR="001D76CC" w:rsidRPr="001D76CC">
        <w:t xml:space="preserve">organic anion transporter </w:t>
      </w:r>
      <w:r w:rsidR="001D76CC">
        <w:t>(</w:t>
      </w:r>
      <w:r w:rsidRPr="00137F19">
        <w:t>OAT</w:t>
      </w:r>
      <w:r w:rsidR="001D76CC">
        <w:t>)</w:t>
      </w:r>
      <w:r w:rsidRPr="00137F19">
        <w:t xml:space="preserve">1, OAT3, </w:t>
      </w:r>
      <w:r w:rsidR="001D76CC">
        <w:t>organic cation transporter (</w:t>
      </w:r>
      <w:r w:rsidRPr="00137F19">
        <w:t>OCT</w:t>
      </w:r>
      <w:r w:rsidR="001D76CC">
        <w:t>)</w:t>
      </w:r>
      <w:r w:rsidRPr="00137F19">
        <w:t>1, OCT2 for M10) and were not inhibitors of P-</w:t>
      </w:r>
      <w:proofErr w:type="spellStart"/>
      <w:r w:rsidRPr="00137F19">
        <w:t>gp</w:t>
      </w:r>
      <w:proofErr w:type="spellEnd"/>
      <w:r w:rsidRPr="00137F19">
        <w:t xml:space="preserve">, BCRP, OATP1B1, OATP1B3, OAT1, OAT3, OCT2, </w:t>
      </w:r>
      <w:r w:rsidR="001D76CC">
        <w:t>m</w:t>
      </w:r>
      <w:r w:rsidR="001D76CC" w:rsidRPr="001D76CC">
        <w:t>ultidrug and toxin extrusion</w:t>
      </w:r>
      <w:r w:rsidR="001D76CC">
        <w:t xml:space="preserve"> </w:t>
      </w:r>
      <w:r w:rsidRPr="00137F19">
        <w:t xml:space="preserve">1 and </w:t>
      </w:r>
      <w:r w:rsidR="001D76CC">
        <w:t>m</w:t>
      </w:r>
      <w:r w:rsidR="001D76CC" w:rsidRPr="001D76CC">
        <w:t>ultidrug and toxin extrusion</w:t>
      </w:r>
      <w:r w:rsidR="001D76CC">
        <w:t xml:space="preserve"> 2-K</w:t>
      </w:r>
      <w:r w:rsidRPr="00137F19">
        <w:t xml:space="preserve"> transporters.</w:t>
      </w:r>
    </w:p>
    <w:p w14:paraId="21F1F177" w14:textId="77777777" w:rsidR="00624A81" w:rsidRPr="00137F19" w:rsidRDefault="00624A81" w:rsidP="00624A81">
      <w:pPr>
        <w:pStyle w:val="ListBullet"/>
      </w:pPr>
      <w:proofErr w:type="spellStart"/>
      <w:r w:rsidRPr="00137F19">
        <w:t>Esketamine</w:t>
      </w:r>
      <w:proofErr w:type="spellEnd"/>
      <w:r w:rsidRPr="00137F19">
        <w:t xml:space="preserve"> had a moderate order of acute toxicity in rats and dogs.</w:t>
      </w:r>
    </w:p>
    <w:p w14:paraId="59C91C4C" w14:textId="6FC8F381" w:rsidR="00624A81" w:rsidRPr="00DF02CE" w:rsidRDefault="00624A81" w:rsidP="00624A81">
      <w:pPr>
        <w:pStyle w:val="ListBullet"/>
      </w:pPr>
      <w:r w:rsidRPr="00137F19">
        <w:t xml:space="preserve">Repeat-dose toxicity studies were conducted in rats (up to 6 months) and dogs (up to 9 months). </w:t>
      </w:r>
      <w:r w:rsidRPr="00DF02CE">
        <w:t xml:space="preserve">Maximum exposures (AUC) were subclinical. Treatment-related effects were minimal. Local reactions within the nasal cavity and clinical signs consistent with the pharmacological actions of </w:t>
      </w:r>
      <w:proofErr w:type="spellStart"/>
      <w:r w:rsidRPr="00DF02CE">
        <w:t>esketamine</w:t>
      </w:r>
      <w:proofErr w:type="spellEnd"/>
      <w:r w:rsidRPr="00DF02CE">
        <w:t xml:space="preserve"> were observed including locomotor and postural changes (ataxia, abnormal gait, lying on side, prostrate, tremors, uncoordinated, low carriage, hunch posture), behavioural changes (decreased activity, subdued, fixed stare), appearance changes (ungroomed, skin discoloration, fur staining), and salivation and abnormal respiration (hyperpn</w:t>
      </w:r>
      <w:r w:rsidR="008F1E1E">
        <w:t>o</w:t>
      </w:r>
      <w:r w:rsidRPr="00DF02CE">
        <w:t>ea</w:t>
      </w:r>
      <w:r w:rsidR="008F1E1E">
        <w:t xml:space="preserve"> or</w:t>
      </w:r>
      <w:r w:rsidRPr="00DF02CE">
        <w:t xml:space="preserve"> </w:t>
      </w:r>
      <w:proofErr w:type="spellStart"/>
      <w:r w:rsidRPr="00DF02CE">
        <w:t>bradypn</w:t>
      </w:r>
      <w:r w:rsidR="008F1E1E">
        <w:t>o</w:t>
      </w:r>
      <w:r w:rsidRPr="00DF02CE">
        <w:t>ea</w:t>
      </w:r>
      <w:proofErr w:type="spellEnd"/>
      <w:r w:rsidRPr="00DF02CE">
        <w:t>).</w:t>
      </w:r>
    </w:p>
    <w:p w14:paraId="134F870C" w14:textId="48D7C818" w:rsidR="00624A81" w:rsidRDefault="00624A81" w:rsidP="00624A81">
      <w:pPr>
        <w:pStyle w:val="ListBullet"/>
      </w:pPr>
      <w:r w:rsidRPr="00DF02CE">
        <w:t xml:space="preserve">The weight of evidence suggests that </w:t>
      </w:r>
      <w:proofErr w:type="spellStart"/>
      <w:r w:rsidRPr="00DF02CE">
        <w:t>esketamine</w:t>
      </w:r>
      <w:proofErr w:type="spellEnd"/>
      <w:r w:rsidRPr="00DF02CE">
        <w:t xml:space="preserve"> is not genotoxic. No treatment related increase in tumou</w:t>
      </w:r>
      <w:r w:rsidR="00055827">
        <w:t xml:space="preserve">r incidence was observed in a 6 </w:t>
      </w:r>
      <w:r w:rsidRPr="00DF02CE">
        <w:t xml:space="preserve">month carcinogenicity study in mice or </w:t>
      </w:r>
      <w:r>
        <w:t xml:space="preserve">in </w:t>
      </w:r>
      <w:r w:rsidRPr="00DF02CE">
        <w:t>a 2</w:t>
      </w:r>
      <w:r w:rsidR="00055827">
        <w:t xml:space="preserve"> </w:t>
      </w:r>
      <w:r w:rsidRPr="00DF02CE">
        <w:t>year carcinogenicity study in rats.</w:t>
      </w:r>
    </w:p>
    <w:p w14:paraId="6CFC9F5D" w14:textId="74BF7694" w:rsidR="006F26BD" w:rsidRPr="00DF02CE" w:rsidRDefault="006F26BD" w:rsidP="006F26BD">
      <w:pPr>
        <w:pStyle w:val="ListBullet"/>
      </w:pPr>
      <w:r w:rsidRPr="006F26BD">
        <w:lastRenderedPageBreak/>
        <w:t xml:space="preserve">Reproductive toxicity studies with either </w:t>
      </w:r>
      <w:proofErr w:type="spellStart"/>
      <w:r w:rsidRPr="006F26BD">
        <w:t>esketamine</w:t>
      </w:r>
      <w:proofErr w:type="spellEnd"/>
      <w:r w:rsidRPr="006F26BD">
        <w:t xml:space="preserve"> or ketamine examined effects on fertility, embryofetal development toxicity and pre-/post-natal development in rats and rabbits. Fertility and reproductive parameters were unaffected in male and female rats treated with </w:t>
      </w:r>
      <w:proofErr w:type="spellStart"/>
      <w:r w:rsidRPr="006F26BD">
        <w:t>esketamine</w:t>
      </w:r>
      <w:proofErr w:type="spellEnd"/>
      <w:r w:rsidRPr="006F26BD">
        <w:t xml:space="preserve"> at clinically relevant doses. Increased post-implantation loss due to an increase in the number of early resorptions was observed in rabbits at 100 mg/kg/day ketamine (31% plasma </w:t>
      </w:r>
      <w:proofErr w:type="spellStart"/>
      <w:r w:rsidRPr="006F26BD">
        <w:t>esketamine</w:t>
      </w:r>
      <w:proofErr w:type="spellEnd"/>
      <w:r w:rsidRPr="006F26BD">
        <w:t xml:space="preserve">; relative exposure 2.9). This was correlated to a decrease in the mean number of live </w:t>
      </w:r>
      <w:proofErr w:type="spellStart"/>
      <w:r w:rsidRPr="006F26BD">
        <w:t>fetuses</w:t>
      </w:r>
      <w:proofErr w:type="spellEnd"/>
      <w:r w:rsidRPr="006F26BD">
        <w:t xml:space="preserve"> at this dose level. Decreased bodyweight (8 to 9%) was observed in female offspring at 30 mg/kg/day intranasal and in males and females combined at 100 mg/kg day intranasal (31% plasma </w:t>
      </w:r>
      <w:proofErr w:type="spellStart"/>
      <w:r w:rsidRPr="006F26BD">
        <w:t>esketamine</w:t>
      </w:r>
      <w:proofErr w:type="spellEnd"/>
      <w:r w:rsidRPr="006F26BD">
        <w:t xml:space="preserve">; relative exposure 2.9). In a pre/postnatal development study in rats, first filial generation offspring derived from females given </w:t>
      </w:r>
      <w:proofErr w:type="spellStart"/>
      <w:r w:rsidRPr="006F26BD">
        <w:t>esketamine</w:t>
      </w:r>
      <w:proofErr w:type="spellEnd"/>
      <w:r w:rsidRPr="006F26BD">
        <w:t xml:space="preserve"> showed a delay in the age of attainment of the </w:t>
      </w:r>
      <w:proofErr w:type="spellStart"/>
      <w:r w:rsidRPr="006F26BD">
        <w:t>Preyer</w:t>
      </w:r>
      <w:proofErr w:type="spellEnd"/>
      <w:r w:rsidRPr="006F26BD">
        <w:t xml:space="preserve"> response reflex</w:t>
      </w:r>
      <w:r w:rsidR="00A36BC1">
        <w:t>,</w:t>
      </w:r>
      <w:r w:rsidR="00A36BC1">
        <w:rPr>
          <w:rStyle w:val="FootnoteReference"/>
        </w:rPr>
        <w:footnoteReference w:id="15"/>
      </w:r>
      <w:r w:rsidRPr="006F26BD">
        <w:t xml:space="preserve"> from doses</w:t>
      </w:r>
      <w:r w:rsidR="00055827">
        <w:t xml:space="preserve"> of ≥ </w:t>
      </w:r>
      <w:r w:rsidRPr="006F26BD">
        <w:t>0.9</w:t>
      </w:r>
      <w:r w:rsidR="00055827">
        <w:t> </w:t>
      </w:r>
      <w:r w:rsidRPr="006F26BD">
        <w:t>m</w:t>
      </w:r>
      <w:r>
        <w:t xml:space="preserve">g/day intranasal (relative exposure 0.12 to </w:t>
      </w:r>
      <w:r w:rsidRPr="006F26BD">
        <w:t>2.6). All off</w:t>
      </w:r>
      <w:r>
        <w:t>spring attained this reflex by D</w:t>
      </w:r>
      <w:r w:rsidRPr="006F26BD">
        <w:t>ay 19 and no other CNS effects were noted. Studies in the literature have shown developmental neurotoxic findings in the fetus and offspring following maternal treatment with ketamine in rodents and non-human primates.</w:t>
      </w:r>
      <w:r>
        <w:rPr>
          <w:rStyle w:val="FootnoteReference"/>
        </w:rPr>
        <w:footnoteReference w:id="16"/>
      </w:r>
      <w:r w:rsidRPr="006F26BD">
        <w:rPr>
          <w:vertAlign w:val="superscript"/>
        </w:rPr>
        <w:t>,</w:t>
      </w:r>
      <w:r>
        <w:rPr>
          <w:rStyle w:val="FootnoteReference"/>
        </w:rPr>
        <w:footnoteReference w:id="17"/>
      </w:r>
      <w:r w:rsidRPr="006F26BD">
        <w:rPr>
          <w:vertAlign w:val="superscript"/>
        </w:rPr>
        <w:t>,</w:t>
      </w:r>
      <w:r>
        <w:rPr>
          <w:rStyle w:val="FootnoteReference"/>
        </w:rPr>
        <w:footnoteReference w:id="18"/>
      </w:r>
      <w:r w:rsidRPr="006F26BD">
        <w:rPr>
          <w:vertAlign w:val="superscript"/>
        </w:rPr>
        <w:t>,</w:t>
      </w:r>
      <w:r>
        <w:rPr>
          <w:rStyle w:val="FootnoteReference"/>
        </w:rPr>
        <w:footnoteReference w:id="19"/>
      </w:r>
    </w:p>
    <w:p w14:paraId="327AA1FB" w14:textId="5EA6790E" w:rsidR="00624A81" w:rsidRPr="00DF02CE" w:rsidRDefault="00624A81" w:rsidP="00624A81">
      <w:pPr>
        <w:pStyle w:val="ListBullet"/>
      </w:pPr>
      <w:proofErr w:type="spellStart"/>
      <w:r w:rsidRPr="00DF02CE">
        <w:rPr>
          <w:szCs w:val="20"/>
        </w:rPr>
        <w:t>Esketamine</w:t>
      </w:r>
      <w:proofErr w:type="spellEnd"/>
      <w:r w:rsidRPr="00DF02CE">
        <w:rPr>
          <w:szCs w:val="20"/>
        </w:rPr>
        <w:t xml:space="preserve"> was well tolerated in a 14</w:t>
      </w:r>
      <w:r w:rsidR="00A36BC1">
        <w:rPr>
          <w:szCs w:val="20"/>
        </w:rPr>
        <w:t xml:space="preserve"> </w:t>
      </w:r>
      <w:r w:rsidRPr="00DF02CE">
        <w:rPr>
          <w:szCs w:val="20"/>
        </w:rPr>
        <w:t>day juvenile neurotoxicity study in rats</w:t>
      </w:r>
      <w:r w:rsidR="006F26BD">
        <w:rPr>
          <w:szCs w:val="20"/>
        </w:rPr>
        <w:t xml:space="preserve"> at doses up to 150 mg/kg subcutaneous (relative exposure</w:t>
      </w:r>
      <w:r w:rsidRPr="00DF02CE">
        <w:rPr>
          <w:szCs w:val="20"/>
        </w:rPr>
        <w:t xml:space="preserve"> 40).</w:t>
      </w:r>
      <w:r w:rsidRPr="00DF02CE">
        <w:t xml:space="preserve"> Treatment-related effects were limited to clinical signs consistent with the pharmacological actions of </w:t>
      </w:r>
      <w:proofErr w:type="spellStart"/>
      <w:r w:rsidRPr="00DF02CE">
        <w:t>esketamine</w:t>
      </w:r>
      <w:proofErr w:type="spellEnd"/>
      <w:r w:rsidRPr="00DF02CE">
        <w:t>. No histopathological brain lesions were observed after single or repeat dosing.</w:t>
      </w:r>
    </w:p>
    <w:p w14:paraId="25A4E2F1" w14:textId="77777777" w:rsidR="00624A81" w:rsidRPr="00DF02CE" w:rsidRDefault="00624A81" w:rsidP="00624A81">
      <w:pPr>
        <w:pStyle w:val="ListBullet"/>
      </w:pPr>
      <w:r w:rsidRPr="00DF02CE">
        <w:rPr>
          <w:szCs w:val="20"/>
        </w:rPr>
        <w:t xml:space="preserve">In neurotoxicity studies in adult rats, </w:t>
      </w:r>
      <w:r w:rsidRPr="00DF02CE">
        <w:t xml:space="preserve">no histopathological brain lesions were observed at </w:t>
      </w:r>
      <w:proofErr w:type="spellStart"/>
      <w:r w:rsidRPr="00DF02CE">
        <w:t>esketamine</w:t>
      </w:r>
      <w:proofErr w:type="spellEnd"/>
      <w:r w:rsidRPr="00DF02CE">
        <w:t xml:space="preserve"> doses up to 72 mg/day </w:t>
      </w:r>
      <w:r w:rsidR="005A5324">
        <w:t>intranasal</w:t>
      </w:r>
      <w:r w:rsidR="006F26BD">
        <w:t xml:space="preserve"> (relative exposure</w:t>
      </w:r>
      <w:r w:rsidRPr="00DF02CE">
        <w:t xml:space="preserve"> 89) in single dose studies and 54 mg/day </w:t>
      </w:r>
      <w:r w:rsidR="005A5324">
        <w:t>intranasal</w:t>
      </w:r>
      <w:r w:rsidR="003D09FB">
        <w:t xml:space="preserve"> in repeat-dose studies (relative exposure</w:t>
      </w:r>
      <w:r w:rsidRPr="00DF02CE">
        <w:t xml:space="preserve"> 1</w:t>
      </w:r>
      <w:r>
        <w:t>2</w:t>
      </w:r>
      <w:r w:rsidRPr="00DF02CE">
        <w:t>).</w:t>
      </w:r>
    </w:p>
    <w:p w14:paraId="41A2F957" w14:textId="77777777" w:rsidR="00624A81" w:rsidRPr="009A613D" w:rsidRDefault="00624A81" w:rsidP="00624A81">
      <w:pPr>
        <w:pStyle w:val="ListBullet"/>
      </w:pPr>
      <w:r w:rsidRPr="003D09FB">
        <w:t>Pregnancy Category B3</w:t>
      </w:r>
      <w:r w:rsidRPr="009A613D">
        <w:rPr>
          <w:b/>
        </w:rPr>
        <w:t xml:space="preserve"> </w:t>
      </w:r>
      <w:r w:rsidRPr="009A613D">
        <w:t>is considered appropriate.</w:t>
      </w:r>
      <w:r w:rsidR="003D09FB">
        <w:rPr>
          <w:rStyle w:val="FootnoteReference"/>
        </w:rPr>
        <w:footnoteReference w:id="20"/>
      </w:r>
      <w:r>
        <w:t xml:space="preserve"> </w:t>
      </w:r>
      <w:r w:rsidRPr="005F4A68">
        <w:t>Use during pregnancy and breastfeeding is not recommended</w:t>
      </w:r>
      <w:r>
        <w:t xml:space="preserve"> based on developmental neurotoxicity observed in rodents and monkeys following treatment with ketamine</w:t>
      </w:r>
      <w:r w:rsidRPr="005F4A68">
        <w:t>.</w:t>
      </w:r>
    </w:p>
    <w:p w14:paraId="24444484" w14:textId="77777777" w:rsidR="008E7846" w:rsidRDefault="00624A81" w:rsidP="003D09FB">
      <w:pPr>
        <w:pStyle w:val="ListBullet"/>
      </w:pPr>
      <w:r w:rsidRPr="009A613D">
        <w:t xml:space="preserve">Overall, there are no nonclinical objections to the registration of </w:t>
      </w:r>
      <w:proofErr w:type="spellStart"/>
      <w:r w:rsidRPr="009A613D">
        <w:t>esketamine</w:t>
      </w:r>
      <w:proofErr w:type="spellEnd"/>
      <w:r w:rsidRPr="009A613D">
        <w:t xml:space="preserve"> (</w:t>
      </w:r>
      <w:proofErr w:type="spellStart"/>
      <w:r w:rsidR="003D09FB" w:rsidRPr="009A613D">
        <w:t>Spravato</w:t>
      </w:r>
      <w:proofErr w:type="spellEnd"/>
      <w:r w:rsidR="003D09FB">
        <w:t>).</w:t>
      </w:r>
    </w:p>
    <w:p w14:paraId="6A05417C" w14:textId="77777777" w:rsidR="008E7846" w:rsidRDefault="008E7846" w:rsidP="008E7846">
      <w:pPr>
        <w:pStyle w:val="Heading3"/>
      </w:pPr>
      <w:bookmarkStart w:id="41" w:name="_Toc247691530"/>
      <w:bookmarkStart w:id="42" w:name="_Toc314842513"/>
      <w:bookmarkStart w:id="43" w:name="_Toc72744022"/>
      <w:r>
        <w:t>Clinical</w:t>
      </w:r>
      <w:bookmarkEnd w:id="41"/>
      <w:bookmarkEnd w:id="42"/>
      <w:bookmarkEnd w:id="43"/>
    </w:p>
    <w:p w14:paraId="66AE2177" w14:textId="77777777" w:rsidR="008E1890" w:rsidRDefault="008E1890" w:rsidP="008E1890">
      <w:pPr>
        <w:rPr>
          <w:b/>
        </w:rPr>
      </w:pPr>
      <w:bookmarkStart w:id="44" w:name="_Toc314842514"/>
      <w:r w:rsidRPr="008F4CF3">
        <w:t xml:space="preserve">The </w:t>
      </w:r>
      <w:r w:rsidR="003D09FB">
        <w:t>clinical evaluator</w:t>
      </w:r>
      <w:r w:rsidRPr="008F4CF3">
        <w:t xml:space="preserve"> identified</w:t>
      </w:r>
      <w:r>
        <w:t xml:space="preserve"> the following </w:t>
      </w:r>
      <w:r w:rsidR="003D09FB">
        <w:t xml:space="preserve">clinical </w:t>
      </w:r>
      <w:r>
        <w:t>studies</w:t>
      </w:r>
      <w:r w:rsidR="003D09FB">
        <w:t xml:space="preserve"> and summaries in the submitted dossier</w:t>
      </w:r>
      <w:r>
        <w:t>:</w:t>
      </w:r>
    </w:p>
    <w:p w14:paraId="4146AFE4" w14:textId="77777777" w:rsidR="008E1890" w:rsidRDefault="003D09FB" w:rsidP="004460D3">
      <w:pPr>
        <w:pStyle w:val="ListBullet"/>
      </w:pPr>
      <w:r>
        <w:t>Nineteen</w:t>
      </w:r>
      <w:r w:rsidR="008E1890" w:rsidRPr="00233555">
        <w:t xml:space="preserve"> </w:t>
      </w:r>
      <w:r>
        <w:t>P</w:t>
      </w:r>
      <w:r w:rsidR="008E1890">
        <w:t>hase I clinical pharmacology studies</w:t>
      </w:r>
      <w:r>
        <w:t>;</w:t>
      </w:r>
    </w:p>
    <w:p w14:paraId="4FD6999D" w14:textId="77777777" w:rsidR="008E1890" w:rsidRDefault="003D09FB" w:rsidP="004460D3">
      <w:pPr>
        <w:pStyle w:val="ListBullet2"/>
      </w:pPr>
      <w:r>
        <w:t>Fourteen</w:t>
      </w:r>
      <w:r w:rsidR="008E1890">
        <w:t xml:space="preserve"> PK </w:t>
      </w:r>
      <w:r>
        <w:t xml:space="preserve">studies </w:t>
      </w:r>
      <w:r w:rsidR="008E1890">
        <w:t>(all completed)</w:t>
      </w:r>
      <w:r>
        <w:t>;</w:t>
      </w:r>
    </w:p>
    <w:p w14:paraId="76D0096D" w14:textId="77777777" w:rsidR="008E1890" w:rsidRDefault="003D09FB" w:rsidP="004460D3">
      <w:pPr>
        <w:pStyle w:val="ListBullet2"/>
      </w:pPr>
      <w:r>
        <w:t>Five pharmacodynamic</w:t>
      </w:r>
      <w:r w:rsidR="00D30DEB">
        <w:t xml:space="preserve"> </w:t>
      </w:r>
      <w:r w:rsidR="008E1890">
        <w:t>(</w:t>
      </w:r>
      <w:r>
        <w:t xml:space="preserve">PD) studies (all completed by the second </w:t>
      </w:r>
      <w:r w:rsidR="008E1890">
        <w:t>round</w:t>
      </w:r>
      <w:r>
        <w:t xml:space="preserve"> of evaluation).</w:t>
      </w:r>
    </w:p>
    <w:p w14:paraId="2606A24B" w14:textId="77777777" w:rsidR="008E1890" w:rsidRDefault="003D09FB" w:rsidP="004460D3">
      <w:pPr>
        <w:pStyle w:val="ListBullet"/>
      </w:pPr>
      <w:r>
        <w:lastRenderedPageBreak/>
        <w:t>One P</w:t>
      </w:r>
      <w:r w:rsidR="008E1890">
        <w:t>hase II dose-ranging study in TRD;</w:t>
      </w:r>
    </w:p>
    <w:p w14:paraId="678CEF49" w14:textId="77777777" w:rsidR="008E1890" w:rsidRDefault="003D09FB" w:rsidP="004460D3">
      <w:pPr>
        <w:pStyle w:val="ListBullet"/>
      </w:pPr>
      <w:r>
        <w:t>One</w:t>
      </w:r>
      <w:r w:rsidR="008E1890">
        <w:t xml:space="preserve"> population PK (PopPK) study;</w:t>
      </w:r>
    </w:p>
    <w:p w14:paraId="24C4ADC5" w14:textId="55E54B62" w:rsidR="008E1890" w:rsidRDefault="003D09FB" w:rsidP="004460D3">
      <w:pPr>
        <w:pStyle w:val="ListBullet"/>
      </w:pPr>
      <w:r>
        <w:t>Four pivotal efficacy/safety P</w:t>
      </w:r>
      <w:r w:rsidR="008E1890">
        <w:t>hase III studies (3 short-term; 1</w:t>
      </w:r>
      <w:r w:rsidR="00A36BC1">
        <w:t> </w:t>
      </w:r>
      <w:r w:rsidR="008E1890">
        <w:t>maintenance/</w:t>
      </w:r>
      <w:r w:rsidR="00A36BC1">
        <w:t xml:space="preserve"> </w:t>
      </w:r>
      <w:r w:rsidR="008E1890">
        <w:t>withdrawal) in TRD;</w:t>
      </w:r>
    </w:p>
    <w:p w14:paraId="284B27C6" w14:textId="77777777" w:rsidR="008E1890" w:rsidRDefault="003D09FB" w:rsidP="004460D3">
      <w:pPr>
        <w:pStyle w:val="ListBullet"/>
      </w:pPr>
      <w:r>
        <w:t>One long-term Phase III safety study in TRD;</w:t>
      </w:r>
    </w:p>
    <w:p w14:paraId="66419C29" w14:textId="76A6B676" w:rsidR="008E1890" w:rsidRDefault="003D09FB" w:rsidP="004460D3">
      <w:pPr>
        <w:pStyle w:val="ListBullet"/>
      </w:pPr>
      <w:r>
        <w:t>Four</w:t>
      </w:r>
      <w:r w:rsidR="008E1890">
        <w:t xml:space="preserve"> o</w:t>
      </w:r>
      <w:r w:rsidR="008E1890" w:rsidRPr="006B0723">
        <w:t xml:space="preserve">ther </w:t>
      </w:r>
      <w:r>
        <w:t>P</w:t>
      </w:r>
      <w:r w:rsidR="008E1890">
        <w:t xml:space="preserve">hase II </w:t>
      </w:r>
      <w:r w:rsidR="008E1890" w:rsidRPr="006B0723">
        <w:t>efficacy/safety studies</w:t>
      </w:r>
      <w:r>
        <w:t xml:space="preserve"> in TRD (two intranasal, two IV</w:t>
      </w:r>
      <w:r w:rsidR="00587393">
        <w:t>)</w:t>
      </w:r>
      <w:r w:rsidR="008E1890">
        <w:t>;</w:t>
      </w:r>
    </w:p>
    <w:p w14:paraId="7E10CACD" w14:textId="77777777" w:rsidR="008E1890" w:rsidRDefault="003D09FB" w:rsidP="004460D3">
      <w:pPr>
        <w:pStyle w:val="ListBullet"/>
      </w:pPr>
      <w:r>
        <w:t>Two</w:t>
      </w:r>
      <w:r w:rsidR="008E1890">
        <w:t xml:space="preserve"> ongoing TRD studies (interim safety data only available for evaluation);</w:t>
      </w:r>
    </w:p>
    <w:p w14:paraId="6541089E" w14:textId="77777777" w:rsidR="008E1890" w:rsidRPr="00021498" w:rsidRDefault="003D09FB" w:rsidP="004460D3">
      <w:pPr>
        <w:pStyle w:val="ListBullet"/>
      </w:pPr>
      <w:r>
        <w:t>One</w:t>
      </w:r>
      <w:r w:rsidR="008E1890" w:rsidRPr="00021498">
        <w:t xml:space="preserve"> </w:t>
      </w:r>
      <w:r>
        <w:t>P</w:t>
      </w:r>
      <w:r w:rsidR="008E1890">
        <w:t xml:space="preserve">hase II </w:t>
      </w:r>
      <w:r w:rsidR="00D30DEB">
        <w:t>study in MDD with suicidal ideation</w:t>
      </w:r>
      <w:r w:rsidR="008E1890">
        <w:t xml:space="preserve"> (MDSI);</w:t>
      </w:r>
    </w:p>
    <w:p w14:paraId="0AF46FD7" w14:textId="77777777" w:rsidR="008E1890" w:rsidRPr="006B0723" w:rsidRDefault="003D09FB" w:rsidP="004460D3">
      <w:pPr>
        <w:pStyle w:val="ListBullet"/>
      </w:pPr>
      <w:r>
        <w:t>One</w:t>
      </w:r>
      <w:r w:rsidR="008E1890">
        <w:t xml:space="preserve"> in</w:t>
      </w:r>
      <w:r>
        <w:t>tegrated summary of safety</w:t>
      </w:r>
      <w:r w:rsidR="008E1890">
        <w:t>;</w:t>
      </w:r>
    </w:p>
    <w:p w14:paraId="5E7347CC" w14:textId="77777777" w:rsidR="008E1890" w:rsidRDefault="008E1890" w:rsidP="004460D3">
      <w:pPr>
        <w:pStyle w:val="ListBullet"/>
      </w:pPr>
      <w:r w:rsidRPr="00A55675">
        <w:t>Literature references</w:t>
      </w:r>
      <w:r>
        <w:t>;</w:t>
      </w:r>
    </w:p>
    <w:p w14:paraId="07963BE6" w14:textId="77777777" w:rsidR="008E1890" w:rsidRDefault="008E1890" w:rsidP="004460D3">
      <w:pPr>
        <w:pStyle w:val="ListBullet"/>
      </w:pPr>
      <w:r w:rsidRPr="00105343">
        <w:t xml:space="preserve">Clinical </w:t>
      </w:r>
      <w:r>
        <w:t>o</w:t>
      </w:r>
      <w:r w:rsidRPr="00105343">
        <w:t>verview</w:t>
      </w:r>
      <w:r>
        <w:t>, s</w:t>
      </w:r>
      <w:r w:rsidRPr="00105343">
        <w:t>ummary</w:t>
      </w:r>
      <w:r>
        <w:t xml:space="preserve"> </w:t>
      </w:r>
      <w:r w:rsidRPr="00105343">
        <w:t xml:space="preserve">of </w:t>
      </w:r>
      <w:r>
        <w:t>clinical e</w:t>
      </w:r>
      <w:r w:rsidRPr="00105343">
        <w:t>fficacy</w:t>
      </w:r>
      <w:r w:rsidR="004460D3">
        <w:t xml:space="preserve">, </w:t>
      </w:r>
      <w:r w:rsidR="003D09FB">
        <w:t>summary of clinical safety</w:t>
      </w:r>
      <w:r w:rsidR="004460D3">
        <w:t xml:space="preserve">, </w:t>
      </w:r>
      <w:r>
        <w:t>summary of clinical pharmacology and</w:t>
      </w:r>
      <w:r w:rsidRPr="00CC07BF">
        <w:t xml:space="preserve"> </w:t>
      </w:r>
      <w:r>
        <w:t>synopses o</w:t>
      </w:r>
      <w:r w:rsidR="003D09FB">
        <w:t>f pivotal studies.</w:t>
      </w:r>
    </w:p>
    <w:p w14:paraId="2984916A" w14:textId="77777777" w:rsidR="007B6132" w:rsidRDefault="008E1890" w:rsidP="003D09FB">
      <w:r>
        <w:t xml:space="preserve">The submitted studies were stated to have been conducted in compliance with </w:t>
      </w:r>
      <w:r>
        <w:rPr>
          <w:lang w:val="en-GB"/>
        </w:rPr>
        <w:t xml:space="preserve">the ethical principles originating in the Declaration of Helsinki and, in accordance with the </w:t>
      </w:r>
      <w:r w:rsidR="00D30DEB">
        <w:rPr>
          <w:lang w:val="en-GB"/>
        </w:rPr>
        <w:t>ICH</w:t>
      </w:r>
      <w:r>
        <w:rPr>
          <w:lang w:val="en-GB"/>
        </w:rPr>
        <w:t xml:space="preserve"> guideline for Good Clinical Practice (GCP) and applicable regulatory requirements, </w:t>
      </w:r>
      <w:r>
        <w:t>including the archival of essential documents.</w:t>
      </w:r>
    </w:p>
    <w:p w14:paraId="5DCB6573" w14:textId="77777777" w:rsidR="008E1890" w:rsidRDefault="008E1890" w:rsidP="008E1890">
      <w:pPr>
        <w:pStyle w:val="Heading4"/>
      </w:pPr>
      <w:r>
        <w:t>Pharmacology</w:t>
      </w:r>
    </w:p>
    <w:p w14:paraId="5EFFD3BA" w14:textId="77777777" w:rsidR="008E1890" w:rsidRDefault="008E1890" w:rsidP="008E1890">
      <w:pPr>
        <w:pStyle w:val="Heading5"/>
      </w:pPr>
      <w:r>
        <w:t>Pharmacokinetics</w:t>
      </w:r>
    </w:p>
    <w:p w14:paraId="176A7671" w14:textId="7D734AE3" w:rsidR="008E1890" w:rsidRDefault="00EE453C" w:rsidP="008E1890">
      <w:r>
        <w:t>Table 3 (shown below) provides a summary of t</w:t>
      </w:r>
      <w:r w:rsidR="008E1890">
        <w:t xml:space="preserve">he </w:t>
      </w:r>
      <w:r w:rsidR="005C660B">
        <w:t xml:space="preserve"> </w:t>
      </w:r>
      <w:r>
        <w:t xml:space="preserve">submitted </w:t>
      </w:r>
      <w:r w:rsidR="005C660B">
        <w:t>studies</w:t>
      </w:r>
      <w:r>
        <w:t xml:space="preserve"> that</w:t>
      </w:r>
      <w:r w:rsidR="005C660B">
        <w:t xml:space="preserve"> were considered to provide evaluable </w:t>
      </w:r>
      <w:r w:rsidR="00D30DEB">
        <w:t>PK</w:t>
      </w:r>
      <w:r w:rsidR="005C660B">
        <w:t xml:space="preserve"> data</w:t>
      </w:r>
      <w:r>
        <w:t>.</w:t>
      </w:r>
    </w:p>
    <w:p w14:paraId="6A4E87CB" w14:textId="1C9F9E2D" w:rsidR="005C660B" w:rsidRDefault="005C660B" w:rsidP="005C660B">
      <w:pPr>
        <w:pStyle w:val="TableTitle"/>
      </w:pPr>
      <w:bookmarkStart w:id="45" w:name="_Ref69728292"/>
      <w:r>
        <w:t xml:space="preserve">Table </w:t>
      </w:r>
      <w:r w:rsidR="00D42A0C">
        <w:fldChar w:fldCharType="begin"/>
      </w:r>
      <w:r w:rsidR="00D42A0C">
        <w:instrText xml:space="preserve"> SEQ Table \* ARABIC </w:instrText>
      </w:r>
      <w:r w:rsidR="00D42A0C">
        <w:fldChar w:fldCharType="separate"/>
      </w:r>
      <w:r w:rsidR="003938C9">
        <w:rPr>
          <w:noProof/>
        </w:rPr>
        <w:t>3</w:t>
      </w:r>
      <w:r w:rsidR="00D42A0C">
        <w:rPr>
          <w:noProof/>
        </w:rPr>
        <w:fldChar w:fldCharType="end"/>
      </w:r>
      <w:bookmarkEnd w:id="45"/>
      <w:r>
        <w:t>: Pharmacokinetic studies</w:t>
      </w:r>
    </w:p>
    <w:tbl>
      <w:tblPr>
        <w:tblStyle w:val="TableTGAblue"/>
        <w:tblW w:w="5000" w:type="pct"/>
        <w:tblLook w:val="04A0" w:firstRow="1" w:lastRow="0" w:firstColumn="1" w:lastColumn="0" w:noHBand="0" w:noVBand="1"/>
      </w:tblPr>
      <w:tblGrid>
        <w:gridCol w:w="1786"/>
        <w:gridCol w:w="4214"/>
        <w:gridCol w:w="1517"/>
        <w:gridCol w:w="1203"/>
      </w:tblGrid>
      <w:tr w:rsidR="005C660B" w:rsidRPr="00C37A1D" w14:paraId="7FED6FE8" w14:textId="77777777" w:rsidTr="00D30DEB">
        <w:trPr>
          <w:cnfStyle w:val="100000000000" w:firstRow="1" w:lastRow="0" w:firstColumn="0" w:lastColumn="0" w:oddVBand="0" w:evenVBand="0" w:oddHBand="0" w:evenHBand="0" w:firstRowFirstColumn="0" w:firstRowLastColumn="0" w:lastRowFirstColumn="0" w:lastRowLastColumn="0"/>
        </w:trPr>
        <w:tc>
          <w:tcPr>
            <w:tcW w:w="956" w:type="pct"/>
          </w:tcPr>
          <w:p w14:paraId="61BC602B" w14:textId="77777777" w:rsidR="005C660B" w:rsidRPr="00A36BC1" w:rsidRDefault="005C660B" w:rsidP="005C660B">
            <w:pPr>
              <w:pStyle w:val="Tabletext"/>
              <w:keepNext w:val="0"/>
              <w:rPr>
                <w:b w:val="0"/>
                <w:sz w:val="22"/>
                <w:szCs w:val="22"/>
              </w:rPr>
            </w:pPr>
            <w:r w:rsidRPr="00A36BC1">
              <w:rPr>
                <w:sz w:val="22"/>
                <w:szCs w:val="22"/>
              </w:rPr>
              <w:t>PK topic</w:t>
            </w:r>
          </w:p>
        </w:tc>
        <w:tc>
          <w:tcPr>
            <w:tcW w:w="2439" w:type="pct"/>
          </w:tcPr>
          <w:p w14:paraId="12C24144" w14:textId="77777777" w:rsidR="005C660B" w:rsidRPr="00A36BC1" w:rsidRDefault="005C660B" w:rsidP="005C660B">
            <w:pPr>
              <w:pStyle w:val="Tabletext"/>
              <w:keepNext w:val="0"/>
              <w:rPr>
                <w:b w:val="0"/>
                <w:sz w:val="22"/>
                <w:szCs w:val="22"/>
              </w:rPr>
            </w:pPr>
            <w:r w:rsidRPr="00A36BC1">
              <w:rPr>
                <w:sz w:val="22"/>
                <w:szCs w:val="22"/>
              </w:rPr>
              <w:t>Subtopic</w:t>
            </w:r>
          </w:p>
        </w:tc>
        <w:tc>
          <w:tcPr>
            <w:tcW w:w="893" w:type="pct"/>
          </w:tcPr>
          <w:p w14:paraId="414E99E8" w14:textId="77777777" w:rsidR="005C660B" w:rsidRPr="00A36BC1" w:rsidRDefault="005C660B" w:rsidP="005C660B">
            <w:pPr>
              <w:pStyle w:val="Tabletext"/>
              <w:keepNext w:val="0"/>
              <w:rPr>
                <w:b w:val="0"/>
                <w:sz w:val="22"/>
                <w:szCs w:val="22"/>
              </w:rPr>
            </w:pPr>
            <w:r w:rsidRPr="00A36BC1">
              <w:rPr>
                <w:sz w:val="22"/>
                <w:szCs w:val="22"/>
              </w:rPr>
              <w:t>Study ID</w:t>
            </w:r>
          </w:p>
        </w:tc>
        <w:tc>
          <w:tcPr>
            <w:tcW w:w="712" w:type="pct"/>
          </w:tcPr>
          <w:p w14:paraId="7F7328B4" w14:textId="77777777" w:rsidR="005C660B" w:rsidRPr="00A36BC1" w:rsidRDefault="005C660B" w:rsidP="005C660B">
            <w:pPr>
              <w:pStyle w:val="Tabletext"/>
              <w:jc w:val="center"/>
              <w:rPr>
                <w:b w:val="0"/>
                <w:sz w:val="22"/>
                <w:szCs w:val="22"/>
              </w:rPr>
            </w:pPr>
            <w:r w:rsidRPr="00A36BC1">
              <w:rPr>
                <w:sz w:val="22"/>
                <w:szCs w:val="22"/>
              </w:rPr>
              <w:t>*</w:t>
            </w:r>
          </w:p>
        </w:tc>
      </w:tr>
      <w:tr w:rsidR="005C660B" w:rsidRPr="00C37A1D" w14:paraId="30600860" w14:textId="77777777" w:rsidTr="00D30DEB">
        <w:tc>
          <w:tcPr>
            <w:tcW w:w="956" w:type="pct"/>
            <w:vMerge w:val="restart"/>
          </w:tcPr>
          <w:p w14:paraId="52EB147C" w14:textId="77777777" w:rsidR="005C660B" w:rsidRPr="00A36BC1" w:rsidRDefault="005C660B" w:rsidP="005C660B">
            <w:pPr>
              <w:pStyle w:val="Tabletext"/>
              <w:rPr>
                <w:b/>
                <w:sz w:val="22"/>
                <w:szCs w:val="22"/>
              </w:rPr>
            </w:pPr>
            <w:r w:rsidRPr="00A36BC1">
              <w:rPr>
                <w:b/>
                <w:sz w:val="22"/>
                <w:szCs w:val="22"/>
              </w:rPr>
              <w:t>PK in healthy adults</w:t>
            </w:r>
          </w:p>
        </w:tc>
        <w:tc>
          <w:tcPr>
            <w:tcW w:w="2439" w:type="pct"/>
          </w:tcPr>
          <w:p w14:paraId="1F7DC6F8" w14:textId="1F0F293A" w:rsidR="005C660B" w:rsidRPr="00A36BC1" w:rsidRDefault="005C660B" w:rsidP="005C660B">
            <w:pPr>
              <w:pStyle w:val="Tabletext"/>
              <w:rPr>
                <w:sz w:val="22"/>
                <w:szCs w:val="22"/>
              </w:rPr>
            </w:pPr>
            <w:r w:rsidRPr="00A36BC1">
              <w:rPr>
                <w:sz w:val="22"/>
                <w:szCs w:val="22"/>
              </w:rPr>
              <w:t>General PK</w:t>
            </w:r>
            <w:r w:rsidR="00A36BC1">
              <w:rPr>
                <w:sz w:val="22"/>
                <w:szCs w:val="22"/>
              </w:rPr>
              <w:t xml:space="preserve"> (s</w:t>
            </w:r>
            <w:r w:rsidRPr="00A36BC1">
              <w:rPr>
                <w:sz w:val="22"/>
                <w:szCs w:val="22"/>
              </w:rPr>
              <w:t>ingle dose</w:t>
            </w:r>
            <w:r w:rsidR="00A36BC1">
              <w:rPr>
                <w:sz w:val="22"/>
                <w:szCs w:val="22"/>
              </w:rPr>
              <w:t>)</w:t>
            </w:r>
          </w:p>
        </w:tc>
        <w:tc>
          <w:tcPr>
            <w:tcW w:w="893" w:type="pct"/>
          </w:tcPr>
          <w:p w14:paraId="3746DD7A" w14:textId="77777777" w:rsidR="005C660B" w:rsidRPr="00A36BC1" w:rsidRDefault="005C660B" w:rsidP="005C660B">
            <w:pPr>
              <w:pStyle w:val="Tabletext"/>
              <w:rPr>
                <w:sz w:val="22"/>
                <w:szCs w:val="22"/>
              </w:rPr>
            </w:pPr>
            <w:r w:rsidRPr="00A36BC1">
              <w:rPr>
                <w:sz w:val="22"/>
                <w:szCs w:val="22"/>
              </w:rPr>
              <w:t>TRD1001</w:t>
            </w:r>
          </w:p>
        </w:tc>
        <w:tc>
          <w:tcPr>
            <w:tcW w:w="712" w:type="pct"/>
          </w:tcPr>
          <w:p w14:paraId="34AB72CE" w14:textId="77777777" w:rsidR="005C660B" w:rsidRPr="00A36BC1" w:rsidRDefault="005C660B" w:rsidP="005C660B">
            <w:pPr>
              <w:pStyle w:val="Tabletext"/>
              <w:keepNext/>
              <w:jc w:val="center"/>
              <w:rPr>
                <w:sz w:val="22"/>
                <w:szCs w:val="22"/>
              </w:rPr>
            </w:pPr>
            <w:r w:rsidRPr="00A36BC1">
              <w:rPr>
                <w:sz w:val="22"/>
                <w:szCs w:val="22"/>
              </w:rPr>
              <w:t>*</w:t>
            </w:r>
          </w:p>
        </w:tc>
      </w:tr>
      <w:tr w:rsidR="005C660B" w:rsidRPr="00C37A1D" w14:paraId="56C032C9" w14:textId="77777777" w:rsidTr="00D30DEB">
        <w:tc>
          <w:tcPr>
            <w:tcW w:w="956" w:type="pct"/>
            <w:vMerge/>
          </w:tcPr>
          <w:p w14:paraId="6F2E25E9" w14:textId="77777777" w:rsidR="005C660B" w:rsidRPr="00EE453C" w:rsidRDefault="005C660B" w:rsidP="005C660B">
            <w:pPr>
              <w:pStyle w:val="Tabletext"/>
              <w:rPr>
                <w:sz w:val="22"/>
                <w:szCs w:val="22"/>
              </w:rPr>
            </w:pPr>
          </w:p>
        </w:tc>
        <w:tc>
          <w:tcPr>
            <w:tcW w:w="2439" w:type="pct"/>
          </w:tcPr>
          <w:p w14:paraId="58715015" w14:textId="6F9C25CA" w:rsidR="005C660B" w:rsidRPr="00A36BC1" w:rsidRDefault="00A36BC1" w:rsidP="00A36BC1">
            <w:r>
              <w:t>General PK (m</w:t>
            </w:r>
            <w:r w:rsidR="005C660B" w:rsidRPr="00A36BC1">
              <w:t>ulti-dose</w:t>
            </w:r>
            <w:r>
              <w:t>)</w:t>
            </w:r>
          </w:p>
        </w:tc>
        <w:tc>
          <w:tcPr>
            <w:tcW w:w="893" w:type="pct"/>
          </w:tcPr>
          <w:p w14:paraId="0E1A19F6" w14:textId="77777777" w:rsidR="005C660B" w:rsidRPr="00A36BC1" w:rsidRDefault="005C660B" w:rsidP="005C660B">
            <w:pPr>
              <w:pStyle w:val="Tabletext"/>
              <w:rPr>
                <w:sz w:val="22"/>
                <w:szCs w:val="22"/>
              </w:rPr>
            </w:pPr>
            <w:r w:rsidRPr="00A36BC1">
              <w:rPr>
                <w:sz w:val="22"/>
                <w:szCs w:val="22"/>
              </w:rPr>
              <w:t>TRD1010</w:t>
            </w:r>
          </w:p>
        </w:tc>
        <w:tc>
          <w:tcPr>
            <w:tcW w:w="712" w:type="pct"/>
          </w:tcPr>
          <w:p w14:paraId="1A62AE2A" w14:textId="77777777" w:rsidR="005C660B" w:rsidRPr="00A36BC1" w:rsidRDefault="005C660B" w:rsidP="005C660B">
            <w:pPr>
              <w:pStyle w:val="Tabletext"/>
              <w:keepNext/>
              <w:jc w:val="center"/>
              <w:rPr>
                <w:sz w:val="22"/>
                <w:szCs w:val="22"/>
              </w:rPr>
            </w:pPr>
            <w:r w:rsidRPr="00A36BC1">
              <w:rPr>
                <w:sz w:val="22"/>
                <w:szCs w:val="22"/>
              </w:rPr>
              <w:t>*</w:t>
            </w:r>
          </w:p>
        </w:tc>
      </w:tr>
      <w:tr w:rsidR="005C660B" w:rsidRPr="00C37A1D" w14:paraId="0D6C0B7D" w14:textId="77777777" w:rsidTr="00D30DEB">
        <w:tc>
          <w:tcPr>
            <w:tcW w:w="956" w:type="pct"/>
            <w:vMerge/>
          </w:tcPr>
          <w:p w14:paraId="26692555" w14:textId="77777777" w:rsidR="005C660B" w:rsidRPr="00EE453C" w:rsidRDefault="005C660B" w:rsidP="005C660B">
            <w:pPr>
              <w:pStyle w:val="Tabletext"/>
              <w:rPr>
                <w:sz w:val="22"/>
                <w:szCs w:val="22"/>
              </w:rPr>
            </w:pPr>
          </w:p>
        </w:tc>
        <w:tc>
          <w:tcPr>
            <w:tcW w:w="2439" w:type="pct"/>
          </w:tcPr>
          <w:p w14:paraId="2AC9FF54" w14:textId="77777777" w:rsidR="005C660B" w:rsidRPr="00EE453C" w:rsidRDefault="005C660B" w:rsidP="005C660B">
            <w:pPr>
              <w:pStyle w:val="Tabletext"/>
              <w:rPr>
                <w:sz w:val="22"/>
                <w:szCs w:val="22"/>
              </w:rPr>
            </w:pPr>
            <w:r w:rsidRPr="00EE453C">
              <w:rPr>
                <w:sz w:val="22"/>
                <w:szCs w:val="22"/>
              </w:rPr>
              <w:t>Nasal guide effect</w:t>
            </w:r>
          </w:p>
        </w:tc>
        <w:tc>
          <w:tcPr>
            <w:tcW w:w="893" w:type="pct"/>
          </w:tcPr>
          <w:p w14:paraId="2254FE01" w14:textId="77777777" w:rsidR="005C660B" w:rsidRPr="00EE453C" w:rsidRDefault="005C660B" w:rsidP="005C660B">
            <w:pPr>
              <w:pStyle w:val="Tabletext"/>
              <w:rPr>
                <w:sz w:val="22"/>
                <w:szCs w:val="22"/>
              </w:rPr>
            </w:pPr>
            <w:r w:rsidRPr="00EE453C">
              <w:rPr>
                <w:color w:val="auto"/>
                <w:sz w:val="22"/>
                <w:szCs w:val="22"/>
              </w:rPr>
              <w:t>TRD1004</w:t>
            </w:r>
          </w:p>
        </w:tc>
        <w:tc>
          <w:tcPr>
            <w:tcW w:w="712" w:type="pct"/>
          </w:tcPr>
          <w:p w14:paraId="31A12097"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C37A1D" w14:paraId="1BF055CA" w14:textId="77777777" w:rsidTr="00D30DEB">
        <w:tc>
          <w:tcPr>
            <w:tcW w:w="956" w:type="pct"/>
            <w:vMerge/>
          </w:tcPr>
          <w:p w14:paraId="05016A98" w14:textId="77777777" w:rsidR="005C660B" w:rsidRPr="00EE453C" w:rsidRDefault="005C660B" w:rsidP="005C660B">
            <w:pPr>
              <w:pStyle w:val="Tabletext"/>
              <w:rPr>
                <w:sz w:val="22"/>
                <w:szCs w:val="22"/>
              </w:rPr>
            </w:pPr>
          </w:p>
        </w:tc>
        <w:tc>
          <w:tcPr>
            <w:tcW w:w="2439" w:type="pct"/>
          </w:tcPr>
          <w:p w14:paraId="2262F4D4" w14:textId="77777777" w:rsidR="005C660B" w:rsidRPr="00EE453C" w:rsidRDefault="005C660B" w:rsidP="005C660B">
            <w:pPr>
              <w:pStyle w:val="Tabletext"/>
              <w:rPr>
                <w:sz w:val="22"/>
                <w:szCs w:val="22"/>
              </w:rPr>
            </w:pPr>
            <w:r w:rsidRPr="00EE453C">
              <w:rPr>
                <w:sz w:val="22"/>
                <w:szCs w:val="22"/>
              </w:rPr>
              <w:t>Mass balance</w:t>
            </w:r>
          </w:p>
        </w:tc>
        <w:tc>
          <w:tcPr>
            <w:tcW w:w="893" w:type="pct"/>
          </w:tcPr>
          <w:p w14:paraId="495737EA" w14:textId="77777777" w:rsidR="005C660B" w:rsidRPr="00EE453C" w:rsidRDefault="005C660B" w:rsidP="005C660B">
            <w:pPr>
              <w:pStyle w:val="Tabletext"/>
              <w:rPr>
                <w:sz w:val="22"/>
                <w:szCs w:val="22"/>
              </w:rPr>
            </w:pPr>
            <w:r w:rsidRPr="00EE453C">
              <w:rPr>
                <w:sz w:val="22"/>
                <w:szCs w:val="22"/>
              </w:rPr>
              <w:t>TRD1016</w:t>
            </w:r>
          </w:p>
        </w:tc>
        <w:tc>
          <w:tcPr>
            <w:tcW w:w="712" w:type="pct"/>
          </w:tcPr>
          <w:p w14:paraId="3208F01D"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6B90097C" w14:textId="77777777" w:rsidTr="00D30DEB">
        <w:tc>
          <w:tcPr>
            <w:tcW w:w="956" w:type="pct"/>
            <w:vMerge/>
          </w:tcPr>
          <w:p w14:paraId="6E17E445" w14:textId="77777777" w:rsidR="005C660B" w:rsidRPr="00EE453C" w:rsidRDefault="005C660B" w:rsidP="005C660B">
            <w:pPr>
              <w:pStyle w:val="Tabletext"/>
              <w:rPr>
                <w:sz w:val="22"/>
                <w:szCs w:val="22"/>
              </w:rPr>
            </w:pPr>
          </w:p>
        </w:tc>
        <w:tc>
          <w:tcPr>
            <w:tcW w:w="2439" w:type="pct"/>
          </w:tcPr>
          <w:p w14:paraId="259D2C9F" w14:textId="77777777" w:rsidR="005C660B" w:rsidRPr="00EE453C" w:rsidRDefault="005C660B" w:rsidP="005C660B">
            <w:pPr>
              <w:pStyle w:val="Tabletext"/>
              <w:rPr>
                <w:sz w:val="22"/>
                <w:szCs w:val="22"/>
              </w:rPr>
            </w:pPr>
            <w:r w:rsidRPr="00EE453C">
              <w:rPr>
                <w:sz w:val="22"/>
                <w:szCs w:val="22"/>
              </w:rPr>
              <w:t>Absolute bioavailability</w:t>
            </w:r>
          </w:p>
        </w:tc>
        <w:tc>
          <w:tcPr>
            <w:tcW w:w="893" w:type="pct"/>
          </w:tcPr>
          <w:p w14:paraId="19C5857D" w14:textId="77777777" w:rsidR="005C660B" w:rsidRPr="00EE453C" w:rsidRDefault="005C660B" w:rsidP="005C660B">
            <w:pPr>
              <w:pStyle w:val="Tabletext"/>
              <w:rPr>
                <w:sz w:val="22"/>
                <w:szCs w:val="22"/>
              </w:rPr>
            </w:pPr>
            <w:r w:rsidRPr="00EE453C">
              <w:rPr>
                <w:color w:val="auto"/>
                <w:sz w:val="22"/>
                <w:szCs w:val="22"/>
              </w:rPr>
              <w:t>TRD1009</w:t>
            </w:r>
          </w:p>
        </w:tc>
        <w:tc>
          <w:tcPr>
            <w:tcW w:w="712" w:type="pct"/>
          </w:tcPr>
          <w:p w14:paraId="499EC8F4" w14:textId="77777777" w:rsidR="005C660B" w:rsidRPr="00EE453C" w:rsidRDefault="005C660B" w:rsidP="005C660B">
            <w:pPr>
              <w:pStyle w:val="Tabletext"/>
              <w:keepNext/>
              <w:jc w:val="center"/>
              <w:rPr>
                <w:sz w:val="22"/>
                <w:szCs w:val="22"/>
              </w:rPr>
            </w:pPr>
          </w:p>
        </w:tc>
      </w:tr>
      <w:tr w:rsidR="005C660B" w14:paraId="2092A896" w14:textId="77777777" w:rsidTr="00D30DEB">
        <w:tc>
          <w:tcPr>
            <w:tcW w:w="956" w:type="pct"/>
            <w:vMerge/>
          </w:tcPr>
          <w:p w14:paraId="0FC8D9E1" w14:textId="77777777" w:rsidR="005C660B" w:rsidRPr="00EE453C" w:rsidRDefault="005C660B" w:rsidP="005C660B">
            <w:pPr>
              <w:pStyle w:val="Tabletext"/>
              <w:rPr>
                <w:sz w:val="22"/>
                <w:szCs w:val="22"/>
              </w:rPr>
            </w:pPr>
          </w:p>
        </w:tc>
        <w:tc>
          <w:tcPr>
            <w:tcW w:w="2439" w:type="pct"/>
          </w:tcPr>
          <w:p w14:paraId="275B3BB8" w14:textId="77777777" w:rsidR="005C660B" w:rsidRPr="00EE453C" w:rsidRDefault="005C660B" w:rsidP="005C660B">
            <w:pPr>
              <w:pStyle w:val="Tabletext"/>
              <w:rPr>
                <w:sz w:val="22"/>
                <w:szCs w:val="22"/>
              </w:rPr>
            </w:pPr>
            <w:r w:rsidRPr="00EE453C">
              <w:rPr>
                <w:sz w:val="22"/>
                <w:szCs w:val="22"/>
              </w:rPr>
              <w:t>Relative bioavailability</w:t>
            </w:r>
          </w:p>
        </w:tc>
        <w:tc>
          <w:tcPr>
            <w:tcW w:w="893" w:type="pct"/>
          </w:tcPr>
          <w:p w14:paraId="720ED769" w14:textId="77777777" w:rsidR="005C660B" w:rsidRPr="00EE453C" w:rsidRDefault="005C660B" w:rsidP="005C660B">
            <w:pPr>
              <w:pStyle w:val="Tabletext"/>
              <w:rPr>
                <w:sz w:val="22"/>
                <w:szCs w:val="22"/>
              </w:rPr>
            </w:pPr>
            <w:r w:rsidRPr="00EE453C">
              <w:rPr>
                <w:sz w:val="22"/>
                <w:szCs w:val="22"/>
              </w:rPr>
              <w:t>TRD1003</w:t>
            </w:r>
          </w:p>
        </w:tc>
        <w:tc>
          <w:tcPr>
            <w:tcW w:w="712" w:type="pct"/>
          </w:tcPr>
          <w:p w14:paraId="3E6AC19E" w14:textId="77777777" w:rsidR="005C660B" w:rsidRPr="00EE453C" w:rsidRDefault="005C660B" w:rsidP="005C660B">
            <w:pPr>
              <w:pStyle w:val="Tabletext"/>
              <w:keepNext/>
              <w:jc w:val="center"/>
              <w:rPr>
                <w:sz w:val="22"/>
                <w:szCs w:val="22"/>
              </w:rPr>
            </w:pPr>
          </w:p>
        </w:tc>
      </w:tr>
      <w:tr w:rsidR="005C660B" w:rsidRPr="00C37A1D" w14:paraId="3B5BF60E" w14:textId="77777777" w:rsidTr="00A36BC1">
        <w:trPr>
          <w:cantSplit/>
        </w:trPr>
        <w:tc>
          <w:tcPr>
            <w:tcW w:w="956" w:type="pct"/>
            <w:vMerge w:val="restart"/>
          </w:tcPr>
          <w:p w14:paraId="355A4255" w14:textId="77777777" w:rsidR="005C660B" w:rsidRPr="00A36BC1" w:rsidRDefault="005C660B" w:rsidP="005C660B">
            <w:pPr>
              <w:pStyle w:val="Tabletext"/>
              <w:rPr>
                <w:b/>
                <w:sz w:val="22"/>
                <w:szCs w:val="22"/>
              </w:rPr>
            </w:pPr>
            <w:r w:rsidRPr="00A36BC1">
              <w:rPr>
                <w:b/>
                <w:sz w:val="22"/>
                <w:szCs w:val="22"/>
              </w:rPr>
              <w:t>PK in special populations</w:t>
            </w:r>
          </w:p>
        </w:tc>
        <w:tc>
          <w:tcPr>
            <w:tcW w:w="2439" w:type="pct"/>
          </w:tcPr>
          <w:p w14:paraId="62AF876D" w14:textId="77777777" w:rsidR="005C660B" w:rsidRPr="00A36BC1" w:rsidRDefault="005C660B" w:rsidP="005C660B">
            <w:pPr>
              <w:pStyle w:val="Tabletext"/>
              <w:tabs>
                <w:tab w:val="left" w:pos="1877"/>
              </w:tabs>
              <w:rPr>
                <w:sz w:val="22"/>
                <w:szCs w:val="22"/>
              </w:rPr>
            </w:pPr>
            <w:r w:rsidRPr="00A36BC1">
              <w:rPr>
                <w:sz w:val="22"/>
                <w:szCs w:val="22"/>
              </w:rPr>
              <w:t>Target population - Single / multi-dose</w:t>
            </w:r>
          </w:p>
        </w:tc>
        <w:tc>
          <w:tcPr>
            <w:tcW w:w="893" w:type="pct"/>
          </w:tcPr>
          <w:p w14:paraId="02EB448E" w14:textId="77777777" w:rsidR="005C660B" w:rsidRPr="00A36BC1" w:rsidRDefault="005C660B" w:rsidP="005C660B">
            <w:pPr>
              <w:pStyle w:val="Tabletext"/>
              <w:rPr>
                <w:sz w:val="22"/>
                <w:szCs w:val="22"/>
              </w:rPr>
            </w:pPr>
            <w:r w:rsidRPr="00A36BC1">
              <w:rPr>
                <w:sz w:val="22"/>
                <w:szCs w:val="22"/>
              </w:rPr>
              <w:t>TRD2001</w:t>
            </w:r>
          </w:p>
        </w:tc>
        <w:tc>
          <w:tcPr>
            <w:tcW w:w="712" w:type="pct"/>
          </w:tcPr>
          <w:p w14:paraId="16B1BAE7" w14:textId="77777777" w:rsidR="005C660B" w:rsidRPr="00A36BC1" w:rsidRDefault="005C660B" w:rsidP="005C660B">
            <w:pPr>
              <w:pStyle w:val="Tabletext"/>
              <w:keepNext/>
              <w:jc w:val="center"/>
              <w:rPr>
                <w:sz w:val="22"/>
                <w:szCs w:val="22"/>
              </w:rPr>
            </w:pPr>
            <w:r w:rsidRPr="00A36BC1">
              <w:rPr>
                <w:sz w:val="22"/>
                <w:szCs w:val="22"/>
              </w:rPr>
              <w:t>*</w:t>
            </w:r>
          </w:p>
        </w:tc>
      </w:tr>
      <w:tr w:rsidR="005C660B" w:rsidRPr="00C37A1D" w14:paraId="5E6AFF7E" w14:textId="77777777" w:rsidTr="00A36BC1">
        <w:trPr>
          <w:cantSplit/>
        </w:trPr>
        <w:tc>
          <w:tcPr>
            <w:tcW w:w="956" w:type="pct"/>
            <w:vMerge/>
          </w:tcPr>
          <w:p w14:paraId="51FB422A" w14:textId="77777777" w:rsidR="005C660B" w:rsidRPr="00EE453C" w:rsidRDefault="005C660B" w:rsidP="005C660B">
            <w:pPr>
              <w:pStyle w:val="Tabletext"/>
              <w:rPr>
                <w:sz w:val="22"/>
                <w:szCs w:val="22"/>
              </w:rPr>
            </w:pPr>
          </w:p>
        </w:tc>
        <w:tc>
          <w:tcPr>
            <w:tcW w:w="2439" w:type="pct"/>
          </w:tcPr>
          <w:p w14:paraId="2F261F3F" w14:textId="77777777" w:rsidR="005C660B" w:rsidRPr="00EE453C" w:rsidRDefault="005C660B" w:rsidP="005C660B">
            <w:pPr>
              <w:pStyle w:val="Tabletext"/>
              <w:rPr>
                <w:sz w:val="22"/>
                <w:szCs w:val="22"/>
              </w:rPr>
            </w:pPr>
            <w:r w:rsidRPr="00EE453C">
              <w:rPr>
                <w:sz w:val="22"/>
                <w:szCs w:val="22"/>
              </w:rPr>
              <w:t>Hepatic impairment</w:t>
            </w:r>
          </w:p>
        </w:tc>
        <w:tc>
          <w:tcPr>
            <w:tcW w:w="893" w:type="pct"/>
          </w:tcPr>
          <w:p w14:paraId="6489937E" w14:textId="77777777" w:rsidR="005C660B" w:rsidRPr="00EE453C" w:rsidRDefault="005C660B" w:rsidP="005C660B">
            <w:pPr>
              <w:pStyle w:val="Tabletext"/>
              <w:rPr>
                <w:sz w:val="22"/>
                <w:szCs w:val="22"/>
              </w:rPr>
            </w:pPr>
            <w:r w:rsidRPr="00EE453C">
              <w:rPr>
                <w:sz w:val="22"/>
                <w:szCs w:val="22"/>
              </w:rPr>
              <w:t>TRD1011</w:t>
            </w:r>
          </w:p>
        </w:tc>
        <w:tc>
          <w:tcPr>
            <w:tcW w:w="712" w:type="pct"/>
          </w:tcPr>
          <w:p w14:paraId="0CEC404A"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C37A1D" w14:paraId="46AC36BE" w14:textId="77777777" w:rsidTr="00A36BC1">
        <w:trPr>
          <w:cantSplit/>
        </w:trPr>
        <w:tc>
          <w:tcPr>
            <w:tcW w:w="956" w:type="pct"/>
            <w:vMerge/>
          </w:tcPr>
          <w:p w14:paraId="49D86FD8" w14:textId="77777777" w:rsidR="005C660B" w:rsidRPr="00EE453C" w:rsidRDefault="005C660B" w:rsidP="005C660B">
            <w:pPr>
              <w:pStyle w:val="Tabletext"/>
              <w:rPr>
                <w:sz w:val="22"/>
                <w:szCs w:val="22"/>
              </w:rPr>
            </w:pPr>
          </w:p>
        </w:tc>
        <w:tc>
          <w:tcPr>
            <w:tcW w:w="2439" w:type="pct"/>
          </w:tcPr>
          <w:p w14:paraId="0F47A0F7" w14:textId="77777777" w:rsidR="005C660B" w:rsidRPr="00EE453C" w:rsidRDefault="005C660B" w:rsidP="005C660B">
            <w:pPr>
              <w:pStyle w:val="Tabletext"/>
              <w:rPr>
                <w:sz w:val="22"/>
                <w:szCs w:val="22"/>
              </w:rPr>
            </w:pPr>
            <w:r w:rsidRPr="00EE453C">
              <w:rPr>
                <w:sz w:val="22"/>
                <w:szCs w:val="22"/>
              </w:rPr>
              <w:t>Renal impairment</w:t>
            </w:r>
          </w:p>
        </w:tc>
        <w:tc>
          <w:tcPr>
            <w:tcW w:w="893" w:type="pct"/>
          </w:tcPr>
          <w:p w14:paraId="49F6E1FF" w14:textId="77777777" w:rsidR="005C660B" w:rsidRPr="00EE453C" w:rsidRDefault="005C660B" w:rsidP="005C660B">
            <w:pPr>
              <w:pStyle w:val="Tabletext"/>
              <w:rPr>
                <w:sz w:val="22"/>
                <w:szCs w:val="22"/>
              </w:rPr>
            </w:pPr>
            <w:r w:rsidRPr="00EE453C">
              <w:rPr>
                <w:sz w:val="22"/>
                <w:szCs w:val="22"/>
              </w:rPr>
              <w:t>TRD1014</w:t>
            </w:r>
          </w:p>
        </w:tc>
        <w:tc>
          <w:tcPr>
            <w:tcW w:w="712" w:type="pct"/>
          </w:tcPr>
          <w:p w14:paraId="1F48CB4E"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C37A1D" w14:paraId="12294AC7" w14:textId="77777777" w:rsidTr="00A36BC1">
        <w:trPr>
          <w:cantSplit/>
        </w:trPr>
        <w:tc>
          <w:tcPr>
            <w:tcW w:w="956" w:type="pct"/>
            <w:vMerge/>
          </w:tcPr>
          <w:p w14:paraId="57BCF4D5" w14:textId="77777777" w:rsidR="005C660B" w:rsidRPr="00EE453C" w:rsidRDefault="005C660B" w:rsidP="005C660B">
            <w:pPr>
              <w:pStyle w:val="Tabletext"/>
              <w:rPr>
                <w:sz w:val="22"/>
                <w:szCs w:val="22"/>
              </w:rPr>
            </w:pPr>
          </w:p>
        </w:tc>
        <w:tc>
          <w:tcPr>
            <w:tcW w:w="2439" w:type="pct"/>
          </w:tcPr>
          <w:p w14:paraId="0709791B" w14:textId="77777777" w:rsidR="005C660B" w:rsidRPr="00EE453C" w:rsidRDefault="005C660B" w:rsidP="005C660B">
            <w:pPr>
              <w:pStyle w:val="Tabletext"/>
              <w:rPr>
                <w:sz w:val="22"/>
                <w:szCs w:val="22"/>
              </w:rPr>
            </w:pPr>
            <w:r w:rsidRPr="00EE453C">
              <w:rPr>
                <w:sz w:val="22"/>
                <w:szCs w:val="22"/>
              </w:rPr>
              <w:t>Elderly</w:t>
            </w:r>
          </w:p>
        </w:tc>
        <w:tc>
          <w:tcPr>
            <w:tcW w:w="893" w:type="pct"/>
          </w:tcPr>
          <w:p w14:paraId="1177BF9A" w14:textId="77777777" w:rsidR="005C660B" w:rsidRPr="00EE453C" w:rsidRDefault="005C660B" w:rsidP="005C660B">
            <w:pPr>
              <w:pStyle w:val="Tabletext"/>
              <w:rPr>
                <w:sz w:val="22"/>
                <w:szCs w:val="22"/>
              </w:rPr>
            </w:pPr>
            <w:r w:rsidRPr="00EE453C">
              <w:rPr>
                <w:sz w:val="22"/>
                <w:szCs w:val="22"/>
              </w:rPr>
              <w:t>TRD1003</w:t>
            </w:r>
          </w:p>
          <w:p w14:paraId="39FE32AA" w14:textId="77777777" w:rsidR="005C660B" w:rsidRPr="00EE453C" w:rsidRDefault="005C660B" w:rsidP="005C660B">
            <w:pPr>
              <w:pStyle w:val="Tabletext"/>
              <w:rPr>
                <w:sz w:val="22"/>
                <w:szCs w:val="22"/>
              </w:rPr>
            </w:pPr>
            <w:r w:rsidRPr="00EE453C">
              <w:rPr>
                <w:sz w:val="22"/>
                <w:szCs w:val="22"/>
              </w:rPr>
              <w:t>TRD1012</w:t>
            </w:r>
          </w:p>
          <w:p w14:paraId="67EA74AE" w14:textId="77777777" w:rsidR="005C660B" w:rsidRPr="00EE453C" w:rsidRDefault="005C660B" w:rsidP="005C660B">
            <w:pPr>
              <w:pStyle w:val="Tabletext"/>
              <w:rPr>
                <w:sz w:val="22"/>
                <w:szCs w:val="22"/>
              </w:rPr>
            </w:pPr>
            <w:r w:rsidRPr="00EE453C">
              <w:rPr>
                <w:sz w:val="22"/>
                <w:szCs w:val="22"/>
              </w:rPr>
              <w:t>TRD1018</w:t>
            </w:r>
          </w:p>
        </w:tc>
        <w:tc>
          <w:tcPr>
            <w:tcW w:w="712" w:type="pct"/>
          </w:tcPr>
          <w:p w14:paraId="288B17A5" w14:textId="77777777" w:rsidR="005C660B" w:rsidRPr="00EE453C" w:rsidRDefault="005C660B" w:rsidP="005C660B">
            <w:pPr>
              <w:pStyle w:val="Tabletext"/>
              <w:keepNext/>
              <w:jc w:val="center"/>
              <w:rPr>
                <w:sz w:val="22"/>
                <w:szCs w:val="22"/>
              </w:rPr>
            </w:pPr>
            <w:r w:rsidRPr="00EE453C">
              <w:rPr>
                <w:sz w:val="22"/>
                <w:szCs w:val="22"/>
              </w:rPr>
              <w:t>*</w:t>
            </w:r>
          </w:p>
          <w:p w14:paraId="7B16E603" w14:textId="77777777" w:rsidR="005C660B" w:rsidRPr="00EE453C" w:rsidRDefault="005C660B" w:rsidP="005C660B">
            <w:pPr>
              <w:pStyle w:val="Tabletext"/>
              <w:keepNext/>
              <w:jc w:val="center"/>
              <w:rPr>
                <w:sz w:val="22"/>
                <w:szCs w:val="22"/>
              </w:rPr>
            </w:pPr>
            <w:r w:rsidRPr="00EE453C">
              <w:rPr>
                <w:sz w:val="22"/>
                <w:szCs w:val="22"/>
              </w:rPr>
              <w:t>*</w:t>
            </w:r>
          </w:p>
          <w:p w14:paraId="3882EF76"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2E4AE5B5" w14:textId="77777777" w:rsidTr="00A36BC1">
        <w:trPr>
          <w:cantSplit/>
        </w:trPr>
        <w:tc>
          <w:tcPr>
            <w:tcW w:w="956" w:type="pct"/>
            <w:vMerge/>
          </w:tcPr>
          <w:p w14:paraId="55265DA7" w14:textId="77777777" w:rsidR="005C660B" w:rsidRPr="00EE453C" w:rsidRDefault="005C660B" w:rsidP="005C660B">
            <w:pPr>
              <w:pStyle w:val="Tabletext"/>
              <w:rPr>
                <w:sz w:val="22"/>
                <w:szCs w:val="22"/>
              </w:rPr>
            </w:pPr>
          </w:p>
        </w:tc>
        <w:tc>
          <w:tcPr>
            <w:tcW w:w="2439" w:type="pct"/>
          </w:tcPr>
          <w:p w14:paraId="3BE3B3B3" w14:textId="1E5E22D1" w:rsidR="005C660B" w:rsidRPr="00EE453C" w:rsidRDefault="00D30DEB" w:rsidP="005C660B">
            <w:pPr>
              <w:pStyle w:val="Tabletext"/>
              <w:rPr>
                <w:sz w:val="22"/>
                <w:szCs w:val="22"/>
              </w:rPr>
            </w:pPr>
            <w:r w:rsidRPr="00EE453C">
              <w:rPr>
                <w:sz w:val="22"/>
                <w:szCs w:val="22"/>
              </w:rPr>
              <w:t>Race effect (Asian versus</w:t>
            </w:r>
            <w:r w:rsidR="003938C9">
              <w:rPr>
                <w:sz w:val="22"/>
                <w:szCs w:val="22"/>
              </w:rPr>
              <w:t xml:space="preserve"> W</w:t>
            </w:r>
            <w:r w:rsidR="005C660B" w:rsidRPr="00EE453C">
              <w:rPr>
                <w:sz w:val="22"/>
                <w:szCs w:val="22"/>
              </w:rPr>
              <w:t>hite)</w:t>
            </w:r>
          </w:p>
        </w:tc>
        <w:tc>
          <w:tcPr>
            <w:tcW w:w="893" w:type="pct"/>
          </w:tcPr>
          <w:p w14:paraId="2971A050" w14:textId="77777777" w:rsidR="005C660B" w:rsidRPr="00EE453C" w:rsidRDefault="005C660B" w:rsidP="005C660B">
            <w:pPr>
              <w:pStyle w:val="Tabletext"/>
              <w:rPr>
                <w:sz w:val="22"/>
                <w:szCs w:val="22"/>
              </w:rPr>
            </w:pPr>
            <w:r w:rsidRPr="00EE453C">
              <w:rPr>
                <w:sz w:val="22"/>
                <w:szCs w:val="22"/>
              </w:rPr>
              <w:t>TRD1002</w:t>
            </w:r>
          </w:p>
          <w:p w14:paraId="071FDF14" w14:textId="77777777" w:rsidR="005C660B" w:rsidRPr="00EE453C" w:rsidRDefault="005C660B" w:rsidP="005C660B">
            <w:pPr>
              <w:pStyle w:val="Tabletext"/>
              <w:rPr>
                <w:sz w:val="22"/>
                <w:szCs w:val="22"/>
              </w:rPr>
            </w:pPr>
            <w:r w:rsidRPr="00EE453C">
              <w:rPr>
                <w:sz w:val="22"/>
                <w:szCs w:val="22"/>
              </w:rPr>
              <w:t>TRD1008</w:t>
            </w:r>
          </w:p>
        </w:tc>
        <w:tc>
          <w:tcPr>
            <w:tcW w:w="712" w:type="pct"/>
          </w:tcPr>
          <w:p w14:paraId="6CBDB6B7" w14:textId="77777777" w:rsidR="005C660B" w:rsidRPr="00EE453C" w:rsidRDefault="005C660B" w:rsidP="005C660B">
            <w:pPr>
              <w:pStyle w:val="Tabletext"/>
              <w:keepNext/>
              <w:jc w:val="center"/>
              <w:rPr>
                <w:sz w:val="22"/>
                <w:szCs w:val="22"/>
              </w:rPr>
            </w:pPr>
            <w:r w:rsidRPr="00EE453C">
              <w:rPr>
                <w:sz w:val="22"/>
                <w:szCs w:val="22"/>
              </w:rPr>
              <w:t>*</w:t>
            </w:r>
          </w:p>
          <w:p w14:paraId="45176A04"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35C7C2E6" w14:textId="77777777" w:rsidTr="00A36BC1">
        <w:trPr>
          <w:cantSplit/>
        </w:trPr>
        <w:tc>
          <w:tcPr>
            <w:tcW w:w="956" w:type="pct"/>
            <w:vMerge/>
          </w:tcPr>
          <w:p w14:paraId="0A5B2AD2" w14:textId="77777777" w:rsidR="005C660B" w:rsidRPr="00EE453C" w:rsidRDefault="005C660B" w:rsidP="005C660B">
            <w:pPr>
              <w:pStyle w:val="Tabletext"/>
              <w:rPr>
                <w:sz w:val="22"/>
                <w:szCs w:val="22"/>
              </w:rPr>
            </w:pPr>
          </w:p>
        </w:tc>
        <w:tc>
          <w:tcPr>
            <w:tcW w:w="2439" w:type="pct"/>
          </w:tcPr>
          <w:p w14:paraId="66867A80" w14:textId="77777777" w:rsidR="005C660B" w:rsidRPr="00EE453C" w:rsidRDefault="005C660B" w:rsidP="005C660B">
            <w:pPr>
              <w:pStyle w:val="Tabletext"/>
              <w:rPr>
                <w:sz w:val="22"/>
                <w:szCs w:val="22"/>
              </w:rPr>
            </w:pPr>
            <w:r w:rsidRPr="00EE453C">
              <w:rPr>
                <w:sz w:val="22"/>
                <w:szCs w:val="22"/>
              </w:rPr>
              <w:t>Allergic rhinitis</w:t>
            </w:r>
          </w:p>
        </w:tc>
        <w:tc>
          <w:tcPr>
            <w:tcW w:w="893" w:type="pct"/>
          </w:tcPr>
          <w:p w14:paraId="501673E4" w14:textId="77777777" w:rsidR="005C660B" w:rsidRPr="00EE453C" w:rsidRDefault="005C660B" w:rsidP="005C660B">
            <w:pPr>
              <w:pStyle w:val="Tabletext"/>
              <w:rPr>
                <w:sz w:val="22"/>
                <w:szCs w:val="22"/>
              </w:rPr>
            </w:pPr>
            <w:r w:rsidRPr="00EE453C">
              <w:rPr>
                <w:sz w:val="22"/>
                <w:szCs w:val="22"/>
              </w:rPr>
              <w:t>TRD1007</w:t>
            </w:r>
          </w:p>
        </w:tc>
        <w:tc>
          <w:tcPr>
            <w:tcW w:w="712" w:type="pct"/>
          </w:tcPr>
          <w:p w14:paraId="0868C12E"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C37A1D" w14:paraId="680AA630" w14:textId="77777777" w:rsidTr="00D30DEB">
        <w:tc>
          <w:tcPr>
            <w:tcW w:w="956" w:type="pct"/>
            <w:vMerge w:val="restart"/>
          </w:tcPr>
          <w:p w14:paraId="4B8CCC71" w14:textId="77777777" w:rsidR="005C660B" w:rsidRPr="00EE453C" w:rsidRDefault="005C660B" w:rsidP="005C660B">
            <w:pPr>
              <w:pStyle w:val="Tabletext"/>
              <w:rPr>
                <w:b/>
                <w:sz w:val="22"/>
                <w:szCs w:val="22"/>
              </w:rPr>
            </w:pPr>
            <w:r w:rsidRPr="00EE453C">
              <w:rPr>
                <w:b/>
                <w:sz w:val="22"/>
                <w:szCs w:val="22"/>
              </w:rPr>
              <w:t>PK interactions</w:t>
            </w:r>
          </w:p>
        </w:tc>
        <w:tc>
          <w:tcPr>
            <w:tcW w:w="2439" w:type="pct"/>
          </w:tcPr>
          <w:p w14:paraId="738BF18D" w14:textId="77777777" w:rsidR="005C660B" w:rsidRPr="00EE453C" w:rsidRDefault="00D30DEB" w:rsidP="005C660B">
            <w:pPr>
              <w:pStyle w:val="Tabletext"/>
              <w:rPr>
                <w:sz w:val="22"/>
                <w:szCs w:val="22"/>
              </w:rPr>
            </w:pPr>
            <w:r w:rsidRPr="00EE453C">
              <w:rPr>
                <w:sz w:val="22"/>
                <w:szCs w:val="22"/>
              </w:rPr>
              <w:t>Induction potential (CYP3A4 and</w:t>
            </w:r>
            <w:r w:rsidR="005C660B" w:rsidRPr="00EE453C">
              <w:rPr>
                <w:sz w:val="22"/>
                <w:szCs w:val="22"/>
              </w:rPr>
              <w:t xml:space="preserve"> CYP2B6)</w:t>
            </w:r>
          </w:p>
        </w:tc>
        <w:tc>
          <w:tcPr>
            <w:tcW w:w="893" w:type="pct"/>
          </w:tcPr>
          <w:p w14:paraId="5ABE9AA5" w14:textId="77777777" w:rsidR="005C660B" w:rsidRPr="00EE453C" w:rsidRDefault="005C660B" w:rsidP="005C660B">
            <w:pPr>
              <w:pStyle w:val="Tabletext"/>
              <w:rPr>
                <w:sz w:val="22"/>
                <w:szCs w:val="22"/>
              </w:rPr>
            </w:pPr>
            <w:r w:rsidRPr="00EE453C">
              <w:rPr>
                <w:sz w:val="22"/>
                <w:szCs w:val="22"/>
              </w:rPr>
              <w:t>TRD1010</w:t>
            </w:r>
          </w:p>
        </w:tc>
        <w:tc>
          <w:tcPr>
            <w:tcW w:w="712" w:type="pct"/>
          </w:tcPr>
          <w:p w14:paraId="5D3F7F7C"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61D28BCD" w14:textId="77777777" w:rsidTr="00D30DEB">
        <w:tc>
          <w:tcPr>
            <w:tcW w:w="956" w:type="pct"/>
            <w:vMerge/>
          </w:tcPr>
          <w:p w14:paraId="7B968016" w14:textId="77777777" w:rsidR="005C660B" w:rsidRPr="00EE453C" w:rsidRDefault="005C660B" w:rsidP="005C660B">
            <w:pPr>
              <w:pStyle w:val="Tabletext"/>
              <w:rPr>
                <w:sz w:val="22"/>
                <w:szCs w:val="22"/>
              </w:rPr>
            </w:pPr>
          </w:p>
        </w:tc>
        <w:tc>
          <w:tcPr>
            <w:tcW w:w="2439" w:type="pct"/>
          </w:tcPr>
          <w:p w14:paraId="57BCC779" w14:textId="77777777" w:rsidR="005C660B" w:rsidRPr="00EE453C" w:rsidRDefault="005C660B" w:rsidP="005C660B">
            <w:pPr>
              <w:pStyle w:val="Tabletext"/>
              <w:rPr>
                <w:sz w:val="22"/>
                <w:szCs w:val="22"/>
              </w:rPr>
            </w:pPr>
            <w:r w:rsidRPr="00EE453C">
              <w:rPr>
                <w:sz w:val="22"/>
                <w:szCs w:val="22"/>
              </w:rPr>
              <w:t>Rifampicin</w:t>
            </w:r>
          </w:p>
        </w:tc>
        <w:tc>
          <w:tcPr>
            <w:tcW w:w="893" w:type="pct"/>
          </w:tcPr>
          <w:p w14:paraId="003D53FD" w14:textId="77777777" w:rsidR="005C660B" w:rsidRPr="00EE453C" w:rsidRDefault="005C660B" w:rsidP="005C660B">
            <w:pPr>
              <w:pStyle w:val="Tabletext"/>
              <w:rPr>
                <w:sz w:val="22"/>
                <w:szCs w:val="22"/>
              </w:rPr>
            </w:pPr>
            <w:r w:rsidRPr="00EE453C">
              <w:rPr>
                <w:sz w:val="22"/>
                <w:szCs w:val="22"/>
              </w:rPr>
              <w:t>TRD1008</w:t>
            </w:r>
          </w:p>
        </w:tc>
        <w:tc>
          <w:tcPr>
            <w:tcW w:w="712" w:type="pct"/>
          </w:tcPr>
          <w:p w14:paraId="4BCBBB05"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C37A1D" w14:paraId="6D385987" w14:textId="77777777" w:rsidTr="00D30DEB">
        <w:tc>
          <w:tcPr>
            <w:tcW w:w="956" w:type="pct"/>
            <w:vMerge/>
          </w:tcPr>
          <w:p w14:paraId="654A2FA8" w14:textId="77777777" w:rsidR="005C660B" w:rsidRPr="00EE453C" w:rsidRDefault="005C660B" w:rsidP="005C660B">
            <w:pPr>
              <w:pStyle w:val="Tabletext"/>
              <w:rPr>
                <w:sz w:val="22"/>
                <w:szCs w:val="22"/>
              </w:rPr>
            </w:pPr>
          </w:p>
        </w:tc>
        <w:tc>
          <w:tcPr>
            <w:tcW w:w="2439" w:type="pct"/>
          </w:tcPr>
          <w:p w14:paraId="6A13275B" w14:textId="77777777" w:rsidR="005C660B" w:rsidRPr="00EE453C" w:rsidRDefault="005C660B" w:rsidP="005C660B">
            <w:pPr>
              <w:pStyle w:val="Tabletext"/>
              <w:rPr>
                <w:sz w:val="22"/>
                <w:szCs w:val="22"/>
              </w:rPr>
            </w:pPr>
            <w:r w:rsidRPr="00EE453C">
              <w:rPr>
                <w:sz w:val="22"/>
                <w:szCs w:val="22"/>
              </w:rPr>
              <w:t xml:space="preserve">Mometasone / </w:t>
            </w:r>
            <w:proofErr w:type="spellStart"/>
            <w:r w:rsidRPr="00EE453C">
              <w:rPr>
                <w:sz w:val="22"/>
                <w:szCs w:val="22"/>
              </w:rPr>
              <w:t>oxymetazoline</w:t>
            </w:r>
            <w:proofErr w:type="spellEnd"/>
          </w:p>
        </w:tc>
        <w:tc>
          <w:tcPr>
            <w:tcW w:w="893" w:type="pct"/>
          </w:tcPr>
          <w:p w14:paraId="7BD9BA67" w14:textId="77777777" w:rsidR="005C660B" w:rsidRPr="00EE453C" w:rsidRDefault="005C660B" w:rsidP="005C660B">
            <w:pPr>
              <w:pStyle w:val="Tabletext"/>
              <w:rPr>
                <w:sz w:val="22"/>
                <w:szCs w:val="22"/>
              </w:rPr>
            </w:pPr>
            <w:r w:rsidRPr="00EE453C">
              <w:rPr>
                <w:sz w:val="22"/>
                <w:szCs w:val="22"/>
              </w:rPr>
              <w:t>TRD1007</w:t>
            </w:r>
          </w:p>
        </w:tc>
        <w:tc>
          <w:tcPr>
            <w:tcW w:w="712" w:type="pct"/>
          </w:tcPr>
          <w:p w14:paraId="6AD0F448"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350E2FC2" w14:textId="77777777" w:rsidTr="00D30DEB">
        <w:tc>
          <w:tcPr>
            <w:tcW w:w="956" w:type="pct"/>
            <w:vMerge/>
          </w:tcPr>
          <w:p w14:paraId="25CF7520" w14:textId="77777777" w:rsidR="005C660B" w:rsidRPr="00EE453C" w:rsidRDefault="005C660B" w:rsidP="005C660B">
            <w:pPr>
              <w:pStyle w:val="Tabletext"/>
              <w:rPr>
                <w:sz w:val="22"/>
                <w:szCs w:val="22"/>
              </w:rPr>
            </w:pPr>
          </w:p>
        </w:tc>
        <w:tc>
          <w:tcPr>
            <w:tcW w:w="2439" w:type="pct"/>
          </w:tcPr>
          <w:p w14:paraId="22CD0174" w14:textId="77777777" w:rsidR="005C660B" w:rsidRPr="00EE453C" w:rsidRDefault="005C660B" w:rsidP="005C660B">
            <w:pPr>
              <w:pStyle w:val="Tabletext"/>
              <w:rPr>
                <w:sz w:val="22"/>
                <w:szCs w:val="22"/>
              </w:rPr>
            </w:pPr>
            <w:r w:rsidRPr="00EE453C">
              <w:rPr>
                <w:sz w:val="22"/>
                <w:szCs w:val="22"/>
              </w:rPr>
              <w:t>Clarithromycin</w:t>
            </w:r>
          </w:p>
        </w:tc>
        <w:tc>
          <w:tcPr>
            <w:tcW w:w="893" w:type="pct"/>
          </w:tcPr>
          <w:p w14:paraId="2DBD74CA" w14:textId="77777777" w:rsidR="005C660B" w:rsidRPr="00EE453C" w:rsidRDefault="005C660B" w:rsidP="005C660B">
            <w:pPr>
              <w:pStyle w:val="Tabletext"/>
              <w:rPr>
                <w:sz w:val="22"/>
                <w:szCs w:val="22"/>
              </w:rPr>
            </w:pPr>
            <w:r w:rsidRPr="00EE453C">
              <w:rPr>
                <w:sz w:val="22"/>
                <w:szCs w:val="22"/>
              </w:rPr>
              <w:t>TRD1009</w:t>
            </w:r>
          </w:p>
        </w:tc>
        <w:tc>
          <w:tcPr>
            <w:tcW w:w="712" w:type="pct"/>
          </w:tcPr>
          <w:p w14:paraId="58364552" w14:textId="77777777" w:rsidR="005C660B" w:rsidRPr="00EE453C" w:rsidRDefault="005C660B" w:rsidP="005C660B">
            <w:pPr>
              <w:pStyle w:val="Tabletext"/>
              <w:keepNext/>
              <w:jc w:val="center"/>
              <w:rPr>
                <w:sz w:val="22"/>
                <w:szCs w:val="22"/>
              </w:rPr>
            </w:pPr>
            <w:r w:rsidRPr="00EE453C">
              <w:rPr>
                <w:sz w:val="22"/>
                <w:szCs w:val="22"/>
              </w:rPr>
              <w:t>*</w:t>
            </w:r>
          </w:p>
        </w:tc>
      </w:tr>
      <w:tr w:rsidR="005C660B" w14:paraId="2E9FED23" w14:textId="77777777" w:rsidTr="00D30DEB">
        <w:tc>
          <w:tcPr>
            <w:tcW w:w="956" w:type="pct"/>
            <w:vMerge/>
          </w:tcPr>
          <w:p w14:paraId="7C4AFE90" w14:textId="77777777" w:rsidR="005C660B" w:rsidRPr="00EE453C" w:rsidRDefault="005C660B" w:rsidP="005C660B">
            <w:pPr>
              <w:pStyle w:val="Tabletext"/>
              <w:rPr>
                <w:sz w:val="22"/>
                <w:szCs w:val="22"/>
              </w:rPr>
            </w:pPr>
          </w:p>
        </w:tc>
        <w:tc>
          <w:tcPr>
            <w:tcW w:w="2439" w:type="pct"/>
          </w:tcPr>
          <w:p w14:paraId="6414D964" w14:textId="77777777" w:rsidR="005C660B" w:rsidRPr="00EE453C" w:rsidRDefault="005C660B" w:rsidP="005C660B">
            <w:pPr>
              <w:pStyle w:val="Tabletext"/>
              <w:rPr>
                <w:sz w:val="22"/>
                <w:szCs w:val="22"/>
              </w:rPr>
            </w:pPr>
            <w:proofErr w:type="spellStart"/>
            <w:r w:rsidRPr="00EE453C">
              <w:rPr>
                <w:sz w:val="22"/>
                <w:szCs w:val="22"/>
              </w:rPr>
              <w:t>Ticlopidine</w:t>
            </w:r>
            <w:proofErr w:type="spellEnd"/>
          </w:p>
        </w:tc>
        <w:tc>
          <w:tcPr>
            <w:tcW w:w="893" w:type="pct"/>
          </w:tcPr>
          <w:p w14:paraId="0EE4AD91" w14:textId="77777777" w:rsidR="005C660B" w:rsidRPr="00EE453C" w:rsidRDefault="005C660B" w:rsidP="005C660B">
            <w:pPr>
              <w:pStyle w:val="Tabletext"/>
              <w:rPr>
                <w:sz w:val="22"/>
                <w:szCs w:val="22"/>
              </w:rPr>
            </w:pPr>
            <w:r w:rsidRPr="00EE453C">
              <w:rPr>
                <w:sz w:val="22"/>
                <w:szCs w:val="22"/>
              </w:rPr>
              <w:t>TRD1020</w:t>
            </w:r>
          </w:p>
        </w:tc>
        <w:tc>
          <w:tcPr>
            <w:tcW w:w="712" w:type="pct"/>
          </w:tcPr>
          <w:p w14:paraId="75E35E27" w14:textId="77777777" w:rsidR="005C660B" w:rsidRPr="00EE453C" w:rsidRDefault="005C660B" w:rsidP="005C660B">
            <w:pPr>
              <w:pStyle w:val="Tabletext"/>
              <w:keepNext/>
              <w:jc w:val="center"/>
              <w:rPr>
                <w:sz w:val="22"/>
                <w:szCs w:val="22"/>
              </w:rPr>
            </w:pPr>
            <w:r w:rsidRPr="00EE453C">
              <w:rPr>
                <w:sz w:val="22"/>
                <w:szCs w:val="22"/>
              </w:rPr>
              <w:t>*</w:t>
            </w:r>
          </w:p>
        </w:tc>
      </w:tr>
      <w:tr w:rsidR="005C660B" w:rsidRPr="00BD44A7" w14:paraId="049AF1D8" w14:textId="77777777" w:rsidTr="00D30DEB">
        <w:tc>
          <w:tcPr>
            <w:tcW w:w="956" w:type="pct"/>
          </w:tcPr>
          <w:p w14:paraId="48593201" w14:textId="77777777" w:rsidR="005C660B" w:rsidRPr="00EE453C" w:rsidRDefault="005C660B" w:rsidP="005C660B">
            <w:pPr>
              <w:pStyle w:val="Tabletext"/>
              <w:rPr>
                <w:b/>
                <w:sz w:val="22"/>
                <w:szCs w:val="22"/>
              </w:rPr>
            </w:pPr>
            <w:r w:rsidRPr="00EE453C">
              <w:rPr>
                <w:b/>
                <w:sz w:val="22"/>
                <w:szCs w:val="22"/>
              </w:rPr>
              <w:t>Population PK analyses</w:t>
            </w:r>
          </w:p>
        </w:tc>
        <w:tc>
          <w:tcPr>
            <w:tcW w:w="2439" w:type="pct"/>
          </w:tcPr>
          <w:p w14:paraId="20E0257C" w14:textId="77777777" w:rsidR="005C660B" w:rsidRPr="00EE453C" w:rsidRDefault="005C660B" w:rsidP="005C660B">
            <w:pPr>
              <w:pStyle w:val="Tabletext"/>
              <w:rPr>
                <w:sz w:val="22"/>
                <w:szCs w:val="22"/>
              </w:rPr>
            </w:pPr>
            <w:r w:rsidRPr="00EE453C">
              <w:rPr>
                <w:sz w:val="22"/>
                <w:szCs w:val="22"/>
              </w:rPr>
              <w:t>Healthy subjects/target population</w:t>
            </w:r>
          </w:p>
        </w:tc>
        <w:tc>
          <w:tcPr>
            <w:tcW w:w="893" w:type="pct"/>
          </w:tcPr>
          <w:p w14:paraId="520AC6B6" w14:textId="77777777" w:rsidR="005C660B" w:rsidRPr="00EE453C" w:rsidRDefault="005C660B" w:rsidP="005C660B">
            <w:pPr>
              <w:pStyle w:val="Tabletext"/>
              <w:rPr>
                <w:color w:val="auto"/>
                <w:sz w:val="22"/>
                <w:szCs w:val="22"/>
              </w:rPr>
            </w:pPr>
            <w:r w:rsidRPr="00EE453C">
              <w:rPr>
                <w:color w:val="auto"/>
                <w:sz w:val="22"/>
                <w:szCs w:val="22"/>
              </w:rPr>
              <w:t>PopPK Report</w:t>
            </w:r>
          </w:p>
        </w:tc>
        <w:tc>
          <w:tcPr>
            <w:tcW w:w="712" w:type="pct"/>
          </w:tcPr>
          <w:p w14:paraId="02760498" w14:textId="77777777" w:rsidR="005C660B" w:rsidRPr="00EE453C" w:rsidRDefault="005C660B" w:rsidP="005C660B">
            <w:pPr>
              <w:pStyle w:val="Tabletext"/>
              <w:keepNext/>
              <w:jc w:val="center"/>
              <w:rPr>
                <w:sz w:val="22"/>
                <w:szCs w:val="22"/>
              </w:rPr>
            </w:pPr>
            <w:r w:rsidRPr="00EE453C">
              <w:rPr>
                <w:sz w:val="22"/>
                <w:szCs w:val="22"/>
              </w:rPr>
              <w:t>*</w:t>
            </w:r>
          </w:p>
        </w:tc>
      </w:tr>
    </w:tbl>
    <w:p w14:paraId="1A21B2D0" w14:textId="0711B709" w:rsidR="007D5C56" w:rsidRDefault="007D5C56" w:rsidP="00D30DEB">
      <w:pPr>
        <w:pStyle w:val="TableDescription"/>
      </w:pPr>
      <w:r>
        <w:t>CYP = cytochrome P450; PK = pharmacokinetic(s); PopPK = population pharmacokinetics.</w:t>
      </w:r>
    </w:p>
    <w:p w14:paraId="473CAEE8" w14:textId="5C6141AF" w:rsidR="005C660B" w:rsidRPr="00D30DEB" w:rsidRDefault="005C660B" w:rsidP="00D30DEB">
      <w:pPr>
        <w:pStyle w:val="TableDescription"/>
      </w:pPr>
      <w:r w:rsidRPr="00D30DEB">
        <w:t>* Indicates primary PK aim of the study.</w:t>
      </w:r>
    </w:p>
    <w:p w14:paraId="7E0ED708" w14:textId="0A3FD2C8" w:rsidR="008E1890" w:rsidRDefault="008E1890" w:rsidP="008E1890">
      <w:r>
        <w:t xml:space="preserve">Generally, </w:t>
      </w:r>
      <w:r w:rsidR="00EE453C">
        <w:t xml:space="preserve">the </w:t>
      </w:r>
      <w:r>
        <w:t xml:space="preserve">PK data provided in the application dossier was sufficiently comprehensive to support the proposed indication of intranasal </w:t>
      </w:r>
      <w:proofErr w:type="spellStart"/>
      <w:r>
        <w:t>esketamine</w:t>
      </w:r>
      <w:proofErr w:type="spellEnd"/>
      <w:r>
        <w:t xml:space="preserve"> in adults with TRD. </w:t>
      </w:r>
      <w:r w:rsidR="00DD452B">
        <w:t>The clinical evaluator and Delegate highlighted the following points, including some</w:t>
      </w:r>
      <w:r>
        <w:t xml:space="preserve"> gaps in PK data that may impact on the overall benefit-risk balance </w:t>
      </w:r>
      <w:r w:rsidR="00952D4E">
        <w:t>for approval and influence post</w:t>
      </w:r>
      <w:r w:rsidR="00952D4E">
        <w:noBreakHyphen/>
      </w:r>
      <w:r>
        <w:t>market risk management:</w:t>
      </w:r>
    </w:p>
    <w:p w14:paraId="1A5C39E1" w14:textId="32D36082" w:rsidR="008E1890" w:rsidRDefault="00EE453C" w:rsidP="00DD452B">
      <w:pPr>
        <w:pStyle w:val="ListBullet"/>
      </w:pPr>
      <w:r>
        <w:t xml:space="preserve">The </w:t>
      </w:r>
      <w:r w:rsidR="008E1890">
        <w:t xml:space="preserve">PK of </w:t>
      </w:r>
      <w:proofErr w:type="spellStart"/>
      <w:r w:rsidR="008E1890">
        <w:t>esketamine</w:t>
      </w:r>
      <w:proofErr w:type="spellEnd"/>
      <w:r w:rsidR="008E1890">
        <w:t xml:space="preserve"> in pregnant </w:t>
      </w:r>
      <w:r w:rsidR="00DD452B">
        <w:t>or lactating subjects were not</w:t>
      </w:r>
      <w:r w:rsidR="008E1890">
        <w:t xml:space="preserve"> specifically studied. Given the </w:t>
      </w:r>
      <w:proofErr w:type="spellStart"/>
      <w:r w:rsidR="00DD452B">
        <w:t>physico</w:t>
      </w:r>
      <w:proofErr w:type="spellEnd"/>
      <w:r w:rsidR="00DD452B">
        <w:t xml:space="preserve">-chemical and known PK </w:t>
      </w:r>
      <w:r w:rsidR="008E1890">
        <w:t xml:space="preserve">characteristics of the </w:t>
      </w:r>
      <w:proofErr w:type="spellStart"/>
      <w:r w:rsidR="008E1890">
        <w:t>esketamine</w:t>
      </w:r>
      <w:proofErr w:type="spellEnd"/>
      <w:r w:rsidR="008E1890">
        <w:t xml:space="preserve"> mol</w:t>
      </w:r>
      <w:r w:rsidR="00DD452B">
        <w:t xml:space="preserve">ecule, it would be expected to </w:t>
      </w:r>
      <w:r w:rsidR="008E1890">
        <w:t>cross the placenta and be excre</w:t>
      </w:r>
      <w:r w:rsidR="00952D4E">
        <w:t>ted into breast milk.</w:t>
      </w:r>
    </w:p>
    <w:p w14:paraId="5F253CD6" w14:textId="77777777" w:rsidR="008E1890" w:rsidRDefault="008E1890" w:rsidP="00DD452B">
      <w:pPr>
        <w:pStyle w:val="ListBullet"/>
      </w:pPr>
      <w:r>
        <w:t>Concomitant ingestion of ethanol on</w:t>
      </w:r>
      <w:r w:rsidR="00DD452B">
        <w:t xml:space="preserve"> PK of </w:t>
      </w:r>
      <w:proofErr w:type="spellStart"/>
      <w:r w:rsidR="00DD452B">
        <w:t>esketamine</w:t>
      </w:r>
      <w:proofErr w:type="spellEnd"/>
      <w:r w:rsidR="00DD452B">
        <w:t xml:space="preserve"> has not been </w:t>
      </w:r>
      <w:r w:rsidR="00952D4E">
        <w:t>evaluated.</w:t>
      </w:r>
    </w:p>
    <w:p w14:paraId="329BBE40" w14:textId="78C5E181" w:rsidR="008E1890" w:rsidRDefault="00EE453C" w:rsidP="00DD452B">
      <w:pPr>
        <w:pStyle w:val="ListBullet"/>
      </w:pPr>
      <w:r>
        <w:t xml:space="preserve">Studies of the </w:t>
      </w:r>
      <w:r w:rsidR="008E1890">
        <w:t xml:space="preserve">PK of </w:t>
      </w:r>
      <w:proofErr w:type="spellStart"/>
      <w:r w:rsidR="008E1890">
        <w:t>esketamine</w:t>
      </w:r>
      <w:proofErr w:type="spellEnd"/>
      <w:r w:rsidR="008E1890">
        <w:t xml:space="preserve"> administere</w:t>
      </w:r>
      <w:r w:rsidR="00DD452B">
        <w:t>d once-a-week and on alternate</w:t>
      </w:r>
      <w:r w:rsidR="008E1890">
        <w:t xml:space="preserve"> weeks, as used in the long</w:t>
      </w:r>
      <w:r w:rsidR="00DD452B">
        <w:t xml:space="preserve">-term safety studies, were not </w:t>
      </w:r>
      <w:r w:rsidR="00952D4E">
        <w:t>undertaken.</w:t>
      </w:r>
    </w:p>
    <w:p w14:paraId="1BDE754B" w14:textId="77777777" w:rsidR="008E1890" w:rsidRDefault="008E1890" w:rsidP="00DD452B">
      <w:pPr>
        <w:pStyle w:val="ListBullet"/>
      </w:pPr>
      <w:r>
        <w:t xml:space="preserve">Since 28 mg </w:t>
      </w:r>
      <w:proofErr w:type="spellStart"/>
      <w:r>
        <w:t>esketamine</w:t>
      </w:r>
      <w:proofErr w:type="spellEnd"/>
      <w:r>
        <w:t xml:space="preserve"> is a sub-the</w:t>
      </w:r>
      <w:r w:rsidR="00DD452B">
        <w:t xml:space="preserve">rapeutic dose in adults, the </w:t>
      </w:r>
      <w:r>
        <w:t xml:space="preserve">effect of higher dosing </w:t>
      </w:r>
      <w:r w:rsidR="00DD452B">
        <w:t xml:space="preserve">and exposure to </w:t>
      </w:r>
      <w:proofErr w:type="spellStart"/>
      <w:r w:rsidR="00DD452B">
        <w:t>esketamine</w:t>
      </w:r>
      <w:proofErr w:type="spellEnd"/>
      <w:r w:rsidR="00DD452B">
        <w:t xml:space="preserve"> and</w:t>
      </w:r>
      <w:r>
        <w:t xml:space="preserve"> </w:t>
      </w:r>
      <w:proofErr w:type="spellStart"/>
      <w:r>
        <w:t>noresketamine</w:t>
      </w:r>
      <w:proofErr w:type="spellEnd"/>
      <w:r>
        <w:t xml:space="preserve"> remains unknown in mild and</w:t>
      </w:r>
      <w:r w:rsidR="00DD452B">
        <w:t xml:space="preserve"> moderate hepatic </w:t>
      </w:r>
      <w:r w:rsidR="00952D4E">
        <w:t>impairment.</w:t>
      </w:r>
    </w:p>
    <w:p w14:paraId="40468222" w14:textId="3356C33C" w:rsidR="007771B1" w:rsidRPr="00DD452B" w:rsidRDefault="00EE453C" w:rsidP="00DD452B">
      <w:pPr>
        <w:pStyle w:val="ListBullet"/>
        <w:rPr>
          <w:rFonts w:asciiTheme="minorHAnsi" w:eastAsiaTheme="minorHAnsi" w:hAnsiTheme="minorHAnsi" w:cs="TimesNewRoman"/>
          <w:lang w:val="en-GB"/>
        </w:rPr>
      </w:pPr>
      <w:r>
        <w:t xml:space="preserve">The </w:t>
      </w:r>
      <w:proofErr w:type="spellStart"/>
      <w:r>
        <w:t>e</w:t>
      </w:r>
      <w:r w:rsidR="00DD452B" w:rsidRPr="00F87FD0">
        <w:t>sketamine</w:t>
      </w:r>
      <w:proofErr w:type="spellEnd"/>
      <w:r w:rsidR="00DD452B" w:rsidRPr="00F87FD0">
        <w:t xml:space="preserve"> PK in dialysis patients remains unknown</w:t>
      </w:r>
      <w:r w:rsidR="00DD452B">
        <w:rPr>
          <w:rFonts w:asciiTheme="minorHAnsi" w:eastAsiaTheme="minorHAnsi" w:hAnsiTheme="minorHAnsi" w:cs="TimesNewRoman"/>
          <w:lang w:val="en-GB"/>
        </w:rPr>
        <w:t xml:space="preserve">. </w:t>
      </w:r>
      <w:r>
        <w:rPr>
          <w:rFonts w:asciiTheme="minorHAnsi" w:eastAsiaTheme="minorHAnsi" w:hAnsiTheme="minorHAnsi" w:cs="TimesNewRoman"/>
          <w:lang w:val="en-GB"/>
        </w:rPr>
        <w:t xml:space="preserve">The </w:t>
      </w:r>
      <w:r w:rsidR="007771B1" w:rsidRPr="006D25E6">
        <w:rPr>
          <w:rFonts w:asciiTheme="minorHAnsi" w:eastAsiaTheme="minorHAnsi" w:hAnsiTheme="minorHAnsi" w:cs="TimesNewRoman"/>
          <w:lang w:val="en-GB"/>
        </w:rPr>
        <w:t xml:space="preserve">PK of </w:t>
      </w:r>
      <w:proofErr w:type="spellStart"/>
      <w:r w:rsidR="007771B1" w:rsidRPr="006D25E6">
        <w:rPr>
          <w:rFonts w:asciiTheme="minorHAnsi" w:eastAsiaTheme="minorHAnsi" w:hAnsiTheme="minorHAnsi" w:cs="TimesNewRoman"/>
          <w:lang w:val="en-GB"/>
        </w:rPr>
        <w:t>esketamine</w:t>
      </w:r>
      <w:proofErr w:type="spellEnd"/>
      <w:r w:rsidR="007771B1" w:rsidRPr="006D25E6">
        <w:rPr>
          <w:rFonts w:asciiTheme="minorHAnsi" w:eastAsiaTheme="minorHAnsi" w:hAnsiTheme="minorHAnsi" w:cs="TimesNewRoman"/>
          <w:lang w:val="en-GB"/>
        </w:rPr>
        <w:t xml:space="preserve"> in subjects with mild, moderate or severe (not on dialysis) renal impairment was compared to that in subjects with normal renal function, post self-administered 28 mg of </w:t>
      </w:r>
      <w:proofErr w:type="spellStart"/>
      <w:r w:rsidR="007771B1" w:rsidRPr="006D25E6">
        <w:rPr>
          <w:rFonts w:asciiTheme="minorHAnsi" w:eastAsiaTheme="minorHAnsi" w:hAnsiTheme="minorHAnsi" w:cs="TimesNewRoman"/>
          <w:lang w:val="en-GB"/>
        </w:rPr>
        <w:t>esketamine</w:t>
      </w:r>
      <w:proofErr w:type="spellEnd"/>
      <w:r w:rsidR="007771B1" w:rsidRPr="006D25E6">
        <w:rPr>
          <w:rFonts w:asciiTheme="minorHAnsi" w:eastAsiaTheme="minorHAnsi" w:hAnsiTheme="minorHAnsi" w:cs="TimesNewRoman"/>
          <w:lang w:val="en-GB"/>
        </w:rPr>
        <w:t xml:space="preserve"> nasal spray (</w:t>
      </w:r>
      <w:r w:rsidR="00DD452B">
        <w:rPr>
          <w:rFonts w:asciiTheme="minorHAnsi" w:eastAsiaTheme="minorHAnsi" w:hAnsiTheme="minorHAnsi" w:cs="TimesNewRoman"/>
          <w:lang w:val="en-GB"/>
        </w:rPr>
        <w:t xml:space="preserve">Study </w:t>
      </w:r>
      <w:r w:rsidR="007771B1" w:rsidRPr="006D25E6">
        <w:rPr>
          <w:rFonts w:asciiTheme="minorHAnsi" w:eastAsiaTheme="minorHAnsi" w:hAnsiTheme="minorHAnsi" w:cs="TimesNewRoman"/>
          <w:lang w:val="en-GB"/>
        </w:rPr>
        <w:t>TRD1014). It indicated that the:</w:t>
      </w:r>
    </w:p>
    <w:p w14:paraId="6BFB1B8E" w14:textId="65317C3A" w:rsidR="007771B1" w:rsidRPr="00DD452B" w:rsidRDefault="00EE453C" w:rsidP="00DD452B">
      <w:pPr>
        <w:pStyle w:val="ListBullet2"/>
        <w:rPr>
          <w:lang w:val="en-GB"/>
        </w:rPr>
      </w:pPr>
      <w:r>
        <w:rPr>
          <w:lang w:val="en-GB"/>
        </w:rPr>
        <w:t>m</w:t>
      </w:r>
      <w:r w:rsidR="007771B1" w:rsidRPr="00DD452B">
        <w:rPr>
          <w:lang w:val="en-GB"/>
        </w:rPr>
        <w:t xml:space="preserve">ean </w:t>
      </w:r>
      <w:proofErr w:type="spellStart"/>
      <w:r w:rsidR="007771B1" w:rsidRPr="00DD452B">
        <w:rPr>
          <w:lang w:val="en-GB"/>
        </w:rPr>
        <w:t>C</w:t>
      </w:r>
      <w:r w:rsidR="007771B1" w:rsidRPr="00DD452B">
        <w:rPr>
          <w:vertAlign w:val="subscript"/>
          <w:lang w:val="en-GB"/>
        </w:rPr>
        <w:t>max</w:t>
      </w:r>
      <w:proofErr w:type="spellEnd"/>
      <w:r w:rsidR="007771B1" w:rsidRPr="00DD452B">
        <w:rPr>
          <w:lang w:val="en-GB"/>
        </w:rPr>
        <w:t xml:space="preserve"> and </w:t>
      </w:r>
      <w:r w:rsidR="00DD452B">
        <w:rPr>
          <w:lang w:val="en-GB"/>
        </w:rPr>
        <w:t>area under the plasma concentration time curve from time 0 to infinity (</w:t>
      </w:r>
      <w:r w:rsidR="007771B1" w:rsidRPr="00DD452B">
        <w:rPr>
          <w:lang w:val="en-GB"/>
        </w:rPr>
        <w:t>AUC</w:t>
      </w:r>
      <w:r>
        <w:rPr>
          <w:vertAlign w:val="subscript"/>
          <w:lang w:val="en-GB"/>
        </w:rPr>
        <w:t>0-</w:t>
      </w:r>
      <w:r w:rsidR="007771B1" w:rsidRPr="00DD452B">
        <w:rPr>
          <w:vertAlign w:val="subscript"/>
          <w:lang w:val="en-GB"/>
        </w:rPr>
        <w:t>∞</w:t>
      </w:r>
      <w:r w:rsidR="00DD452B">
        <w:rPr>
          <w:lang w:val="en-GB"/>
        </w:rPr>
        <w:t>)</w:t>
      </w:r>
      <w:r w:rsidR="007771B1" w:rsidRPr="00DD452B">
        <w:rPr>
          <w:lang w:val="en-GB"/>
        </w:rPr>
        <w:t xml:space="preserve"> values were 20 to 26% and 13 to 36% higher in su</w:t>
      </w:r>
      <w:r w:rsidR="00DD452B">
        <w:rPr>
          <w:lang w:val="en-GB"/>
        </w:rPr>
        <w:t>bjects with any degree of renal i</w:t>
      </w:r>
      <w:r w:rsidR="007771B1" w:rsidRPr="00DD452B">
        <w:rPr>
          <w:lang w:val="en-GB"/>
        </w:rPr>
        <w:t>mpairment relative to healthy subjects, respectively</w:t>
      </w:r>
      <w:r w:rsidR="00DD452B">
        <w:rPr>
          <w:lang w:val="en-GB"/>
        </w:rPr>
        <w:t>.</w:t>
      </w:r>
    </w:p>
    <w:p w14:paraId="1B5D022F" w14:textId="0A6CD4A7" w:rsidR="007771B1" w:rsidRPr="00DD452B" w:rsidRDefault="00EE453C" w:rsidP="00DD452B">
      <w:pPr>
        <w:pStyle w:val="ListBullet2"/>
        <w:rPr>
          <w:lang w:val="en-GB"/>
        </w:rPr>
      </w:pPr>
      <w:r>
        <w:rPr>
          <w:lang w:val="en-GB"/>
        </w:rPr>
        <w:t>p</w:t>
      </w:r>
      <w:r w:rsidR="007771B1" w:rsidRPr="00DD452B">
        <w:rPr>
          <w:lang w:val="en-GB"/>
        </w:rPr>
        <w:t xml:space="preserve">lasma PK of </w:t>
      </w:r>
      <w:proofErr w:type="spellStart"/>
      <w:r w:rsidR="007771B1" w:rsidRPr="00DD452B">
        <w:rPr>
          <w:lang w:val="en-GB"/>
        </w:rPr>
        <w:t>esketamin</w:t>
      </w:r>
      <w:r w:rsidR="00DD452B">
        <w:rPr>
          <w:lang w:val="en-GB"/>
        </w:rPr>
        <w:t>e</w:t>
      </w:r>
      <w:proofErr w:type="spellEnd"/>
      <w:r w:rsidR="00DD452B">
        <w:rPr>
          <w:lang w:val="en-GB"/>
        </w:rPr>
        <w:t xml:space="preserve"> and renal function (that is, creatinine clearance) were poorly correlated.</w:t>
      </w:r>
    </w:p>
    <w:p w14:paraId="5A29989E" w14:textId="676E87B4" w:rsidR="007771B1" w:rsidRPr="00DD452B" w:rsidRDefault="00EE453C" w:rsidP="00DD452B">
      <w:pPr>
        <w:pStyle w:val="ListBullet2"/>
        <w:rPr>
          <w:lang w:val="en-GB"/>
        </w:rPr>
      </w:pPr>
      <w:r>
        <w:rPr>
          <w:lang w:val="en-GB"/>
        </w:rPr>
        <w:t>m</w:t>
      </w:r>
      <w:r w:rsidR="007771B1" w:rsidRPr="00DD452B">
        <w:rPr>
          <w:lang w:val="en-GB"/>
        </w:rPr>
        <w:t xml:space="preserve">ean percentage of </w:t>
      </w:r>
      <w:proofErr w:type="spellStart"/>
      <w:r w:rsidR="007771B1" w:rsidRPr="00DD452B">
        <w:rPr>
          <w:lang w:val="en-GB"/>
        </w:rPr>
        <w:t>esketamine</w:t>
      </w:r>
      <w:proofErr w:type="spellEnd"/>
      <w:r w:rsidR="007771B1" w:rsidRPr="00DD452B">
        <w:rPr>
          <w:lang w:val="en-GB"/>
        </w:rPr>
        <w:t xml:space="preserve"> dose excreted unchanged in urine and mean </w:t>
      </w:r>
      <w:proofErr w:type="spellStart"/>
      <w:r w:rsidR="007771B1" w:rsidRPr="00DD452B">
        <w:rPr>
          <w:lang w:val="en-GB"/>
        </w:rPr>
        <w:t>esketamine</w:t>
      </w:r>
      <w:proofErr w:type="spellEnd"/>
      <w:r w:rsidR="007771B1" w:rsidRPr="00DD452B">
        <w:rPr>
          <w:lang w:val="en-GB"/>
        </w:rPr>
        <w:t xml:space="preserve"> renal clearance were ≤ 1.34% and ≤ 1.</w:t>
      </w:r>
      <w:r w:rsidR="00DD452B">
        <w:rPr>
          <w:lang w:val="en-GB"/>
        </w:rPr>
        <w:t>97 L/h, respectively,</w:t>
      </w:r>
      <w:r w:rsidR="007771B1" w:rsidRPr="00DD452B">
        <w:rPr>
          <w:lang w:val="en-GB"/>
        </w:rPr>
        <w:t xml:space="preserve"> across renal function groups</w:t>
      </w:r>
      <w:r w:rsidR="00DD452B">
        <w:rPr>
          <w:lang w:val="en-GB"/>
        </w:rPr>
        <w:t>.</w:t>
      </w:r>
    </w:p>
    <w:p w14:paraId="08D0D38C" w14:textId="0D7BDD0D" w:rsidR="007771B1" w:rsidRPr="00DD452B" w:rsidRDefault="00EE453C" w:rsidP="00DD452B">
      <w:pPr>
        <w:pStyle w:val="ListBullet2"/>
        <w:rPr>
          <w:lang w:val="en-GB"/>
        </w:rPr>
      </w:pPr>
      <w:r>
        <w:rPr>
          <w:lang w:val="en-GB"/>
        </w:rPr>
        <w:lastRenderedPageBreak/>
        <w:t>m</w:t>
      </w:r>
      <w:r w:rsidR="007771B1" w:rsidRPr="00DD452B">
        <w:rPr>
          <w:lang w:val="en-GB"/>
        </w:rPr>
        <w:t xml:space="preserve">ean fraction of unbound </w:t>
      </w:r>
      <w:proofErr w:type="spellStart"/>
      <w:r w:rsidR="007771B1" w:rsidRPr="00DD452B">
        <w:rPr>
          <w:lang w:val="en-GB"/>
        </w:rPr>
        <w:t>esketamine</w:t>
      </w:r>
      <w:proofErr w:type="spellEnd"/>
      <w:r w:rsidR="007771B1" w:rsidRPr="00DD452B">
        <w:rPr>
          <w:lang w:val="en-GB"/>
        </w:rPr>
        <w:t xml:space="preserve"> was similar across cohorts: 57.4 to 60.0% in subjects with renal </w:t>
      </w:r>
      <w:r w:rsidR="00952D4E">
        <w:rPr>
          <w:lang w:val="en-GB"/>
        </w:rPr>
        <w:t>impairment versus</w:t>
      </w:r>
      <w:r w:rsidR="007771B1" w:rsidRPr="00DD452B">
        <w:rPr>
          <w:lang w:val="en-GB"/>
        </w:rPr>
        <w:t xml:space="preserve"> 54.7% in healthy subjects.</w:t>
      </w:r>
    </w:p>
    <w:p w14:paraId="4E5055C9" w14:textId="77777777" w:rsidR="007771B1" w:rsidRPr="00DD452B" w:rsidRDefault="00DD452B" w:rsidP="00DD452B">
      <w:pPr>
        <w:pStyle w:val="ListBullet"/>
        <w:numPr>
          <w:ilvl w:val="0"/>
          <w:numId w:val="0"/>
        </w:numPr>
        <w:ind w:left="360"/>
      </w:pPr>
      <w:r w:rsidRPr="00DD452B">
        <w:t>The Delegate commented that t</w:t>
      </w:r>
      <w:r w:rsidR="007771B1" w:rsidRPr="00DD452B">
        <w:t>he PI should include:</w:t>
      </w:r>
    </w:p>
    <w:p w14:paraId="7AF7D523" w14:textId="1E1FCCB2" w:rsidR="007771B1" w:rsidRPr="00DD452B" w:rsidRDefault="007771B1" w:rsidP="00DD452B">
      <w:pPr>
        <w:pStyle w:val="ListBullet2"/>
      </w:pPr>
      <w:r w:rsidRPr="00DD452B">
        <w:t xml:space="preserve">a statement </w:t>
      </w:r>
      <w:r w:rsidR="00DD452B">
        <w:t>to the effect</w:t>
      </w:r>
      <w:r w:rsidRPr="00DD452B">
        <w:t xml:space="preserve"> that it appears renal function does not significantly affect the </w:t>
      </w:r>
      <w:r w:rsidR="00587393">
        <w:t>PK</w:t>
      </w:r>
      <w:r w:rsidR="003938C9">
        <w:t xml:space="preserve"> </w:t>
      </w:r>
      <w:r w:rsidRPr="00DD452B">
        <w:t xml:space="preserve">and clearance of intranasal </w:t>
      </w:r>
      <w:proofErr w:type="spellStart"/>
      <w:r w:rsidRPr="00DD452B">
        <w:t>esketamine</w:t>
      </w:r>
      <w:proofErr w:type="spellEnd"/>
      <w:r w:rsidRPr="00DD452B">
        <w:t>. The latter might indicate that no dose adjustment is required in renal impairment;</w:t>
      </w:r>
    </w:p>
    <w:p w14:paraId="10B886BF" w14:textId="77777777" w:rsidR="007771B1" w:rsidRDefault="007771B1" w:rsidP="008E1890">
      <w:pPr>
        <w:pStyle w:val="ListBullet2"/>
      </w:pPr>
      <w:r w:rsidRPr="00DD452B">
        <w:t xml:space="preserve">the statement that the use of intranasal </w:t>
      </w:r>
      <w:proofErr w:type="spellStart"/>
      <w:r w:rsidRPr="00DD452B">
        <w:t>esketamine</w:t>
      </w:r>
      <w:proofErr w:type="spellEnd"/>
      <w:r w:rsidRPr="00DD452B">
        <w:t xml:space="preserve"> in patients on dialysis has not been studied.</w:t>
      </w:r>
    </w:p>
    <w:p w14:paraId="1215F793" w14:textId="77777777" w:rsidR="007771B1" w:rsidRDefault="007771B1" w:rsidP="00952D4E">
      <w:pPr>
        <w:pStyle w:val="ListBullet"/>
      </w:pPr>
      <w:r w:rsidRPr="007771B1">
        <w:t xml:space="preserve">Given the mean </w:t>
      </w:r>
      <w:proofErr w:type="spellStart"/>
      <w:r w:rsidRPr="007771B1">
        <w:t>esketamine</w:t>
      </w:r>
      <w:proofErr w:type="spellEnd"/>
      <w:r w:rsidRPr="007771B1">
        <w:t xml:space="preserve"> </w:t>
      </w:r>
      <w:proofErr w:type="spellStart"/>
      <w:r w:rsidRPr="007771B1">
        <w:t>C</w:t>
      </w:r>
      <w:r w:rsidRPr="00952D4E">
        <w:rPr>
          <w:vertAlign w:val="subscript"/>
        </w:rPr>
        <w:t>max</w:t>
      </w:r>
      <w:proofErr w:type="spellEnd"/>
      <w:r w:rsidR="00952D4E">
        <w:t xml:space="preserve"> and AUC values were approximately 25 to 48% higher across the three</w:t>
      </w:r>
      <w:r w:rsidRPr="007771B1">
        <w:t xml:space="preserve"> intranasal </w:t>
      </w:r>
      <w:proofErr w:type="spellStart"/>
      <w:r w:rsidRPr="007771B1">
        <w:t>esketamine</w:t>
      </w:r>
      <w:proofErr w:type="spellEnd"/>
      <w:r w:rsidRPr="007771B1">
        <w:t xml:space="preserve"> r</w:t>
      </w:r>
      <w:r w:rsidR="00952D4E">
        <w:t>egimens in Japanese subjects versus White race subjects, dose</w:t>
      </w:r>
      <w:r w:rsidRPr="007771B1">
        <w:t xml:space="preserve"> adjustment is recommended in Japanese subjects.</w:t>
      </w:r>
    </w:p>
    <w:p w14:paraId="6FC77FFE" w14:textId="77777777" w:rsidR="003070BD" w:rsidRDefault="003070BD" w:rsidP="00952D4E">
      <w:pPr>
        <w:pStyle w:val="ListBullet"/>
      </w:pPr>
      <w:r w:rsidRPr="002F799B">
        <w:t>The results from the PopPK analysis were generally consistent with PK from individual</w:t>
      </w:r>
      <w:r>
        <w:t xml:space="preserve"> P</w:t>
      </w:r>
      <w:r w:rsidRPr="002F799B">
        <w:t xml:space="preserve">hase I studies. Generally, PK in healthy subjects </w:t>
      </w:r>
      <w:r w:rsidRPr="002F799B">
        <w:rPr>
          <w:rFonts w:asciiTheme="minorHAnsi" w:hAnsiTheme="minorHAnsi"/>
        </w:rPr>
        <w:t xml:space="preserve">was similar to subjects with TRD for plasma concentrations of </w:t>
      </w:r>
      <w:proofErr w:type="spellStart"/>
      <w:r w:rsidRPr="002F799B">
        <w:rPr>
          <w:rFonts w:asciiTheme="minorHAnsi" w:hAnsiTheme="minorHAnsi"/>
        </w:rPr>
        <w:t>esketamine</w:t>
      </w:r>
      <w:proofErr w:type="spellEnd"/>
      <w:r w:rsidRPr="002F799B">
        <w:rPr>
          <w:rFonts w:asciiTheme="minorHAnsi" w:hAnsiTheme="minorHAnsi"/>
        </w:rPr>
        <w:t xml:space="preserve"> and </w:t>
      </w:r>
      <w:proofErr w:type="spellStart"/>
      <w:r w:rsidRPr="002F799B">
        <w:rPr>
          <w:rFonts w:asciiTheme="minorHAnsi" w:hAnsiTheme="minorHAnsi"/>
        </w:rPr>
        <w:t>noresketamine</w:t>
      </w:r>
      <w:proofErr w:type="spellEnd"/>
      <w:r w:rsidRPr="002F799B">
        <w:rPr>
          <w:rFonts w:asciiTheme="minorHAnsi" w:hAnsiTheme="minorHAnsi"/>
        </w:rPr>
        <w:t xml:space="preserve"> over the proposed therapeutic dose range</w:t>
      </w:r>
      <w:r>
        <w:rPr>
          <w:rFonts w:asciiTheme="minorHAnsi" w:hAnsiTheme="minorHAnsi"/>
        </w:rPr>
        <w:t>.</w:t>
      </w:r>
    </w:p>
    <w:p w14:paraId="538618F3" w14:textId="77777777" w:rsidR="008E1890" w:rsidRDefault="008E1890" w:rsidP="00952D4E">
      <w:pPr>
        <w:pStyle w:val="ListBullet"/>
      </w:pPr>
      <w:r>
        <w:t xml:space="preserve">While metabolism of </w:t>
      </w:r>
      <w:proofErr w:type="spellStart"/>
      <w:r>
        <w:t>esketamine</w:t>
      </w:r>
      <w:proofErr w:type="spellEnd"/>
      <w:r>
        <w:t xml:space="preserve"> did not appear to be influenced by CYP2B6 status, there were only 19 (5.2%) poor metabolisers carrying 2 variant *6 alleles in the pooled PopPK analysis. Since, in all populations studied to date CYP2B6*6 has been detected in 15 to 40% Asian subjects and &gt; 50% African-American subjects, and these population sub-groups were under-represented across the </w:t>
      </w:r>
      <w:proofErr w:type="spellStart"/>
      <w:r>
        <w:t>esketamine</w:t>
      </w:r>
      <w:proofErr w:type="spellEnd"/>
      <w:r>
        <w:t xml:space="preserve"> clinical development program (approxi</w:t>
      </w:r>
      <w:r w:rsidR="00952D4E">
        <w:t>mately 10% of each group), the s</w:t>
      </w:r>
      <w:r>
        <w:t xml:space="preserve">ponsor’s conclusion that CYP2B6*6 polymorphism does not adversely affect metabolism of intranasal </w:t>
      </w:r>
      <w:proofErr w:type="spellStart"/>
      <w:r>
        <w:t>esketamine</w:t>
      </w:r>
      <w:proofErr w:type="spellEnd"/>
      <w:r>
        <w:t xml:space="preserve"> sho</w:t>
      </w:r>
      <w:r w:rsidR="00952D4E">
        <w:t>uld be interpreted with caution. The Delegate commented that the sponsor’</w:t>
      </w:r>
      <w:r>
        <w:t>s statement is probably in relation t</w:t>
      </w:r>
      <w:r w:rsidR="00952D4E">
        <w:t>o dose adjustment requirement.</w:t>
      </w:r>
    </w:p>
    <w:p w14:paraId="5A780ED9" w14:textId="77777777" w:rsidR="008E1890" w:rsidRDefault="008E1890" w:rsidP="00952D4E">
      <w:pPr>
        <w:pStyle w:val="ListBullet"/>
      </w:pPr>
      <w:r>
        <w:t xml:space="preserve">In the PopPK analysis, the fraction of dose absorbed through the nasal cavity was reduced by 38% for subsequent 28 </w:t>
      </w:r>
      <w:r w:rsidR="00952D4E">
        <w:t xml:space="preserve">mg doses. Therefore, for the 56, 84 and 112 </w:t>
      </w:r>
      <w:r>
        <w:t xml:space="preserve">mg doses, approximately 44%, 40% and 38% of </w:t>
      </w:r>
      <w:proofErr w:type="spellStart"/>
      <w:r>
        <w:t>esketamine</w:t>
      </w:r>
      <w:proofErr w:type="spellEnd"/>
      <w:r>
        <w:t xml:space="preserve"> dose was absorbed directly through the nasal cavity, respectively. The explanation for the reduction in bioavailability in higher dose regimens remains unknown. The therapeutic implication is that while higher dose adjustment can be expected to result in higher plasma concentrations of </w:t>
      </w:r>
      <w:proofErr w:type="spellStart"/>
      <w:r>
        <w:t>esketamine</w:t>
      </w:r>
      <w:proofErr w:type="spellEnd"/>
      <w:r>
        <w:t xml:space="preserve">, this will not occur in a linear dose-proportional manner. Hence, there may be an adverse impact on the expected </w:t>
      </w:r>
      <w:proofErr w:type="spellStart"/>
      <w:r>
        <w:t>esketamine</w:t>
      </w:r>
      <w:proofErr w:type="spellEnd"/>
      <w:r>
        <w:t xml:space="preserve"> </w:t>
      </w:r>
      <w:r w:rsidR="00952D4E">
        <w:t>efficacy with higher dosing for example,</w:t>
      </w:r>
      <w:r>
        <w:t xml:space="preserve"> possible lack of reduction in</w:t>
      </w:r>
      <w:r w:rsidR="00952D4E">
        <w:t xml:space="preserve"> relapse potential, consequent </w:t>
      </w:r>
      <w:r>
        <w:t>to th</w:t>
      </w:r>
      <w:r w:rsidR="00952D4E">
        <w:t>e above bioavailability issue.</w:t>
      </w:r>
    </w:p>
    <w:p w14:paraId="4ADE7C3D" w14:textId="77777777" w:rsidR="008E1890" w:rsidRDefault="008E1890" w:rsidP="00952D4E">
      <w:pPr>
        <w:pStyle w:val="ListBullet"/>
      </w:pPr>
      <w:r>
        <w:t xml:space="preserve">It remains unclear, whether nasal conditions other than allergic rhinitis will adversely affect </w:t>
      </w:r>
      <w:proofErr w:type="spellStart"/>
      <w:r>
        <w:t>esketamine</w:t>
      </w:r>
      <w:proofErr w:type="spellEnd"/>
      <w:r>
        <w:t xml:space="preserve"> absorption/bioavailability and, hence efficacy. Such con</w:t>
      </w:r>
      <w:r w:rsidR="00952D4E">
        <w:t>ditions include rhinorrhoea for example,</w:t>
      </w:r>
      <w:r>
        <w:t xml:space="preserve"> during viral illness or other allergic conditions and dry mucous membranes during adverse temperature from the external environment or signifi</w:t>
      </w:r>
      <w:r w:rsidR="00952D4E">
        <w:t>cant dehydration.</w:t>
      </w:r>
      <w:r>
        <w:t xml:space="preserve"> </w:t>
      </w:r>
      <w:r w:rsidR="007771B1">
        <w:t>A p</w:t>
      </w:r>
      <w:r w:rsidR="007771B1" w:rsidRPr="007771B1">
        <w:t xml:space="preserve">recautionary statement regarding intranasal </w:t>
      </w:r>
      <w:proofErr w:type="spellStart"/>
      <w:r w:rsidR="007771B1" w:rsidRPr="007771B1">
        <w:t>esketamine</w:t>
      </w:r>
      <w:proofErr w:type="spellEnd"/>
      <w:r w:rsidR="007771B1" w:rsidRPr="007771B1">
        <w:t xml:space="preserve"> use in patients with allergic rhinitis, especially if chronic, may be warranted.</w:t>
      </w:r>
    </w:p>
    <w:p w14:paraId="54510F18" w14:textId="77777777" w:rsidR="008E1890" w:rsidRPr="003070BD" w:rsidRDefault="008E1890" w:rsidP="003070BD">
      <w:pPr>
        <w:pStyle w:val="ListBullet"/>
      </w:pPr>
      <w:r w:rsidRPr="003070BD">
        <w:t>There is potential risk for mucosa</w:t>
      </w:r>
      <w:r w:rsidR="00952D4E" w:rsidRPr="003070BD">
        <w:t xml:space="preserve"> sensitisation and other local </w:t>
      </w:r>
      <w:r w:rsidRPr="003070BD">
        <w:t>topical reactions, which may limi</w:t>
      </w:r>
      <w:r w:rsidR="00952D4E" w:rsidRPr="003070BD">
        <w:t>t the usefulness of intranasal</w:t>
      </w:r>
      <w:r w:rsidRPr="003070BD">
        <w:t xml:space="preserve"> </w:t>
      </w:r>
      <w:proofErr w:type="spellStart"/>
      <w:r w:rsidRPr="003070BD">
        <w:t>esketamine</w:t>
      </w:r>
      <w:proofErr w:type="spellEnd"/>
      <w:r w:rsidRPr="003070BD">
        <w:t xml:space="preserve"> in some patient groups.</w:t>
      </w:r>
    </w:p>
    <w:p w14:paraId="44BCEAE1" w14:textId="77777777" w:rsidR="008E1890" w:rsidRDefault="007771B1" w:rsidP="00952D4E">
      <w:pPr>
        <w:pStyle w:val="ListBullet"/>
      </w:pPr>
      <w:r>
        <w:t>Regarding</w:t>
      </w:r>
      <w:bookmarkStart w:id="46" w:name="_Toc432080703"/>
      <w:bookmarkStart w:id="47" w:name="_Toc432079130"/>
      <w:bookmarkStart w:id="48" w:name="_Toc421005249"/>
      <w:bookmarkStart w:id="49" w:name="_Toc416353678"/>
      <w:bookmarkStart w:id="50" w:name="_Toc290888481"/>
      <w:bookmarkStart w:id="51" w:name="_Toc272414632"/>
      <w:bookmarkStart w:id="52" w:name="_Toc241374294"/>
      <w:r w:rsidRPr="007771B1">
        <w:t xml:space="preserve"> </w:t>
      </w:r>
      <w:r w:rsidR="00116F84">
        <w:t>PK</w:t>
      </w:r>
      <w:r>
        <w:t xml:space="preserve"> interactions</w:t>
      </w:r>
      <w:bookmarkEnd w:id="46"/>
      <w:bookmarkEnd w:id="47"/>
      <w:bookmarkEnd w:id="48"/>
      <w:bookmarkEnd w:id="49"/>
      <w:bookmarkEnd w:id="50"/>
      <w:bookmarkEnd w:id="51"/>
      <w:bookmarkEnd w:id="52"/>
      <w:r>
        <w:t>, the Delegate commented that i</w:t>
      </w:r>
      <w:r w:rsidR="00952D4E">
        <w:t xml:space="preserve">t appears that the AUCs </w:t>
      </w:r>
      <w:r>
        <w:t xml:space="preserve">for </w:t>
      </w:r>
      <w:proofErr w:type="spellStart"/>
      <w:r>
        <w:t>esketamine</w:t>
      </w:r>
      <w:proofErr w:type="spellEnd"/>
      <w:r>
        <w:t xml:space="preserve"> post drug interactions do not al</w:t>
      </w:r>
      <w:r w:rsidR="00952D4E">
        <w:t xml:space="preserve">ways correlate with predicted terminal </w:t>
      </w:r>
      <w:proofErr w:type="spellStart"/>
      <w:r w:rsidR="00952D4E">
        <w:t>half life</w:t>
      </w:r>
      <w:proofErr w:type="spellEnd"/>
      <w:r w:rsidR="00952D4E">
        <w:t xml:space="preserve"> (t</w:t>
      </w:r>
      <w:r>
        <w:t>½</w:t>
      </w:r>
      <w:r w:rsidR="00952D4E">
        <w:t>)</w:t>
      </w:r>
      <w:r>
        <w:t xml:space="preserve"> estimations.</w:t>
      </w:r>
    </w:p>
    <w:p w14:paraId="1E8B8771" w14:textId="77777777" w:rsidR="008E1890" w:rsidRDefault="008E1890" w:rsidP="00952D4E">
      <w:pPr>
        <w:pStyle w:val="ListBullet"/>
      </w:pPr>
      <w:r>
        <w:t xml:space="preserve">Based on the results for mometasone and </w:t>
      </w:r>
      <w:proofErr w:type="spellStart"/>
      <w:r>
        <w:t>o</w:t>
      </w:r>
      <w:r w:rsidR="00952D4E">
        <w:t>xymetazoline</w:t>
      </w:r>
      <w:proofErr w:type="spellEnd"/>
      <w:r w:rsidR="00952D4E">
        <w:t xml:space="preserve"> nasal sprays, the s</w:t>
      </w:r>
      <w:r>
        <w:t xml:space="preserve">ponsor recommends in the draft PI and draft </w:t>
      </w:r>
      <w:r w:rsidR="00952D4E">
        <w:t>Consumer Medicines Information (</w:t>
      </w:r>
      <w:r>
        <w:t>CM</w:t>
      </w:r>
      <w:r w:rsidR="00952D4E">
        <w:t>I) that patients should wait for ≥</w:t>
      </w:r>
      <w:r>
        <w:t xml:space="preserve"> 1 h</w:t>
      </w:r>
      <w:r w:rsidR="00952D4E">
        <w:t>our</w:t>
      </w:r>
      <w:r>
        <w:t xml:space="preserve"> after using a nasal decongestant</w:t>
      </w:r>
      <w:r w:rsidR="00952D4E">
        <w:t xml:space="preserve"> or corticosteroid before self-</w:t>
      </w:r>
      <w:r>
        <w:t xml:space="preserve">administering </w:t>
      </w:r>
      <w:proofErr w:type="spellStart"/>
      <w:r>
        <w:t>esketamine</w:t>
      </w:r>
      <w:proofErr w:type="spellEnd"/>
      <w:r>
        <w:t xml:space="preserve"> n</w:t>
      </w:r>
      <w:r w:rsidR="00952D4E">
        <w:t>asal spray. This is considered to be reasonable.</w:t>
      </w:r>
    </w:p>
    <w:p w14:paraId="69D7BB63" w14:textId="26B77801" w:rsidR="008E1890" w:rsidRDefault="008E1890" w:rsidP="00952D4E">
      <w:pPr>
        <w:pStyle w:val="ListBullet"/>
      </w:pPr>
      <w:r>
        <w:lastRenderedPageBreak/>
        <w:t xml:space="preserve">Generally, </w:t>
      </w:r>
      <w:r w:rsidR="00EE453C">
        <w:t xml:space="preserve">the </w:t>
      </w:r>
      <w:r>
        <w:t>PK information in the draft PI is satisfactory.</w:t>
      </w:r>
    </w:p>
    <w:p w14:paraId="143CADCB" w14:textId="77777777" w:rsidR="008E1890" w:rsidRDefault="008E1890" w:rsidP="007771B1">
      <w:pPr>
        <w:pStyle w:val="Heading5"/>
      </w:pPr>
      <w:r>
        <w:t>Pha</w:t>
      </w:r>
      <w:r w:rsidR="007771B1">
        <w:t>r</w:t>
      </w:r>
      <w:r>
        <w:t>macodynamics</w:t>
      </w:r>
    </w:p>
    <w:p w14:paraId="76E3FCA4" w14:textId="7237906E" w:rsidR="005C660B" w:rsidRDefault="005C660B" w:rsidP="005C660B">
      <w:r>
        <w:t xml:space="preserve">The following studies were considered to provide </w:t>
      </w:r>
      <w:r w:rsidR="003070BD">
        <w:t xml:space="preserve">evaluable PD </w:t>
      </w:r>
      <w:r>
        <w:t>data</w:t>
      </w:r>
      <w:r w:rsidR="003070BD">
        <w:t xml:space="preserve"> (see </w:t>
      </w:r>
      <w:r w:rsidR="003070BD">
        <w:fldChar w:fldCharType="begin"/>
      </w:r>
      <w:r w:rsidR="003070BD">
        <w:instrText xml:space="preserve"> REF _Ref69729832 \h </w:instrText>
      </w:r>
      <w:r w:rsidR="003070BD">
        <w:fldChar w:fldCharType="separate"/>
      </w:r>
      <w:r w:rsidR="003938C9">
        <w:t xml:space="preserve">Table </w:t>
      </w:r>
      <w:r w:rsidR="003938C9">
        <w:rPr>
          <w:noProof/>
        </w:rPr>
        <w:t>4</w:t>
      </w:r>
      <w:r w:rsidR="003070BD">
        <w:fldChar w:fldCharType="end"/>
      </w:r>
      <w:r w:rsidR="003070BD">
        <w:t>)</w:t>
      </w:r>
      <w:r>
        <w:t>.</w:t>
      </w:r>
    </w:p>
    <w:p w14:paraId="23600CC0" w14:textId="4E3FDD65" w:rsidR="005C660B" w:rsidRDefault="005C660B" w:rsidP="005C660B">
      <w:pPr>
        <w:pStyle w:val="TableTitle"/>
      </w:pPr>
      <w:bookmarkStart w:id="53" w:name="_Ref69729832"/>
      <w:r>
        <w:t xml:space="preserve">Table </w:t>
      </w:r>
      <w:r w:rsidR="00D42A0C">
        <w:fldChar w:fldCharType="begin"/>
      </w:r>
      <w:r w:rsidR="00D42A0C">
        <w:instrText xml:space="preserve"> SEQ Table \* ARABIC </w:instrText>
      </w:r>
      <w:r w:rsidR="00D42A0C">
        <w:fldChar w:fldCharType="separate"/>
      </w:r>
      <w:r w:rsidR="003938C9">
        <w:rPr>
          <w:noProof/>
        </w:rPr>
        <w:t>4</w:t>
      </w:r>
      <w:r w:rsidR="00D42A0C">
        <w:rPr>
          <w:noProof/>
        </w:rPr>
        <w:fldChar w:fldCharType="end"/>
      </w:r>
      <w:bookmarkEnd w:id="53"/>
      <w:r>
        <w:t>: Pharmacodynamic studies</w:t>
      </w:r>
    </w:p>
    <w:tbl>
      <w:tblPr>
        <w:tblStyle w:val="TableTGAblue"/>
        <w:tblW w:w="5000" w:type="pct"/>
        <w:tblLook w:val="04A0" w:firstRow="1" w:lastRow="0" w:firstColumn="1" w:lastColumn="0" w:noHBand="0" w:noVBand="1"/>
      </w:tblPr>
      <w:tblGrid>
        <w:gridCol w:w="2008"/>
        <w:gridCol w:w="4290"/>
        <w:gridCol w:w="1766"/>
        <w:gridCol w:w="656"/>
      </w:tblGrid>
      <w:tr w:rsidR="005C660B" w:rsidRPr="00EE453C" w14:paraId="47CAB64B" w14:textId="77777777" w:rsidTr="003070BD">
        <w:trPr>
          <w:cnfStyle w:val="100000000000" w:firstRow="1" w:lastRow="0" w:firstColumn="0" w:lastColumn="0" w:oddVBand="0" w:evenVBand="0" w:oddHBand="0" w:evenHBand="0" w:firstRowFirstColumn="0" w:firstRowLastColumn="0" w:lastRowFirstColumn="0" w:lastRowLastColumn="0"/>
        </w:trPr>
        <w:tc>
          <w:tcPr>
            <w:tcW w:w="1038" w:type="pct"/>
          </w:tcPr>
          <w:p w14:paraId="36D5EE41" w14:textId="77777777" w:rsidR="005C660B" w:rsidRPr="00EE453C" w:rsidRDefault="003070BD" w:rsidP="00652508">
            <w:pPr>
              <w:rPr>
                <w:b w:val="0"/>
              </w:rPr>
            </w:pPr>
            <w:r w:rsidRPr="00EE453C">
              <w:t>PD t</w:t>
            </w:r>
            <w:r w:rsidR="005C660B" w:rsidRPr="00EE453C">
              <w:t>opic</w:t>
            </w:r>
          </w:p>
        </w:tc>
        <w:tc>
          <w:tcPr>
            <w:tcW w:w="2519" w:type="pct"/>
          </w:tcPr>
          <w:p w14:paraId="4821F88C" w14:textId="77777777" w:rsidR="005C660B" w:rsidRPr="00EE453C" w:rsidRDefault="005C660B" w:rsidP="00652508">
            <w:pPr>
              <w:rPr>
                <w:b w:val="0"/>
              </w:rPr>
            </w:pPr>
            <w:r w:rsidRPr="00EE453C">
              <w:t>Subtopic</w:t>
            </w:r>
          </w:p>
        </w:tc>
        <w:tc>
          <w:tcPr>
            <w:tcW w:w="1073" w:type="pct"/>
          </w:tcPr>
          <w:p w14:paraId="5A48F0E5" w14:textId="77777777" w:rsidR="005C660B" w:rsidRPr="00EE453C" w:rsidRDefault="005C660B" w:rsidP="00652508">
            <w:pPr>
              <w:rPr>
                <w:b w:val="0"/>
              </w:rPr>
            </w:pPr>
            <w:r w:rsidRPr="00EE453C">
              <w:t>Study ID</w:t>
            </w:r>
          </w:p>
        </w:tc>
        <w:tc>
          <w:tcPr>
            <w:tcW w:w="369" w:type="pct"/>
          </w:tcPr>
          <w:p w14:paraId="3B4E5975" w14:textId="77777777" w:rsidR="005C660B" w:rsidRPr="00EE453C" w:rsidRDefault="005C660B" w:rsidP="00652508">
            <w:pPr>
              <w:rPr>
                <w:b w:val="0"/>
              </w:rPr>
            </w:pPr>
            <w:r w:rsidRPr="00EE453C">
              <w:t>*</w:t>
            </w:r>
          </w:p>
        </w:tc>
      </w:tr>
      <w:tr w:rsidR="005C660B" w:rsidRPr="00EE453C" w14:paraId="32E4A8C9" w14:textId="77777777" w:rsidTr="003070BD">
        <w:tc>
          <w:tcPr>
            <w:tcW w:w="1038" w:type="pct"/>
          </w:tcPr>
          <w:p w14:paraId="46C03E73" w14:textId="77777777" w:rsidR="005C660B" w:rsidRPr="00652508" w:rsidRDefault="005C660B" w:rsidP="00652508">
            <w:pPr>
              <w:rPr>
                <w:b/>
              </w:rPr>
            </w:pPr>
            <w:r w:rsidRPr="00652508">
              <w:rPr>
                <w:b/>
              </w:rPr>
              <w:t>Primary Pharmacology</w:t>
            </w:r>
          </w:p>
        </w:tc>
        <w:tc>
          <w:tcPr>
            <w:tcW w:w="2519" w:type="pct"/>
          </w:tcPr>
          <w:p w14:paraId="5828AE7F" w14:textId="77777777" w:rsidR="005C660B" w:rsidRPr="00EE453C" w:rsidRDefault="005C660B" w:rsidP="00652508">
            <w:r w:rsidRPr="00EE453C">
              <w:t>Effect on depression</w:t>
            </w:r>
          </w:p>
        </w:tc>
        <w:tc>
          <w:tcPr>
            <w:tcW w:w="1073" w:type="pct"/>
          </w:tcPr>
          <w:p w14:paraId="2BBB2D7B" w14:textId="77777777" w:rsidR="005C660B" w:rsidRPr="00EE453C" w:rsidRDefault="005C660B" w:rsidP="00652508">
            <w:r w:rsidRPr="00EE453C">
              <w:t>No PD studies</w:t>
            </w:r>
          </w:p>
        </w:tc>
        <w:tc>
          <w:tcPr>
            <w:tcW w:w="369" w:type="pct"/>
          </w:tcPr>
          <w:p w14:paraId="46CC9E60" w14:textId="77777777" w:rsidR="005C660B" w:rsidRPr="00EE453C" w:rsidRDefault="005C660B" w:rsidP="00652508"/>
        </w:tc>
      </w:tr>
      <w:tr w:rsidR="005C660B" w:rsidRPr="00EE453C" w14:paraId="02AA0665" w14:textId="77777777" w:rsidTr="003070BD">
        <w:tc>
          <w:tcPr>
            <w:tcW w:w="1038" w:type="pct"/>
            <w:vMerge w:val="restart"/>
          </w:tcPr>
          <w:p w14:paraId="092BEDAE" w14:textId="77777777" w:rsidR="005C660B" w:rsidRPr="00652508" w:rsidRDefault="005C660B" w:rsidP="00652508">
            <w:pPr>
              <w:rPr>
                <w:b/>
              </w:rPr>
            </w:pPr>
            <w:r w:rsidRPr="00652508">
              <w:rPr>
                <w:b/>
              </w:rPr>
              <w:t>Secondary Pharmacology</w:t>
            </w:r>
          </w:p>
        </w:tc>
        <w:tc>
          <w:tcPr>
            <w:tcW w:w="2519" w:type="pct"/>
          </w:tcPr>
          <w:p w14:paraId="7549EAB3" w14:textId="10560652" w:rsidR="005C660B" w:rsidRPr="00EE453C" w:rsidRDefault="005C660B" w:rsidP="00652508">
            <w:r w:rsidRPr="00EE453C">
              <w:t>Effect on thorough QT</w:t>
            </w:r>
            <w:r w:rsidR="00EE453C">
              <w:t>-interval</w:t>
            </w:r>
          </w:p>
          <w:p w14:paraId="2FBDC19A" w14:textId="77777777" w:rsidR="005C660B" w:rsidRPr="00EE453C" w:rsidRDefault="005C660B" w:rsidP="00652508">
            <w:r w:rsidRPr="00EE453C">
              <w:t>Haemodynamic parameters (</w:t>
            </w:r>
            <w:r w:rsidR="003070BD" w:rsidRPr="00EE453C">
              <w:t>blood pressure and heart rate</w:t>
            </w:r>
            <w:r w:rsidRPr="00EE453C">
              <w:t>)</w:t>
            </w:r>
          </w:p>
        </w:tc>
        <w:tc>
          <w:tcPr>
            <w:tcW w:w="1073" w:type="pct"/>
          </w:tcPr>
          <w:p w14:paraId="1DB8EC11" w14:textId="77777777" w:rsidR="005C660B" w:rsidRPr="00EE453C" w:rsidRDefault="005C660B" w:rsidP="00652508">
            <w:r w:rsidRPr="00EE453C">
              <w:t>TRD1013</w:t>
            </w:r>
          </w:p>
          <w:p w14:paraId="5A4507B7" w14:textId="77777777" w:rsidR="005C660B" w:rsidRPr="00EE453C" w:rsidRDefault="005C660B" w:rsidP="00652508">
            <w:r w:rsidRPr="00EE453C">
              <w:t>TRD1013</w:t>
            </w:r>
          </w:p>
        </w:tc>
        <w:tc>
          <w:tcPr>
            <w:tcW w:w="369" w:type="pct"/>
          </w:tcPr>
          <w:p w14:paraId="2545D285" w14:textId="77777777" w:rsidR="005C660B" w:rsidRPr="00EE453C" w:rsidRDefault="005C660B" w:rsidP="00652508">
            <w:r w:rsidRPr="00EE453C">
              <w:t>*</w:t>
            </w:r>
          </w:p>
        </w:tc>
      </w:tr>
      <w:tr w:rsidR="005C660B" w:rsidRPr="00EE453C" w14:paraId="110E1829" w14:textId="77777777" w:rsidTr="003070BD">
        <w:tc>
          <w:tcPr>
            <w:tcW w:w="1038" w:type="pct"/>
            <w:vMerge/>
          </w:tcPr>
          <w:p w14:paraId="4FC40E82" w14:textId="77777777" w:rsidR="005C660B" w:rsidRPr="00EE453C" w:rsidRDefault="005C660B" w:rsidP="00652508"/>
        </w:tc>
        <w:tc>
          <w:tcPr>
            <w:tcW w:w="2519" w:type="pct"/>
          </w:tcPr>
          <w:p w14:paraId="2F6D6573" w14:textId="77777777" w:rsidR="005C660B" w:rsidRPr="00EE453C" w:rsidRDefault="005C660B" w:rsidP="00652508">
            <w:r w:rsidRPr="00EE453C">
              <w:t>Effect on cognitive function</w:t>
            </w:r>
          </w:p>
        </w:tc>
        <w:tc>
          <w:tcPr>
            <w:tcW w:w="1073" w:type="pct"/>
          </w:tcPr>
          <w:p w14:paraId="12D9BD8E" w14:textId="77777777" w:rsidR="005C660B" w:rsidRPr="00EE453C" w:rsidRDefault="005C660B" w:rsidP="00652508">
            <w:r w:rsidRPr="00EE453C">
              <w:t>TRD1005</w:t>
            </w:r>
          </w:p>
        </w:tc>
        <w:tc>
          <w:tcPr>
            <w:tcW w:w="369" w:type="pct"/>
          </w:tcPr>
          <w:p w14:paraId="46499CB8" w14:textId="77777777" w:rsidR="005C660B" w:rsidRPr="00EE453C" w:rsidRDefault="005C660B" w:rsidP="00652508">
            <w:r w:rsidRPr="00EE453C">
              <w:t>*</w:t>
            </w:r>
          </w:p>
        </w:tc>
      </w:tr>
      <w:tr w:rsidR="005C660B" w:rsidRPr="00EE453C" w14:paraId="6E14CA80" w14:textId="77777777" w:rsidTr="003070BD">
        <w:tc>
          <w:tcPr>
            <w:tcW w:w="1038" w:type="pct"/>
            <w:vMerge/>
          </w:tcPr>
          <w:p w14:paraId="64C1A426" w14:textId="77777777" w:rsidR="005C660B" w:rsidRPr="00EE453C" w:rsidRDefault="005C660B" w:rsidP="00652508"/>
        </w:tc>
        <w:tc>
          <w:tcPr>
            <w:tcW w:w="2519" w:type="pct"/>
          </w:tcPr>
          <w:p w14:paraId="73C33C0A" w14:textId="77777777" w:rsidR="005C660B" w:rsidRPr="00EE453C" w:rsidRDefault="005C660B" w:rsidP="00652508">
            <w:r w:rsidRPr="00EE453C">
              <w:t>Effect on road safety</w:t>
            </w:r>
          </w:p>
        </w:tc>
        <w:tc>
          <w:tcPr>
            <w:tcW w:w="1073" w:type="pct"/>
          </w:tcPr>
          <w:p w14:paraId="23E33D9A" w14:textId="77777777" w:rsidR="005C660B" w:rsidRPr="00EE453C" w:rsidRDefault="005C660B" w:rsidP="00652508">
            <w:r w:rsidRPr="00EE453C">
              <w:t>TRD1006</w:t>
            </w:r>
          </w:p>
          <w:p w14:paraId="5FBEFB0F" w14:textId="77777777" w:rsidR="005C660B" w:rsidRPr="00EE453C" w:rsidRDefault="005C660B" w:rsidP="00652508">
            <w:r w:rsidRPr="00EE453C">
              <w:t>TRD1019**</w:t>
            </w:r>
          </w:p>
        </w:tc>
        <w:tc>
          <w:tcPr>
            <w:tcW w:w="369" w:type="pct"/>
          </w:tcPr>
          <w:p w14:paraId="3CB25E8B" w14:textId="77777777" w:rsidR="005C660B" w:rsidRPr="00EE453C" w:rsidRDefault="005C660B" w:rsidP="00652508">
            <w:r w:rsidRPr="00EE453C">
              <w:t>*</w:t>
            </w:r>
          </w:p>
          <w:p w14:paraId="21E1CA26" w14:textId="77777777" w:rsidR="005C660B" w:rsidRPr="00EE453C" w:rsidRDefault="005C660B" w:rsidP="00652508">
            <w:r w:rsidRPr="00EE453C">
              <w:t>*</w:t>
            </w:r>
          </w:p>
        </w:tc>
      </w:tr>
      <w:tr w:rsidR="005C660B" w:rsidRPr="00EE453C" w14:paraId="705ADFD7" w14:textId="77777777" w:rsidTr="003070BD">
        <w:tc>
          <w:tcPr>
            <w:tcW w:w="1038" w:type="pct"/>
            <w:vMerge/>
          </w:tcPr>
          <w:p w14:paraId="2EA98145" w14:textId="77777777" w:rsidR="005C660B" w:rsidRPr="00EE453C" w:rsidRDefault="005C660B" w:rsidP="00652508"/>
        </w:tc>
        <w:tc>
          <w:tcPr>
            <w:tcW w:w="2519" w:type="pct"/>
          </w:tcPr>
          <w:p w14:paraId="37D0F5C8" w14:textId="77777777" w:rsidR="005C660B" w:rsidRPr="00EE453C" w:rsidRDefault="005C660B" w:rsidP="00652508">
            <w:r w:rsidRPr="00EE453C">
              <w:t>Effect on abuse potential</w:t>
            </w:r>
          </w:p>
        </w:tc>
        <w:tc>
          <w:tcPr>
            <w:tcW w:w="1073" w:type="pct"/>
          </w:tcPr>
          <w:p w14:paraId="6671B898" w14:textId="77777777" w:rsidR="005C660B" w:rsidRPr="00EE453C" w:rsidRDefault="005C660B" w:rsidP="00652508">
            <w:r w:rsidRPr="00EE453C">
              <w:t>TRD1015</w:t>
            </w:r>
          </w:p>
        </w:tc>
        <w:tc>
          <w:tcPr>
            <w:tcW w:w="369" w:type="pct"/>
          </w:tcPr>
          <w:p w14:paraId="33C38F3D" w14:textId="77777777" w:rsidR="005C660B" w:rsidRPr="00EE453C" w:rsidRDefault="005C660B" w:rsidP="00652508">
            <w:r w:rsidRPr="00EE453C">
              <w:t>*</w:t>
            </w:r>
          </w:p>
        </w:tc>
      </w:tr>
    </w:tbl>
    <w:p w14:paraId="2735A3B6" w14:textId="14A76BAB" w:rsidR="007D5C56" w:rsidRDefault="007D5C56" w:rsidP="003070BD">
      <w:pPr>
        <w:pStyle w:val="TableDescription"/>
      </w:pPr>
      <w:r>
        <w:t>PD = pharmacodynamic(s).</w:t>
      </w:r>
    </w:p>
    <w:p w14:paraId="694A1C49" w14:textId="6209A617" w:rsidR="005C660B" w:rsidRPr="003070BD" w:rsidRDefault="005C660B" w:rsidP="003070BD">
      <w:pPr>
        <w:pStyle w:val="TableDescription"/>
      </w:pPr>
      <w:r w:rsidRPr="003070BD">
        <w:t>* Indicates primary PD aim of the study; **study ongoing – only interim analysis available</w:t>
      </w:r>
    </w:p>
    <w:p w14:paraId="5B2C0CFC" w14:textId="3CA804E2" w:rsidR="003070BD" w:rsidRDefault="007D5C56" w:rsidP="003070BD">
      <w:r>
        <w:t>The c</w:t>
      </w:r>
      <w:r w:rsidR="003070BD">
        <w:t xml:space="preserve">linical evaluator’s conclusions on </w:t>
      </w:r>
      <w:r w:rsidR="00587393">
        <w:t xml:space="preserve">the </w:t>
      </w:r>
      <w:r w:rsidR="003070BD">
        <w:t>PD</w:t>
      </w:r>
      <w:r>
        <w:t xml:space="preserve"> </w:t>
      </w:r>
      <w:r w:rsidR="00587393">
        <w:t xml:space="preserve">studies </w:t>
      </w:r>
      <w:r>
        <w:t>were</w:t>
      </w:r>
      <w:r w:rsidR="003070BD">
        <w:t>:</w:t>
      </w:r>
    </w:p>
    <w:p w14:paraId="43FB120A" w14:textId="4886F789" w:rsidR="005C660B" w:rsidRDefault="005C660B" w:rsidP="003070BD">
      <w:pPr>
        <w:pStyle w:val="ListBullet"/>
        <w:rPr>
          <w:rFonts w:asciiTheme="minorHAnsi" w:hAnsiTheme="minorHAnsi"/>
        </w:rPr>
      </w:pPr>
      <w:r>
        <w:rPr>
          <w:i/>
        </w:rPr>
        <w:t>In vitro</w:t>
      </w:r>
      <w:r>
        <w:t xml:space="preserve"> ketamine acts as a </w:t>
      </w:r>
      <w:hyperlink r:id="rId18" w:tooltip="Binding selectivity" w:history="1">
        <w:r w:rsidRPr="00AF6D49">
          <w:rPr>
            <w:rStyle w:val="Hyperlink"/>
            <w:color w:val="auto"/>
            <w:u w:val="none"/>
          </w:rPr>
          <w:t>selective</w:t>
        </w:r>
      </w:hyperlink>
      <w:r w:rsidRPr="00AF6D49">
        <w:t xml:space="preserve"> </w:t>
      </w:r>
      <w:hyperlink r:id="rId19" w:tooltip="Receptor antagonist" w:history="1">
        <w:r w:rsidRPr="00AF6D49">
          <w:rPr>
            <w:rStyle w:val="Hyperlink"/>
            <w:color w:val="auto"/>
            <w:u w:val="none"/>
          </w:rPr>
          <w:t>antagonist</w:t>
        </w:r>
      </w:hyperlink>
      <w:r>
        <w:t xml:space="preserve"> of the </w:t>
      </w:r>
      <w:r w:rsidR="003070BD">
        <w:rPr>
          <w:rFonts w:asciiTheme="minorHAnsi" w:eastAsiaTheme="minorHAnsi" w:hAnsiTheme="minorHAnsi" w:cs="Arial"/>
          <w:lang w:val="en-GB"/>
        </w:rPr>
        <w:t>NMDA</w:t>
      </w:r>
      <w:r w:rsidR="00EE453C">
        <w:rPr>
          <w:rFonts w:asciiTheme="minorHAnsi" w:eastAsiaTheme="minorHAnsi" w:hAnsiTheme="minorHAnsi" w:cs="Arial"/>
          <w:lang w:val="en-GB"/>
        </w:rPr>
        <w:t xml:space="preserve"> receptor</w:t>
      </w:r>
      <w:r>
        <w:t xml:space="preserve">, an </w:t>
      </w:r>
      <w:hyperlink r:id="rId20" w:tooltip="Ionotropic glutamate receptor" w:history="1">
        <w:r w:rsidRPr="00AF6D49">
          <w:rPr>
            <w:rStyle w:val="Hyperlink"/>
            <w:color w:val="auto"/>
            <w:u w:val="none"/>
          </w:rPr>
          <w:t>ionotropic glutamate receptor</w:t>
        </w:r>
      </w:hyperlink>
      <w:r w:rsidRPr="00AF6D49">
        <w:t xml:space="preserve">. </w:t>
      </w:r>
      <w:r>
        <w:t xml:space="preserve">It binds specifically to the </w:t>
      </w:r>
      <w:hyperlink r:id="rId21" w:tooltip="Dizocilpine" w:history="1">
        <w:proofErr w:type="spellStart"/>
        <w:r w:rsidRPr="00AF6D49">
          <w:rPr>
            <w:rStyle w:val="Hyperlink"/>
            <w:color w:val="auto"/>
            <w:u w:val="none"/>
          </w:rPr>
          <w:t>dizocilpine</w:t>
        </w:r>
        <w:proofErr w:type="spellEnd"/>
      </w:hyperlink>
      <w:r w:rsidRPr="00AF6D49">
        <w:t xml:space="preserve"> (</w:t>
      </w:r>
      <w:r w:rsidR="003070BD">
        <w:t>MK-801) site of the NMDA</w:t>
      </w:r>
      <w:r w:rsidR="00EE453C">
        <w:t xml:space="preserve"> receptor</w:t>
      </w:r>
      <w:r w:rsidRPr="00AF6D49">
        <w:t xml:space="preserve">, near the channel pore, and is an </w:t>
      </w:r>
      <w:hyperlink r:id="rId22" w:tooltip="Uncompetitive antagonist" w:history="1">
        <w:r w:rsidRPr="00AF6D49">
          <w:rPr>
            <w:rStyle w:val="Hyperlink"/>
            <w:color w:val="auto"/>
            <w:u w:val="none"/>
          </w:rPr>
          <w:t>uncompetitive antagonist</w:t>
        </w:r>
      </w:hyperlink>
      <w:r w:rsidRPr="00AF6D49">
        <w:t xml:space="preserve">. The </w:t>
      </w:r>
      <w:r w:rsidRPr="00AF6D49">
        <w:rPr>
          <w:i/>
          <w:iCs/>
        </w:rPr>
        <w:t xml:space="preserve">S </w:t>
      </w:r>
      <w:r w:rsidRPr="00AF6D49">
        <w:t xml:space="preserve">(+) and </w:t>
      </w:r>
      <w:r w:rsidRPr="00AF6D49">
        <w:rPr>
          <w:i/>
          <w:iCs/>
        </w:rPr>
        <w:t>R</w:t>
      </w:r>
      <w:r w:rsidR="00EE453C">
        <w:rPr>
          <w:i/>
          <w:iCs/>
        </w:rPr>
        <w:t> </w:t>
      </w:r>
      <w:r w:rsidRPr="00AF6D49">
        <w:t xml:space="preserve">(–) </w:t>
      </w:r>
      <w:hyperlink r:id="rId23" w:tooltip="Stereoisomer" w:history="1">
        <w:r w:rsidRPr="00AF6D49">
          <w:rPr>
            <w:rStyle w:val="Hyperlink"/>
            <w:color w:val="auto"/>
            <w:u w:val="none"/>
          </w:rPr>
          <w:t>stereoisomers</w:t>
        </w:r>
      </w:hyperlink>
      <w:r>
        <w:t xml:space="preserve"> of ketamine bind to t</w:t>
      </w:r>
      <w:r w:rsidR="003070BD">
        <w:t xml:space="preserve">he </w:t>
      </w:r>
      <w:proofErr w:type="spellStart"/>
      <w:r w:rsidR="003070BD">
        <w:t>dizocilpine</w:t>
      </w:r>
      <w:proofErr w:type="spellEnd"/>
      <w:r w:rsidR="003070BD">
        <w:t xml:space="preserve"> site of the NMDA</w:t>
      </w:r>
      <w:r w:rsidR="00EE453C">
        <w:t xml:space="preserve"> receptor</w:t>
      </w:r>
      <w:r w:rsidR="007D5C56">
        <w:t xml:space="preserve"> </w:t>
      </w:r>
      <w:r>
        <w:t>with different affinities, the former showing greater receptor affinity.</w:t>
      </w:r>
    </w:p>
    <w:p w14:paraId="11EFD217" w14:textId="77777777" w:rsidR="005C660B" w:rsidRDefault="005C660B" w:rsidP="003070BD">
      <w:pPr>
        <w:pStyle w:val="ListBullet"/>
      </w:pPr>
      <w:r>
        <w:t xml:space="preserve">Generally, PD data provided in the application dossier was sufficiently comprehensive to support the proposed indication of intranasal </w:t>
      </w:r>
      <w:proofErr w:type="spellStart"/>
      <w:r>
        <w:t>esketamine</w:t>
      </w:r>
      <w:proofErr w:type="spellEnd"/>
      <w:r>
        <w:t xml:space="preserve"> in adults with TRD.</w:t>
      </w:r>
    </w:p>
    <w:p w14:paraId="385B88A2" w14:textId="77777777" w:rsidR="005C660B" w:rsidRDefault="005C660B" w:rsidP="003070BD">
      <w:pPr>
        <w:pStyle w:val="ListBullet"/>
      </w:pPr>
      <w:r>
        <w:t xml:space="preserve">Secondary PD effects were generally consistent with </w:t>
      </w:r>
      <w:proofErr w:type="spellStart"/>
      <w:r>
        <w:t>C</w:t>
      </w:r>
      <w:r>
        <w:rPr>
          <w:vertAlign w:val="subscript"/>
        </w:rPr>
        <w:t>max</w:t>
      </w:r>
      <w:proofErr w:type="spellEnd"/>
      <w:r>
        <w:t xml:space="preserve"> and total exposure (AUC). Plasma concentration-effect relationships were not defined for the primary PD but were for many important secondary PD effects, including dose-related effects on systolic and diastolic blood pressures. The therapeutic window was generally defined by plasma drug concentrations.</w:t>
      </w:r>
    </w:p>
    <w:p w14:paraId="2A95853F" w14:textId="77777777" w:rsidR="005C660B" w:rsidRDefault="005C660B" w:rsidP="003070BD">
      <w:pPr>
        <w:pStyle w:val="ListBullet"/>
      </w:pPr>
      <w:r>
        <w:t>Major anticipated clinical safety concerns bas</w:t>
      </w:r>
      <w:r w:rsidR="003070BD">
        <w:t xml:space="preserve">ed on the claimed mechanism of </w:t>
      </w:r>
      <w:r>
        <w:t>action include:</w:t>
      </w:r>
    </w:p>
    <w:p w14:paraId="452585EC" w14:textId="123488AC" w:rsidR="005C660B" w:rsidRDefault="00EE453C" w:rsidP="003070BD">
      <w:pPr>
        <w:pStyle w:val="ListBullet2"/>
      </w:pPr>
      <w:r>
        <w:t>h</w:t>
      </w:r>
      <w:r w:rsidR="005C660B">
        <w:t xml:space="preserve">ypertension (elevated </w:t>
      </w:r>
      <w:r w:rsidR="003070BD">
        <w:t>systolic blood pressure and/or diastolic blood pressure</w:t>
      </w:r>
      <w:r w:rsidR="005C660B">
        <w:t>);</w:t>
      </w:r>
    </w:p>
    <w:p w14:paraId="4B8F85E0" w14:textId="7577D15C" w:rsidR="005C660B" w:rsidRDefault="00EE453C" w:rsidP="003070BD">
      <w:pPr>
        <w:pStyle w:val="ListBullet2"/>
      </w:pPr>
      <w:r>
        <w:t>a</w:t>
      </w:r>
      <w:r w:rsidR="005C660B">
        <w:t>ssociated cardio</w:t>
      </w:r>
      <w:r w:rsidR="003070BD">
        <w:t xml:space="preserve">vascular </w:t>
      </w:r>
      <w:r>
        <w:t xml:space="preserve">events </w:t>
      </w:r>
      <w:r w:rsidR="003070BD">
        <w:t xml:space="preserve">(for example, tachycardia and </w:t>
      </w:r>
      <w:r w:rsidR="00291CE5">
        <w:t>palpitation);</w:t>
      </w:r>
    </w:p>
    <w:p w14:paraId="5C0FC5BB" w14:textId="36FA34A0" w:rsidR="005C660B" w:rsidRDefault="00EE453C" w:rsidP="003070BD">
      <w:pPr>
        <w:pStyle w:val="ListBullet2"/>
      </w:pPr>
      <w:r>
        <w:t>c</w:t>
      </w:r>
      <w:r w:rsidR="005C660B">
        <w:t>erebrovascular events (</w:t>
      </w:r>
      <w:r w:rsidR="003070BD">
        <w:t>for example,</w:t>
      </w:r>
      <w:r w:rsidR="005C660B">
        <w:t xml:space="preserve"> haemorrhagic stroke);</w:t>
      </w:r>
    </w:p>
    <w:p w14:paraId="64216B3A" w14:textId="3F4437BF" w:rsidR="005C660B" w:rsidRDefault="00EE453C" w:rsidP="003070BD">
      <w:pPr>
        <w:pStyle w:val="ListBullet2"/>
      </w:pPr>
      <w:r>
        <w:t>p</w:t>
      </w:r>
      <w:r w:rsidR="005C660B">
        <w:t>otential drug of abuse/misuse;</w:t>
      </w:r>
    </w:p>
    <w:p w14:paraId="711B772B" w14:textId="16F62CFD" w:rsidR="005C660B" w:rsidRPr="0024779B" w:rsidRDefault="00EE453C" w:rsidP="003070BD">
      <w:pPr>
        <w:pStyle w:val="ListBullet2"/>
      </w:pPr>
      <w:r>
        <w:t>d</w:t>
      </w:r>
      <w:r w:rsidR="005C660B">
        <w:t xml:space="preserve">isturbance of </w:t>
      </w:r>
      <w:r w:rsidR="005C660B" w:rsidRPr="0024779B">
        <w:rPr>
          <w:rFonts w:asciiTheme="minorHAnsi" w:eastAsia="TimesNewRoman,Bold" w:hAnsiTheme="minorHAnsi" w:cs="TimesNewRoman"/>
          <w:lang w:val="en-GB"/>
        </w:rPr>
        <w:t>perception</w:t>
      </w:r>
      <w:r w:rsidR="005C660B">
        <w:rPr>
          <w:rFonts w:asciiTheme="minorHAnsi" w:eastAsia="TimesNewRoman,Bold" w:hAnsiTheme="minorHAnsi" w:cs="TimesNewRoman"/>
          <w:lang w:val="en-GB"/>
        </w:rPr>
        <w:t>;</w:t>
      </w:r>
      <w:r>
        <w:rPr>
          <w:rFonts w:asciiTheme="minorHAnsi" w:eastAsia="TimesNewRoman,Bold" w:hAnsiTheme="minorHAnsi" w:cs="TimesNewRoman"/>
          <w:lang w:val="en-GB"/>
        </w:rPr>
        <w:t xml:space="preserve"> and</w:t>
      </w:r>
    </w:p>
    <w:p w14:paraId="45B7AA6D" w14:textId="33C0878C" w:rsidR="005C660B" w:rsidRDefault="00EE453C" w:rsidP="003070BD">
      <w:pPr>
        <w:pStyle w:val="ListBullet2"/>
      </w:pPr>
      <w:r>
        <w:rPr>
          <w:rFonts w:asciiTheme="minorHAnsi" w:eastAsia="TimesNewRoman,Bold" w:hAnsiTheme="minorHAnsi" w:cs="TimesNewRoman"/>
          <w:lang w:val="en-GB"/>
        </w:rPr>
        <w:t>d</w:t>
      </w:r>
      <w:r w:rsidR="005C660B" w:rsidRPr="0024779B">
        <w:rPr>
          <w:rFonts w:asciiTheme="minorHAnsi" w:eastAsia="TimesNewRoman,Bold" w:hAnsiTheme="minorHAnsi" w:cs="TimesNewRoman"/>
          <w:lang w:val="en-GB"/>
        </w:rPr>
        <w:t xml:space="preserve">riving </w:t>
      </w:r>
      <w:r w:rsidR="005C660B">
        <w:rPr>
          <w:rFonts w:asciiTheme="minorHAnsi" w:eastAsia="TimesNewRoman,Bold" w:hAnsiTheme="minorHAnsi" w:cs="TimesNewRoman"/>
          <w:lang w:val="en-GB"/>
        </w:rPr>
        <w:t>impairment</w:t>
      </w:r>
      <w:r w:rsidR="005C660B" w:rsidRPr="0024779B">
        <w:rPr>
          <w:rFonts w:asciiTheme="minorHAnsi" w:eastAsia="TimesNewRoman,Bold" w:hAnsiTheme="minorHAnsi" w:cs="TimesNewRoman"/>
          <w:lang w:val="en-GB"/>
        </w:rPr>
        <w:t>.</w:t>
      </w:r>
    </w:p>
    <w:p w14:paraId="3211F08A" w14:textId="77777777" w:rsidR="005C660B" w:rsidRPr="005C660B" w:rsidRDefault="005C660B" w:rsidP="005C660B">
      <w:pPr>
        <w:pStyle w:val="Heading5"/>
      </w:pPr>
      <w:r w:rsidRPr="005C660B">
        <w:lastRenderedPageBreak/>
        <w:t>Dose finding</w:t>
      </w:r>
    </w:p>
    <w:p w14:paraId="7545A8E9" w14:textId="77CC1F38" w:rsidR="005C660B" w:rsidRPr="003070BD" w:rsidRDefault="005C660B" w:rsidP="003070BD">
      <w:r w:rsidRPr="004460D3">
        <w:rPr>
          <w:lang w:val="en-GB"/>
        </w:rPr>
        <w:t xml:space="preserve">The dosing regimens used in the pivotal efficacy studies were based on a combination of </w:t>
      </w:r>
      <w:r w:rsidR="00EE453C">
        <w:rPr>
          <w:lang w:val="en-GB"/>
        </w:rPr>
        <w:t xml:space="preserve">the </w:t>
      </w:r>
      <w:r w:rsidRPr="004460D3">
        <w:rPr>
          <w:lang w:val="en-GB"/>
        </w:rPr>
        <w:t>PK, efficacy and safety data der</w:t>
      </w:r>
      <w:r w:rsidR="004460D3">
        <w:rPr>
          <w:lang w:val="en-GB"/>
        </w:rPr>
        <w:t>ived from the P</w:t>
      </w:r>
      <w:r w:rsidRPr="004460D3">
        <w:rPr>
          <w:lang w:val="en-GB"/>
        </w:rPr>
        <w:t xml:space="preserve">hase II clinical program (particularly from the dose-finding study, </w:t>
      </w:r>
      <w:r w:rsidR="003070BD">
        <w:rPr>
          <w:lang w:val="en-GB"/>
        </w:rPr>
        <w:t xml:space="preserve">Study </w:t>
      </w:r>
      <w:r w:rsidRPr="004460D3">
        <w:rPr>
          <w:lang w:val="en-GB"/>
        </w:rPr>
        <w:t>TRD2003), as well as addition</w:t>
      </w:r>
      <w:r w:rsidR="004460D3">
        <w:rPr>
          <w:lang w:val="en-GB"/>
        </w:rPr>
        <w:t>al safety and PK data from the P</w:t>
      </w:r>
      <w:r w:rsidRPr="004460D3">
        <w:rPr>
          <w:lang w:val="en-GB"/>
        </w:rPr>
        <w:t xml:space="preserve">hase I clinical program. This was </w:t>
      </w:r>
      <w:r w:rsidR="004460D3" w:rsidRPr="004460D3">
        <w:rPr>
          <w:lang w:val="en-GB"/>
        </w:rPr>
        <w:t xml:space="preserve">considered to be </w:t>
      </w:r>
      <w:r w:rsidRPr="004460D3">
        <w:rPr>
          <w:lang w:val="en-GB"/>
        </w:rPr>
        <w:t>an acceptable approach.</w:t>
      </w:r>
    </w:p>
    <w:p w14:paraId="0C6DD720" w14:textId="15D28EB2" w:rsidR="005C660B" w:rsidRPr="004460D3" w:rsidRDefault="004460D3" w:rsidP="003070BD">
      <w:pPr>
        <w:rPr>
          <w:lang w:val="en-GB"/>
        </w:rPr>
      </w:pPr>
      <w:r>
        <w:rPr>
          <w:lang w:val="en-GB"/>
        </w:rPr>
        <w:t>The s</w:t>
      </w:r>
      <w:r w:rsidR="005C660B" w:rsidRPr="004460D3">
        <w:rPr>
          <w:lang w:val="en-GB"/>
        </w:rPr>
        <w:t xml:space="preserve">ponsor did not provide adequate rationale for selection of flexibly dosed regimens in 3 </w:t>
      </w:r>
      <w:r w:rsidR="00EE453C">
        <w:rPr>
          <w:lang w:val="en-GB"/>
        </w:rPr>
        <w:t xml:space="preserve">out </w:t>
      </w:r>
      <w:r w:rsidR="005C660B" w:rsidRPr="004460D3">
        <w:rPr>
          <w:lang w:val="en-GB"/>
        </w:rPr>
        <w:t>of 4</w:t>
      </w:r>
      <w:r w:rsidR="00EE453C">
        <w:rPr>
          <w:lang w:val="en-GB"/>
        </w:rPr>
        <w:t xml:space="preserve"> studies</w:t>
      </w:r>
      <w:r w:rsidR="005C660B" w:rsidRPr="004460D3">
        <w:rPr>
          <w:lang w:val="en-GB"/>
        </w:rPr>
        <w:t xml:space="preserve"> (</w:t>
      </w:r>
      <w:r w:rsidR="003070BD">
        <w:rPr>
          <w:lang w:val="en-GB"/>
        </w:rPr>
        <w:t xml:space="preserve">Studies </w:t>
      </w:r>
      <w:r w:rsidR="005C660B" w:rsidRPr="004460D3">
        <w:rPr>
          <w:lang w:val="en-GB"/>
        </w:rPr>
        <w:t>TRD3002, TRD30</w:t>
      </w:r>
      <w:r>
        <w:rPr>
          <w:lang w:val="en-GB"/>
        </w:rPr>
        <w:t>03 and TRD3005) of its pivotal P</w:t>
      </w:r>
      <w:r w:rsidR="005C660B" w:rsidRPr="004460D3">
        <w:rPr>
          <w:lang w:val="en-GB"/>
        </w:rPr>
        <w:t>hase III efficacy studies, in preference to a more traditiona</w:t>
      </w:r>
      <w:r>
        <w:rPr>
          <w:lang w:val="en-GB"/>
        </w:rPr>
        <w:t>l</w:t>
      </w:r>
      <w:r w:rsidR="001107DD">
        <w:rPr>
          <w:lang w:val="en-GB"/>
        </w:rPr>
        <w:t>,</w:t>
      </w:r>
      <w:r>
        <w:rPr>
          <w:lang w:val="en-GB"/>
        </w:rPr>
        <w:t xml:space="preserve"> fixed-dose regimen (</w:t>
      </w:r>
      <w:r w:rsidR="003070BD">
        <w:rPr>
          <w:lang w:val="en-GB"/>
        </w:rPr>
        <w:t xml:space="preserve">Study </w:t>
      </w:r>
      <w:r>
        <w:rPr>
          <w:lang w:val="en-GB"/>
        </w:rPr>
        <w:t>TRD3001).</w:t>
      </w:r>
    </w:p>
    <w:p w14:paraId="6CE2B06D" w14:textId="77777777" w:rsidR="005C660B" w:rsidRPr="004460D3" w:rsidRDefault="005C660B" w:rsidP="003070BD">
      <w:pPr>
        <w:rPr>
          <w:lang w:val="en-GB"/>
        </w:rPr>
      </w:pPr>
      <w:r w:rsidRPr="004460D3">
        <w:rPr>
          <w:lang w:val="en-GB"/>
        </w:rPr>
        <w:t xml:space="preserve">The use of flexibly dosed regimens, while perhaps being </w:t>
      </w:r>
      <w:r w:rsidR="003070BD">
        <w:rPr>
          <w:lang w:val="en-GB"/>
        </w:rPr>
        <w:t>more representative of the real</w:t>
      </w:r>
      <w:r w:rsidR="003070BD">
        <w:rPr>
          <w:lang w:val="en-GB"/>
        </w:rPr>
        <w:noBreakHyphen/>
      </w:r>
      <w:r w:rsidRPr="004460D3">
        <w:rPr>
          <w:lang w:val="en-GB"/>
        </w:rPr>
        <w:t>world clinical setting, does not allow for extensive evaluation of dose-response trends in both efficacy and safety aspects of the clinical evaluation.</w:t>
      </w:r>
    </w:p>
    <w:p w14:paraId="4F974294" w14:textId="77777777" w:rsidR="008E1890" w:rsidRDefault="008E1890" w:rsidP="008E1890">
      <w:pPr>
        <w:pStyle w:val="Heading4"/>
      </w:pPr>
      <w:r>
        <w:t>Efficacy</w:t>
      </w:r>
    </w:p>
    <w:p w14:paraId="78E200B4" w14:textId="77777777" w:rsidR="005C660B" w:rsidRPr="0022554A" w:rsidRDefault="009A4597" w:rsidP="003070BD">
      <w:r>
        <w:t>There were f</w:t>
      </w:r>
      <w:r w:rsidR="005C660B" w:rsidRPr="0022554A">
        <w:t>our pivotal</w:t>
      </w:r>
      <w:r w:rsidR="005C660B">
        <w:t>/</w:t>
      </w:r>
      <w:r w:rsidR="005C660B" w:rsidRPr="0022554A">
        <w:t xml:space="preserve"> main </w:t>
      </w:r>
      <w:r w:rsidR="00621E4D">
        <w:t xml:space="preserve">efficacy </w:t>
      </w:r>
      <w:r w:rsidR="005C660B" w:rsidRPr="0022554A">
        <w:t>studies</w:t>
      </w:r>
      <w:r w:rsidR="00621E4D">
        <w:t xml:space="preserve"> (all Phase III)</w:t>
      </w:r>
      <w:r w:rsidR="005C660B" w:rsidRPr="0022554A">
        <w:t>:</w:t>
      </w:r>
    </w:p>
    <w:p w14:paraId="1141EA89" w14:textId="0F3E2DA0" w:rsidR="005C660B" w:rsidRPr="0022554A" w:rsidRDefault="002D6680" w:rsidP="003070BD">
      <w:pPr>
        <w:pStyle w:val="ListBullet"/>
      </w:pPr>
      <w:bookmarkStart w:id="54" w:name="_Hlk534894526"/>
      <w:r>
        <w:t xml:space="preserve">Study </w:t>
      </w:r>
      <w:r w:rsidR="005C660B" w:rsidRPr="0022554A">
        <w:t>ESKETINTRD3001 (pivo</w:t>
      </w:r>
      <w:r w:rsidR="003070BD">
        <w:t>tal, induction)</w:t>
      </w:r>
      <w:r>
        <w:t>, also known as the TRANSFORM-1 trial, and referred</w:t>
      </w:r>
      <w:r w:rsidR="003070BD">
        <w:t xml:space="preserve"> </w:t>
      </w:r>
      <w:r>
        <w:t xml:space="preserve">here </w:t>
      </w:r>
      <w:r w:rsidR="003070BD">
        <w:t>to as Study TRD3001.</w:t>
      </w:r>
    </w:p>
    <w:bookmarkEnd w:id="54"/>
    <w:p w14:paraId="28CF4809" w14:textId="578DB6A6" w:rsidR="005C660B" w:rsidRPr="0022554A" w:rsidRDefault="005C660B" w:rsidP="003070BD">
      <w:pPr>
        <w:pStyle w:val="ListBullet"/>
      </w:pPr>
      <w:r w:rsidRPr="0022554A">
        <w:t>ESKETINTRD3002 (pivo</w:t>
      </w:r>
      <w:r w:rsidR="003070BD">
        <w:t xml:space="preserve">tal, induction) </w:t>
      </w:r>
      <w:r w:rsidR="002D6680">
        <w:t xml:space="preserve">also known as the TRANSFORM-2 trial, and referred here </w:t>
      </w:r>
      <w:r w:rsidR="003070BD">
        <w:t>referred to as Study TRD3002.</w:t>
      </w:r>
    </w:p>
    <w:p w14:paraId="330B58F0" w14:textId="6E8EB6C0" w:rsidR="005C660B" w:rsidRPr="0022554A" w:rsidRDefault="005C660B" w:rsidP="003070BD">
      <w:pPr>
        <w:pStyle w:val="ListBullet"/>
      </w:pPr>
      <w:r w:rsidRPr="0022554A">
        <w:t>ESKETINTRD3005 (pivotal, induction, el</w:t>
      </w:r>
      <w:r w:rsidR="003070BD">
        <w:t>derly)</w:t>
      </w:r>
      <w:r w:rsidR="002D6680" w:rsidRPr="002D6680">
        <w:t xml:space="preserve"> </w:t>
      </w:r>
      <w:r w:rsidR="002D6680">
        <w:t>also known as the TRANSFORM-3 trial, and referred here</w:t>
      </w:r>
      <w:r w:rsidR="003070BD">
        <w:t xml:space="preserve"> referred to as Study TRD3005.</w:t>
      </w:r>
    </w:p>
    <w:p w14:paraId="555FB698" w14:textId="0B779C5C" w:rsidR="005C660B" w:rsidRDefault="005C660B" w:rsidP="003070BD">
      <w:pPr>
        <w:pStyle w:val="ListBullet"/>
      </w:pPr>
      <w:r w:rsidRPr="0022554A">
        <w:t>ESKETINTRD3003 (pivotal, maintenance/rela</w:t>
      </w:r>
      <w:r w:rsidR="003070BD">
        <w:t>pse p</w:t>
      </w:r>
      <w:r w:rsidR="00B6248C">
        <w:t>revention)</w:t>
      </w:r>
      <w:r w:rsidR="002D6680">
        <w:t>, also known as the SUSTAIN</w:t>
      </w:r>
      <w:r w:rsidR="002D6680">
        <w:noBreakHyphen/>
        <w:t>1 trial, and</w:t>
      </w:r>
      <w:r w:rsidR="00B6248C">
        <w:t xml:space="preserve"> referred to</w:t>
      </w:r>
      <w:r w:rsidR="002D6680">
        <w:t xml:space="preserve"> here</w:t>
      </w:r>
      <w:r w:rsidR="00B6248C">
        <w:t xml:space="preserve"> as Study </w:t>
      </w:r>
      <w:r w:rsidR="003070BD">
        <w:t>TRD3003.</w:t>
      </w:r>
    </w:p>
    <w:p w14:paraId="53ECC307" w14:textId="77777777" w:rsidR="00E97AAD" w:rsidRDefault="00E97AAD" w:rsidP="00E97AAD">
      <w:r>
        <w:t>There was one open label study</w:t>
      </w:r>
      <w:r w:rsidR="00621E4D">
        <w:t xml:space="preserve"> which contributed efficacy data:</w:t>
      </w:r>
    </w:p>
    <w:p w14:paraId="3D02CD44" w14:textId="5DE712D2" w:rsidR="00621E4D" w:rsidRDefault="00621E4D" w:rsidP="00621E4D">
      <w:pPr>
        <w:pStyle w:val="ListBullet"/>
      </w:pPr>
      <w:r>
        <w:t>ESKETINTRD3004 (P</w:t>
      </w:r>
      <w:r w:rsidRPr="00621E4D">
        <w:t xml:space="preserve">hase III, long-term </w:t>
      </w:r>
      <w:r>
        <w:t>open label</w:t>
      </w:r>
      <w:r w:rsidRPr="00621E4D">
        <w:t xml:space="preserve"> safety/tolerab</w:t>
      </w:r>
      <w:r>
        <w:t>ility/efficacy)</w:t>
      </w:r>
      <w:r w:rsidR="002D6680">
        <w:t>, also known as the SUSTAIN-2 trial, and referred</w:t>
      </w:r>
      <w:r>
        <w:t xml:space="preserve"> to</w:t>
      </w:r>
      <w:r w:rsidR="002D6680">
        <w:t xml:space="preserve"> here</w:t>
      </w:r>
      <w:r>
        <w:t xml:space="preserve"> as Study TRD3004.</w:t>
      </w:r>
    </w:p>
    <w:p w14:paraId="2F898EDC" w14:textId="77777777" w:rsidR="005C660B" w:rsidRPr="009A4597" w:rsidRDefault="005C660B" w:rsidP="009A4597">
      <w:pPr>
        <w:pStyle w:val="Heading5"/>
      </w:pPr>
      <w:r w:rsidRPr="00434706">
        <w:t>Pivotal</w:t>
      </w:r>
      <w:r>
        <w:t>/</w:t>
      </w:r>
      <w:r w:rsidR="009A4597">
        <w:t>m</w:t>
      </w:r>
      <w:r>
        <w:t xml:space="preserve">ain </w:t>
      </w:r>
      <w:r w:rsidR="009A4597">
        <w:t>induction studies</w:t>
      </w:r>
    </w:p>
    <w:p w14:paraId="4B3A49A4" w14:textId="24715572" w:rsidR="005C660B" w:rsidRPr="009A4597" w:rsidRDefault="009A4597" w:rsidP="009A4597">
      <w:r w:rsidRPr="009A4597">
        <w:rPr>
          <w:b/>
        </w:rPr>
        <w:t xml:space="preserve">Study </w:t>
      </w:r>
      <w:r w:rsidR="005C660B" w:rsidRPr="009A4597">
        <w:rPr>
          <w:b/>
        </w:rPr>
        <w:t>TRD3001</w:t>
      </w:r>
      <w:r w:rsidR="00E668C3">
        <w:t xml:space="preserve">; </w:t>
      </w:r>
      <w:r>
        <w:t xml:space="preserve">a randomised, double </w:t>
      </w:r>
      <w:r w:rsidR="005C660B" w:rsidRPr="009A4597">
        <w:t xml:space="preserve">blind, multicentre, active-controlled study to evaluate the efficacy, safety, and tolerability of fixed doses of intranasal </w:t>
      </w:r>
      <w:proofErr w:type="spellStart"/>
      <w:r w:rsidR="005C660B" w:rsidRPr="009A4597">
        <w:t>esketamine</w:t>
      </w:r>
      <w:proofErr w:type="spellEnd"/>
      <w:r w:rsidR="005C660B" w:rsidRPr="009A4597">
        <w:t xml:space="preserve"> plus an oral antidepressant in adult subjects with treatment-resistant d</w:t>
      </w:r>
      <w:r>
        <w:t>epression.</w:t>
      </w:r>
    </w:p>
    <w:p w14:paraId="1627E981" w14:textId="5E563AB4" w:rsidR="009A4597" w:rsidRDefault="009A4597" w:rsidP="009A4597">
      <w:r w:rsidRPr="009A4597">
        <w:rPr>
          <w:b/>
        </w:rPr>
        <w:t>Study TRD3002</w:t>
      </w:r>
      <w:r w:rsidR="00E668C3">
        <w:t>;</w:t>
      </w:r>
      <w:r>
        <w:t xml:space="preserve"> a randomised, double </w:t>
      </w:r>
      <w:r w:rsidR="005C660B" w:rsidRPr="009A4597">
        <w:t>blind, multicentre, active-controlled study</w:t>
      </w:r>
      <w:r>
        <w:t xml:space="preserve"> </w:t>
      </w:r>
      <w:r w:rsidR="005C660B" w:rsidRPr="009A4597">
        <w:t>to evaluate the efficacy, safety, and tol</w:t>
      </w:r>
      <w:r>
        <w:t xml:space="preserve">erability of flexible doses of </w:t>
      </w:r>
      <w:r w:rsidR="005C660B" w:rsidRPr="009A4597">
        <w:t xml:space="preserve">intranasal </w:t>
      </w:r>
      <w:proofErr w:type="spellStart"/>
      <w:r w:rsidR="005C660B" w:rsidRPr="009A4597">
        <w:t>esketamine</w:t>
      </w:r>
      <w:proofErr w:type="spellEnd"/>
      <w:r w:rsidR="005C660B" w:rsidRPr="009A4597">
        <w:t xml:space="preserve"> plus an oral antid</w:t>
      </w:r>
      <w:r>
        <w:t xml:space="preserve">epressant in adult subjects </w:t>
      </w:r>
      <w:r w:rsidR="005C660B" w:rsidRPr="009A4597">
        <w:t>with</w:t>
      </w:r>
      <w:r>
        <w:t xml:space="preserve"> treatment-resistant depression.</w:t>
      </w:r>
    </w:p>
    <w:p w14:paraId="1435B3F0" w14:textId="5304710F" w:rsidR="005C660B" w:rsidRPr="009A4597" w:rsidRDefault="009A4597" w:rsidP="009A4597">
      <w:r w:rsidRPr="009A4597">
        <w:rPr>
          <w:b/>
        </w:rPr>
        <w:t>Study TRD3005</w:t>
      </w:r>
      <w:r w:rsidR="00E668C3">
        <w:t xml:space="preserve">; </w:t>
      </w:r>
      <w:r>
        <w:t xml:space="preserve">a randomised, double </w:t>
      </w:r>
      <w:r w:rsidR="005C660B" w:rsidRPr="009A4597">
        <w:t>blind, multicentre, a</w:t>
      </w:r>
      <w:r>
        <w:t xml:space="preserve">ctive-controlled study </w:t>
      </w:r>
      <w:r w:rsidR="005C660B" w:rsidRPr="009A4597">
        <w:t>to evaluate the efficacy, safety, and tolerability o</w:t>
      </w:r>
      <w:r>
        <w:t xml:space="preserve">f flexible doses of intranasal </w:t>
      </w:r>
      <w:proofErr w:type="spellStart"/>
      <w:r w:rsidR="005C660B" w:rsidRPr="009A4597">
        <w:t>esketamine</w:t>
      </w:r>
      <w:proofErr w:type="spellEnd"/>
      <w:r w:rsidR="005C660B" w:rsidRPr="009A4597">
        <w:t xml:space="preserve"> plus an oral antidepressant in eld</w:t>
      </w:r>
      <w:r>
        <w:t>erly subjects with treatment-</w:t>
      </w:r>
      <w:r w:rsidR="005C660B" w:rsidRPr="009A4597">
        <w:t>resistant depression.</w:t>
      </w:r>
    </w:p>
    <w:p w14:paraId="6B44A8E5" w14:textId="4C2333F9" w:rsidR="005C660B" w:rsidRPr="009A4597" w:rsidRDefault="009A4597" w:rsidP="009A4597">
      <w:r>
        <w:t>The Delegate commented that n</w:t>
      </w:r>
      <w:r w:rsidR="005C660B" w:rsidRPr="009A4597">
        <w:t>one of the studies w</w:t>
      </w:r>
      <w:r w:rsidR="002D6680">
        <w:t>ere</w:t>
      </w:r>
      <w:r w:rsidR="005C660B" w:rsidRPr="009A4597">
        <w:t xml:space="preserve"> actually ac</w:t>
      </w:r>
      <w:r w:rsidR="007D5C56">
        <w:t>tive-</w:t>
      </w:r>
      <w:r w:rsidRPr="009A4597">
        <w:t xml:space="preserve">controlled as there was no </w:t>
      </w:r>
      <w:r w:rsidR="005C660B" w:rsidRPr="009A4597">
        <w:t>active co</w:t>
      </w:r>
      <w:r>
        <w:t xml:space="preserve">mparator to the tested drug </w:t>
      </w:r>
      <w:r w:rsidR="007D5C56">
        <w:t>(</w:t>
      </w:r>
      <w:r>
        <w:t>that is,</w:t>
      </w:r>
      <w:r w:rsidR="005C660B" w:rsidRPr="009A4597">
        <w:t xml:space="preserve"> intranasal </w:t>
      </w:r>
      <w:proofErr w:type="spellStart"/>
      <w:r w:rsidR="005C660B" w:rsidRPr="009A4597">
        <w:t>esketamine</w:t>
      </w:r>
      <w:proofErr w:type="spellEnd"/>
      <w:r w:rsidR="007D5C56">
        <w:t>)</w:t>
      </w:r>
      <w:r w:rsidR="005C660B" w:rsidRPr="009A4597">
        <w:t>.</w:t>
      </w:r>
    </w:p>
    <w:p w14:paraId="44104790" w14:textId="43EC5919" w:rsidR="005C660B" w:rsidRDefault="007D5C56" w:rsidP="005C660B">
      <w:pPr>
        <w:rPr>
          <w:lang w:eastAsia="ja-JP"/>
        </w:rPr>
      </w:pPr>
      <w:r>
        <w:t>D</w:t>
      </w:r>
      <w:r w:rsidR="005C660B">
        <w:t xml:space="preserve">ue </w:t>
      </w:r>
      <w:r w:rsidR="005C660B">
        <w:rPr>
          <w:lang w:eastAsia="ja-JP"/>
        </w:rPr>
        <w:t>to similarities in study design and</w:t>
      </w:r>
      <w:r w:rsidR="009A4597">
        <w:rPr>
          <w:lang w:eastAsia="ja-JP"/>
        </w:rPr>
        <w:t xml:space="preserve"> methodology, the above listed three</w:t>
      </w:r>
      <w:r w:rsidR="005C660B">
        <w:rPr>
          <w:lang w:eastAsia="ja-JP"/>
        </w:rPr>
        <w:t xml:space="preserve"> short-term pivotal efficacy induction s</w:t>
      </w:r>
      <w:r w:rsidR="009A4597">
        <w:rPr>
          <w:lang w:eastAsia="ja-JP"/>
        </w:rPr>
        <w:t>tudies were evaluated together.</w:t>
      </w:r>
    </w:p>
    <w:p w14:paraId="3F962838" w14:textId="77777777" w:rsidR="005C660B" w:rsidRPr="00634F7E" w:rsidRDefault="005C660B" w:rsidP="005C660B">
      <w:pPr>
        <w:autoSpaceDE w:val="0"/>
        <w:autoSpaceDN w:val="0"/>
        <w:spacing w:before="0" w:after="0" w:line="240" w:lineRule="auto"/>
        <w:rPr>
          <w:rFonts w:asciiTheme="minorHAnsi" w:eastAsiaTheme="minorHAnsi" w:hAnsiTheme="minorHAnsi" w:cs="TimesNewRoman"/>
          <w:lang w:val="en-GB"/>
        </w:rPr>
      </w:pPr>
      <w:r w:rsidRPr="00634F7E">
        <w:rPr>
          <w:rFonts w:asciiTheme="minorHAnsi" w:eastAsiaTheme="minorHAnsi" w:hAnsiTheme="minorHAnsi" w:cs="TimesNewRoman"/>
          <w:lang w:val="en-GB"/>
        </w:rPr>
        <w:t>For each study, there was:</w:t>
      </w:r>
    </w:p>
    <w:p w14:paraId="7E91BC10" w14:textId="77777777" w:rsidR="005C660B" w:rsidRDefault="005C660B" w:rsidP="009A4597">
      <w:pPr>
        <w:pStyle w:val="ListBullet"/>
        <w:rPr>
          <w:lang w:val="en-GB"/>
        </w:rPr>
      </w:pPr>
      <w:r w:rsidRPr="008C20E9">
        <w:rPr>
          <w:lang w:val="en-GB"/>
        </w:rPr>
        <w:t>a screening/prospective observational phase (4 weeks)</w:t>
      </w:r>
      <w:r>
        <w:rPr>
          <w:lang w:val="en-GB"/>
        </w:rPr>
        <w:t>;</w:t>
      </w:r>
    </w:p>
    <w:p w14:paraId="37E8BC35" w14:textId="013D6FF5" w:rsidR="005C660B" w:rsidRPr="009A4597" w:rsidRDefault="005C660B" w:rsidP="009A4597">
      <w:pPr>
        <w:pStyle w:val="ListBullet"/>
        <w:rPr>
          <w:lang w:val="en-GB"/>
        </w:rPr>
      </w:pPr>
      <w:r w:rsidRPr="008C20E9">
        <w:rPr>
          <w:lang w:val="en-GB"/>
        </w:rPr>
        <w:t xml:space="preserve">an </w:t>
      </w:r>
      <w:r w:rsidRPr="008F1144">
        <w:rPr>
          <w:lang w:val="en-GB"/>
        </w:rPr>
        <w:t xml:space="preserve">optional period to taper </w:t>
      </w:r>
      <w:r w:rsidRPr="008C20E9">
        <w:rPr>
          <w:lang w:val="en-GB"/>
        </w:rPr>
        <w:t xml:space="preserve">the current </w:t>
      </w:r>
      <w:r>
        <w:rPr>
          <w:lang w:val="en-GB"/>
        </w:rPr>
        <w:t xml:space="preserve">antidepressant </w:t>
      </w:r>
      <w:r w:rsidR="009A4597">
        <w:rPr>
          <w:lang w:val="en-GB"/>
        </w:rPr>
        <w:t>medication (3 weeks);</w:t>
      </w:r>
    </w:p>
    <w:p w14:paraId="7689039C" w14:textId="77777777" w:rsidR="005C660B" w:rsidRDefault="005C660B" w:rsidP="009A4597">
      <w:pPr>
        <w:pStyle w:val="ListBullet"/>
        <w:rPr>
          <w:lang w:val="en-GB"/>
        </w:rPr>
      </w:pPr>
      <w:r w:rsidRPr="008C20E9">
        <w:rPr>
          <w:lang w:val="en-GB"/>
        </w:rPr>
        <w:t xml:space="preserve">a </w:t>
      </w:r>
      <w:r w:rsidR="009A4597">
        <w:rPr>
          <w:lang w:val="en-GB"/>
        </w:rPr>
        <w:t>double</w:t>
      </w:r>
      <w:r>
        <w:rPr>
          <w:lang w:val="en-GB"/>
        </w:rPr>
        <w:t xml:space="preserve"> blind </w:t>
      </w:r>
      <w:r w:rsidRPr="008C20E9">
        <w:rPr>
          <w:lang w:val="en-GB"/>
        </w:rPr>
        <w:t>induction phase (4 weeks)</w:t>
      </w:r>
      <w:r>
        <w:rPr>
          <w:lang w:val="en-GB"/>
        </w:rPr>
        <w:t>;</w:t>
      </w:r>
    </w:p>
    <w:p w14:paraId="015C6705" w14:textId="77777777" w:rsidR="005C660B" w:rsidRDefault="005C660B" w:rsidP="009A4597">
      <w:pPr>
        <w:pStyle w:val="ListBullet"/>
        <w:rPr>
          <w:lang w:val="en-GB"/>
        </w:rPr>
      </w:pPr>
      <w:r>
        <w:rPr>
          <w:lang w:val="en-GB"/>
        </w:rPr>
        <w:lastRenderedPageBreak/>
        <w:t xml:space="preserve">a </w:t>
      </w:r>
      <w:r w:rsidRPr="008C20E9">
        <w:rPr>
          <w:lang w:val="en-GB"/>
        </w:rPr>
        <w:t xml:space="preserve">follow-up phase (24 weeks </w:t>
      </w:r>
      <w:r>
        <w:rPr>
          <w:lang w:val="en-GB"/>
        </w:rPr>
        <w:t xml:space="preserve">for both </w:t>
      </w:r>
      <w:r w:rsidR="009A4597">
        <w:rPr>
          <w:lang w:val="en-GB"/>
        </w:rPr>
        <w:t xml:space="preserve">Studies </w:t>
      </w:r>
      <w:r w:rsidRPr="008C20E9">
        <w:rPr>
          <w:lang w:val="en-GB"/>
        </w:rPr>
        <w:t>TRD3001 and TRD3002</w:t>
      </w:r>
      <w:r>
        <w:rPr>
          <w:lang w:val="en-GB"/>
        </w:rPr>
        <w:t xml:space="preserve"> and, </w:t>
      </w:r>
      <w:r w:rsidRPr="008C20E9">
        <w:rPr>
          <w:lang w:val="en-GB"/>
        </w:rPr>
        <w:t>2 weeks</w:t>
      </w:r>
      <w:r>
        <w:rPr>
          <w:lang w:val="en-GB"/>
        </w:rPr>
        <w:t xml:space="preserve"> for</w:t>
      </w:r>
      <w:r w:rsidRPr="008C20E9">
        <w:rPr>
          <w:lang w:val="en-GB"/>
        </w:rPr>
        <w:t xml:space="preserve"> </w:t>
      </w:r>
      <w:r w:rsidR="009A4597">
        <w:rPr>
          <w:lang w:val="en-GB"/>
        </w:rPr>
        <w:t>Study TRD3005).</w:t>
      </w:r>
    </w:p>
    <w:p w14:paraId="50E8DB4B" w14:textId="48FBB6A9" w:rsidR="005C660B" w:rsidRDefault="005C660B" w:rsidP="002D403D">
      <w:pPr>
        <w:rPr>
          <w:rFonts w:asciiTheme="minorHAnsi" w:eastAsiaTheme="minorHAnsi" w:hAnsiTheme="minorHAnsi" w:cs="TimesNewRoman"/>
          <w:lang w:val="en-GB"/>
        </w:rPr>
      </w:pPr>
      <w:r w:rsidRPr="002D403D">
        <w:rPr>
          <w:rFonts w:asciiTheme="minorHAnsi" w:eastAsiaTheme="minorHAnsi" w:hAnsiTheme="minorHAnsi" w:cs="TimesNewRoman"/>
          <w:lang w:val="en-GB"/>
        </w:rPr>
        <w:t xml:space="preserve">Responders to </w:t>
      </w:r>
      <w:r w:rsidR="002D403D">
        <w:rPr>
          <w:rFonts w:asciiTheme="minorHAnsi" w:eastAsiaTheme="minorHAnsi" w:hAnsiTheme="minorHAnsi" w:cs="TimesNewRoman"/>
          <w:lang w:val="en-GB"/>
        </w:rPr>
        <w:t>double blind</w:t>
      </w:r>
      <w:r w:rsidRPr="002D403D">
        <w:rPr>
          <w:rFonts w:asciiTheme="minorHAnsi" w:eastAsiaTheme="minorHAnsi" w:hAnsiTheme="minorHAnsi" w:cs="TimesNewRoman"/>
          <w:lang w:val="en-GB"/>
        </w:rPr>
        <w:t xml:space="preserve"> induction treatment in both </w:t>
      </w:r>
      <w:r w:rsidR="00621E4D">
        <w:rPr>
          <w:rFonts w:asciiTheme="minorHAnsi" w:eastAsiaTheme="minorHAnsi" w:hAnsiTheme="minorHAnsi" w:cs="TimesNewRoman"/>
          <w:lang w:val="en-GB"/>
        </w:rPr>
        <w:t xml:space="preserve">Studies </w:t>
      </w:r>
      <w:r w:rsidR="002D403D">
        <w:rPr>
          <w:rFonts w:asciiTheme="minorHAnsi" w:eastAsiaTheme="minorHAnsi" w:hAnsiTheme="minorHAnsi" w:cs="TimesNewRoman"/>
          <w:lang w:val="en-GB"/>
        </w:rPr>
        <w:t>TRD3001 and TRD3002 were</w:t>
      </w:r>
      <w:r w:rsidRPr="003E4A88">
        <w:rPr>
          <w:rFonts w:asciiTheme="minorHAnsi" w:eastAsiaTheme="minorHAnsi" w:hAnsiTheme="minorHAnsi" w:cs="TimesNewRoman"/>
          <w:lang w:val="en-GB"/>
        </w:rPr>
        <w:t xml:space="preserve"> eligible to participate in </w:t>
      </w:r>
      <w:r w:rsidR="00621E4D">
        <w:rPr>
          <w:rFonts w:asciiTheme="minorHAnsi" w:eastAsiaTheme="minorHAnsi" w:hAnsiTheme="minorHAnsi" w:cs="TimesNewRoman"/>
          <w:lang w:val="en-GB"/>
        </w:rPr>
        <w:t xml:space="preserve">Study </w:t>
      </w:r>
      <w:r w:rsidRPr="003E4A88">
        <w:rPr>
          <w:rFonts w:asciiTheme="minorHAnsi" w:eastAsiaTheme="minorHAnsi" w:hAnsiTheme="minorHAnsi" w:cs="TimesNewRoman"/>
          <w:lang w:val="en-GB"/>
        </w:rPr>
        <w:t>TRD3003</w:t>
      </w:r>
      <w:r w:rsidR="007D5C56">
        <w:rPr>
          <w:rFonts w:asciiTheme="minorHAnsi" w:eastAsiaTheme="minorHAnsi" w:hAnsiTheme="minorHAnsi" w:cs="TimesNewRoman"/>
          <w:lang w:val="en-GB"/>
        </w:rPr>
        <w:t xml:space="preserve"> (see ‘</w:t>
      </w:r>
      <w:r w:rsidR="007D5C56" w:rsidRPr="007D5C56">
        <w:rPr>
          <w:rFonts w:asciiTheme="minorHAnsi" w:eastAsiaTheme="minorHAnsi" w:hAnsiTheme="minorHAnsi" w:cs="TimesNewRoman"/>
          <w:i/>
          <w:lang w:val="en-GB"/>
        </w:rPr>
        <w:fldChar w:fldCharType="begin"/>
      </w:r>
      <w:r w:rsidR="007D5C56" w:rsidRPr="007D5C56">
        <w:rPr>
          <w:rFonts w:asciiTheme="minorHAnsi" w:eastAsiaTheme="minorHAnsi" w:hAnsiTheme="minorHAnsi" w:cs="TimesNewRoman"/>
          <w:i/>
          <w:lang w:val="en-GB"/>
        </w:rPr>
        <w:instrText xml:space="preserve"> REF _Ref69793888 \h </w:instrText>
      </w:r>
      <w:r w:rsidR="007D5C56">
        <w:rPr>
          <w:rFonts w:asciiTheme="minorHAnsi" w:eastAsiaTheme="minorHAnsi" w:hAnsiTheme="minorHAnsi" w:cs="TimesNewRoman"/>
          <w:i/>
          <w:lang w:val="en-GB"/>
        </w:rPr>
        <w:instrText xml:space="preserve"> \* MERGEFORMAT </w:instrText>
      </w:r>
      <w:r w:rsidR="007D5C56" w:rsidRPr="007D5C56">
        <w:rPr>
          <w:rFonts w:asciiTheme="minorHAnsi" w:eastAsiaTheme="minorHAnsi" w:hAnsiTheme="minorHAnsi" w:cs="TimesNewRoman"/>
          <w:i/>
          <w:lang w:val="en-GB"/>
        </w:rPr>
      </w:r>
      <w:r w:rsidR="007D5C56" w:rsidRPr="007D5C56">
        <w:rPr>
          <w:rFonts w:asciiTheme="minorHAnsi" w:eastAsiaTheme="minorHAnsi" w:hAnsiTheme="minorHAnsi" w:cs="TimesNewRoman"/>
          <w:i/>
          <w:lang w:val="en-GB"/>
        </w:rPr>
        <w:fldChar w:fldCharType="separate"/>
      </w:r>
      <w:r w:rsidR="003938C9" w:rsidRPr="003938C9">
        <w:rPr>
          <w:i/>
        </w:rPr>
        <w:t>Maintenance of effect/relapse prevention study</w:t>
      </w:r>
      <w:r w:rsidR="007D5C56" w:rsidRPr="007D5C56">
        <w:rPr>
          <w:rFonts w:asciiTheme="minorHAnsi" w:eastAsiaTheme="minorHAnsi" w:hAnsiTheme="minorHAnsi" w:cs="TimesNewRoman"/>
          <w:i/>
          <w:lang w:val="en-GB"/>
        </w:rPr>
        <w:fldChar w:fldCharType="end"/>
      </w:r>
      <w:r w:rsidR="007D5C56">
        <w:rPr>
          <w:rFonts w:asciiTheme="minorHAnsi" w:eastAsiaTheme="minorHAnsi" w:hAnsiTheme="minorHAnsi" w:cs="TimesNewRoman"/>
          <w:lang w:val="en-GB"/>
        </w:rPr>
        <w:t>’ section, below)</w:t>
      </w:r>
      <w:r w:rsidRPr="003E4A88">
        <w:rPr>
          <w:rFonts w:asciiTheme="minorHAnsi" w:eastAsiaTheme="minorHAnsi" w:hAnsiTheme="minorHAnsi" w:cs="TimesNewRoman"/>
          <w:lang w:val="en-GB"/>
        </w:rPr>
        <w:t>, while regardless o</w:t>
      </w:r>
      <w:r w:rsidR="002D403D">
        <w:rPr>
          <w:rFonts w:asciiTheme="minorHAnsi" w:eastAsiaTheme="minorHAnsi" w:hAnsiTheme="minorHAnsi" w:cs="TimesNewRoman"/>
          <w:lang w:val="en-GB"/>
        </w:rPr>
        <w:t>f response</w:t>
      </w:r>
      <w:r w:rsidRPr="003E4A88">
        <w:rPr>
          <w:rFonts w:asciiTheme="minorHAnsi" w:eastAsiaTheme="minorHAnsi" w:hAnsiTheme="minorHAnsi" w:cs="TimesNewRoman"/>
          <w:lang w:val="en-GB"/>
        </w:rPr>
        <w:t xml:space="preserve"> status</w:t>
      </w:r>
      <w:r>
        <w:rPr>
          <w:rFonts w:asciiTheme="minorHAnsi" w:eastAsiaTheme="minorHAnsi" w:hAnsiTheme="minorHAnsi" w:cs="TimesNewRoman"/>
          <w:lang w:val="en-GB"/>
        </w:rPr>
        <w:t>,</w:t>
      </w:r>
      <w:r w:rsidRPr="003E4A88">
        <w:rPr>
          <w:rFonts w:asciiTheme="minorHAnsi" w:eastAsiaTheme="minorHAnsi" w:hAnsiTheme="minorHAnsi" w:cs="TimesNewRoman"/>
          <w:lang w:val="en-GB"/>
        </w:rPr>
        <w:t xml:space="preserve"> subjects in </w:t>
      </w:r>
      <w:r w:rsidR="00621E4D">
        <w:rPr>
          <w:rFonts w:asciiTheme="minorHAnsi" w:eastAsiaTheme="minorHAnsi" w:hAnsiTheme="minorHAnsi" w:cs="TimesNewRoman"/>
          <w:lang w:val="en-GB"/>
        </w:rPr>
        <w:t>Study</w:t>
      </w:r>
      <w:r w:rsidR="002D6680">
        <w:rPr>
          <w:rFonts w:asciiTheme="minorHAnsi" w:eastAsiaTheme="minorHAnsi" w:hAnsiTheme="minorHAnsi" w:cs="TimesNewRoman"/>
          <w:lang w:val="en-GB"/>
        </w:rPr>
        <w:t> </w:t>
      </w:r>
      <w:r w:rsidRPr="003E4A88">
        <w:rPr>
          <w:rFonts w:asciiTheme="minorHAnsi" w:eastAsiaTheme="minorHAnsi" w:hAnsiTheme="minorHAnsi" w:cs="TimesNewRoman"/>
          <w:lang w:val="en-GB"/>
        </w:rPr>
        <w:t xml:space="preserve">TRD3005 were eligible to participate in </w:t>
      </w:r>
      <w:r w:rsidR="00621E4D">
        <w:rPr>
          <w:rFonts w:asciiTheme="minorHAnsi" w:eastAsiaTheme="minorHAnsi" w:hAnsiTheme="minorHAnsi" w:cs="TimesNewRoman"/>
          <w:lang w:val="en-GB"/>
        </w:rPr>
        <w:t xml:space="preserve">Study </w:t>
      </w:r>
      <w:r w:rsidRPr="003E4A88">
        <w:rPr>
          <w:rFonts w:asciiTheme="minorHAnsi" w:eastAsiaTheme="minorHAnsi" w:hAnsiTheme="minorHAnsi" w:cs="TimesNewRoman"/>
          <w:lang w:val="en-GB"/>
        </w:rPr>
        <w:t>TRD3004</w:t>
      </w:r>
      <w:r w:rsidR="007D5C56">
        <w:rPr>
          <w:rFonts w:asciiTheme="minorHAnsi" w:eastAsiaTheme="minorHAnsi" w:hAnsiTheme="minorHAnsi" w:cs="TimesNewRoman"/>
          <w:lang w:val="en-GB"/>
        </w:rPr>
        <w:t xml:space="preserve"> (see ‘</w:t>
      </w:r>
      <w:r w:rsidR="007D5C56" w:rsidRPr="007D5C56">
        <w:rPr>
          <w:rFonts w:asciiTheme="minorHAnsi" w:eastAsiaTheme="minorHAnsi" w:hAnsiTheme="minorHAnsi" w:cs="TimesNewRoman"/>
          <w:i/>
          <w:lang w:val="en-GB"/>
        </w:rPr>
        <w:fldChar w:fldCharType="begin"/>
      </w:r>
      <w:r w:rsidR="007D5C56" w:rsidRPr="007D5C56">
        <w:rPr>
          <w:rFonts w:asciiTheme="minorHAnsi" w:eastAsiaTheme="minorHAnsi" w:hAnsiTheme="minorHAnsi" w:cs="TimesNewRoman"/>
          <w:i/>
          <w:lang w:val="en-GB"/>
        </w:rPr>
        <w:instrText xml:space="preserve"> REF _Ref69793917 \h </w:instrText>
      </w:r>
      <w:r w:rsidR="007D5C56">
        <w:rPr>
          <w:rFonts w:asciiTheme="minorHAnsi" w:eastAsiaTheme="minorHAnsi" w:hAnsiTheme="minorHAnsi" w:cs="TimesNewRoman"/>
          <w:i/>
          <w:lang w:val="en-GB"/>
        </w:rPr>
        <w:instrText xml:space="preserve"> \* MERGEFORMAT </w:instrText>
      </w:r>
      <w:r w:rsidR="007D5C56" w:rsidRPr="007D5C56">
        <w:rPr>
          <w:rFonts w:asciiTheme="minorHAnsi" w:eastAsiaTheme="minorHAnsi" w:hAnsiTheme="minorHAnsi" w:cs="TimesNewRoman"/>
          <w:i/>
          <w:lang w:val="en-GB"/>
        </w:rPr>
      </w:r>
      <w:r w:rsidR="007D5C56" w:rsidRPr="007D5C56">
        <w:rPr>
          <w:rFonts w:asciiTheme="minorHAnsi" w:eastAsiaTheme="minorHAnsi" w:hAnsiTheme="minorHAnsi" w:cs="TimesNewRoman"/>
          <w:i/>
          <w:lang w:val="en-GB"/>
        </w:rPr>
        <w:fldChar w:fldCharType="separate"/>
      </w:r>
      <w:r w:rsidR="003938C9" w:rsidRPr="003938C9">
        <w:rPr>
          <w:i/>
          <w:lang w:val="en-GB"/>
        </w:rPr>
        <w:t>Open label study</w:t>
      </w:r>
      <w:r w:rsidR="007D5C56" w:rsidRPr="007D5C56">
        <w:rPr>
          <w:rFonts w:asciiTheme="minorHAnsi" w:eastAsiaTheme="minorHAnsi" w:hAnsiTheme="minorHAnsi" w:cs="TimesNewRoman"/>
          <w:i/>
          <w:lang w:val="en-GB"/>
        </w:rPr>
        <w:fldChar w:fldCharType="end"/>
      </w:r>
      <w:r w:rsidR="007D5C56">
        <w:rPr>
          <w:rFonts w:asciiTheme="minorHAnsi" w:eastAsiaTheme="minorHAnsi" w:hAnsiTheme="minorHAnsi" w:cs="TimesNewRoman"/>
          <w:lang w:val="en-GB"/>
        </w:rPr>
        <w:t>’ section, below)</w:t>
      </w:r>
      <w:r w:rsidRPr="003E4A88">
        <w:rPr>
          <w:rFonts w:asciiTheme="minorHAnsi" w:eastAsiaTheme="minorHAnsi" w:hAnsiTheme="minorHAnsi" w:cs="TimesNewRoman"/>
          <w:lang w:val="en-GB"/>
        </w:rPr>
        <w:t>.</w:t>
      </w:r>
    </w:p>
    <w:p w14:paraId="4AB9C5B6" w14:textId="6F51DBB4" w:rsidR="00400FF2" w:rsidRDefault="00400FF2" w:rsidP="00400FF2">
      <w:pPr>
        <w:pStyle w:val="Heading6"/>
      </w:pPr>
      <w:r>
        <w:t>Study treatments</w:t>
      </w:r>
    </w:p>
    <w:p w14:paraId="57AFFB48" w14:textId="365C7575" w:rsidR="00400FF2" w:rsidRDefault="00400FF2" w:rsidP="00400FF2">
      <w:r>
        <w:t>Subjects received twice-weekly self-administered intranasal spray (</w:t>
      </w:r>
      <w:proofErr w:type="spellStart"/>
      <w:r>
        <w:t>esketamine</w:t>
      </w:r>
      <w:proofErr w:type="spellEnd"/>
      <w:r>
        <w:t xml:space="preserve"> or placebo) under</w:t>
      </w:r>
      <w:r w:rsidR="005B7DC7">
        <w:t xml:space="preserve"> supervision at the study site.</w:t>
      </w:r>
    </w:p>
    <w:p w14:paraId="08B34D37" w14:textId="02F2DAEC" w:rsidR="00400FF2" w:rsidRDefault="00400FF2" w:rsidP="00400FF2">
      <w:r>
        <w:t xml:space="preserve">Each intranasal device contained 28 mg </w:t>
      </w:r>
      <w:proofErr w:type="spellStart"/>
      <w:r>
        <w:t>esketamine</w:t>
      </w:r>
      <w:proofErr w:type="spellEnd"/>
      <w:r>
        <w:t xml:space="preserve">. When multiple devices were required to achieve </w:t>
      </w:r>
      <w:r w:rsidR="007D5C56">
        <w:t xml:space="preserve">a scheduled dose, there was a 5 </w:t>
      </w:r>
      <w:r>
        <w:t>minute period between device administrations.</w:t>
      </w:r>
    </w:p>
    <w:p w14:paraId="5047A146" w14:textId="38207814" w:rsidR="00400FF2" w:rsidRDefault="00400FF2" w:rsidP="00400FF2">
      <w:r w:rsidRPr="00400FF2">
        <w:t>Food was not allowed for ≥ 2 h</w:t>
      </w:r>
      <w:r>
        <w:t>ours</w:t>
      </w:r>
      <w:r w:rsidRPr="00400FF2">
        <w:t xml:space="preserve"> before each administration and subjects remained at the clinical site until study procedures were completed.</w:t>
      </w:r>
    </w:p>
    <w:p w14:paraId="56CF330B" w14:textId="663CE9BE" w:rsidR="00CB683C" w:rsidRDefault="002D403D" w:rsidP="00CB683C">
      <w:r>
        <w:t>Study TRD3001 used a fixed</w:t>
      </w:r>
      <w:r w:rsidRPr="002D403D">
        <w:t xml:space="preserve"> dose regimen</w:t>
      </w:r>
      <w:r>
        <w:t xml:space="preserve"> </w:t>
      </w:r>
      <w:r w:rsidRPr="002D403D">
        <w:t>(56</w:t>
      </w:r>
      <w:r>
        <w:t xml:space="preserve"> </w:t>
      </w:r>
      <w:r w:rsidRPr="002D403D">
        <w:t>mg or 84</w:t>
      </w:r>
      <w:r>
        <w:t xml:space="preserve"> </w:t>
      </w:r>
      <w:r w:rsidR="00CB683C">
        <w:t xml:space="preserve">mg). Subjects only received 84 mg </w:t>
      </w:r>
      <w:proofErr w:type="spellStart"/>
      <w:r w:rsidR="00CB683C">
        <w:t>esketamine</w:t>
      </w:r>
      <w:proofErr w:type="spellEnd"/>
      <w:r w:rsidR="00CB683C">
        <w:t xml:space="preserve"> from Day 4 after titration from 56 mg on Day 1.</w:t>
      </w:r>
    </w:p>
    <w:p w14:paraId="1031BA18" w14:textId="56A1488C" w:rsidR="002D403D" w:rsidRDefault="002D403D" w:rsidP="00CB683C">
      <w:r>
        <w:t xml:space="preserve">Study </w:t>
      </w:r>
      <w:r w:rsidRPr="002D403D">
        <w:t xml:space="preserve">TRD3002 used </w:t>
      </w:r>
      <w:r>
        <w:t>a two dose flexible dose regimen</w:t>
      </w:r>
      <w:r w:rsidRPr="002D403D">
        <w:t xml:space="preserve"> (56</w:t>
      </w:r>
      <w:r w:rsidR="00861A14">
        <w:t xml:space="preserve"> </w:t>
      </w:r>
      <w:r w:rsidRPr="002D403D">
        <w:t>mg to 84</w:t>
      </w:r>
      <w:r w:rsidR="00861A14">
        <w:t xml:space="preserve"> </w:t>
      </w:r>
      <w:r w:rsidR="00CB683C">
        <w:t xml:space="preserve">mg). All subjects randomised to </w:t>
      </w:r>
      <w:proofErr w:type="spellStart"/>
      <w:r w:rsidR="00CB683C">
        <w:t>esketamine</w:t>
      </w:r>
      <w:proofErr w:type="spellEnd"/>
      <w:r w:rsidR="00CB683C">
        <w:t xml:space="preserve"> treatment received 56 mg on Day 1 of the </w:t>
      </w:r>
      <w:r w:rsidR="00587393">
        <w:t>double blind</w:t>
      </w:r>
      <w:r w:rsidR="00CB683C">
        <w:t xml:space="preserve"> treatment period. Upward titration to 84 mg was permitted on Day 4, downward titration permitted on Days 8 and upward titration on Day 11, no dose increase was permitted on Day 15 and the dose remained unchanged on Days 18, 22 and 25.</w:t>
      </w:r>
    </w:p>
    <w:p w14:paraId="53E91892" w14:textId="7713CD5A" w:rsidR="00CB683C" w:rsidRDefault="00CB683C" w:rsidP="00CB683C">
      <w:r>
        <w:t xml:space="preserve">Study </w:t>
      </w:r>
      <w:r w:rsidRPr="002D403D">
        <w:t>TRD3005 used a</w:t>
      </w:r>
      <w:r>
        <w:t xml:space="preserve"> three </w:t>
      </w:r>
      <w:r w:rsidRPr="002D403D">
        <w:t>dose flexi</w:t>
      </w:r>
      <w:r>
        <w:t xml:space="preserve">ble dose regimen of 28 mg to 56 mg or 84 mg. Elderly subjects were randomised to receive placebo nasal spray or </w:t>
      </w:r>
      <w:proofErr w:type="spellStart"/>
      <w:r>
        <w:t>esketamine</w:t>
      </w:r>
      <w:proofErr w:type="spellEnd"/>
      <w:r>
        <w:t xml:space="preserve"> nasal spray 28 mg on Day 1 then flexibly-dosed to remain on 28 or increased to 56 or 84 mg on Days 4, 8, 11 and 15, and the dose was scheduled to remain unchanged from Days 18, 22 and 25. Dose reduction was however permitted if there was poor tolerance.</w:t>
      </w:r>
    </w:p>
    <w:p w14:paraId="5E266BA9" w14:textId="2A9AED75" w:rsidR="00400FF2" w:rsidRPr="002D403D" w:rsidRDefault="00400FF2" w:rsidP="00400FF2">
      <w:r>
        <w:t>Regarding the oral medication, subjects simultaneously ini</w:t>
      </w:r>
      <w:r w:rsidR="005B7DC7">
        <w:t>tiated on Day 1, a new o</w:t>
      </w:r>
      <w:r w:rsidR="007D5C56">
        <w:t xml:space="preserve">ral </w:t>
      </w:r>
      <w:r w:rsidR="00831D59">
        <w:t>antidepressant</w:t>
      </w:r>
      <w:r w:rsidR="007D5C56">
        <w:t xml:space="preserve"> (the ‘active comparator’)</w:t>
      </w:r>
      <w:r w:rsidR="005B7DC7">
        <w:t xml:space="preserve"> in an open label</w:t>
      </w:r>
      <w:r>
        <w:t xml:space="preserve"> fashion, from duloxetine, </w:t>
      </w:r>
      <w:proofErr w:type="spellStart"/>
      <w:r>
        <w:t>escitalopram</w:t>
      </w:r>
      <w:proofErr w:type="spellEnd"/>
      <w:r>
        <w:t>, sertraline or venlafaxine XR</w:t>
      </w:r>
      <w:r w:rsidR="00831D59">
        <w:t xml:space="preserve"> (venlafaxine extended release formulation)</w:t>
      </w:r>
      <w:r>
        <w:t xml:space="preserve">. The new oral </w:t>
      </w:r>
      <w:r w:rsidR="00831D59">
        <w:t xml:space="preserve">antidepressant </w:t>
      </w:r>
      <w:r>
        <w:t xml:space="preserve">was taken daily (most doses self-administered off-site) for at least the duration of the </w:t>
      </w:r>
      <w:r w:rsidR="005B7DC7">
        <w:t>double blind</w:t>
      </w:r>
      <w:r>
        <w:t xml:space="preserve"> treatment phase. The new </w:t>
      </w:r>
      <w:r w:rsidR="00831D59">
        <w:t xml:space="preserve">antidepressant </w:t>
      </w:r>
      <w:r>
        <w:t>medication was assigned by the</w:t>
      </w:r>
      <w:r w:rsidR="005B7DC7">
        <w:t xml:space="preserve"> investigator based on MGH-ATRQ;</w:t>
      </w:r>
      <w:r w:rsidR="005B7DC7">
        <w:rPr>
          <w:rStyle w:val="FootnoteReference"/>
        </w:rPr>
        <w:footnoteReference w:id="21"/>
      </w:r>
      <w:r>
        <w:t xml:space="preserve"> review and the relevant information regarding prior </w:t>
      </w:r>
      <w:r w:rsidR="00831D59">
        <w:t xml:space="preserve">antidepressant </w:t>
      </w:r>
      <w:r>
        <w:t>treatments.</w:t>
      </w:r>
    </w:p>
    <w:p w14:paraId="3D6DCD80" w14:textId="169B33DA" w:rsidR="00400FF2" w:rsidRDefault="00400FF2" w:rsidP="00400FF2">
      <w:pPr>
        <w:pStyle w:val="Heading6"/>
      </w:pPr>
      <w:r>
        <w:t>Main objectives and endpoints</w:t>
      </w:r>
    </w:p>
    <w:p w14:paraId="5EBCF499" w14:textId="0DAD0F16" w:rsidR="005C660B" w:rsidRDefault="005C660B" w:rsidP="002D403D">
      <w:r w:rsidRPr="002D403D">
        <w:t>The primary objective (for all trials</w:t>
      </w:r>
      <w:r w:rsidR="00587393">
        <w:t>)</w:t>
      </w:r>
      <w:r w:rsidR="002D403D" w:rsidRPr="002D403D">
        <w:t xml:space="preserve"> was to</w:t>
      </w:r>
      <w:r w:rsidR="002D403D">
        <w:t xml:space="preserve"> evaluate the </w:t>
      </w:r>
      <w:r w:rsidRPr="002D403D">
        <w:t xml:space="preserve">efficacy of switching adult subjects with TRD from a prior </w:t>
      </w:r>
      <w:r w:rsidR="00831D59">
        <w:t xml:space="preserve">antidepressant </w:t>
      </w:r>
      <w:r w:rsidRPr="002D403D">
        <w:t xml:space="preserve">treatment (to which they had not responded) to intranasal </w:t>
      </w:r>
      <w:proofErr w:type="spellStart"/>
      <w:r w:rsidRPr="002D403D">
        <w:t>esketamine</w:t>
      </w:r>
      <w:proofErr w:type="spellEnd"/>
      <w:r w:rsidRPr="002D403D">
        <w:t xml:space="preserve"> (56 mg or 84 mg) + a newly initiated oral </w:t>
      </w:r>
      <w:r w:rsidR="00831D59">
        <w:t>antidepressant</w:t>
      </w:r>
      <w:r w:rsidRPr="002D403D">
        <w:t xml:space="preserve">, compared with switching to a newly initiated oral </w:t>
      </w:r>
      <w:r w:rsidR="00831D59">
        <w:t xml:space="preserve">antidepressant </w:t>
      </w:r>
      <w:r w:rsidRPr="002D403D">
        <w:t>(active comparator) + intranasal placebo, in improving depressive symptoms.</w:t>
      </w:r>
    </w:p>
    <w:p w14:paraId="12006F2C" w14:textId="77777777" w:rsidR="000416DE" w:rsidRPr="002D403D" w:rsidRDefault="000416DE" w:rsidP="000416DE">
      <w:r>
        <w:t>The primary efficacy endpoint was the change in the MADRS total score, as measured by the change from Baseline (Day 1 prior to ran</w:t>
      </w:r>
      <w:r w:rsidR="00621E4D">
        <w:t xml:space="preserve">domisation) to the end of the 4 </w:t>
      </w:r>
      <w:r>
        <w:t>week double blind induction phase.</w:t>
      </w:r>
      <w:r>
        <w:rPr>
          <w:rStyle w:val="FootnoteReference"/>
        </w:rPr>
        <w:footnoteReference w:id="22"/>
      </w:r>
    </w:p>
    <w:p w14:paraId="35B59971" w14:textId="7C0095DA" w:rsidR="005C660B" w:rsidRPr="002D403D" w:rsidRDefault="005C660B" w:rsidP="002D403D">
      <w:r w:rsidRPr="002D403D">
        <w:lastRenderedPageBreak/>
        <w:t xml:space="preserve">The key secondary objective (for both </w:t>
      </w:r>
      <w:r w:rsidR="00CB683C">
        <w:t xml:space="preserve">Studies </w:t>
      </w:r>
      <w:r w:rsidRPr="002D403D">
        <w:t xml:space="preserve">TRD3001 and TRD3002 but not for </w:t>
      </w:r>
      <w:r w:rsidR="00587393">
        <w:t>Study </w:t>
      </w:r>
      <w:r w:rsidRPr="002D403D">
        <w:t>TRD3005)</w:t>
      </w:r>
      <w:r w:rsidR="002D403D">
        <w:t xml:space="preserve"> was to</w:t>
      </w:r>
      <w:r w:rsidRPr="002D403D">
        <w:t xml:space="preserve"> assess the effect of intranasal </w:t>
      </w:r>
      <w:proofErr w:type="spellStart"/>
      <w:r w:rsidRPr="002D403D">
        <w:t>esketamine</w:t>
      </w:r>
      <w:proofErr w:type="spellEnd"/>
      <w:r w:rsidRPr="002D403D">
        <w:t xml:space="preserve"> + a newl</w:t>
      </w:r>
      <w:r w:rsidR="002D403D">
        <w:t xml:space="preserve">y initiated oral </w:t>
      </w:r>
      <w:r w:rsidR="00DF2587">
        <w:t xml:space="preserve">antidepressant </w:t>
      </w:r>
      <w:r w:rsidR="002D403D">
        <w:t>versus a newly</w:t>
      </w:r>
      <w:r w:rsidRPr="002D403D">
        <w:t xml:space="preserve"> initiated oral </w:t>
      </w:r>
      <w:r w:rsidR="008A2797">
        <w:t xml:space="preserve">antidepressant </w:t>
      </w:r>
      <w:r w:rsidRPr="002D403D">
        <w:t>(active comparator) + intranasal placebo:</w:t>
      </w:r>
    </w:p>
    <w:p w14:paraId="12CC4F35" w14:textId="77777777" w:rsidR="005C660B" w:rsidRDefault="005C660B" w:rsidP="002D403D">
      <w:pPr>
        <w:pStyle w:val="ListBullet"/>
        <w:rPr>
          <w:lang w:val="en-GB"/>
        </w:rPr>
      </w:pPr>
      <w:r w:rsidRPr="00E214C5">
        <w:rPr>
          <w:lang w:val="en-GB"/>
        </w:rPr>
        <w:t>on the onset of clinical response by Day 2 (24 h</w:t>
      </w:r>
      <w:r w:rsidR="002D403D">
        <w:rPr>
          <w:lang w:val="en-GB"/>
        </w:rPr>
        <w:t>ours</w:t>
      </w:r>
      <w:r w:rsidRPr="00E214C5">
        <w:rPr>
          <w:lang w:val="en-GB"/>
        </w:rPr>
        <w:t>)</w:t>
      </w:r>
      <w:r>
        <w:rPr>
          <w:lang w:val="en-GB"/>
        </w:rPr>
        <w:t>;</w:t>
      </w:r>
    </w:p>
    <w:p w14:paraId="43075ED9" w14:textId="77777777" w:rsidR="005C660B" w:rsidRDefault="005C660B" w:rsidP="002D403D">
      <w:pPr>
        <w:pStyle w:val="ListBullet"/>
        <w:rPr>
          <w:lang w:val="en-GB"/>
        </w:rPr>
      </w:pPr>
      <w:r w:rsidRPr="00E214C5">
        <w:rPr>
          <w:lang w:val="en-GB"/>
        </w:rPr>
        <w:t>functioning and associated disability</w:t>
      </w:r>
      <w:r>
        <w:rPr>
          <w:lang w:val="en-GB"/>
        </w:rPr>
        <w:t>;</w:t>
      </w:r>
    </w:p>
    <w:p w14:paraId="0CCE8653" w14:textId="77777777" w:rsidR="005C660B" w:rsidRDefault="005C660B" w:rsidP="002D403D">
      <w:pPr>
        <w:pStyle w:val="ListBullet"/>
        <w:rPr>
          <w:lang w:val="en-GB"/>
        </w:rPr>
      </w:pPr>
      <w:r w:rsidRPr="00BB188E">
        <w:rPr>
          <w:lang w:val="en-GB"/>
        </w:rPr>
        <w:t>depressive symptoms (subject reported) in adult subjects with TRD.</w:t>
      </w:r>
    </w:p>
    <w:p w14:paraId="6A03C94F" w14:textId="77777777" w:rsidR="000416DE" w:rsidRDefault="000416DE" w:rsidP="000416DE">
      <w:pPr>
        <w:rPr>
          <w:lang w:val="en-GB"/>
        </w:rPr>
      </w:pPr>
      <w:r>
        <w:rPr>
          <w:lang w:val="en-GB"/>
        </w:rPr>
        <w:t>The key secondary endpoints were:</w:t>
      </w:r>
    </w:p>
    <w:p w14:paraId="2E4ECD84" w14:textId="12928A65" w:rsidR="000416DE" w:rsidRDefault="000416DE" w:rsidP="000416DE">
      <w:pPr>
        <w:pStyle w:val="ListBullet"/>
        <w:rPr>
          <w:lang w:val="en-GB"/>
        </w:rPr>
      </w:pPr>
      <w:r w:rsidRPr="000416DE">
        <w:rPr>
          <w:lang w:val="en-GB"/>
        </w:rPr>
        <w:t>the proportion of subjects showing onset of clinical response by Day 2 (24 h</w:t>
      </w:r>
      <w:r w:rsidR="00CB683C">
        <w:rPr>
          <w:lang w:val="en-GB"/>
        </w:rPr>
        <w:t>ours</w:t>
      </w:r>
      <w:r w:rsidRPr="000416DE">
        <w:rPr>
          <w:lang w:val="en-GB"/>
        </w:rPr>
        <w:t>) that</w:t>
      </w:r>
      <w:r>
        <w:rPr>
          <w:lang w:val="en-GB"/>
        </w:rPr>
        <w:t xml:space="preserve"> was maintained through to the</w:t>
      </w:r>
      <w:r w:rsidRPr="000416DE">
        <w:rPr>
          <w:lang w:val="en-GB"/>
        </w:rPr>
        <w:t xml:space="preserve"> end </w:t>
      </w:r>
      <w:r>
        <w:rPr>
          <w:lang w:val="en-GB"/>
        </w:rPr>
        <w:t>of the 4 week double blind induction phase;</w:t>
      </w:r>
      <w:r>
        <w:rPr>
          <w:rStyle w:val="FootnoteReference"/>
          <w:lang w:val="en-GB"/>
        </w:rPr>
        <w:footnoteReference w:id="23"/>
      </w:r>
    </w:p>
    <w:p w14:paraId="202F176C" w14:textId="79E9F5F3" w:rsidR="000416DE" w:rsidRDefault="000416DE" w:rsidP="000416DE">
      <w:pPr>
        <w:pStyle w:val="ListBullet"/>
        <w:rPr>
          <w:lang w:val="en-GB"/>
        </w:rPr>
      </w:pPr>
      <w:r w:rsidRPr="000416DE">
        <w:rPr>
          <w:lang w:val="en-GB"/>
        </w:rPr>
        <w:t>the change in Sheehan Disabilit</w:t>
      </w:r>
      <w:r w:rsidR="00CB683C">
        <w:rPr>
          <w:lang w:val="en-GB"/>
        </w:rPr>
        <w:t>y Scale (SDS)</w:t>
      </w:r>
      <w:r w:rsidRPr="000416DE">
        <w:rPr>
          <w:lang w:val="en-GB"/>
        </w:rPr>
        <w:t xml:space="preserve"> total score measured by the change fro</w:t>
      </w:r>
      <w:r>
        <w:rPr>
          <w:lang w:val="en-GB"/>
        </w:rPr>
        <w:t xml:space="preserve">m baseline to the end of the 4 </w:t>
      </w:r>
      <w:r w:rsidRPr="000416DE">
        <w:rPr>
          <w:lang w:val="en-GB"/>
        </w:rPr>
        <w:t xml:space="preserve">week </w:t>
      </w:r>
      <w:r w:rsidR="00CB683C">
        <w:rPr>
          <w:lang w:val="en-GB"/>
        </w:rPr>
        <w:t>double blind</w:t>
      </w:r>
      <w:r w:rsidRPr="000416DE">
        <w:rPr>
          <w:lang w:val="en-GB"/>
        </w:rPr>
        <w:t xml:space="preserve"> induction phase. S</w:t>
      </w:r>
      <w:r>
        <w:rPr>
          <w:lang w:val="en-GB"/>
        </w:rPr>
        <w:t xml:space="preserve">cores ≤ 4 for each item on the </w:t>
      </w:r>
      <w:r w:rsidRPr="000416DE">
        <w:rPr>
          <w:lang w:val="en-GB"/>
        </w:rPr>
        <w:t>subject- reported 5-item questi</w:t>
      </w:r>
      <w:r>
        <w:rPr>
          <w:lang w:val="en-GB"/>
        </w:rPr>
        <w:t xml:space="preserve">onnaire and ≤ 12 for the total </w:t>
      </w:r>
      <w:r w:rsidRPr="000416DE">
        <w:rPr>
          <w:lang w:val="en-GB"/>
        </w:rPr>
        <w:t>score were considered response</w:t>
      </w:r>
      <w:r>
        <w:rPr>
          <w:lang w:val="en-GB"/>
        </w:rPr>
        <w:t>.</w:t>
      </w:r>
      <w:r w:rsidR="005633A3">
        <w:rPr>
          <w:rStyle w:val="FootnoteReference"/>
          <w:lang w:val="en-GB"/>
        </w:rPr>
        <w:footnoteReference w:id="24"/>
      </w:r>
      <w:r>
        <w:rPr>
          <w:lang w:val="en-GB"/>
        </w:rPr>
        <w:t xml:space="preserve"> Scores ≤ 2 for each item and </w:t>
      </w:r>
      <w:r w:rsidRPr="000416DE">
        <w:rPr>
          <w:lang w:val="en-GB"/>
        </w:rPr>
        <w:t>≤ 6 for the total score were considered remission.</w:t>
      </w:r>
    </w:p>
    <w:p w14:paraId="49A2553D" w14:textId="0DA63072" w:rsidR="000416DE" w:rsidRPr="000416DE" w:rsidRDefault="000416DE" w:rsidP="000416DE">
      <w:pPr>
        <w:pStyle w:val="ListBullet"/>
        <w:rPr>
          <w:lang w:val="en-GB"/>
        </w:rPr>
      </w:pPr>
      <w:r w:rsidRPr="000416DE">
        <w:rPr>
          <w:lang w:val="en-GB"/>
        </w:rPr>
        <w:t>the subject-reported ch</w:t>
      </w:r>
      <w:r w:rsidR="00CB683C">
        <w:rPr>
          <w:lang w:val="en-GB"/>
        </w:rPr>
        <w:t>ange from B</w:t>
      </w:r>
      <w:r>
        <w:rPr>
          <w:lang w:val="en-GB"/>
        </w:rPr>
        <w:t xml:space="preserve">aseline to end of </w:t>
      </w:r>
      <w:r w:rsidR="00CB683C">
        <w:rPr>
          <w:lang w:val="en-GB"/>
        </w:rPr>
        <w:t>double blind</w:t>
      </w:r>
      <w:r w:rsidRPr="000416DE">
        <w:rPr>
          <w:lang w:val="en-GB"/>
        </w:rPr>
        <w:t xml:space="preserve"> induction in depressive s</w:t>
      </w:r>
      <w:r>
        <w:rPr>
          <w:lang w:val="en-GB"/>
        </w:rPr>
        <w:t xml:space="preserve">ymptoms, using the Patient Health </w:t>
      </w:r>
      <w:r w:rsidRPr="000416DE">
        <w:rPr>
          <w:lang w:val="en-GB"/>
        </w:rPr>
        <w:t>Questionnaire, 9-item</w:t>
      </w:r>
      <w:r>
        <w:rPr>
          <w:lang w:val="en-GB"/>
        </w:rPr>
        <w:t xml:space="preserve"> (PHQ-9) total </w:t>
      </w:r>
      <w:r w:rsidRPr="000416DE">
        <w:rPr>
          <w:lang w:val="en-GB"/>
        </w:rPr>
        <w:t>score from the subject-repor</w:t>
      </w:r>
      <w:r>
        <w:rPr>
          <w:lang w:val="en-GB"/>
        </w:rPr>
        <w:t xml:space="preserve">ted 9-item questionnaire: none to </w:t>
      </w:r>
      <w:r w:rsidRPr="000416DE">
        <w:rPr>
          <w:lang w:val="en-GB"/>
        </w:rPr>
        <w:t>minimal (0</w:t>
      </w:r>
      <w:r w:rsidR="00CB683C">
        <w:rPr>
          <w:lang w:val="en-GB"/>
        </w:rPr>
        <w:t xml:space="preserve"> to </w:t>
      </w:r>
      <w:r w:rsidRPr="000416DE">
        <w:rPr>
          <w:lang w:val="en-GB"/>
        </w:rPr>
        <w:t>4), mild (5</w:t>
      </w:r>
      <w:r w:rsidR="00CB683C">
        <w:rPr>
          <w:lang w:val="en-GB"/>
        </w:rPr>
        <w:t xml:space="preserve"> to </w:t>
      </w:r>
      <w:r w:rsidRPr="000416DE">
        <w:rPr>
          <w:lang w:val="en-GB"/>
        </w:rPr>
        <w:t>9)</w:t>
      </w:r>
      <w:r>
        <w:rPr>
          <w:lang w:val="en-GB"/>
        </w:rPr>
        <w:t>, moderate (10</w:t>
      </w:r>
      <w:r w:rsidR="00CB683C">
        <w:rPr>
          <w:lang w:val="en-GB"/>
        </w:rPr>
        <w:t xml:space="preserve"> to </w:t>
      </w:r>
      <w:r>
        <w:rPr>
          <w:lang w:val="en-GB"/>
        </w:rPr>
        <w:t xml:space="preserve">14), moderately </w:t>
      </w:r>
      <w:r w:rsidRPr="000416DE">
        <w:rPr>
          <w:lang w:val="en-GB"/>
        </w:rPr>
        <w:t>severe (15</w:t>
      </w:r>
      <w:r w:rsidR="00CB683C">
        <w:rPr>
          <w:lang w:val="en-GB"/>
        </w:rPr>
        <w:t xml:space="preserve"> to </w:t>
      </w:r>
      <w:r w:rsidRPr="000416DE">
        <w:rPr>
          <w:lang w:val="en-GB"/>
        </w:rPr>
        <w:t>19) and severe (2</w:t>
      </w:r>
      <w:r>
        <w:rPr>
          <w:lang w:val="en-GB"/>
        </w:rPr>
        <w:t>0</w:t>
      </w:r>
      <w:r w:rsidR="00CB683C">
        <w:rPr>
          <w:lang w:val="en-GB"/>
        </w:rPr>
        <w:t xml:space="preserve"> to </w:t>
      </w:r>
      <w:r>
        <w:rPr>
          <w:lang w:val="en-GB"/>
        </w:rPr>
        <w:t>27)</w:t>
      </w:r>
      <w:r w:rsidRPr="000416DE">
        <w:rPr>
          <w:lang w:val="en-GB"/>
        </w:rPr>
        <w:t>.</w:t>
      </w:r>
      <w:r w:rsidR="00A2403C">
        <w:rPr>
          <w:rStyle w:val="FootnoteReference"/>
          <w:lang w:val="en-GB"/>
        </w:rPr>
        <w:footnoteReference w:id="25"/>
      </w:r>
    </w:p>
    <w:p w14:paraId="73ACD82E" w14:textId="77777777" w:rsidR="00047015" w:rsidRDefault="002D403D" w:rsidP="002D403D">
      <w:pPr>
        <w:pStyle w:val="Heading6"/>
        <w:rPr>
          <w:lang w:val="en-GB"/>
        </w:rPr>
      </w:pPr>
      <w:r>
        <w:rPr>
          <w:lang w:val="en-GB"/>
        </w:rPr>
        <w:t>Results</w:t>
      </w:r>
    </w:p>
    <w:p w14:paraId="48EE4071" w14:textId="77777777" w:rsidR="002D403D" w:rsidRDefault="002D403D" w:rsidP="002D403D">
      <w:pPr>
        <w:rPr>
          <w:rFonts w:asciiTheme="minorHAnsi" w:eastAsiaTheme="minorHAnsi" w:hAnsiTheme="minorHAnsi" w:cs="TimesNewRoman"/>
          <w:lang w:val="en-GB"/>
        </w:rPr>
      </w:pPr>
      <w:r w:rsidRPr="00971C61">
        <w:t>Baseline demographics</w:t>
      </w:r>
      <w:r>
        <w:rPr>
          <w:rFonts w:asciiTheme="minorHAnsi" w:eastAsiaTheme="minorHAnsi" w:hAnsiTheme="minorHAnsi" w:cs="TimesNewRoman"/>
          <w:lang w:val="en-GB"/>
        </w:rPr>
        <w:t xml:space="preserve"> were generally similar across treatment groups and across the </w:t>
      </w:r>
      <w:r w:rsidR="00CF53AD">
        <w:rPr>
          <w:rFonts w:asciiTheme="minorHAnsi" w:eastAsiaTheme="minorHAnsi" w:hAnsiTheme="minorHAnsi" w:cs="TimesNewRoman"/>
          <w:lang w:val="en-GB"/>
        </w:rPr>
        <w:t>double blind</w:t>
      </w:r>
      <w:r>
        <w:rPr>
          <w:rFonts w:asciiTheme="minorHAnsi" w:eastAsiaTheme="minorHAnsi" w:hAnsiTheme="minorHAnsi" w:cs="TimesNewRoman"/>
          <w:lang w:val="en-GB"/>
        </w:rPr>
        <w:t xml:space="preserve"> induction studies: most subjects w</w:t>
      </w:r>
      <w:r w:rsidR="00CF53AD">
        <w:rPr>
          <w:rFonts w:asciiTheme="minorHAnsi" w:eastAsiaTheme="minorHAnsi" w:hAnsiTheme="minorHAnsi" w:cs="TimesNewRoman"/>
          <w:lang w:val="en-GB"/>
        </w:rPr>
        <w:t>ere female (61.9 to 70.5%) and W</w:t>
      </w:r>
      <w:r>
        <w:rPr>
          <w:rFonts w:asciiTheme="minorHAnsi" w:eastAsiaTheme="minorHAnsi" w:hAnsiTheme="minorHAnsi" w:cs="TimesNewRoman"/>
          <w:lang w:val="en-GB"/>
        </w:rPr>
        <w:t>hite race (76.6 to 94.9%</w:t>
      </w:r>
      <w:r w:rsidR="00CF53AD">
        <w:rPr>
          <w:rFonts w:asciiTheme="minorHAnsi" w:eastAsiaTheme="minorHAnsi" w:hAnsiTheme="minorHAnsi" w:cs="TimesNewRoman"/>
          <w:lang w:val="en-GB"/>
        </w:rPr>
        <w:t xml:space="preserve">), </w:t>
      </w:r>
      <w:r>
        <w:rPr>
          <w:rFonts w:asciiTheme="minorHAnsi" w:eastAsiaTheme="minorHAnsi" w:hAnsiTheme="minorHAnsi" w:cs="TimesNewRoman"/>
          <w:lang w:val="en-GB"/>
        </w:rPr>
        <w:t xml:space="preserve">except for </w:t>
      </w:r>
      <w:r w:rsidR="00BE7404">
        <w:rPr>
          <w:rFonts w:asciiTheme="minorHAnsi" w:eastAsiaTheme="minorHAnsi" w:hAnsiTheme="minorHAnsi" w:cs="TimesNewRoman"/>
          <w:lang w:val="en-GB"/>
        </w:rPr>
        <w:t xml:space="preserve">Study </w:t>
      </w:r>
      <w:r>
        <w:rPr>
          <w:rFonts w:asciiTheme="minorHAnsi" w:eastAsiaTheme="minorHAnsi" w:hAnsiTheme="minorHAnsi" w:cs="TimesNewRoman"/>
          <w:lang w:val="en-GB"/>
        </w:rPr>
        <w:t>TRD3002 with more diversity in race and ethnicity.</w:t>
      </w:r>
    </w:p>
    <w:p w14:paraId="772AFFE5" w14:textId="77777777" w:rsidR="00CF53AD" w:rsidRPr="00CF53AD" w:rsidRDefault="002D403D" w:rsidP="00CF53AD">
      <w:pPr>
        <w:rPr>
          <w:rFonts w:asciiTheme="minorHAnsi" w:eastAsiaTheme="minorHAnsi" w:hAnsiTheme="minorHAnsi" w:cs="TimesNewRoman"/>
          <w:lang w:val="en-GB"/>
        </w:rPr>
      </w:pPr>
      <w:r>
        <w:rPr>
          <w:rFonts w:asciiTheme="minorHAnsi" w:eastAsiaTheme="minorHAnsi" w:hAnsiTheme="minorHAnsi" w:cs="TimesNewRoman"/>
          <w:lang w:val="en-GB"/>
        </w:rPr>
        <w:t xml:space="preserve">As per study design, subjects in </w:t>
      </w:r>
      <w:r w:rsidR="00CF53AD">
        <w:rPr>
          <w:rFonts w:asciiTheme="minorHAnsi" w:eastAsiaTheme="minorHAnsi" w:hAnsiTheme="minorHAnsi" w:cs="TimesNewRoman"/>
          <w:lang w:val="en-GB"/>
        </w:rPr>
        <w:t xml:space="preserve">Studies </w:t>
      </w:r>
      <w:r>
        <w:rPr>
          <w:rFonts w:asciiTheme="minorHAnsi" w:eastAsiaTheme="minorHAnsi" w:hAnsiTheme="minorHAnsi" w:cs="TimesNewRoman"/>
          <w:lang w:val="en-GB"/>
        </w:rPr>
        <w:t>TRD3001 and TRD</w:t>
      </w:r>
      <w:r w:rsidR="004724B9">
        <w:rPr>
          <w:rFonts w:asciiTheme="minorHAnsi" w:eastAsiaTheme="minorHAnsi" w:hAnsiTheme="minorHAnsi" w:cs="TimesNewRoman"/>
          <w:lang w:val="en-GB"/>
        </w:rPr>
        <w:t>3002 were all adults (aged &lt; </w:t>
      </w:r>
      <w:r w:rsidR="00BE7404">
        <w:rPr>
          <w:rFonts w:asciiTheme="minorHAnsi" w:eastAsiaTheme="minorHAnsi" w:hAnsiTheme="minorHAnsi" w:cs="TimesNewRoman"/>
          <w:lang w:val="en-GB"/>
        </w:rPr>
        <w:t>65 </w:t>
      </w:r>
      <w:r>
        <w:rPr>
          <w:rFonts w:asciiTheme="minorHAnsi" w:eastAsiaTheme="minorHAnsi" w:hAnsiTheme="minorHAnsi" w:cs="TimesNewRoman"/>
          <w:lang w:val="en-GB"/>
        </w:rPr>
        <w:t xml:space="preserve">years), with mean subject age 45.7 to 46.3 years, while subjects in </w:t>
      </w:r>
      <w:r w:rsidR="00CF53AD">
        <w:rPr>
          <w:rFonts w:asciiTheme="minorHAnsi" w:eastAsiaTheme="minorHAnsi" w:hAnsiTheme="minorHAnsi" w:cs="TimesNewRoman"/>
          <w:lang w:val="en-GB"/>
        </w:rPr>
        <w:t xml:space="preserve">Study </w:t>
      </w:r>
      <w:r>
        <w:rPr>
          <w:rFonts w:asciiTheme="minorHAnsi" w:eastAsiaTheme="minorHAnsi" w:hAnsiTheme="minorHAnsi" w:cs="TimesNewRoman"/>
          <w:lang w:val="en-GB"/>
        </w:rPr>
        <w:t>TRD3005 were all elderly (aged ≥ 65 years), with mean subject age 70.0 years (range: 65 to 86). Most subjects were enrolled in North America (40 to 5</w:t>
      </w:r>
      <w:r w:rsidR="00CF53AD">
        <w:rPr>
          <w:rFonts w:asciiTheme="minorHAnsi" w:eastAsiaTheme="minorHAnsi" w:hAnsiTheme="minorHAnsi" w:cs="TimesNewRoman"/>
          <w:lang w:val="en-GB"/>
        </w:rPr>
        <w:t>0%) followed by Europe (39.6%).</w:t>
      </w:r>
    </w:p>
    <w:p w14:paraId="47A7F405" w14:textId="77777777" w:rsidR="00CF53AD" w:rsidRPr="00CF53AD" w:rsidRDefault="00CF53AD" w:rsidP="00CF53AD">
      <w:pPr>
        <w:pStyle w:val="Heading7"/>
        <w:rPr>
          <w:sz w:val="22"/>
        </w:rPr>
      </w:pPr>
      <w:r w:rsidRPr="00CF53AD">
        <w:rPr>
          <w:sz w:val="22"/>
        </w:rPr>
        <w:t>Primary efficacy outcome</w:t>
      </w:r>
    </w:p>
    <w:p w14:paraId="1149392A" w14:textId="41421774" w:rsidR="00CF53AD" w:rsidRPr="000416DE" w:rsidRDefault="00CF53AD" w:rsidP="000416DE">
      <w:r w:rsidRPr="000416DE">
        <w:t xml:space="preserve">The treatment differences in </w:t>
      </w:r>
      <w:r w:rsidR="00CB683C">
        <w:t>least squares (</w:t>
      </w:r>
      <w:r w:rsidRPr="000416DE">
        <w:t>LS</w:t>
      </w:r>
      <w:r w:rsidR="00CB683C">
        <w:t>)</w:t>
      </w:r>
      <w:r w:rsidRPr="000416DE">
        <w:t xml:space="preserve"> means for MADRS total </w:t>
      </w:r>
      <w:r w:rsidR="000416DE">
        <w:t xml:space="preserve">scores (with 7 </w:t>
      </w:r>
      <w:r w:rsidRPr="000416DE">
        <w:t>day recall)</w:t>
      </w:r>
      <w:r w:rsidR="000416DE">
        <w:t xml:space="preserve"> </w:t>
      </w:r>
      <w:r w:rsidRPr="000416DE">
        <w:t xml:space="preserve">demonstrated a clinically meaningful difference of at least 2.0 units between all intranasal </w:t>
      </w:r>
      <w:proofErr w:type="spellStart"/>
      <w:r w:rsidRPr="000416DE">
        <w:t>esketamine</w:t>
      </w:r>
      <w:proofErr w:type="spellEnd"/>
      <w:r w:rsidRPr="000416DE">
        <w:t xml:space="preserve"> + oral </w:t>
      </w:r>
      <w:r w:rsidR="00BF4A51">
        <w:t>antidepressant</w:t>
      </w:r>
      <w:r w:rsidR="00BF4A51" w:rsidRPr="000416DE">
        <w:t xml:space="preserve"> </w:t>
      </w:r>
      <w:r w:rsidRPr="000416DE">
        <w:t xml:space="preserve">treatments </w:t>
      </w:r>
      <w:r w:rsidR="00CB683C">
        <w:t>versus</w:t>
      </w:r>
      <w:r w:rsidRPr="000416DE">
        <w:t xml:space="preserve"> intranasal placebo + oral </w:t>
      </w:r>
      <w:r w:rsidR="00BF4A51">
        <w:t>antidepressant</w:t>
      </w:r>
      <w:r w:rsidR="00BF4A51" w:rsidRPr="000416DE">
        <w:t xml:space="preserve"> </w:t>
      </w:r>
      <w:r w:rsidRPr="000416DE">
        <w:t xml:space="preserve">treatments, across the </w:t>
      </w:r>
      <w:r w:rsidR="00BE7404">
        <w:t>three</w:t>
      </w:r>
      <w:r w:rsidRPr="000416DE">
        <w:t xml:space="preserve"> pivotal induction studies, at the end of </w:t>
      </w:r>
      <w:r w:rsidR="00BE7404">
        <w:t>double blind</w:t>
      </w:r>
      <w:r w:rsidRPr="000416DE">
        <w:t xml:space="preserve"> treatment</w:t>
      </w:r>
      <w:r w:rsidR="00CB683C">
        <w:t xml:space="preserve"> (see </w:t>
      </w:r>
      <w:r w:rsidR="00CB683C">
        <w:fldChar w:fldCharType="begin"/>
      </w:r>
      <w:r w:rsidR="00CB683C">
        <w:instrText xml:space="preserve"> REF _Ref69794342 \h </w:instrText>
      </w:r>
      <w:r w:rsidR="00CB683C">
        <w:fldChar w:fldCharType="separate"/>
      </w:r>
      <w:r w:rsidR="003938C9">
        <w:t xml:space="preserve">Table </w:t>
      </w:r>
      <w:r w:rsidR="003938C9">
        <w:rPr>
          <w:noProof/>
        </w:rPr>
        <w:t>5</w:t>
      </w:r>
      <w:r w:rsidR="00CB683C">
        <w:fldChar w:fldCharType="end"/>
      </w:r>
      <w:r w:rsidR="00CB683C">
        <w:t>)</w:t>
      </w:r>
      <w:r w:rsidR="00BE7404">
        <w:t>.</w:t>
      </w:r>
    </w:p>
    <w:p w14:paraId="4122AF77" w14:textId="1193F619" w:rsidR="00CF53AD" w:rsidRDefault="006D0C09" w:rsidP="006D0C09">
      <w:pPr>
        <w:pStyle w:val="TableTitle"/>
        <w:rPr>
          <w:lang w:val="en-GB"/>
        </w:rPr>
      </w:pPr>
      <w:bookmarkStart w:id="55" w:name="_Ref69794342"/>
      <w:r>
        <w:lastRenderedPageBreak/>
        <w:t xml:space="preserve">Table </w:t>
      </w:r>
      <w:r w:rsidR="00D42A0C">
        <w:fldChar w:fldCharType="begin"/>
      </w:r>
      <w:r w:rsidR="00D42A0C">
        <w:instrText xml:space="preserve"> SEQ Table \* ARABIC </w:instrText>
      </w:r>
      <w:r w:rsidR="00D42A0C">
        <w:fldChar w:fldCharType="separate"/>
      </w:r>
      <w:r w:rsidR="003938C9">
        <w:rPr>
          <w:noProof/>
        </w:rPr>
        <w:t>5</w:t>
      </w:r>
      <w:r w:rsidR="00D42A0C">
        <w:rPr>
          <w:noProof/>
        </w:rPr>
        <w:fldChar w:fldCharType="end"/>
      </w:r>
      <w:bookmarkEnd w:id="55"/>
      <w:r>
        <w:t xml:space="preserve">: </w:t>
      </w:r>
      <w:r>
        <w:rPr>
          <w:lang w:val="en-GB"/>
        </w:rPr>
        <w:t xml:space="preserve">Studies TRD3001, TRD3002 and TRD3005 </w:t>
      </w:r>
      <w:r w:rsidRPr="006D0C09">
        <w:rPr>
          <w:lang w:val="en-GB"/>
        </w:rPr>
        <w:t>Montgomery-</w:t>
      </w:r>
      <w:proofErr w:type="spellStart"/>
      <w:r w:rsidR="00BF4A51" w:rsidRPr="00BF4A51">
        <w:rPr>
          <w:lang w:val="en-GB"/>
        </w:rPr>
        <w:t>Å</w:t>
      </w:r>
      <w:r w:rsidRPr="006D0C09">
        <w:rPr>
          <w:lang w:val="en-GB"/>
        </w:rPr>
        <w:t>sber</w:t>
      </w:r>
      <w:r>
        <w:rPr>
          <w:lang w:val="en-GB"/>
        </w:rPr>
        <w:t>g</w:t>
      </w:r>
      <w:proofErr w:type="spellEnd"/>
      <w:r>
        <w:rPr>
          <w:lang w:val="en-GB"/>
        </w:rPr>
        <w:t xml:space="preserve"> Depression Rating Scale</w:t>
      </w:r>
      <w:r w:rsidR="00CF53AD" w:rsidRPr="00160AA2">
        <w:rPr>
          <w:lang w:val="en-GB"/>
        </w:rPr>
        <w:t xml:space="preserve"> </w:t>
      </w:r>
      <w:r>
        <w:rPr>
          <w:lang w:val="en-GB"/>
        </w:rPr>
        <w:t>total score, c</w:t>
      </w:r>
      <w:r w:rsidR="00CF53AD" w:rsidRPr="00160AA2">
        <w:rPr>
          <w:lang w:val="en-GB"/>
        </w:rPr>
        <w:t xml:space="preserve">hange </w:t>
      </w:r>
      <w:r w:rsidR="00CF53AD">
        <w:rPr>
          <w:lang w:val="en-GB"/>
        </w:rPr>
        <w:t>f</w:t>
      </w:r>
      <w:r w:rsidR="00CF53AD" w:rsidRPr="00160AA2">
        <w:rPr>
          <w:lang w:val="en-GB"/>
        </w:rPr>
        <w:t>rom</w:t>
      </w:r>
      <w:r>
        <w:rPr>
          <w:lang w:val="en-GB"/>
        </w:rPr>
        <w:t xml:space="preserve"> B</w:t>
      </w:r>
      <w:r w:rsidR="00CF53AD" w:rsidRPr="00160AA2">
        <w:rPr>
          <w:lang w:val="en-GB"/>
        </w:rPr>
        <w:t xml:space="preserve">aseline to </w:t>
      </w:r>
      <w:r>
        <w:rPr>
          <w:lang w:val="en-GB"/>
        </w:rPr>
        <w:t xml:space="preserve">double </w:t>
      </w:r>
      <w:r w:rsidR="00CF53AD">
        <w:rPr>
          <w:lang w:val="en-GB"/>
        </w:rPr>
        <w:t>blind e</w:t>
      </w:r>
      <w:r w:rsidR="00CF53AD" w:rsidRPr="00160AA2">
        <w:rPr>
          <w:lang w:val="en-GB"/>
        </w:rPr>
        <w:t xml:space="preserve">ndpoint </w:t>
      </w:r>
      <w:r>
        <w:rPr>
          <w:lang w:val="en-GB"/>
        </w:rPr>
        <w:t xml:space="preserve">in the induction phase </w:t>
      </w:r>
      <w:r w:rsidR="00CF53AD">
        <w:rPr>
          <w:lang w:val="en-GB"/>
        </w:rPr>
        <w:t>(</w:t>
      </w:r>
      <w:r>
        <w:rPr>
          <w:lang w:val="en-GB"/>
        </w:rPr>
        <w:t>last observation carried forward analysis of covariance</w:t>
      </w:r>
      <w:r w:rsidR="00CF53AD" w:rsidRPr="00160AA2">
        <w:rPr>
          <w:lang w:val="en-GB"/>
        </w:rPr>
        <w:t xml:space="preserve">; </w:t>
      </w:r>
      <w:r w:rsidRPr="00160AA2">
        <w:rPr>
          <w:lang w:val="en-GB"/>
        </w:rPr>
        <w:t>full analysis set</w:t>
      </w:r>
      <w:r w:rsidR="00CF53AD" w:rsidRPr="00160AA2">
        <w:rPr>
          <w:lang w:val="en-GB"/>
        </w:rPr>
        <w:t>)</w:t>
      </w:r>
    </w:p>
    <w:p w14:paraId="6AB22C57" w14:textId="77777777" w:rsidR="00CF53AD" w:rsidRDefault="00CF53AD" w:rsidP="00CF53AD">
      <w:pPr>
        <w:autoSpaceDE w:val="0"/>
        <w:autoSpaceDN w:val="0"/>
        <w:adjustRightInd w:val="0"/>
        <w:spacing w:before="0" w:after="0" w:line="240" w:lineRule="auto"/>
        <w:rPr>
          <w:rFonts w:asciiTheme="minorHAnsi" w:hAnsiTheme="minorHAnsi"/>
        </w:rPr>
      </w:pPr>
      <w:r>
        <w:rPr>
          <w:rFonts w:asciiTheme="minorHAnsi" w:hAnsiTheme="minorHAnsi"/>
          <w:noProof/>
          <w:lang w:eastAsia="en-AU"/>
        </w:rPr>
        <w:drawing>
          <wp:inline distT="0" distB="0" distL="0" distR="0" wp14:anchorId="441198BB" wp14:editId="6DEB9A4A">
            <wp:extent cx="5431790" cy="2254443"/>
            <wp:effectExtent l="0" t="0" r="0" b="0"/>
            <wp:docPr id="46" name="Picture 10" descr="Studies TRD3001, TRD3002 and TRD3005 Montgomery-Asberg Depression Rating Scale total score, change from Baseline to double blind endpoint in the induction phase (last observation carried forward analysis of covariance;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502656" cy="2283856"/>
                    </a:xfrm>
                    <a:prstGeom prst="rect">
                      <a:avLst/>
                    </a:prstGeom>
                    <a:noFill/>
                    <a:ln w="9525">
                      <a:noFill/>
                      <a:miter lim="800000"/>
                      <a:headEnd/>
                      <a:tailEnd/>
                    </a:ln>
                  </pic:spPr>
                </pic:pic>
              </a:graphicData>
            </a:graphic>
          </wp:inline>
        </w:drawing>
      </w:r>
    </w:p>
    <w:p w14:paraId="505BE3B7" w14:textId="77777777" w:rsidR="006D0C09" w:rsidRDefault="006D0C09" w:rsidP="006D0C09">
      <w:pPr>
        <w:pStyle w:val="TableDescription"/>
      </w:pPr>
      <w:r>
        <w:t xml:space="preserve">AD = antidepressant; ANCOVA = analysis of covariance; CI = confidence interval; DB = double blind; </w:t>
      </w:r>
      <w:proofErr w:type="spellStart"/>
      <w:r>
        <w:t>Esk</w:t>
      </w:r>
      <w:proofErr w:type="spellEnd"/>
      <w:r>
        <w:t xml:space="preserve"> = </w:t>
      </w:r>
      <w:proofErr w:type="spellStart"/>
      <w:r>
        <w:t>esketamine</w:t>
      </w:r>
      <w:proofErr w:type="spellEnd"/>
      <w:r>
        <w:t xml:space="preserve">; LOCF = last observation carried forward; LS= least squares; MADRS = </w:t>
      </w:r>
      <w:r w:rsidRPr="006D0C09">
        <w:t>Montgomery-</w:t>
      </w:r>
      <w:proofErr w:type="spellStart"/>
      <w:r w:rsidRPr="006D0C09">
        <w:t>Asber</w:t>
      </w:r>
      <w:r>
        <w:t>g</w:t>
      </w:r>
      <w:proofErr w:type="spellEnd"/>
      <w:r>
        <w:t xml:space="preserve"> Depression Rating Scale; N/A = not applicable.</w:t>
      </w:r>
    </w:p>
    <w:p w14:paraId="703BC2B6" w14:textId="77777777" w:rsidR="00CF53AD" w:rsidRPr="006D0C09" w:rsidRDefault="00CF53AD" w:rsidP="006D0C09">
      <w:pPr>
        <w:pStyle w:val="TableDescription"/>
      </w:pPr>
      <w:r w:rsidRPr="00765640">
        <w:t>N/A</w:t>
      </w:r>
      <w:r w:rsidR="006D0C09">
        <w:t xml:space="preserve">: </w:t>
      </w:r>
      <w:proofErr w:type="spellStart"/>
      <w:r w:rsidR="006D0C09">
        <w:t>Esketamine</w:t>
      </w:r>
      <w:proofErr w:type="spellEnd"/>
      <w:r w:rsidR="006D0C09">
        <w:t xml:space="preserve"> 56 mg + oral AD versus</w:t>
      </w:r>
      <w:r w:rsidRPr="00765640">
        <w:t xml:space="preserve"> oral AD + placebo was not evaluated in </w:t>
      </w:r>
      <w:r w:rsidR="006D0C09">
        <w:t xml:space="preserve">Study </w:t>
      </w:r>
      <w:r w:rsidRPr="00765640">
        <w:t xml:space="preserve">TRD3001 since the </w:t>
      </w:r>
      <w:proofErr w:type="spellStart"/>
      <w:r w:rsidRPr="00765640">
        <w:t>esketamine</w:t>
      </w:r>
      <w:proofErr w:type="spellEnd"/>
      <w:r w:rsidRPr="00765640">
        <w:t xml:space="preserve"> 84 mg + oral AD vs. oral AD + placebo comparison was not statistically significan</w:t>
      </w:r>
      <w:r w:rsidR="006D0C09">
        <w:t>t, as pre</w:t>
      </w:r>
      <w:r w:rsidR="006D0C09">
        <w:noBreakHyphen/>
      </w:r>
      <w:r w:rsidRPr="00765640">
        <w:t xml:space="preserve">specified in the step-down sequence analysis in the </w:t>
      </w:r>
      <w:r w:rsidR="006D0C09">
        <w:t>statistical analysis plan</w:t>
      </w:r>
      <w:r w:rsidRPr="00765640">
        <w:t>.</w:t>
      </w:r>
    </w:p>
    <w:p w14:paraId="3FA9BB26" w14:textId="733FC61D" w:rsidR="00CF53AD" w:rsidRPr="000416DE" w:rsidRDefault="00BE7404" w:rsidP="000416DE">
      <w:r w:rsidRPr="001B3AA9">
        <w:t>The treatment</w:t>
      </w:r>
      <w:r>
        <w:t xml:space="preserve"> </w:t>
      </w:r>
      <w:r w:rsidRPr="002C2CBE">
        <w:t>difference</w:t>
      </w:r>
      <w:r w:rsidRPr="001B3AA9">
        <w:t xml:space="preserve">s </w:t>
      </w:r>
      <w:r w:rsidRPr="002C2CBE">
        <w:t>in LS means for</w:t>
      </w:r>
      <w:r>
        <w:t xml:space="preserve"> </w:t>
      </w:r>
      <w:r w:rsidRPr="002976F8">
        <w:t>MADRS</w:t>
      </w:r>
      <w:r w:rsidRPr="002976F8">
        <w:rPr>
          <w:b/>
        </w:rPr>
        <w:t xml:space="preserve"> </w:t>
      </w:r>
      <w:r w:rsidRPr="002C2CBE">
        <w:t xml:space="preserve">total </w:t>
      </w:r>
      <w:r>
        <w:t xml:space="preserve">scores (with 7 </w:t>
      </w:r>
      <w:r w:rsidRPr="002C2CBE">
        <w:t>day recall)</w:t>
      </w:r>
      <w:r>
        <w:t xml:space="preserve"> </w:t>
      </w:r>
      <w:r w:rsidR="00CF53AD" w:rsidRPr="000416DE">
        <w:t xml:space="preserve">reached statistical significance in </w:t>
      </w:r>
      <w:r>
        <w:t xml:space="preserve">Study TRD3002 (2 </w:t>
      </w:r>
      <w:r w:rsidR="00CF53AD" w:rsidRPr="000416DE">
        <w:t xml:space="preserve">sided; p = 0.034) and borderline statistical significance in the elderly population in </w:t>
      </w:r>
      <w:r>
        <w:t xml:space="preserve">Study TRD3005 (2 </w:t>
      </w:r>
      <w:r w:rsidR="00CF53AD" w:rsidRPr="000416DE">
        <w:t>sided; p = 0.052). However, statistical separation between intranasa</w:t>
      </w:r>
      <w:r>
        <w:t xml:space="preserve">l </w:t>
      </w:r>
      <w:proofErr w:type="spellStart"/>
      <w:r>
        <w:t>esketamine</w:t>
      </w:r>
      <w:proofErr w:type="spellEnd"/>
      <w:r>
        <w:t xml:space="preserve"> 84 mg + oral </w:t>
      </w:r>
      <w:r w:rsidR="00BF4A51">
        <w:t xml:space="preserve">antidepressant </w:t>
      </w:r>
      <w:r>
        <w:t>versus</w:t>
      </w:r>
      <w:r w:rsidR="00CF53AD" w:rsidRPr="000416DE">
        <w:t xml:space="preserve"> intranasal placebo+ oral </w:t>
      </w:r>
      <w:r w:rsidR="00BF4A51">
        <w:t>antidepressant</w:t>
      </w:r>
      <w:r w:rsidR="00BF4A51" w:rsidRPr="000416DE">
        <w:t xml:space="preserve"> </w:t>
      </w:r>
      <w:r w:rsidR="00CF53AD" w:rsidRPr="000416DE">
        <w:t xml:space="preserve">was not achieved in </w:t>
      </w:r>
      <w:r>
        <w:t xml:space="preserve">Study TRD3001 (2 </w:t>
      </w:r>
      <w:r w:rsidR="003938C9">
        <w:t>sided; p = </w:t>
      </w:r>
      <w:r w:rsidR="00CF53AD" w:rsidRPr="000416DE">
        <w:t>0.250).</w:t>
      </w:r>
    </w:p>
    <w:p w14:paraId="6D7D8488" w14:textId="6056DB86" w:rsidR="00CF53AD" w:rsidRDefault="00CF53AD" w:rsidP="00BE7404">
      <w:pPr>
        <w:tabs>
          <w:tab w:val="left" w:pos="993"/>
          <w:tab w:val="left" w:pos="1418"/>
        </w:tabs>
      </w:pPr>
      <w:r>
        <w:t>The m</w:t>
      </w:r>
      <w:r w:rsidRPr="00A755A9">
        <w:t>ean change in MADRS total scores f</w:t>
      </w:r>
      <w:r w:rsidR="004724B9">
        <w:t xml:space="preserve">rom Baseline to </w:t>
      </w:r>
      <w:r w:rsidR="00587393">
        <w:t xml:space="preserve">the </w:t>
      </w:r>
      <w:r w:rsidR="004724B9">
        <w:t>double blind</w:t>
      </w:r>
      <w:r w:rsidR="00BE7404">
        <w:t xml:space="preserve"> endpoint for</w:t>
      </w:r>
      <w:r>
        <w:t xml:space="preserve"> i</w:t>
      </w:r>
      <w:r w:rsidRPr="002C2CBE">
        <w:t xml:space="preserve">ntranasal </w:t>
      </w:r>
      <w:proofErr w:type="spellStart"/>
      <w:r w:rsidRPr="002C2CBE">
        <w:t>esketamine</w:t>
      </w:r>
      <w:proofErr w:type="spellEnd"/>
      <w:r w:rsidRPr="002C2CBE">
        <w:t xml:space="preserve"> + oral </w:t>
      </w:r>
      <w:r w:rsidR="00BF4A51">
        <w:t>antidepressant</w:t>
      </w:r>
      <w:r w:rsidR="00BF4A51" w:rsidRPr="002C2CBE">
        <w:t xml:space="preserve"> </w:t>
      </w:r>
      <w:r w:rsidRPr="002C2CBE">
        <w:t xml:space="preserve">treatments </w:t>
      </w:r>
      <w:r>
        <w:t xml:space="preserve">in the </w:t>
      </w:r>
      <w:r w:rsidRPr="00A755A9">
        <w:t>elderly population</w:t>
      </w:r>
      <w:r>
        <w:t xml:space="preserve"> </w:t>
      </w:r>
      <w:r w:rsidR="00BE7404">
        <w:t xml:space="preserve">(Study </w:t>
      </w:r>
      <w:r w:rsidRPr="00A755A9">
        <w:t>TRD3005</w:t>
      </w:r>
      <w:r w:rsidR="00BE7404">
        <w:t xml:space="preserve">) </w:t>
      </w:r>
      <w:r>
        <w:t xml:space="preserve">appeared </w:t>
      </w:r>
      <w:r w:rsidR="00BE7404">
        <w:t>numerically smaller versus</w:t>
      </w:r>
      <w:r w:rsidRPr="00A755A9">
        <w:t xml:space="preserve"> th</w:t>
      </w:r>
      <w:r>
        <w:t xml:space="preserve">ose </w:t>
      </w:r>
      <w:r w:rsidRPr="005A5B7A">
        <w:t>observed</w:t>
      </w:r>
      <w:r w:rsidRPr="00A755A9">
        <w:t xml:space="preserve"> in the adult populations </w:t>
      </w:r>
      <w:r w:rsidR="004724B9">
        <w:t>(Studies </w:t>
      </w:r>
      <w:r w:rsidRPr="00A755A9">
        <w:t>TRD3001 and TRD3002</w:t>
      </w:r>
      <w:r w:rsidR="00BE7404">
        <w:t>)</w:t>
      </w:r>
      <w:r w:rsidRPr="00A755A9">
        <w:t>.</w:t>
      </w:r>
      <w:r>
        <w:t xml:space="preserve"> However, the mean changes become comparable, ranging from </w:t>
      </w:r>
      <w:r w:rsidR="00BE7404">
        <w:t xml:space="preserve">approximately </w:t>
      </w:r>
      <w:r>
        <w:t xml:space="preserve">-3 to </w:t>
      </w:r>
      <w:r w:rsidR="00BE7404">
        <w:t>-</w:t>
      </w:r>
      <w:r>
        <w:t xml:space="preserve">4, when the observed </w:t>
      </w:r>
      <w:r w:rsidRPr="00063655">
        <w:t>intranasal placebo</w:t>
      </w:r>
      <w:r>
        <w:t xml:space="preserve"> </w:t>
      </w:r>
      <w:r w:rsidRPr="00063655">
        <w:t xml:space="preserve">+ oral </w:t>
      </w:r>
      <w:r w:rsidR="00BF4A51">
        <w:t xml:space="preserve">antidepressant </w:t>
      </w:r>
      <w:r>
        <w:t>change</w:t>
      </w:r>
      <w:r w:rsidR="00BE7404">
        <w:t xml:space="preserve">s in all </w:t>
      </w:r>
      <w:r w:rsidR="00861A14">
        <w:t>three</w:t>
      </w:r>
      <w:r w:rsidR="00BE7404">
        <w:t xml:space="preserve"> clinical studies </w:t>
      </w:r>
      <w:r>
        <w:t>were factored out.</w:t>
      </w:r>
    </w:p>
    <w:p w14:paraId="03524C8C" w14:textId="77777777" w:rsidR="00CF53AD" w:rsidRPr="00CF79B3" w:rsidRDefault="00CF53AD" w:rsidP="00BE7404">
      <w:pPr>
        <w:pStyle w:val="Heading7"/>
      </w:pPr>
      <w:r w:rsidRPr="004724B9">
        <w:rPr>
          <w:sz w:val="22"/>
        </w:rPr>
        <w:t xml:space="preserve">Key </w:t>
      </w:r>
      <w:r w:rsidR="00BE7404" w:rsidRPr="004724B9">
        <w:rPr>
          <w:sz w:val="22"/>
        </w:rPr>
        <w:t>s</w:t>
      </w:r>
      <w:r w:rsidRPr="004724B9">
        <w:rPr>
          <w:sz w:val="22"/>
        </w:rPr>
        <w:t xml:space="preserve">econdary </w:t>
      </w:r>
      <w:r w:rsidR="00BE7404" w:rsidRPr="004724B9">
        <w:rPr>
          <w:sz w:val="22"/>
        </w:rPr>
        <w:t xml:space="preserve">outcomes </w:t>
      </w:r>
      <w:r w:rsidRPr="004724B9">
        <w:rPr>
          <w:sz w:val="22"/>
        </w:rPr>
        <w:t>(</w:t>
      </w:r>
      <w:r w:rsidR="00BE7404" w:rsidRPr="004724B9">
        <w:rPr>
          <w:sz w:val="22"/>
        </w:rPr>
        <w:t>Studies TRD3001 and TRD3002 only)</w:t>
      </w:r>
    </w:p>
    <w:p w14:paraId="074F4325" w14:textId="77777777" w:rsidR="00CF53AD" w:rsidRPr="00A659AD" w:rsidRDefault="00CF53AD" w:rsidP="00BE7404">
      <w:r w:rsidRPr="00BE7404">
        <w:t xml:space="preserve">None of the secondary efficacy endpoints could be formally tested in </w:t>
      </w:r>
      <w:r w:rsidR="00BE7404">
        <w:t xml:space="preserve">Study </w:t>
      </w:r>
      <w:r w:rsidRPr="00BE7404">
        <w:t>TRD3001.</w:t>
      </w:r>
    </w:p>
    <w:p w14:paraId="06CFA356" w14:textId="77777777" w:rsidR="00BE7404" w:rsidRDefault="00CF53AD" w:rsidP="00BE7404">
      <w:r w:rsidRPr="00BE7404">
        <w:t>Onset of cli</w:t>
      </w:r>
      <w:r w:rsidR="00BE7404">
        <w:t>nical response by Day 2 (24 h</w:t>
      </w:r>
      <w:r w:rsidR="004724B9">
        <w:t>ours</w:t>
      </w:r>
      <w:r w:rsidR="00BE7404">
        <w:t>):</w:t>
      </w:r>
    </w:p>
    <w:p w14:paraId="66B9C9E3" w14:textId="09F58AD6" w:rsidR="00CF53AD" w:rsidRPr="004724B9" w:rsidRDefault="00CF53AD" w:rsidP="004724B9">
      <w:pPr>
        <w:pStyle w:val="ListBullet"/>
      </w:pPr>
      <w:r w:rsidRPr="00BE7404">
        <w:t xml:space="preserve">In </w:t>
      </w:r>
      <w:r w:rsidR="00BE7404">
        <w:t xml:space="preserve">Study </w:t>
      </w:r>
      <w:r w:rsidRPr="00BE7404">
        <w:t xml:space="preserve">TRD3002, more subjects who were treated with intranasal </w:t>
      </w:r>
      <w:proofErr w:type="spellStart"/>
      <w:r w:rsidRPr="00BE7404">
        <w:t>esketamine</w:t>
      </w:r>
      <w:proofErr w:type="spellEnd"/>
      <w:r w:rsidRPr="00BE7404">
        <w:t xml:space="preserve"> + </w:t>
      </w:r>
      <w:r w:rsidR="00BE7404">
        <w:t xml:space="preserve">oral </w:t>
      </w:r>
      <w:r w:rsidR="00BF4A51">
        <w:t xml:space="preserve">antidepressant </w:t>
      </w:r>
      <w:r w:rsidR="00BE7404">
        <w:t>versus</w:t>
      </w:r>
      <w:r w:rsidRPr="00BE7404">
        <w:t xml:space="preserve"> intranasal placebo + oral </w:t>
      </w:r>
      <w:r w:rsidR="00BF4A51">
        <w:t>antidepressant</w:t>
      </w:r>
      <w:r w:rsidR="00BF4A51" w:rsidRPr="00BE7404">
        <w:t xml:space="preserve"> </w:t>
      </w:r>
      <w:r w:rsidRPr="00BE7404">
        <w:t>achieved this study endpoint</w:t>
      </w:r>
      <w:r w:rsidR="00BE7404">
        <w:t xml:space="preserve">, namely: 7.9% (n = 9) versus 4.6% (n = 5), respectively (2 </w:t>
      </w:r>
      <w:r w:rsidRPr="00BE7404">
        <w:t>sided p</w:t>
      </w:r>
      <w:r w:rsidR="00BF4A51">
        <w:t> </w:t>
      </w:r>
      <w:r w:rsidRPr="00BE7404">
        <w:t>=</w:t>
      </w:r>
      <w:r w:rsidR="00BF4A51">
        <w:t> </w:t>
      </w:r>
      <w:r w:rsidRPr="00BE7404">
        <w:t xml:space="preserve">0.321; observed </w:t>
      </w:r>
      <w:r w:rsidR="004724B9">
        <w:t>odds ratio (</w:t>
      </w:r>
      <w:r w:rsidRPr="00BE7404">
        <w:t>95% Cl</w:t>
      </w:r>
      <w:r w:rsidR="004724B9">
        <w:t>) was 1.79 (0.6; 5.7)</w:t>
      </w:r>
      <w:r w:rsidRPr="00BE7404">
        <w:t xml:space="preserve">). While both classes of </w:t>
      </w:r>
      <w:r w:rsidR="00BF4A51">
        <w:t>antidepressant</w:t>
      </w:r>
      <w:r w:rsidR="00BF4A51" w:rsidRPr="00BE7404">
        <w:t xml:space="preserve"> </w:t>
      </w:r>
      <w:r w:rsidRPr="00BE7404">
        <w:t>(</w:t>
      </w:r>
      <w:r w:rsidR="00CB683C">
        <w:t xml:space="preserve">serotonin and </w:t>
      </w:r>
      <w:r w:rsidR="00BF4A51">
        <w:t xml:space="preserve">noradrenaline </w:t>
      </w:r>
      <w:r w:rsidR="00CB683C">
        <w:t>reuptake inhibitor (</w:t>
      </w:r>
      <w:r w:rsidRPr="00BE7404">
        <w:t>SNRI</w:t>
      </w:r>
      <w:r w:rsidR="00CB683C">
        <w:t>)</w:t>
      </w:r>
      <w:r w:rsidRPr="00BE7404">
        <w:t xml:space="preserve"> and </w:t>
      </w:r>
      <w:r w:rsidR="00CB683C">
        <w:t>selective serotonin reuptake inhibitor (</w:t>
      </w:r>
      <w:r w:rsidRPr="00BE7404">
        <w:t>SSRI</w:t>
      </w:r>
      <w:r w:rsidR="00CB683C">
        <w:t>)</w:t>
      </w:r>
      <w:r w:rsidRPr="00BE7404">
        <w:t xml:space="preserve">) resulted in numerically higher percentages of clinical response after </w:t>
      </w:r>
      <w:proofErr w:type="spellStart"/>
      <w:r w:rsidRPr="00BE7404">
        <w:t>esketamine</w:t>
      </w:r>
      <w:proofErr w:type="spellEnd"/>
      <w:r w:rsidRPr="00BE7404">
        <w:t xml:space="preserve"> compared with placebo (3.8% and 2.0%, respectively), these differences were small and based on small subject numbers (&lt; 6 persons per treatment arm). These findings were supported in corresponding exploratory analyses in </w:t>
      </w:r>
      <w:r w:rsidR="004724B9">
        <w:t xml:space="preserve">Study </w:t>
      </w:r>
      <w:r w:rsidRPr="00BE7404">
        <w:t>TRD3001.</w:t>
      </w:r>
    </w:p>
    <w:p w14:paraId="0082E822" w14:textId="77777777" w:rsidR="00CF53AD" w:rsidRPr="004724B9" w:rsidRDefault="00CF53AD" w:rsidP="004724B9">
      <w:r w:rsidRPr="004724B9">
        <w:t>SDS total score and PHQ-9 total score:</w:t>
      </w:r>
    </w:p>
    <w:p w14:paraId="391004B1" w14:textId="6617598A" w:rsidR="00CF53AD" w:rsidRPr="004724B9" w:rsidRDefault="00CF53AD" w:rsidP="004724B9">
      <w:pPr>
        <w:pStyle w:val="ListBullet"/>
      </w:pPr>
      <w:r w:rsidRPr="004724B9">
        <w:lastRenderedPageBreak/>
        <w:t>Since there was no statistical separation between tre</w:t>
      </w:r>
      <w:r w:rsidR="00CB683C">
        <w:t>atment groups, based on the pre</w:t>
      </w:r>
      <w:r w:rsidR="00CB683C">
        <w:noBreakHyphen/>
      </w:r>
      <w:r w:rsidRPr="004724B9">
        <w:t xml:space="preserve">defined testing sequence of secondary endpoints, SDS total score and PHQ-9 total score could not be formally evaluated in </w:t>
      </w:r>
      <w:r w:rsidR="00A2403C">
        <w:t xml:space="preserve">Study </w:t>
      </w:r>
      <w:r w:rsidRPr="004724B9">
        <w:t xml:space="preserve">TRD3001 or </w:t>
      </w:r>
      <w:r w:rsidR="00A2403C">
        <w:t xml:space="preserve">Study </w:t>
      </w:r>
      <w:r w:rsidRPr="004724B9">
        <w:t>TRD3002</w:t>
      </w:r>
      <w:r w:rsidR="004724B9">
        <w:t xml:space="preserve">. </w:t>
      </w:r>
      <w:r w:rsidRPr="004724B9">
        <w:t>The following results are exploratory</w:t>
      </w:r>
      <w:r w:rsidR="004724B9">
        <w:t xml:space="preserve"> only.</w:t>
      </w:r>
    </w:p>
    <w:p w14:paraId="3690D7D0" w14:textId="476463A0" w:rsidR="00CF53AD" w:rsidRPr="004724B9" w:rsidRDefault="004724B9" w:rsidP="004724B9">
      <w:pPr>
        <w:pStyle w:val="ListBullet"/>
        <w:rPr>
          <w:rFonts w:eastAsia="TimesNewRoman,Italic" w:cs="TimesNewRoman"/>
          <w:lang w:val="en-GB"/>
        </w:rPr>
      </w:pPr>
      <w:r>
        <w:rPr>
          <w:lang w:val="en-GB"/>
        </w:rPr>
        <w:t xml:space="preserve">SDS </w:t>
      </w:r>
      <w:r w:rsidR="00A2403C">
        <w:rPr>
          <w:lang w:val="en-GB"/>
        </w:rPr>
        <w:t>t</w:t>
      </w:r>
      <w:r>
        <w:rPr>
          <w:lang w:val="en-GB"/>
        </w:rPr>
        <w:t xml:space="preserve">otal </w:t>
      </w:r>
      <w:r w:rsidR="00A2403C">
        <w:rPr>
          <w:lang w:val="en-GB"/>
        </w:rPr>
        <w:t>s</w:t>
      </w:r>
      <w:r>
        <w:rPr>
          <w:lang w:val="en-GB"/>
        </w:rPr>
        <w:t>core</w:t>
      </w:r>
      <w:r w:rsidR="00A2403C">
        <w:rPr>
          <w:lang w:val="en-GB"/>
        </w:rPr>
        <w:t>:</w:t>
      </w:r>
      <w:r>
        <w:rPr>
          <w:lang w:val="en-GB"/>
        </w:rPr>
        <w:t xml:space="preserve"> </w:t>
      </w:r>
      <w:r w:rsidR="00A2403C">
        <w:rPr>
          <w:lang w:val="en-GB"/>
        </w:rPr>
        <w:t>a</w:t>
      </w:r>
      <w:r w:rsidR="00CF53AD" w:rsidRPr="004724B9">
        <w:rPr>
          <w:rFonts w:asciiTheme="minorHAnsi" w:eastAsia="TimesNewRoman,Italic" w:hAnsiTheme="minorHAnsi" w:cs="TimesNewRoman"/>
          <w:lang w:val="en-GB"/>
        </w:rPr>
        <w:t xml:space="preserve">cross studies, greater </w:t>
      </w:r>
      <w:r>
        <w:rPr>
          <w:rFonts w:asciiTheme="minorHAnsi" w:eastAsia="TimesNewRoman,Italic" w:hAnsiTheme="minorHAnsi" w:cs="TimesNewRoman"/>
          <w:lang w:val="en-GB"/>
        </w:rPr>
        <w:t xml:space="preserve">LS mean differences (95% </w:t>
      </w:r>
      <w:r w:rsidR="00247DDF">
        <w:rPr>
          <w:rFonts w:asciiTheme="minorHAnsi" w:eastAsia="TimesNewRoman,Italic" w:hAnsiTheme="minorHAnsi" w:cs="TimesNewRoman"/>
          <w:lang w:val="en-GB"/>
        </w:rPr>
        <w:t>confidence interval (</w:t>
      </w:r>
      <w:r>
        <w:rPr>
          <w:rFonts w:asciiTheme="minorHAnsi" w:eastAsia="TimesNewRoman,Italic" w:hAnsiTheme="minorHAnsi" w:cs="TimesNewRoman"/>
          <w:lang w:val="en-GB"/>
        </w:rPr>
        <w:t>CI</w:t>
      </w:r>
      <w:r w:rsidR="00247DDF">
        <w:rPr>
          <w:rFonts w:asciiTheme="minorHAnsi" w:eastAsia="TimesNewRoman,Italic" w:hAnsiTheme="minorHAnsi" w:cs="TimesNewRoman"/>
          <w:lang w:val="en-GB"/>
        </w:rPr>
        <w:t>)</w:t>
      </w:r>
      <w:r>
        <w:rPr>
          <w:rFonts w:asciiTheme="minorHAnsi" w:eastAsia="TimesNewRoman,Italic" w:hAnsiTheme="minorHAnsi" w:cs="TimesNewRoman"/>
          <w:lang w:val="en-GB"/>
        </w:rPr>
        <w:t>) in</w:t>
      </w:r>
      <w:r w:rsidR="00CF53AD" w:rsidRPr="004724B9">
        <w:rPr>
          <w:rFonts w:asciiTheme="minorHAnsi" w:eastAsia="TimesNewRoman,Italic" w:hAnsiTheme="minorHAnsi" w:cs="TimesNewRoman"/>
          <w:lang w:val="en-GB"/>
        </w:rPr>
        <w:t xml:space="preserve"> SDS total scores were a</w:t>
      </w:r>
      <w:r>
        <w:rPr>
          <w:rFonts w:asciiTheme="minorHAnsi" w:eastAsia="TimesNewRoman,Italic" w:hAnsiTheme="minorHAnsi" w:cs="TimesNewRoman"/>
          <w:lang w:val="en-GB"/>
        </w:rPr>
        <w:t xml:space="preserve">chieved by </w:t>
      </w:r>
      <w:proofErr w:type="spellStart"/>
      <w:r>
        <w:rPr>
          <w:rFonts w:asciiTheme="minorHAnsi" w:eastAsia="TimesNewRoman,Italic" w:hAnsiTheme="minorHAnsi" w:cs="TimesNewRoman"/>
          <w:lang w:val="en-GB"/>
        </w:rPr>
        <w:t>esketamine</w:t>
      </w:r>
      <w:proofErr w:type="spellEnd"/>
      <w:r>
        <w:rPr>
          <w:rFonts w:asciiTheme="minorHAnsi" w:eastAsia="TimesNewRoman,Italic" w:hAnsiTheme="minorHAnsi" w:cs="TimesNewRoman"/>
          <w:lang w:val="en-GB"/>
        </w:rPr>
        <w:t xml:space="preserve"> treatments versus</w:t>
      </w:r>
      <w:r w:rsidR="00CF53AD" w:rsidRPr="004724B9">
        <w:rPr>
          <w:rFonts w:asciiTheme="minorHAnsi" w:eastAsia="TimesNewRoman,Italic" w:hAnsiTheme="minorHAnsi" w:cs="TimesNewRoman"/>
          <w:lang w:val="en-GB"/>
        </w:rPr>
        <w:t xml:space="preserve"> placebo treatments (</w:t>
      </w:r>
      <w:r w:rsidR="00CB683C">
        <w:t>last observation carried forward</w:t>
      </w:r>
      <w:r w:rsidR="00CB683C" w:rsidRPr="004724B9">
        <w:rPr>
          <w:rFonts w:asciiTheme="minorHAnsi" w:eastAsia="TimesNewRoman,Italic" w:hAnsiTheme="minorHAnsi" w:cs="TimesNewRoman"/>
          <w:lang w:val="en-GB"/>
        </w:rPr>
        <w:t xml:space="preserve"> </w:t>
      </w:r>
      <w:r w:rsidR="00CB683C">
        <w:rPr>
          <w:rFonts w:asciiTheme="minorHAnsi" w:eastAsia="TimesNewRoman,Italic" w:hAnsiTheme="minorHAnsi" w:cs="TimesNewRoman"/>
          <w:lang w:val="en-GB"/>
        </w:rPr>
        <w:t>(</w:t>
      </w:r>
      <w:r w:rsidR="00CF53AD" w:rsidRPr="004724B9">
        <w:rPr>
          <w:rFonts w:asciiTheme="minorHAnsi" w:eastAsia="TimesNewRoman,Italic" w:hAnsiTheme="minorHAnsi" w:cs="TimesNewRoman"/>
          <w:lang w:val="en-GB"/>
        </w:rPr>
        <w:t>LOCF</w:t>
      </w:r>
      <w:r w:rsidR="00CB683C">
        <w:rPr>
          <w:rFonts w:asciiTheme="minorHAnsi" w:eastAsia="TimesNewRoman,Italic" w:hAnsiTheme="minorHAnsi" w:cs="TimesNewRoman"/>
          <w:lang w:val="en-GB"/>
        </w:rPr>
        <w:t>)</w:t>
      </w:r>
      <w:r w:rsidR="00CF53AD" w:rsidRPr="004724B9">
        <w:rPr>
          <w:rFonts w:asciiTheme="minorHAnsi" w:eastAsia="TimesNewRoman,Italic" w:hAnsiTheme="minorHAnsi" w:cs="TimesNewRoman"/>
          <w:lang w:val="en-GB"/>
        </w:rPr>
        <w:t xml:space="preserve"> analysis):</w:t>
      </w:r>
    </w:p>
    <w:p w14:paraId="6DB41FE0" w14:textId="31B13F41" w:rsidR="00CF53AD" w:rsidRPr="004724B9" w:rsidRDefault="004724B9" w:rsidP="004724B9">
      <w:pPr>
        <w:pStyle w:val="ListBullet2"/>
        <w:rPr>
          <w:lang w:val="en-GB"/>
        </w:rPr>
      </w:pPr>
      <w:r>
        <w:rPr>
          <w:lang w:val="en-GB"/>
        </w:rPr>
        <w:t xml:space="preserve">Study </w:t>
      </w:r>
      <w:r w:rsidR="00CF53AD" w:rsidRPr="009743C2">
        <w:rPr>
          <w:lang w:val="en-GB"/>
        </w:rPr>
        <w:t xml:space="preserve">TRD3001: -2.7 (-5.33, -0.01) and -1.7 (-4.35, 0.85) </w:t>
      </w:r>
      <w:r w:rsidR="00CF53AD" w:rsidRPr="004724B9">
        <w:rPr>
          <w:lang w:val="en-GB"/>
        </w:rPr>
        <w:t xml:space="preserve">for intranasal </w:t>
      </w:r>
      <w:proofErr w:type="spellStart"/>
      <w:r w:rsidR="00CF53AD" w:rsidRPr="004724B9">
        <w:rPr>
          <w:lang w:val="en-GB"/>
        </w:rPr>
        <w:t>esketamine</w:t>
      </w:r>
      <w:proofErr w:type="spellEnd"/>
      <w:r w:rsidR="00CF53AD" w:rsidRPr="004724B9">
        <w:rPr>
          <w:lang w:val="en-GB"/>
        </w:rPr>
        <w:t xml:space="preserve"> 56 mg + oral </w:t>
      </w:r>
      <w:r w:rsidR="00A2403C">
        <w:rPr>
          <w:lang w:val="en-GB"/>
        </w:rPr>
        <w:t>antidepressant</w:t>
      </w:r>
      <w:r w:rsidR="00A2403C" w:rsidRPr="004724B9">
        <w:rPr>
          <w:lang w:val="en-GB"/>
        </w:rPr>
        <w:t xml:space="preserve"> </w:t>
      </w:r>
      <w:r w:rsidR="00CF53AD" w:rsidRPr="004724B9">
        <w:rPr>
          <w:lang w:val="en-GB"/>
        </w:rPr>
        <w:t xml:space="preserve">and intranasal </w:t>
      </w:r>
      <w:proofErr w:type="spellStart"/>
      <w:r w:rsidR="00CF53AD" w:rsidRPr="004724B9">
        <w:rPr>
          <w:lang w:val="en-GB"/>
        </w:rPr>
        <w:t>esketamine</w:t>
      </w:r>
      <w:proofErr w:type="spellEnd"/>
      <w:r w:rsidR="00CF53AD" w:rsidRPr="004724B9">
        <w:rPr>
          <w:lang w:val="en-GB"/>
        </w:rPr>
        <w:t xml:space="preserve"> 84 mg + oral </w:t>
      </w:r>
      <w:r w:rsidR="00A2403C">
        <w:rPr>
          <w:lang w:val="en-GB"/>
        </w:rPr>
        <w:t>antidepressant</w:t>
      </w:r>
      <w:r w:rsidR="00CF53AD" w:rsidRPr="004724B9">
        <w:rPr>
          <w:lang w:val="en-GB"/>
        </w:rPr>
        <w:t>;</w:t>
      </w:r>
    </w:p>
    <w:p w14:paraId="3237C1FF" w14:textId="3A402F4F" w:rsidR="00CF53AD" w:rsidRPr="004724B9" w:rsidRDefault="004724B9" w:rsidP="004724B9">
      <w:pPr>
        <w:pStyle w:val="ListBullet2"/>
        <w:rPr>
          <w:lang w:val="en-GB"/>
        </w:rPr>
      </w:pPr>
      <w:r>
        <w:rPr>
          <w:lang w:val="en-GB"/>
        </w:rPr>
        <w:t>Study</w:t>
      </w:r>
      <w:r w:rsidRPr="009743C2">
        <w:rPr>
          <w:lang w:val="en-GB"/>
        </w:rPr>
        <w:t xml:space="preserve"> </w:t>
      </w:r>
      <w:r w:rsidR="00CF53AD" w:rsidRPr="009743C2">
        <w:rPr>
          <w:lang w:val="en-GB"/>
        </w:rPr>
        <w:t>TRD3002: -3.</w:t>
      </w:r>
      <w:r>
        <w:rPr>
          <w:lang w:val="en-GB"/>
        </w:rPr>
        <w:t>5 (-5.85, -1.16) for intranasal</w:t>
      </w:r>
      <w:r w:rsidR="00CF53AD" w:rsidRPr="004724B9">
        <w:rPr>
          <w:lang w:val="en-GB"/>
        </w:rPr>
        <w:t xml:space="preserve"> </w:t>
      </w:r>
      <w:proofErr w:type="spellStart"/>
      <w:r w:rsidR="00CF53AD" w:rsidRPr="004724B9">
        <w:rPr>
          <w:lang w:val="en-GB"/>
        </w:rPr>
        <w:t>esketamin</w:t>
      </w:r>
      <w:r>
        <w:rPr>
          <w:lang w:val="en-GB"/>
        </w:rPr>
        <w:t>e</w:t>
      </w:r>
      <w:proofErr w:type="spellEnd"/>
      <w:r>
        <w:rPr>
          <w:lang w:val="en-GB"/>
        </w:rPr>
        <w:t xml:space="preserve"> + oral </w:t>
      </w:r>
      <w:r w:rsidR="00A2403C">
        <w:rPr>
          <w:lang w:val="en-GB"/>
        </w:rPr>
        <w:t>antidepressant</w:t>
      </w:r>
      <w:r>
        <w:rPr>
          <w:lang w:val="en-GB"/>
        </w:rPr>
        <w:t>;</w:t>
      </w:r>
    </w:p>
    <w:p w14:paraId="201A2396" w14:textId="4FAF0C87" w:rsidR="00CF53AD" w:rsidRPr="004724B9" w:rsidRDefault="004724B9" w:rsidP="004724B9">
      <w:pPr>
        <w:pStyle w:val="ListBullet2"/>
        <w:rPr>
          <w:lang w:val="en-GB"/>
        </w:rPr>
      </w:pPr>
      <w:r>
        <w:rPr>
          <w:lang w:val="en-GB"/>
        </w:rPr>
        <w:t>Study</w:t>
      </w:r>
      <w:r w:rsidRPr="009743C2">
        <w:rPr>
          <w:lang w:val="en-GB"/>
        </w:rPr>
        <w:t xml:space="preserve"> </w:t>
      </w:r>
      <w:r w:rsidR="00CF53AD" w:rsidRPr="009743C2">
        <w:rPr>
          <w:lang w:val="en-GB"/>
        </w:rPr>
        <w:t xml:space="preserve">TRD3005: -2.8 (-6.39, 0.75) for intranasal </w:t>
      </w:r>
      <w:proofErr w:type="spellStart"/>
      <w:r w:rsidR="00CF53AD" w:rsidRPr="004724B9">
        <w:rPr>
          <w:lang w:val="en-GB"/>
        </w:rPr>
        <w:t>esketamine</w:t>
      </w:r>
      <w:proofErr w:type="spellEnd"/>
      <w:r w:rsidR="00CF53AD" w:rsidRPr="004724B9">
        <w:rPr>
          <w:lang w:val="en-GB"/>
        </w:rPr>
        <w:t xml:space="preserve"> + oral </w:t>
      </w:r>
      <w:r w:rsidR="00A2403C">
        <w:rPr>
          <w:lang w:val="en-GB"/>
        </w:rPr>
        <w:t>antidepressant</w:t>
      </w:r>
      <w:r w:rsidR="00CF53AD" w:rsidRPr="004724B9">
        <w:rPr>
          <w:lang w:val="en-GB"/>
        </w:rPr>
        <w:t>.</w:t>
      </w:r>
    </w:p>
    <w:p w14:paraId="25D40411" w14:textId="2174FD69" w:rsidR="00CF53AD" w:rsidRPr="004724B9" w:rsidRDefault="004724B9" w:rsidP="004724B9">
      <w:pPr>
        <w:pStyle w:val="ListBullet"/>
        <w:rPr>
          <w:rFonts w:eastAsia="TimesNewRoman,Italic" w:cs="TimesNewRoman"/>
          <w:lang w:val="en-GB"/>
        </w:rPr>
      </w:pPr>
      <w:r>
        <w:rPr>
          <w:lang w:val="en-GB"/>
        </w:rPr>
        <w:t xml:space="preserve">PHQ-9 </w:t>
      </w:r>
      <w:r w:rsidR="00A2403C">
        <w:rPr>
          <w:lang w:val="en-GB"/>
        </w:rPr>
        <w:t>t</w:t>
      </w:r>
      <w:r>
        <w:rPr>
          <w:lang w:val="en-GB"/>
        </w:rPr>
        <w:t xml:space="preserve">otal </w:t>
      </w:r>
      <w:r w:rsidR="00A2403C">
        <w:rPr>
          <w:lang w:val="en-GB"/>
        </w:rPr>
        <w:t>s</w:t>
      </w:r>
      <w:r>
        <w:rPr>
          <w:lang w:val="en-GB"/>
        </w:rPr>
        <w:t>core</w:t>
      </w:r>
      <w:r w:rsidR="00A2403C">
        <w:rPr>
          <w:lang w:val="en-GB"/>
        </w:rPr>
        <w:t>:</w:t>
      </w:r>
      <w:r>
        <w:rPr>
          <w:lang w:val="en-GB"/>
        </w:rPr>
        <w:t xml:space="preserve"> </w:t>
      </w:r>
      <w:r w:rsidR="00A2403C">
        <w:rPr>
          <w:rFonts w:asciiTheme="minorHAnsi" w:eastAsia="TimesNewRoman,Italic" w:hAnsiTheme="minorHAnsi" w:cs="TimesNewRoman"/>
          <w:lang w:val="en-GB"/>
        </w:rPr>
        <w:t>a</w:t>
      </w:r>
      <w:r w:rsidR="00CF53AD" w:rsidRPr="004724B9">
        <w:rPr>
          <w:rFonts w:asciiTheme="minorHAnsi" w:eastAsia="TimesNewRoman,Italic" w:hAnsiTheme="minorHAnsi" w:cs="TimesNewRoman"/>
          <w:lang w:val="en-GB"/>
        </w:rPr>
        <w:t xml:space="preserve">cross studies, greater LS mean differences (95% CI) in PHQ-9 total scores were achieved by </w:t>
      </w:r>
      <w:proofErr w:type="spellStart"/>
      <w:r w:rsidR="00CF53AD" w:rsidRPr="004724B9">
        <w:rPr>
          <w:rFonts w:asciiTheme="minorHAnsi" w:eastAsia="TimesNewRoman,Italic" w:hAnsiTheme="minorHAnsi" w:cs="TimesNewRoman"/>
          <w:lang w:val="en-GB"/>
        </w:rPr>
        <w:t>esketamine</w:t>
      </w:r>
      <w:proofErr w:type="spellEnd"/>
      <w:r w:rsidR="00CF53AD" w:rsidRPr="004724B9">
        <w:rPr>
          <w:rFonts w:asciiTheme="minorHAnsi" w:eastAsia="TimesNewRoman,Italic" w:hAnsiTheme="minorHAnsi" w:cs="TimesNewRoman"/>
          <w:lang w:val="en-GB"/>
        </w:rPr>
        <w:t xml:space="preserve"> treatments </w:t>
      </w:r>
      <w:r>
        <w:rPr>
          <w:rFonts w:asciiTheme="minorHAnsi" w:eastAsia="TimesNewRoman,Italic" w:hAnsiTheme="minorHAnsi" w:cs="TimesNewRoman"/>
          <w:lang w:val="en-GB"/>
        </w:rPr>
        <w:t>versus</w:t>
      </w:r>
      <w:r w:rsidR="00CF53AD" w:rsidRPr="004724B9">
        <w:rPr>
          <w:rFonts w:asciiTheme="minorHAnsi" w:eastAsia="TimesNewRoman,Italic" w:hAnsiTheme="minorHAnsi" w:cs="TimesNewRoman"/>
          <w:lang w:val="en-GB"/>
        </w:rPr>
        <w:t xml:space="preserve"> placebo treatments (LOCF analysis):</w:t>
      </w:r>
    </w:p>
    <w:p w14:paraId="51ACBA18" w14:textId="2C8E0972" w:rsidR="00CF53AD" w:rsidRPr="004724B9" w:rsidRDefault="004724B9" w:rsidP="004724B9">
      <w:pPr>
        <w:pStyle w:val="ListBullet2"/>
        <w:rPr>
          <w:lang w:val="en-GB"/>
        </w:rPr>
      </w:pPr>
      <w:r>
        <w:rPr>
          <w:lang w:val="en-GB"/>
        </w:rPr>
        <w:t>Study</w:t>
      </w:r>
      <w:r w:rsidRPr="00B53888">
        <w:rPr>
          <w:lang w:val="en-GB"/>
        </w:rPr>
        <w:t xml:space="preserve"> </w:t>
      </w:r>
      <w:r w:rsidR="00CF53AD" w:rsidRPr="00B53888">
        <w:rPr>
          <w:lang w:val="en-GB"/>
        </w:rPr>
        <w:t xml:space="preserve">TRD3001: -2.5 (-4.53, -0.54) and -1.9 (-3.87, 0.08) </w:t>
      </w:r>
      <w:r w:rsidR="00CF53AD" w:rsidRPr="004724B9">
        <w:rPr>
          <w:lang w:val="en-GB"/>
        </w:rPr>
        <w:t xml:space="preserve">for intranasal </w:t>
      </w:r>
      <w:proofErr w:type="spellStart"/>
      <w:r w:rsidR="00CF53AD" w:rsidRPr="004724B9">
        <w:rPr>
          <w:lang w:val="en-GB"/>
        </w:rPr>
        <w:t>esketamine</w:t>
      </w:r>
      <w:proofErr w:type="spellEnd"/>
      <w:r w:rsidR="00CF53AD" w:rsidRPr="004724B9">
        <w:rPr>
          <w:lang w:val="en-GB"/>
        </w:rPr>
        <w:t xml:space="preserve"> 56 mg + oral </w:t>
      </w:r>
      <w:r w:rsidR="00A2403C">
        <w:rPr>
          <w:lang w:val="en-GB"/>
        </w:rPr>
        <w:t>antidepressant</w:t>
      </w:r>
      <w:r w:rsidR="00A2403C" w:rsidRPr="004724B9">
        <w:rPr>
          <w:lang w:val="en-GB"/>
        </w:rPr>
        <w:t xml:space="preserve"> </w:t>
      </w:r>
      <w:r w:rsidR="00CF53AD" w:rsidRPr="004724B9">
        <w:rPr>
          <w:lang w:val="en-GB"/>
        </w:rPr>
        <w:t xml:space="preserve">and intranasal </w:t>
      </w:r>
      <w:proofErr w:type="spellStart"/>
      <w:r w:rsidR="00CF53AD" w:rsidRPr="004724B9">
        <w:rPr>
          <w:lang w:val="en-GB"/>
        </w:rPr>
        <w:t>esketamine</w:t>
      </w:r>
      <w:proofErr w:type="spellEnd"/>
      <w:r w:rsidR="00CF53AD" w:rsidRPr="004724B9">
        <w:rPr>
          <w:lang w:val="en-GB"/>
        </w:rPr>
        <w:t xml:space="preserve"> 84 mg + oral </w:t>
      </w:r>
      <w:r w:rsidR="00A2403C">
        <w:rPr>
          <w:lang w:val="en-GB"/>
        </w:rPr>
        <w:t>antidepressant</w:t>
      </w:r>
      <w:r w:rsidR="00CF53AD" w:rsidRPr="004724B9">
        <w:rPr>
          <w:lang w:val="en-GB"/>
        </w:rPr>
        <w:t>;</w:t>
      </w:r>
    </w:p>
    <w:p w14:paraId="6A6C1437" w14:textId="796E4BCE" w:rsidR="00CF53AD" w:rsidRPr="004724B9" w:rsidRDefault="004724B9" w:rsidP="004724B9">
      <w:pPr>
        <w:pStyle w:val="ListBullet2"/>
        <w:rPr>
          <w:lang w:val="en-GB"/>
        </w:rPr>
      </w:pPr>
      <w:r>
        <w:rPr>
          <w:lang w:val="en-GB"/>
        </w:rPr>
        <w:t>Study</w:t>
      </w:r>
      <w:r w:rsidRPr="00B53888">
        <w:rPr>
          <w:lang w:val="en-GB"/>
        </w:rPr>
        <w:t xml:space="preserve"> </w:t>
      </w:r>
      <w:r w:rsidR="00CF53AD" w:rsidRPr="00B53888">
        <w:rPr>
          <w:lang w:val="en-GB"/>
        </w:rPr>
        <w:t xml:space="preserve">TRD3002: -2.2 (-3.93, -0.40) for intranasal </w:t>
      </w:r>
      <w:proofErr w:type="spellStart"/>
      <w:r w:rsidR="00CF53AD" w:rsidRPr="004724B9">
        <w:rPr>
          <w:lang w:val="en-GB"/>
        </w:rPr>
        <w:t>esketamine</w:t>
      </w:r>
      <w:proofErr w:type="spellEnd"/>
      <w:r>
        <w:rPr>
          <w:lang w:val="en-GB"/>
        </w:rPr>
        <w:t xml:space="preserve"> + oral </w:t>
      </w:r>
      <w:r w:rsidR="00A2403C">
        <w:rPr>
          <w:lang w:val="en-GB"/>
        </w:rPr>
        <w:t>antidepressant</w:t>
      </w:r>
      <w:r>
        <w:rPr>
          <w:lang w:val="en-GB"/>
        </w:rPr>
        <w:t>;</w:t>
      </w:r>
    </w:p>
    <w:p w14:paraId="4F507897" w14:textId="2F6875C5" w:rsidR="00CF53AD" w:rsidRPr="004724B9" w:rsidRDefault="004724B9" w:rsidP="002D403D">
      <w:pPr>
        <w:pStyle w:val="ListBullet2"/>
        <w:rPr>
          <w:lang w:val="en-GB"/>
        </w:rPr>
      </w:pPr>
      <w:r>
        <w:rPr>
          <w:lang w:val="en-GB"/>
        </w:rPr>
        <w:t>Study</w:t>
      </w:r>
      <w:r w:rsidRPr="00B53888">
        <w:rPr>
          <w:lang w:val="en-GB"/>
        </w:rPr>
        <w:t xml:space="preserve"> </w:t>
      </w:r>
      <w:r w:rsidR="00CF53AD" w:rsidRPr="00B53888">
        <w:rPr>
          <w:lang w:val="en-GB"/>
        </w:rPr>
        <w:t>TRD3005:</w:t>
      </w:r>
      <w:r w:rsidR="00CF53AD" w:rsidRPr="00553C61">
        <w:rPr>
          <w:lang w:val="en-GB"/>
        </w:rPr>
        <w:t xml:space="preserve"> -2.7 (-5.02, -0.45) for intranasal </w:t>
      </w:r>
      <w:proofErr w:type="spellStart"/>
      <w:r w:rsidR="00CF53AD" w:rsidRPr="004724B9">
        <w:rPr>
          <w:lang w:val="en-GB"/>
        </w:rPr>
        <w:t>esketamine</w:t>
      </w:r>
      <w:proofErr w:type="spellEnd"/>
      <w:r w:rsidR="00CF53AD" w:rsidRPr="004724B9">
        <w:rPr>
          <w:lang w:val="en-GB"/>
        </w:rPr>
        <w:t xml:space="preserve"> + oral </w:t>
      </w:r>
      <w:r w:rsidR="00A2403C">
        <w:rPr>
          <w:lang w:val="en-GB"/>
        </w:rPr>
        <w:t>antidepressant</w:t>
      </w:r>
      <w:r w:rsidR="00CF53AD" w:rsidRPr="004724B9">
        <w:rPr>
          <w:lang w:val="en-GB"/>
        </w:rPr>
        <w:t>.</w:t>
      </w:r>
    </w:p>
    <w:p w14:paraId="24B2EAB5" w14:textId="77777777" w:rsidR="00047015" w:rsidRPr="006D0305" w:rsidRDefault="00E97AAD" w:rsidP="00E97AAD">
      <w:pPr>
        <w:pStyle w:val="Heading5"/>
      </w:pPr>
      <w:bookmarkStart w:id="56" w:name="_Ref69793888"/>
      <w:r>
        <w:t>Maintenance</w:t>
      </w:r>
      <w:r w:rsidR="00047015">
        <w:t xml:space="preserve"> of </w:t>
      </w:r>
      <w:r>
        <w:t>effect/relapse prevention</w:t>
      </w:r>
      <w:r w:rsidRPr="0072284C">
        <w:t xml:space="preserve"> </w:t>
      </w:r>
      <w:r w:rsidRPr="005632DC">
        <w:t>study</w:t>
      </w:r>
      <w:bookmarkEnd w:id="56"/>
    </w:p>
    <w:p w14:paraId="7EE2F718" w14:textId="35BD7440" w:rsidR="00047015" w:rsidRPr="00E97AAD" w:rsidRDefault="00E668C3" w:rsidP="00047015">
      <w:r>
        <w:t>Study TRD3003; a</w:t>
      </w:r>
      <w:r w:rsidR="00047015" w:rsidRPr="00E97AAD">
        <w:t xml:space="preserve"> randomised withdrawal design,</w:t>
      </w:r>
      <w:r w:rsidR="00E97AAD">
        <w:t xml:space="preserve"> double </w:t>
      </w:r>
      <w:r w:rsidR="00047015" w:rsidRPr="00E97AAD">
        <w:t xml:space="preserve">blind, </w:t>
      </w:r>
      <w:r w:rsidR="00E97AAD" w:rsidRPr="00E97AAD">
        <w:t>multicentre</w:t>
      </w:r>
      <w:r w:rsidR="00047015" w:rsidRPr="00E97AAD">
        <w:t xml:space="preserve">, </w:t>
      </w:r>
      <w:r w:rsidR="00E97AAD">
        <w:t>P</w:t>
      </w:r>
      <w:r w:rsidR="00047015" w:rsidRPr="00E97AAD">
        <w:t>hase</w:t>
      </w:r>
      <w:r w:rsidR="00A2403C">
        <w:t> </w:t>
      </w:r>
      <w:r w:rsidR="00047015" w:rsidRPr="00E97AAD">
        <w:t xml:space="preserve">III, active-controlled study of intranasal </w:t>
      </w:r>
      <w:proofErr w:type="spellStart"/>
      <w:r w:rsidR="00047015" w:rsidRPr="00E97AAD">
        <w:t>esketamine</w:t>
      </w:r>
      <w:proofErr w:type="spellEnd"/>
      <w:r w:rsidR="00047015" w:rsidRPr="00E97AAD">
        <w:t xml:space="preserve"> plus</w:t>
      </w:r>
      <w:r w:rsidR="00E97AAD">
        <w:t xml:space="preserve"> an oral antidepressant </w:t>
      </w:r>
      <w:r w:rsidR="00047015" w:rsidRPr="00E97AAD">
        <w:t>for relapse prevention in treatment-resistant depression.</w:t>
      </w:r>
    </w:p>
    <w:p w14:paraId="642E4FA6" w14:textId="77777777" w:rsidR="00047015" w:rsidRPr="00E97AAD" w:rsidRDefault="00E97AAD" w:rsidP="00E97AAD">
      <w:r>
        <w:t>The Delegate commented that, l</w:t>
      </w:r>
      <w:r w:rsidR="00047015" w:rsidRPr="00E97AAD">
        <w:t>ike the induction studies, the maintenance study is actually placebo controlled due to the l</w:t>
      </w:r>
      <w:r>
        <w:t>ack of an active comparator to</w:t>
      </w:r>
      <w:r w:rsidR="00047015" w:rsidRPr="00E97AAD">
        <w:t xml:space="preserve"> intranasal </w:t>
      </w:r>
      <w:proofErr w:type="spellStart"/>
      <w:r w:rsidR="00047015" w:rsidRPr="00E97AAD">
        <w:t>esketamine</w:t>
      </w:r>
      <w:proofErr w:type="spellEnd"/>
      <w:r w:rsidR="00047015" w:rsidRPr="00E97AAD">
        <w:t>.</w:t>
      </w:r>
    </w:p>
    <w:p w14:paraId="5FB27DED" w14:textId="4F6C49B9" w:rsidR="00047015" w:rsidRDefault="00047015" w:rsidP="00047015">
      <w:pPr>
        <w:autoSpaceDE w:val="0"/>
        <w:autoSpaceDN w:val="0"/>
        <w:adjustRightInd w:val="0"/>
        <w:spacing w:before="0" w:after="0" w:line="240" w:lineRule="auto"/>
        <w:rPr>
          <w:rFonts w:asciiTheme="minorHAnsi" w:eastAsiaTheme="minorHAnsi" w:hAnsiTheme="minorHAnsi" w:cs="TimesNewRoman"/>
          <w:lang w:val="en-GB"/>
        </w:rPr>
      </w:pPr>
      <w:r>
        <w:rPr>
          <w:rFonts w:asciiTheme="minorHAnsi" w:eastAsiaTheme="minorHAnsi" w:hAnsiTheme="minorHAnsi" w:cs="TimesNewRoman"/>
          <w:lang w:val="en-GB"/>
        </w:rPr>
        <w:t>The study comprised</w:t>
      </w:r>
      <w:r w:rsidR="00A2403C">
        <w:rPr>
          <w:rFonts w:asciiTheme="minorHAnsi" w:eastAsiaTheme="minorHAnsi" w:hAnsiTheme="minorHAnsi" w:cs="TimesNewRoman"/>
          <w:lang w:val="en-GB"/>
        </w:rPr>
        <w:t xml:space="preserve"> of</w:t>
      </w:r>
      <w:r w:rsidRPr="00670BEA">
        <w:rPr>
          <w:rFonts w:asciiTheme="minorHAnsi" w:eastAsiaTheme="minorHAnsi" w:hAnsiTheme="minorHAnsi" w:cs="TimesNewRoman"/>
          <w:lang w:val="en-GB"/>
        </w:rPr>
        <w:t>:</w:t>
      </w:r>
    </w:p>
    <w:p w14:paraId="5D95D925" w14:textId="77777777" w:rsidR="00047015" w:rsidRPr="00E97AAD" w:rsidRDefault="00047015" w:rsidP="00E97AAD">
      <w:pPr>
        <w:pStyle w:val="ListBullet"/>
        <w:rPr>
          <w:lang w:val="en-GB"/>
        </w:rPr>
      </w:pPr>
      <w:r w:rsidRPr="00237695">
        <w:rPr>
          <w:lang w:val="en-GB"/>
        </w:rPr>
        <w:t>a screening/prospective observational phase (</w:t>
      </w:r>
      <w:r w:rsidR="00E97AAD">
        <w:rPr>
          <w:rFonts w:eastAsia="TimesNewRoman,Bold" w:cs="TimesNewRoman,Bold"/>
          <w:bCs/>
          <w:lang w:val="en-GB"/>
        </w:rPr>
        <w:t>direct-entry</w:t>
      </w:r>
      <w:r w:rsidRPr="00E97AAD">
        <w:rPr>
          <w:rFonts w:eastAsia="TimesNewRoman,Bold" w:cs="TimesNewRoman,Bold"/>
          <w:bCs/>
          <w:lang w:val="en-GB"/>
        </w:rPr>
        <w:t xml:space="preserve"> subjects only</w:t>
      </w:r>
      <w:r w:rsidR="00E97AAD">
        <w:rPr>
          <w:lang w:val="en-GB"/>
        </w:rPr>
        <w:t>);</w:t>
      </w:r>
    </w:p>
    <w:p w14:paraId="58B8376F" w14:textId="47FBA779" w:rsidR="00047015" w:rsidRPr="00E97AAD" w:rsidRDefault="00047015" w:rsidP="00E97AAD">
      <w:pPr>
        <w:pStyle w:val="ListBullet"/>
        <w:rPr>
          <w:lang w:val="en-GB"/>
        </w:rPr>
      </w:pPr>
      <w:r w:rsidRPr="00237695">
        <w:rPr>
          <w:lang w:val="en-GB"/>
        </w:rPr>
        <w:t xml:space="preserve">a </w:t>
      </w:r>
      <w:r w:rsidR="00E668C3">
        <w:rPr>
          <w:lang w:val="en-GB"/>
        </w:rPr>
        <w:t xml:space="preserve">4 </w:t>
      </w:r>
      <w:r w:rsidRPr="00763D69">
        <w:rPr>
          <w:lang w:val="en-GB"/>
        </w:rPr>
        <w:t>week open label induction phase</w:t>
      </w:r>
      <w:r w:rsidRPr="00237695">
        <w:rPr>
          <w:lang w:val="en-GB"/>
        </w:rPr>
        <w:t xml:space="preserve"> (</w:t>
      </w:r>
      <w:r w:rsidR="00E97AAD">
        <w:rPr>
          <w:rFonts w:eastAsia="TimesNewRoman,Bold" w:cs="TimesNewRoman,Bold"/>
          <w:bCs/>
          <w:lang w:val="en-GB"/>
        </w:rPr>
        <w:t>direct-entry</w:t>
      </w:r>
      <w:r w:rsidRPr="00E97AAD">
        <w:rPr>
          <w:rFonts w:eastAsia="TimesNewRoman,Bold" w:cs="TimesNewRoman,Bold"/>
          <w:bCs/>
          <w:lang w:val="en-GB"/>
        </w:rPr>
        <w:t xml:space="preserve"> subjects only</w:t>
      </w:r>
      <w:r w:rsidR="00E97AAD">
        <w:rPr>
          <w:lang w:val="en-GB"/>
        </w:rPr>
        <w:t>);</w:t>
      </w:r>
    </w:p>
    <w:p w14:paraId="5F4E612A" w14:textId="346578BB" w:rsidR="00047015" w:rsidRPr="00E668C3" w:rsidRDefault="00E668C3" w:rsidP="00E668C3">
      <w:pPr>
        <w:pStyle w:val="ListBullet"/>
        <w:rPr>
          <w:lang w:val="en-GB"/>
        </w:rPr>
      </w:pPr>
      <w:r>
        <w:rPr>
          <w:lang w:val="en-GB"/>
        </w:rPr>
        <w:t xml:space="preserve">a 12 </w:t>
      </w:r>
      <w:r w:rsidR="00047015" w:rsidRPr="00237695">
        <w:rPr>
          <w:lang w:val="en-GB"/>
        </w:rPr>
        <w:t>week optimisation phase (</w:t>
      </w:r>
      <w:r w:rsidR="00E97AAD">
        <w:rPr>
          <w:rFonts w:eastAsia="TimesNewRoman,Bold" w:cs="TimesNewRoman,Bold"/>
          <w:bCs/>
          <w:lang w:val="en-GB"/>
        </w:rPr>
        <w:t xml:space="preserve">direct </w:t>
      </w:r>
      <w:r w:rsidR="00047015" w:rsidRPr="00237695">
        <w:rPr>
          <w:rFonts w:eastAsia="TimesNewRoman,Bold" w:cs="TimesNewRoman,Bold"/>
          <w:bCs/>
          <w:lang w:val="en-GB"/>
        </w:rPr>
        <w:t xml:space="preserve">entry and </w:t>
      </w:r>
      <w:r w:rsidR="00E97AAD">
        <w:rPr>
          <w:rFonts w:eastAsia="TimesNewRoman,Bold" w:cs="TimesNewRoman,Bold"/>
          <w:bCs/>
          <w:lang w:val="en-GB"/>
        </w:rPr>
        <w:t xml:space="preserve">transferred </w:t>
      </w:r>
      <w:r w:rsidR="00047015" w:rsidRPr="00E97AAD">
        <w:rPr>
          <w:rFonts w:eastAsia="TimesNewRoman,Bold" w:cs="TimesNewRoman,Bold"/>
          <w:bCs/>
          <w:lang w:val="en-GB"/>
        </w:rPr>
        <w:t xml:space="preserve">entry subjects from </w:t>
      </w:r>
      <w:r w:rsidR="00E97AAD">
        <w:rPr>
          <w:rFonts w:eastAsia="TimesNewRoman,Bold" w:cs="TimesNewRoman,Bold"/>
          <w:bCs/>
          <w:lang w:val="en-GB"/>
        </w:rPr>
        <w:t>Studies TRD3001 and</w:t>
      </w:r>
      <w:r w:rsidR="00047015" w:rsidRPr="00E97AAD">
        <w:rPr>
          <w:rFonts w:eastAsia="TimesNewRoman,Bold" w:cs="TimesNewRoman,Bold"/>
          <w:bCs/>
          <w:lang w:val="en-GB"/>
        </w:rPr>
        <w:t xml:space="preserve"> TRD3002</w:t>
      </w:r>
      <w:r w:rsidR="00E97AAD">
        <w:rPr>
          <w:lang w:val="en-GB"/>
        </w:rPr>
        <w:t>);</w:t>
      </w:r>
    </w:p>
    <w:p w14:paraId="75A4FA3C" w14:textId="375B886E" w:rsidR="00047015" w:rsidRPr="00E668C3" w:rsidRDefault="00047015" w:rsidP="00E668C3">
      <w:pPr>
        <w:pStyle w:val="ListBullet"/>
        <w:rPr>
          <w:lang w:val="en-GB"/>
        </w:rPr>
      </w:pPr>
      <w:r w:rsidRPr="00237695">
        <w:rPr>
          <w:lang w:val="en-GB"/>
        </w:rPr>
        <w:t xml:space="preserve">a </w:t>
      </w:r>
      <w:r w:rsidR="00E668C3">
        <w:rPr>
          <w:lang w:val="en-GB"/>
        </w:rPr>
        <w:t>double blind maintenance</w:t>
      </w:r>
      <w:r w:rsidRPr="00237695">
        <w:rPr>
          <w:lang w:val="en-GB"/>
        </w:rPr>
        <w:t xml:space="preserve"> phase</w:t>
      </w:r>
      <w:r w:rsidR="00E668C3" w:rsidRPr="00E668C3">
        <w:t xml:space="preserve"> </w:t>
      </w:r>
      <w:r w:rsidRPr="00237695">
        <w:rPr>
          <w:lang w:val="en-GB"/>
        </w:rPr>
        <w:t>(</w:t>
      </w:r>
      <w:r>
        <w:rPr>
          <w:lang w:val="en-GB"/>
        </w:rPr>
        <w:t xml:space="preserve">involving </w:t>
      </w:r>
      <w:r w:rsidRPr="00237695">
        <w:rPr>
          <w:rFonts w:eastAsia="TimesNewRoman,Bold" w:cs="TimesNewRoman,Bold"/>
          <w:bCs/>
          <w:lang w:val="en-GB"/>
        </w:rPr>
        <w:t>direct</w:t>
      </w:r>
      <w:r>
        <w:rPr>
          <w:rFonts w:eastAsia="TimesNewRoman,Bold" w:cs="TimesNewRoman,Bold"/>
          <w:bCs/>
          <w:lang w:val="en-GB"/>
        </w:rPr>
        <w:t>-</w:t>
      </w:r>
      <w:r w:rsidRPr="00237695">
        <w:rPr>
          <w:rFonts w:eastAsia="TimesNewRoman,Bold" w:cs="TimesNewRoman,Bold"/>
          <w:bCs/>
          <w:lang w:val="en-GB"/>
        </w:rPr>
        <w:t xml:space="preserve"> and </w:t>
      </w:r>
      <w:r w:rsidRPr="00E668C3">
        <w:rPr>
          <w:rFonts w:eastAsia="TimesNewRoman,Bold" w:cs="TimesNewRoman,Bold"/>
          <w:bCs/>
          <w:lang w:val="en-GB"/>
        </w:rPr>
        <w:t>transfer- entry patients</w:t>
      </w:r>
      <w:r w:rsidRPr="00E668C3">
        <w:rPr>
          <w:lang w:val="en-GB"/>
        </w:rPr>
        <w:t>);</w:t>
      </w:r>
      <w:r w:rsidR="00A2403C">
        <w:rPr>
          <w:lang w:val="en-GB"/>
        </w:rPr>
        <w:t xml:space="preserve"> and</w:t>
      </w:r>
    </w:p>
    <w:p w14:paraId="5520BB2B" w14:textId="1DDB5AC7" w:rsidR="00047015" w:rsidRDefault="00E668C3" w:rsidP="00E668C3">
      <w:pPr>
        <w:pStyle w:val="ListBullet"/>
        <w:rPr>
          <w:lang w:val="en-GB"/>
        </w:rPr>
      </w:pPr>
      <w:r>
        <w:rPr>
          <w:lang w:val="en-GB"/>
        </w:rPr>
        <w:t>a 2 week follow-up phase.</w:t>
      </w:r>
    </w:p>
    <w:p w14:paraId="63B945B3" w14:textId="23680E7A" w:rsidR="00047015" w:rsidRDefault="00E668C3" w:rsidP="00E668C3">
      <w:r>
        <w:t>The Delegate commented that i</w:t>
      </w:r>
      <w:r w:rsidRPr="00E668C3">
        <w:t xml:space="preserve">t would have been a better designed </w:t>
      </w:r>
      <w:r>
        <w:t>maintenance</w:t>
      </w:r>
      <w:r w:rsidRPr="00E668C3">
        <w:t xml:space="preserve"> study if the </w:t>
      </w:r>
      <w:r>
        <w:t>double blind</w:t>
      </w:r>
      <w:r w:rsidRPr="00E668C3">
        <w:t xml:space="preserve"> studies</w:t>
      </w:r>
      <w:r>
        <w:t>, Studies TRD 3001 and</w:t>
      </w:r>
      <w:r w:rsidRPr="00E668C3">
        <w:t xml:space="preserve"> T</w:t>
      </w:r>
      <w:r>
        <w:t>RD 3002, had adequate</w:t>
      </w:r>
      <w:r w:rsidRPr="00E668C3">
        <w:t xml:space="preserve"> number of patients fulfil</w:t>
      </w:r>
      <w:r>
        <w:t xml:space="preserve">ling both the stable remission </w:t>
      </w:r>
      <w:r w:rsidRPr="00E668C3">
        <w:t>response and stable non-r</w:t>
      </w:r>
      <w:r>
        <w:t>emission response criteria for</w:t>
      </w:r>
      <w:r w:rsidRPr="00E668C3">
        <w:t xml:space="preserve"> transferred entry into the </w:t>
      </w:r>
      <w:r>
        <w:t>maintenance</w:t>
      </w:r>
      <w:r w:rsidRPr="00E668C3">
        <w:t xml:space="preserve"> study without contribut</w:t>
      </w:r>
      <w:r>
        <w:t>ion from the dir</w:t>
      </w:r>
      <w:r w:rsidR="00247DDF">
        <w:t>ect-</w:t>
      </w:r>
      <w:r>
        <w:t>entry route.</w:t>
      </w:r>
    </w:p>
    <w:p w14:paraId="10AEDF79" w14:textId="2595DE1A" w:rsidR="00400FF2" w:rsidRPr="00400FF2" w:rsidRDefault="00400FF2" w:rsidP="00400FF2">
      <w:pPr>
        <w:pStyle w:val="Heading6"/>
      </w:pPr>
      <w:r w:rsidRPr="00400FF2">
        <w:t>Study treatments</w:t>
      </w:r>
    </w:p>
    <w:p w14:paraId="67B220B7" w14:textId="31CE59C4" w:rsidR="009B06F8" w:rsidRPr="00400FF2" w:rsidRDefault="009B06F8" w:rsidP="00400FF2">
      <w:r w:rsidRPr="00400FF2">
        <w:t>No intranasal study medication was</w:t>
      </w:r>
      <w:r w:rsidR="00400FF2">
        <w:t xml:space="preserve"> administered during screening.</w:t>
      </w:r>
    </w:p>
    <w:p w14:paraId="379E0770" w14:textId="27371E7B" w:rsidR="009B06F8" w:rsidRPr="00400FF2" w:rsidRDefault="009B06F8" w:rsidP="00400FF2">
      <w:r w:rsidRPr="00400FF2">
        <w:t xml:space="preserve">During </w:t>
      </w:r>
      <w:r w:rsidR="00400FF2">
        <w:t>open label</w:t>
      </w:r>
      <w:r w:rsidRPr="00400FF2">
        <w:t xml:space="preserve"> induction </w:t>
      </w:r>
      <w:r w:rsidR="00400FF2">
        <w:t>(</w:t>
      </w:r>
      <w:r w:rsidRPr="00400FF2">
        <w:t>4 weeks</w:t>
      </w:r>
      <w:r w:rsidR="00400FF2">
        <w:t>)</w:t>
      </w:r>
      <w:r w:rsidRPr="00400FF2">
        <w:t>, subjects self-administered intranasal study agent (</w:t>
      </w:r>
      <w:proofErr w:type="spellStart"/>
      <w:r w:rsidRPr="00400FF2">
        <w:t>esketamine</w:t>
      </w:r>
      <w:proofErr w:type="spellEnd"/>
      <w:r w:rsidRPr="00400FF2">
        <w:t xml:space="preserve"> 56 or 84 mg), twice per week for 4 weeks as a flexible-dose regimen at the </w:t>
      </w:r>
      <w:r w:rsidRPr="00400FF2">
        <w:lastRenderedPageBreak/>
        <w:t xml:space="preserve">study site under direct supervision. In addition, direct-entry subjects simultaneously initiated a new </w:t>
      </w:r>
      <w:r w:rsidR="00400FF2">
        <w:t>open label</w:t>
      </w:r>
      <w:r w:rsidRPr="00400FF2">
        <w:t xml:space="preserve"> oral </w:t>
      </w:r>
      <w:r w:rsidR="00A2403C">
        <w:t>a</w:t>
      </w:r>
      <w:proofErr w:type="spellStart"/>
      <w:r w:rsidR="00A2403C">
        <w:rPr>
          <w:lang w:val="en-GB"/>
        </w:rPr>
        <w:t>ntidepressant</w:t>
      </w:r>
      <w:proofErr w:type="spellEnd"/>
      <w:r w:rsidRPr="00400FF2">
        <w:t xml:space="preserve"> on Day 1. Dose adjustments were permitted as per titration schedule. Oral medication was assessed by pill </w:t>
      </w:r>
      <w:r w:rsidR="00400FF2">
        <w:t>counts and drug accountability.</w:t>
      </w:r>
    </w:p>
    <w:p w14:paraId="2827BE63" w14:textId="662BEBD9" w:rsidR="009B06F8" w:rsidRPr="00400FF2" w:rsidRDefault="009B06F8" w:rsidP="00400FF2">
      <w:r w:rsidRPr="00400FF2">
        <w:t xml:space="preserve">During optimisation </w:t>
      </w:r>
      <w:r w:rsidR="00400FF2">
        <w:t>(</w:t>
      </w:r>
      <w:r w:rsidRPr="00400FF2">
        <w:t>12 weeks</w:t>
      </w:r>
      <w:r w:rsidR="00400FF2">
        <w:t>)</w:t>
      </w:r>
      <w:r w:rsidRPr="00400FF2">
        <w:t xml:space="preserve">, transferred-entry subjects continued the same </w:t>
      </w:r>
      <w:r w:rsidR="00400FF2">
        <w:t>double blind</w:t>
      </w:r>
      <w:r w:rsidRPr="00400FF2">
        <w:t xml:space="preserve"> intranasal study drug (at the same dose) from the </w:t>
      </w:r>
      <w:r w:rsidR="00400FF2">
        <w:t>double blind</w:t>
      </w:r>
      <w:r w:rsidRPr="00400FF2">
        <w:t xml:space="preserve"> induction phase of </w:t>
      </w:r>
      <w:r w:rsidR="00400FF2">
        <w:t xml:space="preserve">Studies </w:t>
      </w:r>
      <w:r w:rsidRPr="00400FF2">
        <w:t xml:space="preserve">TRD3001 or TRD3002. Direct-entry subjects continued the same </w:t>
      </w:r>
      <w:r w:rsidR="00400FF2">
        <w:t>open label</w:t>
      </w:r>
      <w:r w:rsidRPr="00400FF2">
        <w:t xml:space="preserve"> intranasal </w:t>
      </w:r>
      <w:proofErr w:type="spellStart"/>
      <w:r w:rsidRPr="00400FF2">
        <w:t>esketamine</w:t>
      </w:r>
      <w:proofErr w:type="spellEnd"/>
      <w:r w:rsidRPr="00400FF2">
        <w:t xml:space="preserve"> treatment (at the same dose) from </w:t>
      </w:r>
      <w:r w:rsidR="00400FF2">
        <w:t>the open label</w:t>
      </w:r>
      <w:r w:rsidRPr="00400FF2">
        <w:t xml:space="preserve"> induction phase.</w:t>
      </w:r>
    </w:p>
    <w:p w14:paraId="61A8DEC5" w14:textId="4ADE9DC4" w:rsidR="00400FF2" w:rsidRDefault="00400FF2" w:rsidP="00400FF2">
      <w:r>
        <w:t>At the start of double blind</w:t>
      </w:r>
      <w:r w:rsidRPr="00400FF2">
        <w:t xml:space="preserve"> maintenance phase, patients meeting the</w:t>
      </w:r>
      <w:r>
        <w:t xml:space="preserve"> criteria for stable remitters (that is, </w:t>
      </w:r>
      <w:r w:rsidRPr="00400FF2">
        <w:t>stable remission response) or stable responders</w:t>
      </w:r>
      <w:r>
        <w:t xml:space="preserve"> (that is,</w:t>
      </w:r>
      <w:r w:rsidR="00247DDF">
        <w:t xml:space="preserve"> stable non</w:t>
      </w:r>
      <w:r w:rsidR="00247DDF">
        <w:noBreakHyphen/>
      </w:r>
      <w:r w:rsidRPr="00400FF2">
        <w:t xml:space="preserve">remission response) were identified and eligible for randomisation. Each group was then randomised (1:1) to continue either </w:t>
      </w:r>
      <w:proofErr w:type="spellStart"/>
      <w:r w:rsidRPr="00400FF2">
        <w:t>esketamine</w:t>
      </w:r>
      <w:proofErr w:type="spellEnd"/>
      <w:r w:rsidRPr="00400FF2">
        <w:t xml:space="preserve"> nasal spray + oral </w:t>
      </w:r>
      <w:r w:rsidR="00A2403C">
        <w:t>antidepressant</w:t>
      </w:r>
      <w:r w:rsidRPr="00400FF2">
        <w:t xml:space="preserve"> or switch to placebo nasal spray + oral </w:t>
      </w:r>
      <w:r w:rsidR="00A2403C">
        <w:rPr>
          <w:lang w:val="en-GB"/>
        </w:rPr>
        <w:t>antidepressant</w:t>
      </w:r>
      <w:r w:rsidRPr="00400FF2">
        <w:t>.</w:t>
      </w:r>
    </w:p>
    <w:p w14:paraId="156AD2D6" w14:textId="2421FC89" w:rsidR="00400FF2" w:rsidRDefault="00400FF2" w:rsidP="00400FF2">
      <w:r>
        <w:t>Those subjects who initially received weekly intranasal treatment remained on this regimen for the first 4 weeks, to Week 16.</w:t>
      </w:r>
    </w:p>
    <w:p w14:paraId="7AC7B14A" w14:textId="3CA57273" w:rsidR="00400FF2" w:rsidRDefault="00400FF2" w:rsidP="00400FF2">
      <w:r>
        <w:t xml:space="preserve">For those subjects who initially received alternate weekly intranasal treatment, the frequency of intranasal treatment was increased to weekly for the next 4 weeks, if </w:t>
      </w:r>
      <w:r w:rsidR="00A2403C">
        <w:t xml:space="preserve">the </w:t>
      </w:r>
      <w:r>
        <w:t xml:space="preserve">MADRS total score was &gt; 12 at Week 16. If </w:t>
      </w:r>
      <w:r w:rsidR="00A2403C">
        <w:t xml:space="preserve">the </w:t>
      </w:r>
      <w:r>
        <w:t>MADRS total score was ≤ 12 at Week 16, the subject continued to receive alternate weekly intranasal dosing for the next 4 weeks.</w:t>
      </w:r>
    </w:p>
    <w:p w14:paraId="26CE4D83" w14:textId="32552ACE" w:rsidR="00400FF2" w:rsidRPr="00400FF2" w:rsidRDefault="00400FF2" w:rsidP="00400FF2">
      <w:r>
        <w:t xml:space="preserve">Thereafter, changes to the intranasal dosing frequency occurred at 4weekly intervals based on </w:t>
      </w:r>
      <w:r w:rsidR="00A2403C">
        <w:t xml:space="preserve">the </w:t>
      </w:r>
      <w:r>
        <w:t>MADRS total score.</w:t>
      </w:r>
    </w:p>
    <w:p w14:paraId="42D3ED8F" w14:textId="2575DA22" w:rsidR="009B06F8" w:rsidRPr="00400FF2" w:rsidRDefault="00400FF2" w:rsidP="00400FF2">
      <w:pPr>
        <w:pStyle w:val="Heading6"/>
        <w:rPr>
          <w:rFonts w:eastAsia="Cambria"/>
        </w:rPr>
      </w:pPr>
      <w:r w:rsidRPr="00400FF2">
        <w:t>Main objectives and endpoints</w:t>
      </w:r>
    </w:p>
    <w:p w14:paraId="0F6E456C" w14:textId="223D3F9E" w:rsidR="00047015" w:rsidRDefault="00047015" w:rsidP="00E668C3">
      <w:r w:rsidRPr="00E668C3">
        <w:t>T</w:t>
      </w:r>
      <w:r w:rsidR="00E668C3" w:rsidRPr="00E668C3">
        <w:t>he primary objective was t</w:t>
      </w:r>
      <w:r w:rsidRPr="00E668C3">
        <w:t>o assess the</w:t>
      </w:r>
      <w:r w:rsidR="00E668C3" w:rsidRPr="00E668C3">
        <w:t xml:space="preserve"> </w:t>
      </w:r>
      <w:r w:rsidRPr="00E668C3">
        <w:t xml:space="preserve">efficacy of intranasal </w:t>
      </w:r>
      <w:proofErr w:type="spellStart"/>
      <w:r w:rsidRPr="00E668C3">
        <w:t>esketamine</w:t>
      </w:r>
      <w:proofErr w:type="spellEnd"/>
      <w:r w:rsidRPr="00E668C3">
        <w:t xml:space="preserve"> + oral </w:t>
      </w:r>
      <w:r w:rsidR="00A2403C">
        <w:t>antidepressant</w:t>
      </w:r>
      <w:r w:rsidR="00FD5944">
        <w:t xml:space="preserve"> </w:t>
      </w:r>
      <w:r w:rsidR="00247DDF">
        <w:t>versus</w:t>
      </w:r>
      <w:r w:rsidRPr="00E668C3">
        <w:t xml:space="preserve"> intranasal placebo + oral </w:t>
      </w:r>
      <w:r w:rsidR="00FD5944">
        <w:t xml:space="preserve">antidepressant </w:t>
      </w:r>
      <w:r w:rsidRPr="00E668C3">
        <w:t>in delaying relapse of depressive symptoms in subjects with TRD, who were in stable remission (</w:t>
      </w:r>
      <w:r w:rsidR="00E668C3" w:rsidRPr="00E668C3">
        <w:t>that is,</w:t>
      </w:r>
      <w:r w:rsidRPr="00E668C3">
        <w:t xml:space="preserve"> stable remission response) after an induction and optimisation course of intranasal </w:t>
      </w:r>
      <w:proofErr w:type="spellStart"/>
      <w:r w:rsidR="00E668C3" w:rsidRPr="00E668C3">
        <w:t>esketamine</w:t>
      </w:r>
      <w:proofErr w:type="spellEnd"/>
      <w:r w:rsidR="00E668C3" w:rsidRPr="00E668C3">
        <w:t xml:space="preserve"> + oral </w:t>
      </w:r>
      <w:r w:rsidR="00FD5944">
        <w:t>antidepressant</w:t>
      </w:r>
      <w:r w:rsidR="00E668C3" w:rsidRPr="00E668C3">
        <w:t>.</w:t>
      </w:r>
    </w:p>
    <w:p w14:paraId="15A8BE40" w14:textId="5A9238BD" w:rsidR="00216B2A" w:rsidRPr="00E668C3" w:rsidRDefault="00216B2A" w:rsidP="00216B2A">
      <w:r>
        <w:t>The primary efficacy endpoint was the time from randomisation into the maintenance phase and the first documented relapse event,</w:t>
      </w:r>
      <w:r>
        <w:rPr>
          <w:rStyle w:val="FootnoteReference"/>
        </w:rPr>
        <w:footnoteReference w:id="26"/>
      </w:r>
      <w:r>
        <w:t xml:space="preserve"> in subjects in stable remission;</w:t>
      </w:r>
      <w:r>
        <w:rPr>
          <w:rStyle w:val="FootnoteReference"/>
        </w:rPr>
        <w:footnoteReference w:id="27"/>
      </w:r>
      <w:r>
        <w:t xml:space="preserve"> at the end of the optimisation phase, after treatment with intranasal </w:t>
      </w:r>
      <w:proofErr w:type="spellStart"/>
      <w:r>
        <w:t>esketamine</w:t>
      </w:r>
      <w:proofErr w:type="spellEnd"/>
      <w:r>
        <w:t xml:space="preserve"> + oral </w:t>
      </w:r>
      <w:r w:rsidR="00FD5944">
        <w:t>antidepressant</w:t>
      </w:r>
      <w:r>
        <w:t>.</w:t>
      </w:r>
    </w:p>
    <w:p w14:paraId="370264E3" w14:textId="1C466B5F" w:rsidR="00047015" w:rsidRPr="00E668C3" w:rsidRDefault="00E668C3" w:rsidP="00E668C3">
      <w:r w:rsidRPr="00E668C3">
        <w:t>The secondary objective was t</w:t>
      </w:r>
      <w:r w:rsidR="00047015" w:rsidRPr="00E668C3">
        <w:t>o assess the</w:t>
      </w:r>
      <w:r w:rsidRPr="00E668C3">
        <w:t xml:space="preserve"> </w:t>
      </w:r>
      <w:r w:rsidR="00047015" w:rsidRPr="00E668C3">
        <w:t>efficacy of int</w:t>
      </w:r>
      <w:r w:rsidR="00216B2A">
        <w:t xml:space="preserve">ranasal </w:t>
      </w:r>
      <w:proofErr w:type="spellStart"/>
      <w:r w:rsidR="00216B2A">
        <w:t>esketamine</w:t>
      </w:r>
      <w:proofErr w:type="spellEnd"/>
      <w:r w:rsidR="00216B2A">
        <w:t xml:space="preserve"> + oral </w:t>
      </w:r>
      <w:r w:rsidR="00FD5944">
        <w:t xml:space="preserve">antidepressant </w:t>
      </w:r>
      <w:r w:rsidR="00216B2A">
        <w:t>versus</w:t>
      </w:r>
      <w:r w:rsidR="00047015" w:rsidRPr="00E668C3">
        <w:t xml:space="preserve"> intranasal placebo + oral </w:t>
      </w:r>
      <w:r w:rsidR="00FD5944">
        <w:t xml:space="preserve">antidepressant </w:t>
      </w:r>
      <w:r w:rsidR="00047015" w:rsidRPr="00E668C3">
        <w:t>in delaying re</w:t>
      </w:r>
      <w:r w:rsidRPr="00E668C3">
        <w:t xml:space="preserve">lapse of depressive symptoms in </w:t>
      </w:r>
      <w:r w:rsidR="00047015" w:rsidRPr="00E668C3">
        <w:t>subjects with TRD who were in stable response</w:t>
      </w:r>
      <w:r w:rsidRPr="00E668C3">
        <w:t xml:space="preserve"> (but not in stable </w:t>
      </w:r>
      <w:r w:rsidR="00047015" w:rsidRPr="00E668C3">
        <w:t>remission</w:t>
      </w:r>
      <w:r w:rsidR="00247DDF">
        <w:t>,</w:t>
      </w:r>
      <w:r w:rsidR="00047015" w:rsidRPr="00E668C3">
        <w:t xml:space="preserve"> </w:t>
      </w:r>
      <w:r w:rsidRPr="00E668C3">
        <w:t>that is,</w:t>
      </w:r>
      <w:r w:rsidR="00047015" w:rsidRPr="00E668C3">
        <w:t xml:space="preserve"> stable non-remission response) after an induction and optimisation course of intranasal </w:t>
      </w:r>
      <w:proofErr w:type="spellStart"/>
      <w:r w:rsidR="00047015" w:rsidRPr="00E668C3">
        <w:t>esketamine</w:t>
      </w:r>
      <w:proofErr w:type="spellEnd"/>
      <w:r w:rsidR="00047015" w:rsidRPr="00E668C3">
        <w:t xml:space="preserve"> + oral </w:t>
      </w:r>
      <w:r w:rsidR="00FD5944">
        <w:t>antidepressant</w:t>
      </w:r>
      <w:r w:rsidR="00047015" w:rsidRPr="00E668C3">
        <w:t>.</w:t>
      </w:r>
    </w:p>
    <w:p w14:paraId="5DF6C9B4" w14:textId="2F1FF8C3" w:rsidR="00047015" w:rsidRPr="001F12E5" w:rsidRDefault="00216B2A" w:rsidP="00216B2A">
      <w:pPr>
        <w:autoSpaceDE w:val="0"/>
        <w:autoSpaceDN w:val="0"/>
        <w:spacing w:before="0" w:after="0" w:line="240" w:lineRule="auto"/>
        <w:rPr>
          <w:rFonts w:asciiTheme="minorHAnsi" w:eastAsiaTheme="minorHAnsi" w:hAnsiTheme="minorHAnsi" w:cs="TimesNewRoman"/>
          <w:lang w:val="en-GB"/>
        </w:rPr>
      </w:pPr>
      <w:r>
        <w:rPr>
          <w:rFonts w:asciiTheme="minorHAnsi" w:eastAsiaTheme="minorHAnsi" w:hAnsiTheme="minorHAnsi" w:cs="TimesNewRoman"/>
          <w:lang w:val="en-GB"/>
        </w:rPr>
        <w:t xml:space="preserve">The key secondary efficacy endpoint was </w:t>
      </w:r>
      <w:r w:rsidRPr="00216B2A">
        <w:rPr>
          <w:rFonts w:asciiTheme="minorHAnsi" w:eastAsiaTheme="minorHAnsi" w:hAnsiTheme="minorHAnsi" w:cs="TimesNewRoman"/>
          <w:lang w:val="en-GB"/>
        </w:rPr>
        <w:t>the time between subject randomisation and the first doc</w:t>
      </w:r>
      <w:r>
        <w:rPr>
          <w:rFonts w:asciiTheme="minorHAnsi" w:eastAsiaTheme="minorHAnsi" w:hAnsiTheme="minorHAnsi" w:cs="TimesNewRoman"/>
          <w:lang w:val="en-GB"/>
        </w:rPr>
        <w:t xml:space="preserve">umented </w:t>
      </w:r>
      <w:r w:rsidRPr="00216B2A">
        <w:rPr>
          <w:rFonts w:asciiTheme="minorHAnsi" w:eastAsiaTheme="minorHAnsi" w:hAnsiTheme="minorHAnsi" w:cs="TimesNewRoman"/>
          <w:lang w:val="en-GB"/>
        </w:rPr>
        <w:t xml:space="preserve">relapse in the maintenance phase for </w:t>
      </w:r>
      <w:r>
        <w:rPr>
          <w:rFonts w:asciiTheme="minorHAnsi" w:eastAsiaTheme="minorHAnsi" w:hAnsiTheme="minorHAnsi" w:cs="TimesNewRoman"/>
          <w:lang w:val="en-GB"/>
        </w:rPr>
        <w:t>subjects with stable response</w:t>
      </w:r>
      <w:r w:rsidR="001A1009">
        <w:rPr>
          <w:rFonts w:asciiTheme="minorHAnsi" w:eastAsiaTheme="minorHAnsi" w:hAnsiTheme="minorHAnsi" w:cs="TimesNewRoman"/>
          <w:lang w:val="en-GB"/>
        </w:rPr>
        <w:t>;</w:t>
      </w:r>
      <w:r w:rsidR="001A1009">
        <w:rPr>
          <w:rStyle w:val="FootnoteReference"/>
        </w:rPr>
        <w:footnoteReference w:id="28"/>
      </w:r>
      <w:r>
        <w:rPr>
          <w:rFonts w:asciiTheme="minorHAnsi" w:eastAsiaTheme="minorHAnsi" w:hAnsiTheme="minorHAnsi" w:cs="TimesNewRoman"/>
          <w:lang w:val="en-GB"/>
        </w:rPr>
        <w:t xml:space="preserve"> </w:t>
      </w:r>
      <w:r>
        <w:rPr>
          <w:rFonts w:asciiTheme="minorHAnsi" w:eastAsiaTheme="minorHAnsi" w:hAnsiTheme="minorHAnsi" w:cs="TimesNewRoman"/>
          <w:lang w:val="en-GB"/>
        </w:rPr>
        <w:lastRenderedPageBreak/>
        <w:t>(not in remission</w:t>
      </w:r>
      <w:r w:rsidRPr="00216B2A">
        <w:rPr>
          <w:rFonts w:asciiTheme="minorHAnsi" w:eastAsiaTheme="minorHAnsi" w:hAnsiTheme="minorHAnsi" w:cs="TimesNewRoman"/>
          <w:lang w:val="en-GB"/>
        </w:rPr>
        <w:t>)</w:t>
      </w:r>
      <w:r w:rsidR="001A1009">
        <w:rPr>
          <w:rStyle w:val="FootnoteReference"/>
          <w:rFonts w:asciiTheme="minorHAnsi" w:eastAsiaTheme="minorHAnsi" w:hAnsiTheme="minorHAnsi" w:cs="TimesNewRoman"/>
          <w:lang w:val="en-GB"/>
        </w:rPr>
        <w:footnoteReference w:id="29"/>
      </w:r>
      <w:r w:rsidRPr="00216B2A">
        <w:rPr>
          <w:rFonts w:asciiTheme="minorHAnsi" w:eastAsiaTheme="minorHAnsi" w:hAnsiTheme="minorHAnsi" w:cs="TimesNewRoman"/>
          <w:lang w:val="en-GB"/>
        </w:rPr>
        <w:t xml:space="preserve"> at the end of</w:t>
      </w:r>
      <w:r>
        <w:rPr>
          <w:rFonts w:asciiTheme="minorHAnsi" w:eastAsiaTheme="minorHAnsi" w:hAnsiTheme="minorHAnsi" w:cs="TimesNewRoman"/>
          <w:lang w:val="en-GB"/>
        </w:rPr>
        <w:t xml:space="preserve"> the optimisation phase, after </w:t>
      </w:r>
      <w:r w:rsidRPr="00216B2A">
        <w:rPr>
          <w:rFonts w:asciiTheme="minorHAnsi" w:eastAsiaTheme="minorHAnsi" w:hAnsiTheme="minorHAnsi" w:cs="TimesNewRoman"/>
          <w:lang w:val="en-GB"/>
        </w:rPr>
        <w:t xml:space="preserve">treatment with intranasal </w:t>
      </w:r>
      <w:proofErr w:type="spellStart"/>
      <w:r w:rsidRPr="00216B2A">
        <w:rPr>
          <w:rFonts w:asciiTheme="minorHAnsi" w:eastAsiaTheme="minorHAnsi" w:hAnsiTheme="minorHAnsi" w:cs="TimesNewRoman"/>
          <w:lang w:val="en-GB"/>
        </w:rPr>
        <w:t>esketamine</w:t>
      </w:r>
      <w:proofErr w:type="spellEnd"/>
      <w:r w:rsidRPr="00216B2A">
        <w:rPr>
          <w:rFonts w:asciiTheme="minorHAnsi" w:eastAsiaTheme="minorHAnsi" w:hAnsiTheme="minorHAnsi" w:cs="TimesNewRoman"/>
          <w:lang w:val="en-GB"/>
        </w:rPr>
        <w:t xml:space="preserve"> + oral </w:t>
      </w:r>
      <w:r w:rsidR="00FD5944">
        <w:t>antidepressant</w:t>
      </w:r>
      <w:r w:rsidRPr="00216B2A">
        <w:rPr>
          <w:rFonts w:asciiTheme="minorHAnsi" w:eastAsiaTheme="minorHAnsi" w:hAnsiTheme="minorHAnsi" w:cs="TimesNewRoman"/>
          <w:lang w:val="en-GB"/>
        </w:rPr>
        <w:t>.</w:t>
      </w:r>
    </w:p>
    <w:p w14:paraId="55D97522" w14:textId="55771673" w:rsidR="00047015" w:rsidRDefault="001F12E5" w:rsidP="001F12E5">
      <w:pPr>
        <w:pStyle w:val="Heading6"/>
        <w:rPr>
          <w:rFonts w:eastAsiaTheme="minorHAnsi"/>
          <w:lang w:val="en-GB"/>
        </w:rPr>
      </w:pPr>
      <w:r>
        <w:rPr>
          <w:rFonts w:eastAsiaTheme="minorHAnsi"/>
          <w:lang w:val="en-GB"/>
        </w:rPr>
        <w:t>Results</w:t>
      </w:r>
    </w:p>
    <w:p w14:paraId="68238CFA" w14:textId="5BC598BB" w:rsidR="00216B2A" w:rsidRDefault="00216B2A" w:rsidP="00216B2A">
      <w:r w:rsidRPr="006F11E1">
        <w:rPr>
          <w:rFonts w:asciiTheme="minorHAnsi" w:eastAsiaTheme="minorHAnsi" w:hAnsiTheme="minorHAnsi" w:cs="TimesNewRoman"/>
          <w:color w:val="000000"/>
          <w:lang w:val="en-GB"/>
        </w:rPr>
        <w:t>Generally, baseline demographic and disease characteristics were evenly distributed across treatment groups, and consis</w:t>
      </w:r>
      <w:r>
        <w:rPr>
          <w:rFonts w:asciiTheme="minorHAnsi" w:eastAsiaTheme="minorHAnsi" w:hAnsiTheme="minorHAnsi" w:cs="TimesNewRoman"/>
          <w:color w:val="000000"/>
          <w:lang w:val="en-GB"/>
        </w:rPr>
        <w:t>tent with the populations from S</w:t>
      </w:r>
      <w:r w:rsidRPr="006F11E1">
        <w:rPr>
          <w:rFonts w:asciiTheme="minorHAnsi" w:eastAsiaTheme="minorHAnsi" w:hAnsiTheme="minorHAnsi" w:cs="TimesNewRoman"/>
          <w:color w:val="000000"/>
          <w:lang w:val="en-GB"/>
        </w:rPr>
        <w:t>tudies TRD3002 and TRD3001</w:t>
      </w:r>
      <w:r>
        <w:rPr>
          <w:rFonts w:asciiTheme="minorHAnsi" w:eastAsiaTheme="minorHAnsi" w:hAnsiTheme="minorHAnsi" w:cs="TimesNewRoman"/>
          <w:color w:val="000000"/>
          <w:lang w:val="en-GB"/>
        </w:rPr>
        <w:t>.</w:t>
      </w:r>
    </w:p>
    <w:p w14:paraId="36AF512B" w14:textId="28EF1967" w:rsidR="001F12E5" w:rsidRPr="009B06F8" w:rsidRDefault="009B06F8" w:rsidP="009B06F8">
      <w:pPr>
        <w:pStyle w:val="Heading7"/>
        <w:rPr>
          <w:sz w:val="22"/>
        </w:rPr>
      </w:pPr>
      <w:r w:rsidRPr="009B06F8">
        <w:rPr>
          <w:sz w:val="22"/>
        </w:rPr>
        <w:t>Primary efficacy outcome</w:t>
      </w:r>
      <w:r w:rsidR="001F12E5" w:rsidRPr="009B06F8">
        <w:rPr>
          <w:sz w:val="22"/>
        </w:rPr>
        <w:t xml:space="preserve"> (</w:t>
      </w:r>
      <w:r w:rsidRPr="009B06F8">
        <w:rPr>
          <w:sz w:val="22"/>
        </w:rPr>
        <w:t>double blind</w:t>
      </w:r>
      <w:r w:rsidR="001F12E5" w:rsidRPr="009B06F8">
        <w:rPr>
          <w:sz w:val="22"/>
        </w:rPr>
        <w:t xml:space="preserve"> maintenance phase</w:t>
      </w:r>
      <w:r w:rsidRPr="009B06F8">
        <w:rPr>
          <w:sz w:val="22"/>
        </w:rPr>
        <w:t>)</w:t>
      </w:r>
    </w:p>
    <w:p w14:paraId="49851725" w14:textId="696CD2B3" w:rsidR="001F12E5" w:rsidRPr="009B06F8" w:rsidRDefault="001F12E5" w:rsidP="009B06F8">
      <w:r w:rsidRPr="009B06F8">
        <w:t xml:space="preserve">As per </w:t>
      </w:r>
      <w:r w:rsidR="009B06F8">
        <w:t>hazard ratio, Kaplan-</w:t>
      </w:r>
      <w:r w:rsidRPr="009B06F8">
        <w:t>Meier, MADRS</w:t>
      </w:r>
      <w:r w:rsidR="009B06F8">
        <w:t xml:space="preserve"> and h</w:t>
      </w:r>
      <w:r w:rsidRPr="009B06F8">
        <w:t>ospitalisation</w:t>
      </w:r>
      <w:r w:rsidR="00247DDF">
        <w:t xml:space="preserve"> findings</w:t>
      </w:r>
      <w:r w:rsidR="009B06F8">
        <w:t xml:space="preserve">, there were </w:t>
      </w:r>
      <w:r w:rsidRPr="009B06F8">
        <w:t>statistically significantly fewer stable remit</w:t>
      </w:r>
      <w:r w:rsidR="009B06F8">
        <w:t>ters</w:t>
      </w:r>
      <w:r w:rsidR="00FD5944">
        <w:t xml:space="preserve"> who</w:t>
      </w:r>
      <w:r w:rsidR="009B06F8">
        <w:t xml:space="preserve"> relapsed in the intranasal</w:t>
      </w:r>
      <w:r w:rsidRPr="009B06F8">
        <w:t xml:space="preserve"> </w:t>
      </w:r>
      <w:proofErr w:type="spellStart"/>
      <w:r w:rsidR="009B06F8">
        <w:t>esketamine</w:t>
      </w:r>
      <w:proofErr w:type="spellEnd"/>
      <w:r w:rsidR="009B06F8">
        <w:t xml:space="preserve"> + oral </w:t>
      </w:r>
      <w:r w:rsidR="00FD5944">
        <w:t xml:space="preserve">antidepressant </w:t>
      </w:r>
      <w:r w:rsidR="009B06F8">
        <w:t>group versus</w:t>
      </w:r>
      <w:r w:rsidRPr="009B06F8">
        <w:t xml:space="preserve"> intrana</w:t>
      </w:r>
      <w:r w:rsidR="009B06F8">
        <w:t xml:space="preserve">sal placebo + oral </w:t>
      </w:r>
      <w:r w:rsidR="00FD5944">
        <w:t xml:space="preserve">antidepressant </w:t>
      </w:r>
      <w:r w:rsidR="009B06F8">
        <w:t>group, that is,</w:t>
      </w:r>
      <w:r w:rsidRPr="009B06F8">
        <w:t xml:space="preserve"> 26.7% </w:t>
      </w:r>
      <w:r w:rsidR="009B06F8">
        <w:t>(n = 24) versus</w:t>
      </w:r>
      <w:r w:rsidR="00587393">
        <w:t xml:space="preserve"> 45.3% (n = 39): e</w:t>
      </w:r>
      <w:r w:rsidRPr="009B06F8">
        <w:t xml:space="preserve">stimated </w:t>
      </w:r>
      <w:r w:rsidR="009B06F8">
        <w:t>hazard ratio</w:t>
      </w:r>
      <w:r w:rsidRPr="009B06F8">
        <w:t xml:space="preserve"> (</w:t>
      </w:r>
      <w:r w:rsidR="009B06F8">
        <w:t xml:space="preserve">95% CI) was 0.49 (0.29, 0.84: 2 </w:t>
      </w:r>
      <w:r w:rsidRPr="009B06F8">
        <w:t>sided p = 0.003; based on the weighted com</w:t>
      </w:r>
      <w:r w:rsidR="009B06F8">
        <w:t>bination log-rank test) and was</w:t>
      </w:r>
      <w:r w:rsidRPr="009B06F8">
        <w:t xml:space="preserve"> less than 0.046, the threshold of statistical significance. This result indicated that relapse was, on average, 51% less </w:t>
      </w:r>
      <w:r w:rsidR="009B06F8">
        <w:t>likely for stable remitters who</w:t>
      </w:r>
      <w:r w:rsidRPr="009B06F8">
        <w:t xml:space="preserve"> continued treatment with </w:t>
      </w:r>
      <w:proofErr w:type="spellStart"/>
      <w:r w:rsidRPr="009B06F8">
        <w:t>esketamine</w:t>
      </w:r>
      <w:proofErr w:type="spellEnd"/>
      <w:r w:rsidRPr="009B06F8">
        <w:t xml:space="preserve"> than for those switched to placebo.</w:t>
      </w:r>
    </w:p>
    <w:p w14:paraId="502D1C9A" w14:textId="4846E41C" w:rsidR="001F12E5" w:rsidRPr="009B06F8" w:rsidRDefault="001F12E5" w:rsidP="009B06F8">
      <w:r w:rsidRPr="009B06F8">
        <w:t xml:space="preserve">Based on Kaplan-Meier estimates, </w:t>
      </w:r>
      <w:r w:rsidR="00FD5944">
        <w:t xml:space="preserve">the </w:t>
      </w:r>
      <w:r w:rsidRPr="009B06F8">
        <w:t xml:space="preserve">median time to relapse (time at which cumulative survival function = 0.5 or 50%) for </w:t>
      </w:r>
      <w:r w:rsidR="00FD5944">
        <w:t xml:space="preserve">the </w:t>
      </w:r>
      <w:r w:rsidRPr="009B06F8">
        <w:t xml:space="preserve">intranasal </w:t>
      </w:r>
      <w:proofErr w:type="spellStart"/>
      <w:r w:rsidRPr="009B06F8">
        <w:t>esketamine</w:t>
      </w:r>
      <w:proofErr w:type="spellEnd"/>
      <w:r w:rsidRPr="009B06F8">
        <w:t xml:space="preserve"> + oral </w:t>
      </w:r>
      <w:r w:rsidR="00FD5944">
        <w:t xml:space="preserve">antidepressant </w:t>
      </w:r>
      <w:r w:rsidRPr="009B06F8">
        <w:t xml:space="preserve">arm was not estimable, whereas </w:t>
      </w:r>
      <w:r w:rsidR="00FD5944">
        <w:t xml:space="preserve">the </w:t>
      </w:r>
      <w:r w:rsidRPr="009B06F8">
        <w:t xml:space="preserve">median time to relapse (95% CI) for </w:t>
      </w:r>
      <w:r w:rsidR="00FD5944">
        <w:t xml:space="preserve">the </w:t>
      </w:r>
      <w:r w:rsidRPr="009B06F8">
        <w:t xml:space="preserve">oral </w:t>
      </w:r>
      <w:r w:rsidR="00FD5944">
        <w:t>antidepressant</w:t>
      </w:r>
      <w:r w:rsidRPr="009B06F8">
        <w:t xml:space="preserve">+ intranasal placebo </w:t>
      </w:r>
      <w:r w:rsidR="00FD5944">
        <w:t xml:space="preserve">arm </w:t>
      </w:r>
      <w:r w:rsidRPr="009B06F8">
        <w:t xml:space="preserve">was 273.0 </w:t>
      </w:r>
      <w:r w:rsidR="00FD5944">
        <w:t xml:space="preserve">days </w:t>
      </w:r>
      <w:r w:rsidRPr="009B06F8">
        <w:t>(97.0</w:t>
      </w:r>
      <w:r w:rsidR="00FD5944">
        <w:t xml:space="preserve"> days</w:t>
      </w:r>
      <w:r w:rsidRPr="009B06F8">
        <w:t xml:space="preserve">; </w:t>
      </w:r>
      <w:r w:rsidR="00FD5944">
        <w:t xml:space="preserve">upper limit </w:t>
      </w:r>
      <w:r w:rsidRPr="009B06F8">
        <w:t xml:space="preserve">not estimable). Of note, 48.7% (n = 19) of relapses in subjects randomised to intranasal placebo +oral </w:t>
      </w:r>
      <w:r w:rsidR="00FD5944">
        <w:t xml:space="preserve">antidepressant </w:t>
      </w:r>
      <w:r w:rsidRPr="009B06F8">
        <w:t>occurred</w:t>
      </w:r>
      <w:r w:rsidR="009B06F8">
        <w:t xml:space="preserve"> within the first 4 weeks.</w:t>
      </w:r>
    </w:p>
    <w:p w14:paraId="2004060A" w14:textId="0C0FF77F" w:rsidR="001F12E5" w:rsidRPr="009B06F8" w:rsidRDefault="001F12E5" w:rsidP="009B06F8">
      <w:r w:rsidRPr="009B06F8">
        <w:t>The most common rating for relapse was MADRS total score ≥ 22 for 2 consecutive assessments,</w:t>
      </w:r>
      <w:r w:rsidR="009B06F8">
        <w:t xml:space="preserve"> separated by 5 to 15 days was </w:t>
      </w:r>
      <w:r w:rsidRPr="009B06F8">
        <w:t>75.0% (n = 18) in the intranasa</w:t>
      </w:r>
      <w:r w:rsidR="009B06F8">
        <w:t xml:space="preserve">l </w:t>
      </w:r>
      <w:proofErr w:type="spellStart"/>
      <w:r w:rsidR="009B06F8">
        <w:t>esketamine</w:t>
      </w:r>
      <w:proofErr w:type="spellEnd"/>
      <w:r w:rsidR="009B06F8">
        <w:t xml:space="preserve"> + oral </w:t>
      </w:r>
      <w:r w:rsidR="00FD5944">
        <w:t xml:space="preserve">antidepressant </w:t>
      </w:r>
      <w:r w:rsidR="009B06F8">
        <w:t>group versus</w:t>
      </w:r>
      <w:r w:rsidRPr="009B06F8">
        <w:t xml:space="preserve"> 97.4% (n = 38) in the oral</w:t>
      </w:r>
      <w:r w:rsidR="009B06F8">
        <w:t xml:space="preserve"> </w:t>
      </w:r>
      <w:r w:rsidR="00FD5944">
        <w:t>antidepressant</w:t>
      </w:r>
      <w:r w:rsidR="009B06F8">
        <w:t>+ intranasal placebo group.</w:t>
      </w:r>
    </w:p>
    <w:p w14:paraId="255307F1" w14:textId="3716DDA7" w:rsidR="001F12E5" w:rsidRPr="009B06F8" w:rsidRDefault="001F12E5" w:rsidP="009B06F8">
      <w:r w:rsidRPr="009B06F8">
        <w:t xml:space="preserve">No subject in the intranasal </w:t>
      </w:r>
      <w:proofErr w:type="spellStart"/>
      <w:r w:rsidRPr="009B06F8">
        <w:t>esketamine</w:t>
      </w:r>
      <w:proofErr w:type="spellEnd"/>
      <w:r w:rsidRPr="009B06F8">
        <w:t xml:space="preserve"> + oral </w:t>
      </w:r>
      <w:r w:rsidR="00FD5944">
        <w:t xml:space="preserve">antidepressant </w:t>
      </w:r>
      <w:r w:rsidRPr="009B06F8">
        <w:t xml:space="preserve">group was hospitalised, whereas 12.5% (n = 3) were hospitalised for depression or major depression in the intranasal placebo +oral </w:t>
      </w:r>
      <w:r w:rsidR="00FD5944">
        <w:t xml:space="preserve">antidepressant </w:t>
      </w:r>
      <w:r w:rsidRPr="009B06F8">
        <w:t xml:space="preserve">group. The adjudication committee judged 3 (12.5%) additional cases of relapse (from depression or depressive symptoms) in the intranasal placebo + oral </w:t>
      </w:r>
      <w:r w:rsidR="00FD5944">
        <w:t xml:space="preserve">antidepressant </w:t>
      </w:r>
      <w:r w:rsidRPr="009B06F8">
        <w:t xml:space="preserve">group and 1 (2.6%) case of relapse in the intranasal </w:t>
      </w:r>
      <w:proofErr w:type="spellStart"/>
      <w:r w:rsidRPr="009B06F8">
        <w:t>esketamine</w:t>
      </w:r>
      <w:proofErr w:type="spellEnd"/>
      <w:r w:rsidRPr="009B06F8">
        <w:t xml:space="preserve"> + oral </w:t>
      </w:r>
      <w:r w:rsidR="00FD5944">
        <w:t xml:space="preserve">antidepressant </w:t>
      </w:r>
      <w:r w:rsidRPr="009B06F8">
        <w:t>group.</w:t>
      </w:r>
    </w:p>
    <w:p w14:paraId="374D0986" w14:textId="416C7E06" w:rsidR="001F12E5" w:rsidRPr="009B06F8" w:rsidRDefault="009B06F8" w:rsidP="009B06F8">
      <w:pPr>
        <w:pStyle w:val="Heading7"/>
        <w:rPr>
          <w:sz w:val="22"/>
        </w:rPr>
      </w:pPr>
      <w:r w:rsidRPr="009B06F8">
        <w:rPr>
          <w:rFonts w:eastAsiaTheme="minorHAnsi"/>
          <w:sz w:val="22"/>
          <w:lang w:val="en-GB"/>
        </w:rPr>
        <w:t>Key secondary outcome</w:t>
      </w:r>
    </w:p>
    <w:p w14:paraId="21731925" w14:textId="4955215B" w:rsidR="001F12E5" w:rsidRPr="009B06F8" w:rsidRDefault="001F12E5" w:rsidP="009B06F8">
      <w:r w:rsidRPr="009B06F8">
        <w:t xml:space="preserve">Relapse events in stable responders occurred in 25.8% (n = 16) of the intranasal </w:t>
      </w:r>
      <w:proofErr w:type="spellStart"/>
      <w:r w:rsidRPr="009B06F8">
        <w:t>esketamine</w:t>
      </w:r>
      <w:proofErr w:type="spellEnd"/>
      <w:r w:rsidRPr="009B06F8">
        <w:t xml:space="preserve"> + oral </w:t>
      </w:r>
      <w:r w:rsidR="00FD5944">
        <w:t xml:space="preserve">antidepressant </w:t>
      </w:r>
      <w:r w:rsidRPr="009B06F8">
        <w:t xml:space="preserve">group versus 57.6% (n = 34) of the intranasal placebo + oral </w:t>
      </w:r>
      <w:r w:rsidR="00FD5944">
        <w:t xml:space="preserve">antidepressant </w:t>
      </w:r>
      <w:r w:rsidRPr="009B06F8">
        <w:t>group. The treatment group difference for time to relapse was statistically signific</w:t>
      </w:r>
      <w:r w:rsidR="00587393">
        <w:t>ant (2 </w:t>
      </w:r>
      <w:r w:rsidRPr="009B06F8">
        <w:t xml:space="preserve">sided p &lt; 0.001), with an estimated </w:t>
      </w:r>
      <w:r w:rsidR="009B06F8">
        <w:t>hazard ratio</w:t>
      </w:r>
      <w:r w:rsidRPr="009B06F8">
        <w:t xml:space="preserve"> (95% CI) of intranasal </w:t>
      </w:r>
      <w:proofErr w:type="spellStart"/>
      <w:r w:rsidRPr="009B06F8">
        <w:t>esketamine</w:t>
      </w:r>
      <w:proofErr w:type="spellEnd"/>
      <w:r w:rsidRPr="009B06F8">
        <w:t xml:space="preserve"> + oral </w:t>
      </w:r>
      <w:r w:rsidR="00FD5944">
        <w:t xml:space="preserve">antidepressant </w:t>
      </w:r>
      <w:r w:rsidRPr="009B06F8">
        <w:t xml:space="preserve">group relative to intranasal placebo + oral </w:t>
      </w:r>
      <w:r w:rsidR="00FD5944">
        <w:t>antidepressant</w:t>
      </w:r>
      <w:r w:rsidRPr="009B06F8">
        <w:t xml:space="preserve"> group of 0.30 (0.16; 0.55). This result indicated that relapse was 70% less likely for stable responders who continued treatment with </w:t>
      </w:r>
      <w:proofErr w:type="spellStart"/>
      <w:r w:rsidRPr="009B06F8">
        <w:t>esketamine</w:t>
      </w:r>
      <w:proofErr w:type="spellEnd"/>
      <w:r w:rsidRPr="009B06F8">
        <w:t xml:space="preserve"> than for those who discontinued </w:t>
      </w:r>
      <w:proofErr w:type="spellStart"/>
      <w:r w:rsidRPr="009B06F8">
        <w:t>esketamine</w:t>
      </w:r>
      <w:proofErr w:type="spellEnd"/>
      <w:r w:rsidRPr="009B06F8">
        <w:t xml:space="preserve"> treatment.</w:t>
      </w:r>
    </w:p>
    <w:p w14:paraId="54A50EBF" w14:textId="6E518B47" w:rsidR="001F12E5" w:rsidRPr="009B06F8" w:rsidRDefault="009B06F8" w:rsidP="009B06F8">
      <w:pPr>
        <w:pStyle w:val="Heading7"/>
        <w:rPr>
          <w:rFonts w:eastAsiaTheme="minorHAnsi"/>
          <w:sz w:val="22"/>
          <w:lang w:val="en-GB"/>
        </w:rPr>
      </w:pPr>
      <w:r w:rsidRPr="009B06F8">
        <w:rPr>
          <w:sz w:val="22"/>
          <w:lang w:val="en-GB"/>
        </w:rPr>
        <w:t xml:space="preserve">General </w:t>
      </w:r>
      <w:r>
        <w:rPr>
          <w:sz w:val="22"/>
          <w:lang w:val="en-GB"/>
        </w:rPr>
        <w:t xml:space="preserve">results </w:t>
      </w:r>
      <w:r w:rsidRPr="009B06F8">
        <w:rPr>
          <w:sz w:val="22"/>
          <w:lang w:val="en-GB"/>
        </w:rPr>
        <w:t>comments</w:t>
      </w:r>
      <w:r w:rsidR="00CF18E7">
        <w:rPr>
          <w:sz w:val="22"/>
          <w:lang w:val="en-GB"/>
        </w:rPr>
        <w:t xml:space="preserve"> for </w:t>
      </w:r>
      <w:r w:rsidR="00CF18E7" w:rsidRPr="00CF18E7">
        <w:rPr>
          <w:sz w:val="22"/>
          <w:lang w:val="en-GB"/>
        </w:rPr>
        <w:t>Study TRD3003</w:t>
      </w:r>
    </w:p>
    <w:p w14:paraId="12AE53D2" w14:textId="28BCD153" w:rsidR="00047015" w:rsidRPr="009B06F8" w:rsidRDefault="00047015" w:rsidP="009B06F8">
      <w:r w:rsidRPr="009B06F8">
        <w:t xml:space="preserve">The results supported both once-a-week and alternate week dosing frequency schedule in the </w:t>
      </w:r>
      <w:r w:rsidR="009B06F8">
        <w:t>maintenance</w:t>
      </w:r>
      <w:r w:rsidRPr="009B06F8">
        <w:t xml:space="preserve"> phase, based on individual severity of symptoms, at previously optimised </w:t>
      </w:r>
      <w:r w:rsidRPr="009B06F8">
        <w:lastRenderedPageBreak/>
        <w:t xml:space="preserve">doses of either 56 or 84 mg of </w:t>
      </w:r>
      <w:proofErr w:type="spellStart"/>
      <w:r w:rsidRPr="009B06F8">
        <w:t>esketamine</w:t>
      </w:r>
      <w:proofErr w:type="spellEnd"/>
      <w:r w:rsidRPr="009B06F8">
        <w:t xml:space="preserve">. Frequency of dosing in an elderly population in the </w:t>
      </w:r>
      <w:r w:rsidR="00247DDF">
        <w:t xml:space="preserve">maintenance </w:t>
      </w:r>
      <w:r w:rsidRPr="009B06F8">
        <w:t xml:space="preserve">phase of treatment effect/relapse prevention, would not be expected to be different from that of younger aged adults based on PK data and clinical response to treatment used in </w:t>
      </w:r>
      <w:r w:rsidR="00FD5944">
        <w:t xml:space="preserve">the </w:t>
      </w:r>
      <w:r w:rsidRPr="009B06F8">
        <w:t>once</w:t>
      </w:r>
      <w:r w:rsidR="00247DDF">
        <w:t xml:space="preserve"> </w:t>
      </w:r>
      <w:r w:rsidRPr="009B06F8">
        <w:t>a</w:t>
      </w:r>
      <w:r w:rsidR="00247DDF">
        <w:t xml:space="preserve"> </w:t>
      </w:r>
      <w:r w:rsidRPr="009B06F8">
        <w:t>week and alternate week dose regimens.</w:t>
      </w:r>
    </w:p>
    <w:p w14:paraId="5281C91A" w14:textId="1BC85368" w:rsidR="00047015" w:rsidRPr="009B06F8" w:rsidRDefault="00047015" w:rsidP="009B06F8">
      <w:r w:rsidRPr="009B06F8">
        <w:t xml:space="preserve">There was a tendency for greater efficacy in the 84 mg </w:t>
      </w:r>
      <w:proofErr w:type="spellStart"/>
      <w:r w:rsidRPr="009B06F8">
        <w:t>esketamine</w:t>
      </w:r>
      <w:proofErr w:type="spellEnd"/>
      <w:r w:rsidRPr="009B06F8">
        <w:t xml:space="preserve"> dose regimen in both stable remitters and stable responders, and more frequent dosing in stable responders compared with stable remitters, which may reflect a more treatment-resistant p</w:t>
      </w:r>
      <w:r w:rsidR="00247DDF">
        <w:t>opulation in stable responders.</w:t>
      </w:r>
    </w:p>
    <w:p w14:paraId="7BB3831F" w14:textId="0559717C" w:rsidR="00047015" w:rsidRPr="009B06F8" w:rsidRDefault="00047015" w:rsidP="009B06F8">
      <w:r w:rsidRPr="009B06F8">
        <w:t>Also</w:t>
      </w:r>
      <w:r w:rsidR="003938C9">
        <w:t>,</w:t>
      </w:r>
      <w:r w:rsidRPr="009B06F8">
        <w:t xml:space="preserve"> while no </w:t>
      </w:r>
      <w:r w:rsidR="00FD5944">
        <w:t>antidepressant</w:t>
      </w:r>
      <w:r w:rsidR="00FD5944" w:rsidRPr="009B06F8">
        <w:t xml:space="preserve"> class</w:t>
      </w:r>
      <w:r w:rsidRPr="009B06F8">
        <w:t xml:space="preserve"> difference was observed with stable remitter </w:t>
      </w:r>
      <w:r w:rsidR="00FD5944">
        <w:t xml:space="preserve">antidepressant </w:t>
      </w:r>
      <w:r w:rsidRPr="009B06F8">
        <w:t>comparisons, results suggest that responders may be less likely to relapse while on concomitant SNRI treatment rather than SSRI treatment. However, subject numbers were low and therefore caution should be exercised in the interpretation of these results and their generalisability.</w:t>
      </w:r>
    </w:p>
    <w:p w14:paraId="5A458FD5" w14:textId="0DC074B4" w:rsidR="00E97AAD" w:rsidRPr="009B06F8" w:rsidRDefault="00047015" w:rsidP="001F12E5">
      <w:r w:rsidRPr="009B06F8">
        <w:t xml:space="preserve">While a high number of relapses occurred in the first month, it is unlikely that a withdrawal or rebound effect played a significant contribution due to the short half-life of </w:t>
      </w:r>
      <w:proofErr w:type="spellStart"/>
      <w:r w:rsidRPr="009B06F8">
        <w:t>esketamine</w:t>
      </w:r>
      <w:proofErr w:type="spellEnd"/>
      <w:r w:rsidRPr="009B06F8">
        <w:t xml:space="preserve"> (7 to 12 h</w:t>
      </w:r>
      <w:r w:rsidR="009B06F8">
        <w:t>ours</w:t>
      </w:r>
      <w:r w:rsidRPr="009B06F8">
        <w:t xml:space="preserve">) and its lack of drug accumulation from PK studies. Of note, most subjects who relapsed during the first month after discontinuation of </w:t>
      </w:r>
      <w:proofErr w:type="spellStart"/>
      <w:r w:rsidRPr="009B06F8">
        <w:t>esketamine</w:t>
      </w:r>
      <w:proofErr w:type="spellEnd"/>
      <w:r w:rsidRPr="009B06F8">
        <w:t xml:space="preserve"> were subjects who required weekly dosing to sustain remission. This might reflect higher vulnerability in this subpopulation or a sub-optimal dose or maintenance dose duration bef</w:t>
      </w:r>
      <w:r w:rsidR="009B06F8">
        <w:t>ore study drug discontinuation.</w:t>
      </w:r>
    </w:p>
    <w:p w14:paraId="39ABC422" w14:textId="77777777" w:rsidR="00E97AAD" w:rsidRPr="00FA2583" w:rsidRDefault="00E97AAD" w:rsidP="00E97AAD">
      <w:pPr>
        <w:pStyle w:val="Heading5"/>
        <w:rPr>
          <w:rFonts w:eastAsiaTheme="minorHAnsi"/>
          <w:lang w:val="en-GB"/>
        </w:rPr>
      </w:pPr>
      <w:bookmarkStart w:id="57" w:name="_Ref69793917"/>
      <w:r>
        <w:rPr>
          <w:lang w:val="en-GB"/>
        </w:rPr>
        <w:t>Open label study</w:t>
      </w:r>
      <w:bookmarkEnd w:id="57"/>
    </w:p>
    <w:p w14:paraId="6C2D4D75" w14:textId="3E97A278" w:rsidR="00047015" w:rsidRPr="00247DDF" w:rsidRDefault="00247DDF" w:rsidP="00247DDF">
      <w:r>
        <w:t xml:space="preserve">Study </w:t>
      </w:r>
      <w:r w:rsidR="00047015" w:rsidRPr="00247DDF">
        <w:t>TRD3004</w:t>
      </w:r>
      <w:r w:rsidR="00FD5944">
        <w:t xml:space="preserve"> was a</w:t>
      </w:r>
      <w:r w:rsidR="00047015" w:rsidRPr="00247DDF">
        <w:t>n o</w:t>
      </w:r>
      <w:r>
        <w:t xml:space="preserve">pen </w:t>
      </w:r>
      <w:r w:rsidR="00047015" w:rsidRPr="00247DDF">
        <w:t>label,</w:t>
      </w:r>
      <w:r>
        <w:t xml:space="preserve"> P</w:t>
      </w:r>
      <w:r w:rsidR="00047015" w:rsidRPr="00247DDF">
        <w:t xml:space="preserve">hase III, long-term, safety and efficacy study of intranasal </w:t>
      </w:r>
      <w:proofErr w:type="spellStart"/>
      <w:r w:rsidR="00047015" w:rsidRPr="00247DDF">
        <w:t>esketamine</w:t>
      </w:r>
      <w:proofErr w:type="spellEnd"/>
      <w:r w:rsidR="00047015" w:rsidRPr="00247DDF">
        <w:t xml:space="preserve"> in, treatment-resistant depression</w:t>
      </w:r>
      <w:r>
        <w:t xml:space="preserve"> over 1 </w:t>
      </w:r>
      <w:r w:rsidR="00047015" w:rsidRPr="00247DDF">
        <w:t>year duration.</w:t>
      </w:r>
    </w:p>
    <w:p w14:paraId="210164F0" w14:textId="77777777" w:rsidR="00047015" w:rsidRPr="00247DDF" w:rsidRDefault="00047015" w:rsidP="00247DDF">
      <w:r w:rsidRPr="00247DDF">
        <w:t>The study comprised of:</w:t>
      </w:r>
    </w:p>
    <w:p w14:paraId="4D8A0029" w14:textId="6DBCA537" w:rsidR="00047015" w:rsidRPr="00247DDF" w:rsidRDefault="00047015" w:rsidP="00247DDF">
      <w:pPr>
        <w:pStyle w:val="ListBullet"/>
      </w:pPr>
      <w:r w:rsidRPr="00247DDF">
        <w:t>a screening</w:t>
      </w:r>
      <w:r w:rsidR="00291CE5">
        <w:t xml:space="preserve"> phase;</w:t>
      </w:r>
    </w:p>
    <w:p w14:paraId="42350ED8" w14:textId="292ABD98" w:rsidR="00047015" w:rsidRPr="00247DDF" w:rsidRDefault="00291CE5" w:rsidP="00247DDF">
      <w:pPr>
        <w:pStyle w:val="ListBullet"/>
      </w:pPr>
      <w:r>
        <w:t xml:space="preserve">a 4 </w:t>
      </w:r>
      <w:r w:rsidR="00047015" w:rsidRPr="00247DDF">
        <w:t xml:space="preserve">week </w:t>
      </w:r>
      <w:r w:rsidR="00247DDF">
        <w:t>open label</w:t>
      </w:r>
      <w:r w:rsidR="00047015" w:rsidRPr="00247DDF">
        <w:t xml:space="preserve"> induction;</w:t>
      </w:r>
    </w:p>
    <w:p w14:paraId="0887482B" w14:textId="7A2F9D1C" w:rsidR="00047015" w:rsidRPr="00247DDF" w:rsidRDefault="00291CE5" w:rsidP="00247DDF">
      <w:pPr>
        <w:pStyle w:val="ListBullet"/>
      </w:pPr>
      <w:r>
        <w:t xml:space="preserve">48 </w:t>
      </w:r>
      <w:r w:rsidR="00047015" w:rsidRPr="00247DDF">
        <w:t>week optimisation/</w:t>
      </w:r>
      <w:r w:rsidR="00247DDF">
        <w:t>maintenance</w:t>
      </w:r>
      <w:r w:rsidR="00047015" w:rsidRPr="00247DDF">
        <w:t xml:space="preserve"> phase;</w:t>
      </w:r>
      <w:r w:rsidR="00FD5944">
        <w:t xml:space="preserve"> and</w:t>
      </w:r>
    </w:p>
    <w:p w14:paraId="381209D0" w14:textId="5C161B62" w:rsidR="00047015" w:rsidRPr="00247DDF" w:rsidRDefault="00291CE5" w:rsidP="00247DDF">
      <w:pPr>
        <w:pStyle w:val="ListBullet"/>
      </w:pPr>
      <w:r>
        <w:t xml:space="preserve">a 4 </w:t>
      </w:r>
      <w:r w:rsidR="00047015" w:rsidRPr="00247DDF">
        <w:t>week</w:t>
      </w:r>
      <w:r w:rsidR="00247DDF">
        <w:t xml:space="preserve"> follow-up.</w:t>
      </w:r>
    </w:p>
    <w:p w14:paraId="270F514C" w14:textId="793D7623" w:rsidR="00047015" w:rsidRPr="00247DDF" w:rsidRDefault="00247DDF" w:rsidP="00247DDF">
      <w:pPr>
        <w:pStyle w:val="Heading6"/>
        <w:rPr>
          <w:rFonts w:eastAsiaTheme="minorHAnsi"/>
        </w:rPr>
      </w:pPr>
      <w:r>
        <w:t>Study treatments</w:t>
      </w:r>
    </w:p>
    <w:p w14:paraId="11AE9732" w14:textId="22FAD5B4" w:rsidR="00047015" w:rsidRPr="00247DDF" w:rsidRDefault="00047015" w:rsidP="00247DDF">
      <w:r w:rsidRPr="00247DDF">
        <w:t xml:space="preserve">Direct-entry patients initiated a new oral </w:t>
      </w:r>
      <w:r w:rsidR="00FD5944">
        <w:t>antidepressant</w:t>
      </w:r>
      <w:r w:rsidRPr="00247DDF">
        <w:t xml:space="preserve">; transferred-entry patients continued their oral </w:t>
      </w:r>
      <w:r w:rsidR="00FD5944">
        <w:t xml:space="preserve">antidepressant </w:t>
      </w:r>
      <w:r w:rsidRPr="00247DDF">
        <w:t xml:space="preserve">from </w:t>
      </w:r>
      <w:r w:rsidR="00247DDF">
        <w:t xml:space="preserve">Study </w:t>
      </w:r>
      <w:r w:rsidRPr="00247DDF">
        <w:t>TRD3005.</w:t>
      </w:r>
    </w:p>
    <w:p w14:paraId="71EB10AF" w14:textId="7BBC2E66" w:rsidR="00047015" w:rsidRPr="00247DDF" w:rsidRDefault="00047015" w:rsidP="00247DDF">
      <w:r w:rsidRPr="00247DDF">
        <w:t xml:space="preserve">In </w:t>
      </w:r>
      <w:r w:rsidR="00247DDF">
        <w:t>the open label</w:t>
      </w:r>
      <w:r w:rsidRPr="00247DDF">
        <w:t xml:space="preserve"> induction </w:t>
      </w:r>
      <w:r w:rsidR="00FD5944">
        <w:t xml:space="preserve">period, </w:t>
      </w:r>
      <w:r w:rsidR="00247DDF">
        <w:t>patients</w:t>
      </w:r>
      <w:r w:rsidR="00247DDF" w:rsidRPr="00247DDF">
        <w:t xml:space="preserve"> </w:t>
      </w:r>
      <w:r w:rsidRPr="00247DDF">
        <w:t xml:space="preserve">(direct-entry and </w:t>
      </w:r>
      <w:r w:rsidR="00247DDF">
        <w:t>Study TRD3005 non</w:t>
      </w:r>
      <w:r w:rsidR="00FD5944">
        <w:noBreakHyphen/>
      </w:r>
      <w:r w:rsidR="00247DDF">
        <w:t>responders) self</w:t>
      </w:r>
      <w:r w:rsidR="00247DDF">
        <w:noBreakHyphen/>
      </w:r>
      <w:r w:rsidRPr="00247DDF">
        <w:t xml:space="preserve">administered intranasal </w:t>
      </w:r>
      <w:proofErr w:type="spellStart"/>
      <w:r w:rsidRPr="00247DDF">
        <w:t>esketamine</w:t>
      </w:r>
      <w:proofErr w:type="spellEnd"/>
      <w:r w:rsidRPr="00247DDF">
        <w:t xml:space="preserve"> 28 mg (≥ 65 </w:t>
      </w:r>
      <w:r w:rsidR="00247DDF">
        <w:t>years), 56 mg or 84 mg flexible</w:t>
      </w:r>
      <w:r w:rsidR="00247DDF">
        <w:noBreakHyphen/>
      </w:r>
      <w:r w:rsidRPr="00247DDF">
        <w:t xml:space="preserve">dosing twice a week for 4 weeks, as in </w:t>
      </w:r>
      <w:r w:rsidR="00247DDF">
        <w:t>the double blind induction studies.</w:t>
      </w:r>
    </w:p>
    <w:p w14:paraId="61EBFA44" w14:textId="575C14E5" w:rsidR="00047015" w:rsidRPr="00247DDF" w:rsidRDefault="00247DDF" w:rsidP="00247DDF">
      <w:r>
        <w:t>Open label</w:t>
      </w:r>
      <w:r w:rsidR="00047015" w:rsidRPr="00247DDF">
        <w:t xml:space="preserve"> optimisation/</w:t>
      </w:r>
      <w:r>
        <w:t>maintenance</w:t>
      </w:r>
      <w:r w:rsidR="00047015" w:rsidRPr="00247DDF">
        <w:t xml:space="preserve"> </w:t>
      </w:r>
      <w:r w:rsidR="00FD5944">
        <w:t xml:space="preserve">phase </w:t>
      </w:r>
      <w:r w:rsidR="00047015" w:rsidRPr="00247DDF">
        <w:t xml:space="preserve">(direct and transferred entry patients): </w:t>
      </w:r>
      <w:proofErr w:type="spellStart"/>
      <w:r w:rsidR="00047015" w:rsidRPr="00247DDF">
        <w:t>esketamine</w:t>
      </w:r>
      <w:proofErr w:type="spellEnd"/>
      <w:r w:rsidR="00047015" w:rsidRPr="00247DDF">
        <w:t xml:space="preserve"> 28 mg, 56 mg or 84 mg </w:t>
      </w:r>
      <w:r w:rsidR="00FD5944">
        <w:t xml:space="preserve">was administered </w:t>
      </w:r>
      <w:r w:rsidR="00047015" w:rsidRPr="00247DDF">
        <w:t>for 4 weeks, then weekly or every other week up to 48 weeks with option of down-titration as per treatment algorithm.</w:t>
      </w:r>
    </w:p>
    <w:p w14:paraId="4EA1DBA1" w14:textId="66CBD101" w:rsidR="00247DDF" w:rsidRDefault="00247DDF" w:rsidP="00247DDF">
      <w:pPr>
        <w:pStyle w:val="Heading6"/>
        <w:rPr>
          <w:lang w:eastAsia="ja-JP"/>
        </w:rPr>
      </w:pPr>
      <w:r>
        <w:rPr>
          <w:lang w:eastAsia="ja-JP"/>
        </w:rPr>
        <w:t>Main objectives and endpoints</w:t>
      </w:r>
    </w:p>
    <w:p w14:paraId="1839ACBB" w14:textId="4FF66971" w:rsidR="00247DDF" w:rsidRPr="00247DDF" w:rsidRDefault="00247DDF" w:rsidP="00247DDF">
      <w:r w:rsidRPr="00247DDF">
        <w:t>The main objectives were to assess long-term safety, tolerability</w:t>
      </w:r>
      <w:r>
        <w:t xml:space="preserve"> (</w:t>
      </w:r>
      <w:r w:rsidRPr="00247DDF">
        <w:t>primary</w:t>
      </w:r>
      <w:r>
        <w:t xml:space="preserve"> objective)</w:t>
      </w:r>
      <w:r w:rsidRPr="00247DDF">
        <w:t xml:space="preserve"> and efficacy (secondary objective) of intranasal </w:t>
      </w:r>
      <w:proofErr w:type="spellStart"/>
      <w:r w:rsidRPr="00247DDF">
        <w:t>esketamine</w:t>
      </w:r>
      <w:proofErr w:type="spellEnd"/>
      <w:r w:rsidRPr="00247DDF">
        <w:t xml:space="preserve"> + a newly initiate</w:t>
      </w:r>
      <w:r w:rsidR="00587393">
        <w:t xml:space="preserve">d oral </w:t>
      </w:r>
      <w:r w:rsidR="00FD5944">
        <w:t xml:space="preserve">antidepressant </w:t>
      </w:r>
      <w:r w:rsidR="00587393">
        <w:t>in subjects with TRD.</w:t>
      </w:r>
    </w:p>
    <w:p w14:paraId="26DD4BD8" w14:textId="74847655" w:rsidR="00247DDF" w:rsidRPr="00247DDF" w:rsidRDefault="00247DDF" w:rsidP="00247DDF">
      <w:r>
        <w:t>The primary endpoint</w:t>
      </w:r>
      <w:r w:rsidR="00587393">
        <w:t xml:space="preserve"> </w:t>
      </w:r>
      <w:r w:rsidRPr="00247DDF">
        <w:t>was about safety/tolerability</w:t>
      </w:r>
      <w:r>
        <w:t xml:space="preserve"> (see ‘</w:t>
      </w:r>
      <w:r w:rsidRPr="00247DDF">
        <w:rPr>
          <w:i/>
        </w:rPr>
        <w:fldChar w:fldCharType="begin"/>
      </w:r>
      <w:r w:rsidRPr="00247DDF">
        <w:rPr>
          <w:i/>
        </w:rPr>
        <w:instrText xml:space="preserve"> REF _Ref69795222 \h </w:instrText>
      </w:r>
      <w:r>
        <w:rPr>
          <w:i/>
        </w:rPr>
        <w:instrText xml:space="preserve"> \* MERGEFORMAT </w:instrText>
      </w:r>
      <w:r w:rsidRPr="00247DDF">
        <w:rPr>
          <w:i/>
        </w:rPr>
      </w:r>
      <w:r w:rsidRPr="00247DDF">
        <w:rPr>
          <w:i/>
        </w:rPr>
        <w:fldChar w:fldCharType="separate"/>
      </w:r>
      <w:r w:rsidR="003938C9" w:rsidRPr="003938C9">
        <w:rPr>
          <w:i/>
        </w:rPr>
        <w:t>Safety</w:t>
      </w:r>
      <w:r w:rsidRPr="00247DDF">
        <w:rPr>
          <w:i/>
        </w:rPr>
        <w:fldChar w:fldCharType="end"/>
      </w:r>
      <w:r>
        <w:t>’ section, below).</w:t>
      </w:r>
    </w:p>
    <w:p w14:paraId="0734A30F" w14:textId="210A16DC" w:rsidR="00247DDF" w:rsidRPr="00247DDF" w:rsidRDefault="004444B5" w:rsidP="00247DDF">
      <w:r>
        <w:t>The s</w:t>
      </w:r>
      <w:r w:rsidR="00247DDF" w:rsidRPr="00247DDF">
        <w:t xml:space="preserve">econdary </w:t>
      </w:r>
      <w:r>
        <w:t xml:space="preserve">endpoints </w:t>
      </w:r>
      <w:r w:rsidR="00247DDF" w:rsidRPr="00247DDF">
        <w:t>(across phases) w</w:t>
      </w:r>
      <w:r w:rsidR="00374C35">
        <w:t>ere</w:t>
      </w:r>
      <w:r w:rsidR="00247DDF" w:rsidRPr="00247DDF">
        <w:t>:</w:t>
      </w:r>
    </w:p>
    <w:p w14:paraId="096035B1" w14:textId="287C6FAB" w:rsidR="00247DDF" w:rsidRPr="00247DDF" w:rsidRDefault="00374C35" w:rsidP="004444B5">
      <w:pPr>
        <w:pStyle w:val="ListBullet"/>
        <w:rPr>
          <w:lang w:val="en-GB"/>
        </w:rPr>
      </w:pPr>
      <w:r>
        <w:rPr>
          <w:lang w:val="en-GB"/>
        </w:rPr>
        <w:lastRenderedPageBreak/>
        <w:t xml:space="preserve">the </w:t>
      </w:r>
      <w:r w:rsidR="000B5BD7">
        <w:rPr>
          <w:lang w:val="en-GB"/>
        </w:rPr>
        <w:t>c</w:t>
      </w:r>
      <w:r w:rsidR="00247DDF" w:rsidRPr="00247DDF">
        <w:rPr>
          <w:lang w:val="en-GB"/>
        </w:rPr>
        <w:t>hange fr</w:t>
      </w:r>
      <w:r w:rsidR="004444B5">
        <w:rPr>
          <w:lang w:val="en-GB"/>
        </w:rPr>
        <w:t>om B</w:t>
      </w:r>
      <w:r w:rsidR="00247DDF" w:rsidRPr="00247DDF">
        <w:rPr>
          <w:lang w:val="en-GB"/>
        </w:rPr>
        <w:t xml:space="preserve">aseline of either phase for: MADRS, PHQ-9, </w:t>
      </w:r>
      <w:r w:rsidR="004444B5">
        <w:rPr>
          <w:lang w:val="en-GB"/>
        </w:rPr>
        <w:t>Clinical Global Impressions-Severity scale (</w:t>
      </w:r>
      <w:r w:rsidR="00247DDF" w:rsidRPr="00247DDF">
        <w:rPr>
          <w:lang w:val="en-GB"/>
        </w:rPr>
        <w:t>CGI-S</w:t>
      </w:r>
      <w:r w:rsidR="004444B5">
        <w:rPr>
          <w:lang w:val="en-GB"/>
        </w:rPr>
        <w:t>)</w:t>
      </w:r>
      <w:r w:rsidR="00247DDF" w:rsidRPr="00247DDF">
        <w:rPr>
          <w:lang w:val="en-GB"/>
        </w:rPr>
        <w:t xml:space="preserve">, </w:t>
      </w:r>
      <w:r w:rsidR="004444B5" w:rsidRPr="004444B5">
        <w:rPr>
          <w:lang w:val="en-GB"/>
        </w:rPr>
        <w:t>General Anxiety Disorder-7</w:t>
      </w:r>
      <w:r w:rsidR="004444B5">
        <w:rPr>
          <w:lang w:val="en-GB"/>
        </w:rPr>
        <w:t xml:space="preserve"> (</w:t>
      </w:r>
      <w:r w:rsidR="00247DDF" w:rsidRPr="00247DDF">
        <w:rPr>
          <w:lang w:val="en-GB"/>
        </w:rPr>
        <w:t>GAD-7</w:t>
      </w:r>
      <w:r w:rsidR="004444B5">
        <w:rPr>
          <w:lang w:val="en-GB"/>
        </w:rPr>
        <w:t>)</w:t>
      </w:r>
      <w:r w:rsidR="00247DDF" w:rsidRPr="00247DDF">
        <w:rPr>
          <w:lang w:val="en-GB"/>
        </w:rPr>
        <w:t xml:space="preserve">, </w:t>
      </w:r>
      <w:r w:rsidR="004444B5">
        <w:rPr>
          <w:lang w:val="en-GB"/>
        </w:rPr>
        <w:t xml:space="preserve">5-level </w:t>
      </w:r>
      <w:proofErr w:type="spellStart"/>
      <w:r w:rsidR="004444B5" w:rsidRPr="004444B5">
        <w:rPr>
          <w:lang w:val="en-GB"/>
        </w:rPr>
        <w:t>EuroQol</w:t>
      </w:r>
      <w:proofErr w:type="spellEnd"/>
      <w:r w:rsidR="004444B5" w:rsidRPr="004444B5">
        <w:rPr>
          <w:lang w:val="en-GB"/>
        </w:rPr>
        <w:t xml:space="preserve"> 5 dimensions</w:t>
      </w:r>
      <w:r w:rsidR="004444B5">
        <w:rPr>
          <w:lang w:val="en-GB"/>
        </w:rPr>
        <w:t xml:space="preserve"> (</w:t>
      </w:r>
      <w:r w:rsidR="00247DDF" w:rsidRPr="00247DDF">
        <w:rPr>
          <w:lang w:val="en-GB"/>
        </w:rPr>
        <w:t>EQ-5D-5L</w:t>
      </w:r>
      <w:r w:rsidR="004444B5">
        <w:rPr>
          <w:lang w:val="en-GB"/>
        </w:rPr>
        <w:t>)</w:t>
      </w:r>
      <w:r w:rsidR="00247DDF" w:rsidRPr="00247DDF">
        <w:rPr>
          <w:lang w:val="en-GB"/>
        </w:rPr>
        <w:t xml:space="preserve"> </w:t>
      </w:r>
      <w:r w:rsidR="004444B5">
        <w:rPr>
          <w:lang w:val="en-GB"/>
        </w:rPr>
        <w:t>and SDS;</w:t>
      </w:r>
      <w:r>
        <w:rPr>
          <w:lang w:val="en-GB"/>
        </w:rPr>
        <w:t xml:space="preserve"> and</w:t>
      </w:r>
    </w:p>
    <w:p w14:paraId="7EE985C0" w14:textId="2BEF8F97" w:rsidR="00047015" w:rsidRDefault="00374C35" w:rsidP="004444B5">
      <w:pPr>
        <w:pStyle w:val="ListBullet"/>
        <w:rPr>
          <w:lang w:val="en-GB"/>
        </w:rPr>
      </w:pPr>
      <w:r>
        <w:rPr>
          <w:lang w:val="en-GB"/>
        </w:rPr>
        <w:t xml:space="preserve">the </w:t>
      </w:r>
      <w:r w:rsidR="00247DDF" w:rsidRPr="00247DDF">
        <w:rPr>
          <w:lang w:val="en-GB"/>
        </w:rPr>
        <w:t xml:space="preserve">MADRS and PHQ-9 response and remission rates over time, from </w:t>
      </w:r>
      <w:r w:rsidR="004444B5">
        <w:rPr>
          <w:lang w:val="en-GB"/>
        </w:rPr>
        <w:t>the open label</w:t>
      </w:r>
      <w:r w:rsidR="00247DDF" w:rsidRPr="00247DDF">
        <w:rPr>
          <w:lang w:val="en-GB"/>
        </w:rPr>
        <w:t xml:space="preserve"> induction baseline.</w:t>
      </w:r>
    </w:p>
    <w:p w14:paraId="2A03919F" w14:textId="1AE1C79F" w:rsidR="004444B5" w:rsidRDefault="004444B5" w:rsidP="004444B5">
      <w:pPr>
        <w:pStyle w:val="Heading6"/>
      </w:pPr>
      <w:r>
        <w:t>Results</w:t>
      </w:r>
    </w:p>
    <w:p w14:paraId="19E6460F" w14:textId="5F3F1FE9" w:rsidR="004444B5" w:rsidRDefault="004444B5" w:rsidP="004444B5">
      <w:r>
        <w:t>MADRS optimisation/maintenance:</w:t>
      </w:r>
    </w:p>
    <w:p w14:paraId="321A7E73" w14:textId="0BDF47B9" w:rsidR="004444B5" w:rsidRDefault="00374C35" w:rsidP="004444B5">
      <w:pPr>
        <w:pStyle w:val="ListBullet"/>
      </w:pPr>
      <w:r>
        <w:t>f</w:t>
      </w:r>
      <w:r w:rsidR="004444B5">
        <w:t>or the total score, the mean change from Baseline to endpoint was -1.7 points at Week 48 (n = 139) and 0.3 points at endpoint (n = 603);</w:t>
      </w:r>
    </w:p>
    <w:p w14:paraId="504B98E0" w14:textId="2559DC2F" w:rsidR="004444B5" w:rsidRDefault="00374C35" w:rsidP="004444B5">
      <w:pPr>
        <w:pStyle w:val="ListBullet"/>
      </w:pPr>
      <w:r>
        <w:t>r</w:t>
      </w:r>
      <w:r w:rsidR="004444B5">
        <w:t>egarding response, it was 89.2% (n</w:t>
      </w:r>
      <w:r w:rsidR="00BA7E5E">
        <w:t xml:space="preserve"> = 124 out of </w:t>
      </w:r>
      <w:r w:rsidR="004444B5">
        <w:t>139</w:t>
      </w:r>
      <w:r w:rsidR="00BA7E5E">
        <w:t>) at Week 48 and 76.5% (n</w:t>
      </w:r>
      <w:r>
        <w:t> </w:t>
      </w:r>
      <w:r w:rsidR="00BA7E5E">
        <w:t>=</w:t>
      </w:r>
      <w:r>
        <w:t> </w:t>
      </w:r>
      <w:r w:rsidR="00BA7E5E">
        <w:t xml:space="preserve">461 out of </w:t>
      </w:r>
      <w:r w:rsidR="004444B5">
        <w:t>603) at endpoint;</w:t>
      </w:r>
      <w:r>
        <w:t xml:space="preserve"> and</w:t>
      </w:r>
    </w:p>
    <w:p w14:paraId="24884293" w14:textId="2B890184" w:rsidR="004444B5" w:rsidRDefault="00374C35" w:rsidP="004444B5">
      <w:pPr>
        <w:pStyle w:val="ListBullet"/>
      </w:pPr>
      <w:r>
        <w:t>f</w:t>
      </w:r>
      <w:r w:rsidR="004444B5">
        <w:t>or r</w:t>
      </w:r>
      <w:r w:rsidR="00BA7E5E">
        <w:t xml:space="preserve">emission, it was 55.7% (n = 325 out of </w:t>
      </w:r>
      <w:r w:rsidR="004444B5">
        <w:t>583)</w:t>
      </w:r>
      <w:r w:rsidR="00BA7E5E">
        <w:t xml:space="preserve"> at Week 1 versus 68.3% (n = 95 out of </w:t>
      </w:r>
      <w:r w:rsidR="004444B5">
        <w:t>139</w:t>
      </w:r>
      <w:r w:rsidR="00BA7E5E">
        <w:t xml:space="preserve">) at Week 48 and 58.2% (n = 351 out of </w:t>
      </w:r>
      <w:r w:rsidR="004444B5">
        <w:t>603) at endpoint.</w:t>
      </w:r>
    </w:p>
    <w:p w14:paraId="243AAC1E" w14:textId="086333A8" w:rsidR="004444B5" w:rsidRDefault="004444B5" w:rsidP="004444B5">
      <w:r>
        <w:t>For other measures, similar patterns of improvement for CGI-S, PHQ-9, GAD-7, SDS and EQ-5D-5L were observed.</w:t>
      </w:r>
    </w:p>
    <w:p w14:paraId="62B3CF63" w14:textId="06BB6678" w:rsidR="004444B5" w:rsidRPr="004444B5" w:rsidRDefault="004444B5" w:rsidP="004444B5">
      <w:r>
        <w:t>Sub-group analysis by age-group revealed low changes in mean MADRS total scores from maintenance Baseline to study endpoint across age-groups: 18 to 44 years = -0.2; 45</w:t>
      </w:r>
      <w:r w:rsidR="00374C35">
        <w:t> </w:t>
      </w:r>
      <w:r>
        <w:t>to</w:t>
      </w:r>
      <w:r w:rsidR="00374C35">
        <w:t> </w:t>
      </w:r>
      <w:r>
        <w:t>64</w:t>
      </w:r>
      <w:r w:rsidR="00374C35">
        <w:t> </w:t>
      </w:r>
      <w:r>
        <w:t>years = 0.1; 65 to 74 years = 1.6 and 75 years or older (n = 13) = 3.3.</w:t>
      </w:r>
    </w:p>
    <w:p w14:paraId="5FBD0A83" w14:textId="77777777" w:rsidR="00047015" w:rsidRPr="00621E4D" w:rsidRDefault="00E97AAD" w:rsidP="00621E4D">
      <w:pPr>
        <w:pStyle w:val="Heading5"/>
      </w:pPr>
      <w:bookmarkStart w:id="58" w:name="_Toc31895307"/>
      <w:bookmarkStart w:id="59" w:name="_Ref69799520"/>
      <w:r>
        <w:t>Clinical evaluator’s</w:t>
      </w:r>
      <w:r w:rsidR="00047015" w:rsidRPr="00C02596">
        <w:t xml:space="preserve"> overall </w:t>
      </w:r>
      <w:bookmarkStart w:id="60" w:name="_Toc26209891"/>
      <w:r w:rsidR="00047015" w:rsidRPr="00C02596">
        <w:t>conclusions on clinical efficacy</w:t>
      </w:r>
      <w:bookmarkEnd w:id="58"/>
      <w:bookmarkEnd w:id="59"/>
      <w:bookmarkEnd w:id="60"/>
    </w:p>
    <w:p w14:paraId="724935DA" w14:textId="5BCF8619" w:rsidR="00047015" w:rsidRPr="00621E4D" w:rsidRDefault="00047015" w:rsidP="00621E4D">
      <w:pPr>
        <w:pStyle w:val="ListBullet"/>
      </w:pPr>
      <w:r w:rsidRPr="00621E4D">
        <w:t>T</w:t>
      </w:r>
      <w:r w:rsidR="00BA7E5E">
        <w:t>he clinical dossier included 5 P</w:t>
      </w:r>
      <w:r w:rsidR="004444B5">
        <w:t>hase III trials in TRD. Four</w:t>
      </w:r>
      <w:r w:rsidRPr="00621E4D">
        <w:t xml:space="preserve"> were pivotal (</w:t>
      </w:r>
      <w:r w:rsidR="004444B5">
        <w:t>three induction (n = 720)</w:t>
      </w:r>
      <w:r w:rsidRPr="00621E4D">
        <w:t xml:space="preserve">, </w:t>
      </w:r>
      <w:r w:rsidR="00BA7E5E">
        <w:t>one</w:t>
      </w:r>
      <w:r w:rsidRPr="00621E4D">
        <w:t xml:space="preserve"> </w:t>
      </w:r>
      <w:r w:rsidR="004444B5">
        <w:t>maintenance/re</w:t>
      </w:r>
      <w:r w:rsidR="00BA7E5E">
        <w:t>lapse-prevention (n =</w:t>
      </w:r>
      <w:r w:rsidR="003938C9">
        <w:t xml:space="preserve"> </w:t>
      </w:r>
      <w:r w:rsidR="00BA7E5E">
        <w:t>705)) and one</w:t>
      </w:r>
      <w:r w:rsidR="004444B5">
        <w:t xml:space="preserve"> was open label, with 1 year of safety data (n = 802).</w:t>
      </w:r>
    </w:p>
    <w:p w14:paraId="7DA3EC78" w14:textId="4C8B7F65" w:rsidR="00047015" w:rsidRPr="00621E4D" w:rsidRDefault="00047015" w:rsidP="00621E4D">
      <w:pPr>
        <w:pStyle w:val="ListBullet"/>
      </w:pPr>
      <w:r w:rsidRPr="00621E4D">
        <w:t xml:space="preserve">In </w:t>
      </w:r>
      <w:r w:rsidR="004444B5">
        <w:t>the double blind</w:t>
      </w:r>
      <w:r w:rsidRPr="00621E4D">
        <w:t xml:space="preserve"> induction studies, only </w:t>
      </w:r>
      <w:r w:rsidR="004444B5">
        <w:t xml:space="preserve">Study </w:t>
      </w:r>
      <w:r w:rsidRPr="00621E4D">
        <w:t xml:space="preserve">TRD3002 demonstrated statistical superiority of flexible-dosing of intranasal </w:t>
      </w:r>
      <w:proofErr w:type="spellStart"/>
      <w:r w:rsidRPr="00621E4D">
        <w:t>esketamine</w:t>
      </w:r>
      <w:proofErr w:type="spellEnd"/>
      <w:r w:rsidRPr="00621E4D">
        <w:t xml:space="preserve"> + oral </w:t>
      </w:r>
      <w:r w:rsidR="00374C35">
        <w:t xml:space="preserve">antidepressant </w:t>
      </w:r>
      <w:r w:rsidRPr="00621E4D">
        <w:t xml:space="preserve">over oral </w:t>
      </w:r>
      <w:r w:rsidR="00374C35">
        <w:t xml:space="preserve">antidepressant </w:t>
      </w:r>
      <w:r w:rsidRPr="00621E4D">
        <w:t xml:space="preserve">+ intranasal placebo treatment. The other </w:t>
      </w:r>
      <w:r w:rsidR="004444B5">
        <w:t>two</w:t>
      </w:r>
      <w:r w:rsidRPr="00621E4D">
        <w:t xml:space="preserve"> pivotal induction studies (including elderly subjects in </w:t>
      </w:r>
      <w:r w:rsidR="004444B5">
        <w:t xml:space="preserve">Study </w:t>
      </w:r>
      <w:r w:rsidRPr="00621E4D">
        <w:t xml:space="preserve">TRD3005) were negative. No meta-analysis of the </w:t>
      </w:r>
      <w:r w:rsidR="004444B5">
        <w:t>double blind</w:t>
      </w:r>
      <w:r w:rsidRPr="00621E4D">
        <w:t xml:space="preserve"> induction studies was undertaken.</w:t>
      </w:r>
    </w:p>
    <w:p w14:paraId="14B3B69A" w14:textId="02E16ACD" w:rsidR="00047015" w:rsidRPr="00621E4D" w:rsidRDefault="00047015" w:rsidP="00621E4D">
      <w:pPr>
        <w:pStyle w:val="ListBullet"/>
      </w:pPr>
      <w:r w:rsidRPr="00621E4D">
        <w:t>In comparison, the maintenance/relapse prevention study (</w:t>
      </w:r>
      <w:r w:rsidR="004444B5">
        <w:t xml:space="preserve">Study </w:t>
      </w:r>
      <w:r w:rsidRPr="00621E4D">
        <w:t xml:space="preserve">TRD3003) achieved a statistically significant and clinically meaningful reduction in relapse rate, when intranasal </w:t>
      </w:r>
      <w:proofErr w:type="spellStart"/>
      <w:r w:rsidRPr="00621E4D">
        <w:t>esketamine</w:t>
      </w:r>
      <w:proofErr w:type="spellEnd"/>
      <w:r w:rsidRPr="00621E4D">
        <w:t xml:space="preserve"> + oral </w:t>
      </w:r>
      <w:r w:rsidR="00374C35">
        <w:t xml:space="preserve">antidepressant </w:t>
      </w:r>
      <w:r w:rsidRPr="00621E4D">
        <w:t xml:space="preserve">is compared with intranasal placebo + oral </w:t>
      </w:r>
      <w:r w:rsidR="00374C35">
        <w:t>antidepressant</w:t>
      </w:r>
      <w:r w:rsidRPr="00621E4D">
        <w:t>.</w:t>
      </w:r>
    </w:p>
    <w:p w14:paraId="4D70E0ED" w14:textId="7790605D" w:rsidR="00047015" w:rsidRDefault="00047015" w:rsidP="00621E4D">
      <w:pPr>
        <w:pStyle w:val="ListBullet"/>
      </w:pPr>
      <w:r w:rsidRPr="00621E4D">
        <w:t xml:space="preserve">Furthermore, long-term sustained efficacy of intranasal </w:t>
      </w:r>
      <w:proofErr w:type="spellStart"/>
      <w:r w:rsidRPr="00621E4D">
        <w:t>esketamine</w:t>
      </w:r>
      <w:proofErr w:type="spellEnd"/>
      <w:r w:rsidRPr="00621E4D">
        <w:t xml:space="preserve"> + oral </w:t>
      </w:r>
      <w:r w:rsidR="00374C35">
        <w:t xml:space="preserve">antidepressant </w:t>
      </w:r>
      <w:r w:rsidRPr="00621E4D">
        <w:t xml:space="preserve">was demonstrated in </w:t>
      </w:r>
      <w:r w:rsidR="004444B5">
        <w:t xml:space="preserve">Study </w:t>
      </w:r>
      <w:r w:rsidRPr="00621E4D">
        <w:t>TRD3004, involving adults and elderly subjects at both once</w:t>
      </w:r>
      <w:r w:rsidR="004444B5">
        <w:t xml:space="preserve"> </w:t>
      </w:r>
      <w:r w:rsidRPr="00621E4D">
        <w:t>a</w:t>
      </w:r>
      <w:r w:rsidR="004444B5">
        <w:t xml:space="preserve"> </w:t>
      </w:r>
      <w:r w:rsidRPr="00621E4D">
        <w:t xml:space="preserve">week and, alternate week </w:t>
      </w:r>
      <w:proofErr w:type="spellStart"/>
      <w:r w:rsidRPr="00621E4D">
        <w:t>esketamine</w:t>
      </w:r>
      <w:proofErr w:type="spellEnd"/>
      <w:r w:rsidRPr="00621E4D">
        <w:t xml:space="preserve"> dosing regimens.</w:t>
      </w:r>
    </w:p>
    <w:p w14:paraId="38569712" w14:textId="705C117F" w:rsidR="00861A14" w:rsidRPr="00621E4D" w:rsidRDefault="00861A14" w:rsidP="00861A14">
      <w:pPr>
        <w:pStyle w:val="ListBullet"/>
      </w:pPr>
      <w:r w:rsidRPr="004724B9">
        <w:t xml:space="preserve">The rationale for preferential selection of flexible-dose regimens in the </w:t>
      </w:r>
      <w:r>
        <w:t>double blind</w:t>
      </w:r>
      <w:r w:rsidRPr="004724B9">
        <w:t xml:space="preserve"> induction studies over conventional fixed-dose regimens appeared to be based on a pragmatic ‘real-life’ treatment approach, mainly based on concomitant ECT treatment of TRD with an oral </w:t>
      </w:r>
      <w:r w:rsidR="00374C35">
        <w:t>antidepressant</w:t>
      </w:r>
      <w:r w:rsidRPr="004724B9">
        <w:t xml:space="preserve">. Given that the pharmacological treatment options for TRD are extremely limited, </w:t>
      </w:r>
      <w:r>
        <w:t>the clinical</w:t>
      </w:r>
      <w:r w:rsidRPr="004724B9">
        <w:t xml:space="preserve"> evaluator considers it more important to clearly establish the efficacy (and safety) of the proposed individual </w:t>
      </w:r>
      <w:proofErr w:type="spellStart"/>
      <w:r w:rsidRPr="004724B9">
        <w:t>esketamine</w:t>
      </w:r>
      <w:proofErr w:type="spellEnd"/>
      <w:r w:rsidRPr="004724B9">
        <w:t xml:space="preserve"> dose regimens for TRD in a fixed-dose trial, before undertaking flexible-dose trials. In this application, efficacy was not adequately demonstrated in StudyTRD3001, the only fixed-dose study</w:t>
      </w:r>
      <w:r>
        <w:t>.</w:t>
      </w:r>
    </w:p>
    <w:p w14:paraId="7E71B9AA" w14:textId="461CCBED" w:rsidR="00047015" w:rsidRPr="00621E4D" w:rsidRDefault="00047015" w:rsidP="00621E4D">
      <w:pPr>
        <w:pStyle w:val="ListBullet"/>
      </w:pPr>
      <w:r w:rsidRPr="00621E4D">
        <w:t>The main issues of contention are in respect of the following:</w:t>
      </w:r>
    </w:p>
    <w:p w14:paraId="6BEC993B" w14:textId="6754BE1F" w:rsidR="00047015" w:rsidRDefault="00047015" w:rsidP="00621E4D">
      <w:pPr>
        <w:pStyle w:val="ListBullet2"/>
        <w:rPr>
          <w:lang w:val="en-GB"/>
        </w:rPr>
      </w:pPr>
      <w:r>
        <w:t>The greatest impact on study validity a</w:t>
      </w:r>
      <w:r w:rsidR="004444B5">
        <w:t>nd generalisability across the P</w:t>
      </w:r>
      <w:r>
        <w:t xml:space="preserve">hase III clinical studies, was related to the use of a new oral </w:t>
      </w:r>
      <w:r w:rsidR="00374C35">
        <w:t xml:space="preserve">antidepressant </w:t>
      </w:r>
      <w:r>
        <w:t xml:space="preserve">as active comparator in the 2 treatment arms of the adjunctive design </w:t>
      </w:r>
      <w:r w:rsidR="004444B5">
        <w:t>that is,</w:t>
      </w:r>
      <w:r>
        <w:t xml:space="preserve"> intranasal </w:t>
      </w:r>
      <w:proofErr w:type="spellStart"/>
      <w:r>
        <w:lastRenderedPageBreak/>
        <w:t>esketamine</w:t>
      </w:r>
      <w:proofErr w:type="spellEnd"/>
      <w:r>
        <w:t xml:space="preserve"> + oral </w:t>
      </w:r>
      <w:r w:rsidR="00374C35">
        <w:t xml:space="preserve">antidepressant </w:t>
      </w:r>
      <w:r>
        <w:t xml:space="preserve">and intranasal placebo +oral </w:t>
      </w:r>
      <w:r w:rsidR="00374C35">
        <w:t xml:space="preserve">antidepressant </w:t>
      </w:r>
      <w:r>
        <w:t xml:space="preserve">groups. </w:t>
      </w:r>
      <w:r>
        <w:rPr>
          <w:lang w:val="en-GB"/>
        </w:rPr>
        <w:t xml:space="preserve">An adjunctive design does not ordinarily allow for an estimation of background (placebo) effects, but may allow for an approximation of the contribution of the experimental drug (intranasal </w:t>
      </w:r>
      <w:proofErr w:type="spellStart"/>
      <w:r>
        <w:rPr>
          <w:lang w:val="en-GB"/>
        </w:rPr>
        <w:t>esketamine</w:t>
      </w:r>
      <w:proofErr w:type="spellEnd"/>
      <w:r>
        <w:rPr>
          <w:lang w:val="en-GB"/>
        </w:rPr>
        <w:t xml:space="preserve">) </w:t>
      </w:r>
      <w:r w:rsidR="004444B5">
        <w:rPr>
          <w:lang w:val="en-GB"/>
        </w:rPr>
        <w:t>versus</w:t>
      </w:r>
      <w:r>
        <w:rPr>
          <w:lang w:val="en-GB"/>
        </w:rPr>
        <w:t xml:space="preserve"> the contribution of the active control (SSRI or SNRI)</w:t>
      </w:r>
      <w:r w:rsidRPr="00257BB6">
        <w:rPr>
          <w:lang w:val="en-GB"/>
        </w:rPr>
        <w:t xml:space="preserve"> </w:t>
      </w:r>
      <w:r>
        <w:rPr>
          <w:lang w:val="en-GB"/>
        </w:rPr>
        <w:t xml:space="preserve">in MDD. However, this is only true provided the contribution of the oral </w:t>
      </w:r>
      <w:r w:rsidR="00374C35">
        <w:t xml:space="preserve">antidepressant </w:t>
      </w:r>
      <w:r>
        <w:rPr>
          <w:lang w:val="en-GB"/>
        </w:rPr>
        <w:t xml:space="preserve">is established prior to randomised </w:t>
      </w:r>
      <w:r w:rsidR="00E343A5">
        <w:rPr>
          <w:lang w:val="en-GB"/>
        </w:rPr>
        <w:t>double blind</w:t>
      </w:r>
      <w:r>
        <w:rPr>
          <w:lang w:val="en-GB"/>
        </w:rPr>
        <w:t xml:space="preserve"> treatment</w:t>
      </w:r>
      <w:r w:rsidRPr="009B7DAC">
        <w:rPr>
          <w:lang w:val="en-GB"/>
        </w:rPr>
        <w:t xml:space="preserve">. Since 100% patients in the </w:t>
      </w:r>
      <w:r w:rsidR="00BA7E5E">
        <w:rPr>
          <w:lang w:val="en-GB"/>
        </w:rPr>
        <w:t>double blind</w:t>
      </w:r>
      <w:r w:rsidRPr="009B7DAC">
        <w:rPr>
          <w:lang w:val="en-GB"/>
        </w:rPr>
        <w:t xml:space="preserve"> induction studies received a newly initiated oral </w:t>
      </w:r>
      <w:r w:rsidR="00374C35">
        <w:t xml:space="preserve">antidepressant </w:t>
      </w:r>
      <w:r w:rsidRPr="009B7DAC">
        <w:rPr>
          <w:lang w:val="en-GB"/>
        </w:rPr>
        <w:t xml:space="preserve">at randomisation, their contribution towards treatment effect could not be established in these subjects during the </w:t>
      </w:r>
      <w:r w:rsidR="00E343A5">
        <w:rPr>
          <w:lang w:val="en-GB"/>
        </w:rPr>
        <w:t>double blind</w:t>
      </w:r>
      <w:r w:rsidRPr="009B7DAC">
        <w:rPr>
          <w:lang w:val="en-GB"/>
        </w:rPr>
        <w:t xml:space="preserve"> treatment phase, as the new oral </w:t>
      </w:r>
      <w:r w:rsidR="00374C35">
        <w:t xml:space="preserve">antidepressant </w:t>
      </w:r>
      <w:r w:rsidRPr="009B7DAC">
        <w:rPr>
          <w:lang w:val="en-GB"/>
        </w:rPr>
        <w:t xml:space="preserve">would be expected to have a major confounding effect on the study results, potentially adversely affecting both their internal and </w:t>
      </w:r>
      <w:r w:rsidR="00E343A5">
        <w:rPr>
          <w:lang w:val="en-GB"/>
        </w:rPr>
        <w:t>external validity. The planned P</w:t>
      </w:r>
      <w:r w:rsidRPr="009B7DAC">
        <w:rPr>
          <w:lang w:val="en-GB"/>
        </w:rPr>
        <w:t>hase II study</w:t>
      </w:r>
      <w:r>
        <w:rPr>
          <w:lang w:val="en-GB"/>
        </w:rPr>
        <w:t xml:space="preserve"> for the Japanese market (</w:t>
      </w:r>
      <w:r w:rsidR="00E343A5">
        <w:rPr>
          <w:lang w:val="en-GB"/>
        </w:rPr>
        <w:t xml:space="preserve">Study </w:t>
      </w:r>
      <w:r>
        <w:rPr>
          <w:lang w:val="en-GB"/>
        </w:rPr>
        <w:t>TRD2005), has a more acceptable design and is consistent with the design of an adjunctive aripiprazole-fluoxetine combination that led to registration of the combination in MDD in the US.</w:t>
      </w:r>
      <w:r w:rsidR="00E343A5">
        <w:rPr>
          <w:rStyle w:val="FootnoteReference"/>
          <w:lang w:val="en-GB"/>
        </w:rPr>
        <w:footnoteReference w:id="30"/>
      </w:r>
    </w:p>
    <w:p w14:paraId="6EBF4A9E" w14:textId="115CD784" w:rsidR="00047015" w:rsidRDefault="00047015" w:rsidP="00621E4D">
      <w:pPr>
        <w:pStyle w:val="ListBullet2"/>
      </w:pPr>
      <w:r>
        <w:t xml:space="preserve">The role and treatment effect of intranasal </w:t>
      </w:r>
      <w:proofErr w:type="spellStart"/>
      <w:r>
        <w:t>esketamine</w:t>
      </w:r>
      <w:proofErr w:type="spellEnd"/>
      <w:r>
        <w:t xml:space="preserve"> treatment in acute episodes (as monotherapy or adjunctive tre</w:t>
      </w:r>
      <w:r w:rsidR="00E343A5">
        <w:t>atment) are unknown, since the Phase II and P</w:t>
      </w:r>
      <w:r>
        <w:t xml:space="preserve">hase III clinical development programs for intranasal </w:t>
      </w:r>
      <w:proofErr w:type="spellStart"/>
      <w:r>
        <w:t>esketamine</w:t>
      </w:r>
      <w:proofErr w:type="spellEnd"/>
      <w:r>
        <w:t xml:space="preserve"> selected part</w:t>
      </w:r>
      <w:r w:rsidR="00E343A5">
        <w:t>icipants with chronic TRD. The s</w:t>
      </w:r>
      <w:r>
        <w:t>ponsor cl</w:t>
      </w:r>
      <w:r w:rsidR="00BA7E5E">
        <w:t>aims in its justification to co</w:t>
      </w:r>
      <w:r w:rsidR="00BA7E5E">
        <w:noBreakHyphen/>
      </w:r>
      <w:r>
        <w:t xml:space="preserve">administer a new oral </w:t>
      </w:r>
      <w:r w:rsidR="00374C35">
        <w:t xml:space="preserve">antidepressant </w:t>
      </w:r>
      <w:r>
        <w:t xml:space="preserve">at the same time as intranasal </w:t>
      </w:r>
      <w:proofErr w:type="spellStart"/>
      <w:r>
        <w:t>esketamine</w:t>
      </w:r>
      <w:proofErr w:type="spellEnd"/>
      <w:r>
        <w:t xml:space="preserve">, that it would be unacceptable practice for participants to receive placebo treatment or an ineffective </w:t>
      </w:r>
      <w:r w:rsidR="00374C35">
        <w:t xml:space="preserve">antidepressant </w:t>
      </w:r>
      <w:r>
        <w:t xml:space="preserve">treatment in acute episodes of MDD/TRD. That argument is not disputed. However, since the mean duration of the current episode for subjects in the </w:t>
      </w:r>
      <w:r w:rsidR="00E343A5">
        <w:t>double blind</w:t>
      </w:r>
      <w:r>
        <w:t xml:space="preserve"> induction </w:t>
      </w:r>
      <w:r w:rsidRPr="00FE0893">
        <w:t>subjects ranged from 114.6 to 215.8 weeks, the</w:t>
      </w:r>
      <w:r>
        <w:t xml:space="preserve"> </w:t>
      </w:r>
      <w:r w:rsidR="00E343A5">
        <w:t>double blind</w:t>
      </w:r>
      <w:r>
        <w:t xml:space="preserve"> induction studies did not effectively investigate intranasal </w:t>
      </w:r>
      <w:proofErr w:type="spellStart"/>
      <w:r>
        <w:t>esketamine</w:t>
      </w:r>
      <w:proofErr w:type="spellEnd"/>
      <w:r>
        <w:t xml:space="preserve"> treatments in acute episodes of MDD/TRD </w:t>
      </w:r>
      <w:r w:rsidRPr="005300D1">
        <w:rPr>
          <w:i/>
        </w:rPr>
        <w:t>per</w:t>
      </w:r>
      <w:r w:rsidR="00374C35">
        <w:rPr>
          <w:i/>
        </w:rPr>
        <w:t> </w:t>
      </w:r>
      <w:r w:rsidRPr="005300D1">
        <w:rPr>
          <w:i/>
        </w:rPr>
        <w:t>se</w:t>
      </w:r>
      <w:r>
        <w:t xml:space="preserve">. Hence, it would not have been unreasonable to have continued a prior </w:t>
      </w:r>
      <w:r w:rsidR="00E343A5">
        <w:t>open label</w:t>
      </w:r>
      <w:r>
        <w:t xml:space="preserve"> oral AD into the </w:t>
      </w:r>
      <w:r w:rsidR="00E343A5">
        <w:t>double blind</w:t>
      </w:r>
      <w:r>
        <w:t xml:space="preserve"> induction phase of treatment as per the dose</w:t>
      </w:r>
      <w:r w:rsidR="00374C35">
        <w:noBreakHyphen/>
      </w:r>
      <w:r>
        <w:t>range study (</w:t>
      </w:r>
      <w:r w:rsidR="00E343A5">
        <w:t>Study TRD2003) and other P</w:t>
      </w:r>
      <w:r>
        <w:t xml:space="preserve">hase II studies, including </w:t>
      </w:r>
      <w:r w:rsidR="00E343A5">
        <w:t>Study</w:t>
      </w:r>
      <w:r w:rsidR="00374C35">
        <w:t> </w:t>
      </w:r>
      <w:r>
        <w:t>TRD2005, which is planned for the J</w:t>
      </w:r>
      <w:r w:rsidR="00E343A5">
        <w:t xml:space="preserve">apanese market and allows for 6 </w:t>
      </w:r>
      <w:r>
        <w:t xml:space="preserve">weeks exposure to the newly initiated oral </w:t>
      </w:r>
      <w:r w:rsidR="00374C35">
        <w:t xml:space="preserve">antidepressant </w:t>
      </w:r>
      <w:r>
        <w:t xml:space="preserve">prior to </w:t>
      </w:r>
      <w:r w:rsidR="00E343A5">
        <w:t>double blind</w:t>
      </w:r>
      <w:r>
        <w:t xml:space="preserve"> randomised treatment.</w:t>
      </w:r>
    </w:p>
    <w:p w14:paraId="3B9E75AD" w14:textId="4683DA79" w:rsidR="00047015" w:rsidRDefault="00E343A5" w:rsidP="00621E4D">
      <w:pPr>
        <w:pStyle w:val="ListBullet2"/>
        <w:rPr>
          <w:lang w:val="en-GB"/>
        </w:rPr>
      </w:pPr>
      <w:r>
        <w:rPr>
          <w:lang w:val="en-GB"/>
        </w:rPr>
        <w:t>Interim analyses</w:t>
      </w:r>
      <w:r w:rsidR="00047015" w:rsidRPr="0011556D">
        <w:rPr>
          <w:lang w:val="en-GB"/>
        </w:rPr>
        <w:t xml:space="preserve"> were undertaken in </w:t>
      </w:r>
      <w:r w:rsidR="00BA7E5E">
        <w:rPr>
          <w:lang w:val="en-GB"/>
        </w:rPr>
        <w:t>two</w:t>
      </w:r>
      <w:r w:rsidR="00047015" w:rsidRPr="0011556D">
        <w:rPr>
          <w:lang w:val="en-GB"/>
        </w:rPr>
        <w:t xml:space="preserve"> </w:t>
      </w:r>
      <w:r>
        <w:rPr>
          <w:lang w:val="en-GB"/>
        </w:rPr>
        <w:t>double blind</w:t>
      </w:r>
      <w:r w:rsidR="00047015" w:rsidRPr="0011556D">
        <w:rPr>
          <w:lang w:val="en-GB"/>
        </w:rPr>
        <w:t xml:space="preserve"> induction studies (</w:t>
      </w:r>
      <w:r w:rsidR="003938C9">
        <w:rPr>
          <w:lang w:val="en-GB"/>
        </w:rPr>
        <w:t>Studies </w:t>
      </w:r>
      <w:r w:rsidR="00047015" w:rsidRPr="0011556D">
        <w:rPr>
          <w:lang w:val="en-GB"/>
        </w:rPr>
        <w:t xml:space="preserve">TRD3001 and TRD3005) and the </w:t>
      </w:r>
      <w:r>
        <w:rPr>
          <w:lang w:val="en-GB"/>
        </w:rPr>
        <w:t>maintenance</w:t>
      </w:r>
      <w:r w:rsidR="00047015" w:rsidRPr="0011556D">
        <w:rPr>
          <w:lang w:val="en-GB"/>
        </w:rPr>
        <w:t>-relapse prevention study (</w:t>
      </w:r>
      <w:r>
        <w:rPr>
          <w:lang w:val="en-GB"/>
        </w:rPr>
        <w:t xml:space="preserve">Study </w:t>
      </w:r>
      <w:r w:rsidR="00047015" w:rsidRPr="0011556D">
        <w:rPr>
          <w:lang w:val="en-GB"/>
        </w:rPr>
        <w:t xml:space="preserve">TRD3003). In the former </w:t>
      </w:r>
      <w:r>
        <w:rPr>
          <w:lang w:val="en-GB"/>
        </w:rPr>
        <w:t>two</w:t>
      </w:r>
      <w:r w:rsidR="00047015" w:rsidRPr="0011556D">
        <w:rPr>
          <w:lang w:val="en-GB"/>
        </w:rPr>
        <w:t xml:space="preserve"> induction studies</w:t>
      </w:r>
      <w:r w:rsidR="00047015">
        <w:rPr>
          <w:lang w:val="en-GB"/>
        </w:rPr>
        <w:t>,</w:t>
      </w:r>
      <w:r w:rsidR="00047015" w:rsidRPr="0011556D">
        <w:rPr>
          <w:lang w:val="en-GB"/>
        </w:rPr>
        <w:t xml:space="preserve"> a statistically significant treatment by stage effect for the primary effi</w:t>
      </w:r>
      <w:r>
        <w:rPr>
          <w:lang w:val="en-GB"/>
        </w:rPr>
        <w:t>cacy analysis was demonstrated that is,</w:t>
      </w:r>
      <w:r w:rsidR="00047015" w:rsidRPr="0011556D">
        <w:rPr>
          <w:lang w:val="en-GB"/>
        </w:rPr>
        <w:t xml:space="preserve"> pre-</w:t>
      </w:r>
      <w:r w:rsidR="00374C35">
        <w:rPr>
          <w:lang w:val="en-GB"/>
        </w:rPr>
        <w:t>interim analysis</w:t>
      </w:r>
      <w:r w:rsidR="00047015" w:rsidRPr="0011556D">
        <w:rPr>
          <w:lang w:val="en-GB"/>
        </w:rPr>
        <w:t xml:space="preserve"> (stage 1) </w:t>
      </w:r>
      <w:r>
        <w:rPr>
          <w:lang w:val="en-GB"/>
        </w:rPr>
        <w:t>versus</w:t>
      </w:r>
      <w:r w:rsidR="00047015" w:rsidRPr="0011556D">
        <w:rPr>
          <w:lang w:val="en-GB"/>
        </w:rPr>
        <w:t xml:space="preserve"> post-</w:t>
      </w:r>
      <w:r w:rsidR="00374C35">
        <w:rPr>
          <w:lang w:val="en-GB"/>
        </w:rPr>
        <w:t>interim analysis</w:t>
      </w:r>
      <w:r w:rsidR="00047015" w:rsidRPr="0011556D">
        <w:rPr>
          <w:lang w:val="en-GB"/>
        </w:rPr>
        <w:t xml:space="preserve"> (stage 2). A </w:t>
      </w:r>
      <w:r w:rsidR="00047015" w:rsidRPr="0011556D">
        <w:rPr>
          <w:i/>
          <w:lang w:val="en-GB"/>
        </w:rPr>
        <w:t>post</w:t>
      </w:r>
      <w:r w:rsidR="00374C35">
        <w:rPr>
          <w:i/>
          <w:lang w:val="en-GB"/>
        </w:rPr>
        <w:t> </w:t>
      </w:r>
      <w:r w:rsidR="00047015" w:rsidRPr="0011556D">
        <w:rPr>
          <w:i/>
          <w:lang w:val="en-GB"/>
        </w:rPr>
        <w:t>hoc</w:t>
      </w:r>
      <w:r w:rsidR="00047015" w:rsidRPr="0011556D">
        <w:rPr>
          <w:lang w:val="en-GB"/>
        </w:rPr>
        <w:t xml:space="preserve"> analysis in </w:t>
      </w:r>
      <w:r>
        <w:rPr>
          <w:lang w:val="en-GB"/>
        </w:rPr>
        <w:t xml:space="preserve">Study </w:t>
      </w:r>
      <w:r w:rsidR="00047015" w:rsidRPr="0011556D">
        <w:rPr>
          <w:lang w:val="en-GB"/>
        </w:rPr>
        <w:t xml:space="preserve">TRD3002 revealed a similar apparent treatment effect. While the latter may lend support to the </w:t>
      </w:r>
      <w:r w:rsidR="00374C35">
        <w:rPr>
          <w:lang w:val="en-GB"/>
        </w:rPr>
        <w:t>interim analysis</w:t>
      </w:r>
      <w:r w:rsidR="00374C35" w:rsidRPr="0011556D">
        <w:rPr>
          <w:lang w:val="en-GB"/>
        </w:rPr>
        <w:t xml:space="preserve"> </w:t>
      </w:r>
      <w:r w:rsidR="00047015" w:rsidRPr="0011556D">
        <w:rPr>
          <w:lang w:val="en-GB"/>
        </w:rPr>
        <w:t xml:space="preserve">process not adversely affecting the primary efficacy results, some other as yet ill-defined factor </w:t>
      </w:r>
      <w:r w:rsidR="00047015">
        <w:rPr>
          <w:lang w:val="en-GB"/>
        </w:rPr>
        <w:t>appears to have</w:t>
      </w:r>
      <w:r w:rsidR="00047015" w:rsidRPr="0011556D">
        <w:rPr>
          <w:lang w:val="en-GB"/>
        </w:rPr>
        <w:t xml:space="preserve"> been</w:t>
      </w:r>
      <w:r>
        <w:rPr>
          <w:lang w:val="en-GB"/>
        </w:rPr>
        <w:t xml:space="preserve"> introduced across the pivotal P</w:t>
      </w:r>
      <w:r w:rsidR="00047015" w:rsidRPr="0011556D">
        <w:rPr>
          <w:lang w:val="en-GB"/>
        </w:rPr>
        <w:t>hase III efficacy studies</w:t>
      </w:r>
      <w:r w:rsidR="00047015">
        <w:rPr>
          <w:lang w:val="en-GB"/>
        </w:rPr>
        <w:t xml:space="preserve"> that</w:t>
      </w:r>
      <w:r w:rsidR="00047015" w:rsidRPr="0011556D">
        <w:rPr>
          <w:lang w:val="en-GB"/>
        </w:rPr>
        <w:t xml:space="preserve"> has markedly increased the treatment difference that favours </w:t>
      </w:r>
      <w:proofErr w:type="spellStart"/>
      <w:r w:rsidR="00047015" w:rsidRPr="0011556D">
        <w:rPr>
          <w:lang w:val="en-GB"/>
        </w:rPr>
        <w:t>esketamine</w:t>
      </w:r>
      <w:proofErr w:type="spellEnd"/>
      <w:r w:rsidR="00047015" w:rsidRPr="0011556D">
        <w:rPr>
          <w:lang w:val="en-GB"/>
        </w:rPr>
        <w:t xml:space="preserve"> treatments over placebo treatments. </w:t>
      </w:r>
      <w:r w:rsidR="00047015">
        <w:rPr>
          <w:lang w:val="en-GB"/>
        </w:rPr>
        <w:t>I</w:t>
      </w:r>
      <w:r w:rsidR="00047015" w:rsidRPr="0011556D">
        <w:rPr>
          <w:lang w:val="en-GB"/>
        </w:rPr>
        <w:t>n the absence of further explanation, the treatment effect by stage should be regarded with a high index of suspicion.</w:t>
      </w:r>
    </w:p>
    <w:p w14:paraId="49154570" w14:textId="76B62A34" w:rsidR="00047015" w:rsidRPr="00621E4D" w:rsidRDefault="00E343A5" w:rsidP="008E1890">
      <w:pPr>
        <w:pStyle w:val="ListBullet2"/>
        <w:rPr>
          <w:lang w:val="en-GB"/>
        </w:rPr>
      </w:pPr>
      <w:r>
        <w:rPr>
          <w:lang w:val="en-GB"/>
        </w:rPr>
        <w:t>The s</w:t>
      </w:r>
      <w:r w:rsidR="00047015">
        <w:rPr>
          <w:lang w:val="en-GB"/>
        </w:rPr>
        <w:t>ponsor defined a clinically meaningful result as at least 2.0 units for the LS</w:t>
      </w:r>
      <w:r w:rsidR="00374C35">
        <w:rPr>
          <w:lang w:val="en-GB"/>
        </w:rPr>
        <w:t> </w:t>
      </w:r>
      <w:r w:rsidR="00047015">
        <w:rPr>
          <w:lang w:val="en-GB"/>
        </w:rPr>
        <w:t xml:space="preserve">mean treatment differences in MADRS total scores between intranasal </w:t>
      </w:r>
      <w:proofErr w:type="spellStart"/>
      <w:r w:rsidR="00047015">
        <w:rPr>
          <w:lang w:val="en-GB"/>
        </w:rPr>
        <w:t>esketamine</w:t>
      </w:r>
      <w:proofErr w:type="spellEnd"/>
      <w:r w:rsidR="00047015">
        <w:rPr>
          <w:lang w:val="en-GB"/>
        </w:rPr>
        <w:t xml:space="preserve"> + oral </w:t>
      </w:r>
      <w:r w:rsidR="00374C35">
        <w:t xml:space="preserve">antidepressant </w:t>
      </w:r>
      <w:r w:rsidR="00047015">
        <w:rPr>
          <w:lang w:val="en-GB"/>
        </w:rPr>
        <w:t>and intranasal placebo</w:t>
      </w:r>
      <w:r w:rsidR="00047015" w:rsidRPr="009704F0">
        <w:rPr>
          <w:lang w:val="en-GB"/>
        </w:rPr>
        <w:t xml:space="preserve"> </w:t>
      </w:r>
      <w:r w:rsidR="00047015">
        <w:rPr>
          <w:lang w:val="en-GB"/>
        </w:rPr>
        <w:t xml:space="preserve">+ oral </w:t>
      </w:r>
      <w:r w:rsidR="00374C35">
        <w:t>antidepressant</w:t>
      </w:r>
      <w:r w:rsidR="00047015">
        <w:rPr>
          <w:lang w:val="en-GB"/>
        </w:rPr>
        <w:t xml:space="preserve">. This difference in treatment magnitude is generally consistent with approved </w:t>
      </w:r>
      <w:r w:rsidR="00B61A08">
        <w:t xml:space="preserve">antidepressants </w:t>
      </w:r>
      <w:r w:rsidR="00047015">
        <w:rPr>
          <w:lang w:val="en-GB"/>
        </w:rPr>
        <w:t xml:space="preserve">as monotherapy in short-term studies in MDD and, would be </w:t>
      </w:r>
      <w:r w:rsidR="00047015">
        <w:rPr>
          <w:lang w:val="en-GB"/>
        </w:rPr>
        <w:lastRenderedPageBreak/>
        <w:t>acceptable in a TRD pop</w:t>
      </w:r>
      <w:r>
        <w:rPr>
          <w:lang w:val="en-GB"/>
        </w:rPr>
        <w:t>ulation. Across the P</w:t>
      </w:r>
      <w:r w:rsidR="00047015">
        <w:rPr>
          <w:lang w:val="en-GB"/>
        </w:rPr>
        <w:t xml:space="preserve">hase III </w:t>
      </w:r>
      <w:r>
        <w:rPr>
          <w:lang w:val="en-GB"/>
        </w:rPr>
        <w:t>double blind</w:t>
      </w:r>
      <w:r w:rsidR="00047015">
        <w:rPr>
          <w:lang w:val="en-GB"/>
        </w:rPr>
        <w:t xml:space="preserve"> induction studies in TRD, a clinically significant treatment effect of at least 2.0 units in LS means was observed for the primary and secondary efficacy endpoints, providing robust clinical evidence of a treatment effect of intranasal </w:t>
      </w:r>
      <w:proofErr w:type="spellStart"/>
      <w:r w:rsidR="00047015">
        <w:rPr>
          <w:lang w:val="en-GB"/>
        </w:rPr>
        <w:t>esketamine</w:t>
      </w:r>
      <w:proofErr w:type="spellEnd"/>
      <w:r w:rsidR="00047015">
        <w:rPr>
          <w:lang w:val="en-GB"/>
        </w:rPr>
        <w:t xml:space="preserve"> + oral </w:t>
      </w:r>
      <w:r w:rsidR="00374C35">
        <w:t xml:space="preserve">antidepressant </w:t>
      </w:r>
      <w:r w:rsidR="00047015">
        <w:rPr>
          <w:lang w:val="en-GB"/>
        </w:rPr>
        <w:t>over intranasal placebo</w:t>
      </w:r>
      <w:r w:rsidR="00047015" w:rsidRPr="009704F0">
        <w:rPr>
          <w:lang w:val="en-GB"/>
        </w:rPr>
        <w:t xml:space="preserve"> </w:t>
      </w:r>
      <w:r w:rsidR="00047015">
        <w:rPr>
          <w:lang w:val="en-GB"/>
        </w:rPr>
        <w:t xml:space="preserve">+ oral </w:t>
      </w:r>
      <w:r w:rsidR="00374C35">
        <w:t>antidepressant</w:t>
      </w:r>
      <w:r w:rsidR="00047015">
        <w:rPr>
          <w:lang w:val="en-GB"/>
        </w:rPr>
        <w:t>. However, these clinically meaningful differences were not in general supported by the corresponding statistical comparisons, si</w:t>
      </w:r>
      <w:r>
        <w:rPr>
          <w:lang w:val="en-GB"/>
        </w:rPr>
        <w:t>nce only 1 of 3 of the pivotal P</w:t>
      </w:r>
      <w:r w:rsidR="00047015">
        <w:rPr>
          <w:lang w:val="en-GB"/>
        </w:rPr>
        <w:t xml:space="preserve">hase III induction studies demonstrated statistical separation that favoured intranasal </w:t>
      </w:r>
      <w:proofErr w:type="spellStart"/>
      <w:r w:rsidR="00047015">
        <w:rPr>
          <w:lang w:val="en-GB"/>
        </w:rPr>
        <w:t>esketamine</w:t>
      </w:r>
      <w:proofErr w:type="spellEnd"/>
      <w:r w:rsidR="00047015">
        <w:rPr>
          <w:lang w:val="en-GB"/>
        </w:rPr>
        <w:t xml:space="preserve"> + oral </w:t>
      </w:r>
      <w:r w:rsidR="00B61A08">
        <w:t xml:space="preserve">antidepressant </w:t>
      </w:r>
      <w:r w:rsidR="00047015">
        <w:rPr>
          <w:lang w:val="en-GB"/>
        </w:rPr>
        <w:t>treatment over intranasal placebo treatment +</w:t>
      </w:r>
      <w:r w:rsidR="00047015" w:rsidRPr="009704F0">
        <w:rPr>
          <w:lang w:val="en-GB"/>
        </w:rPr>
        <w:t xml:space="preserve"> </w:t>
      </w:r>
      <w:r w:rsidR="00621E4D">
        <w:rPr>
          <w:lang w:val="en-GB"/>
        </w:rPr>
        <w:t xml:space="preserve">oral </w:t>
      </w:r>
      <w:r w:rsidR="00B61A08">
        <w:t>antidepressant</w:t>
      </w:r>
      <w:r w:rsidR="00621E4D">
        <w:rPr>
          <w:lang w:val="en-GB"/>
        </w:rPr>
        <w:t>.</w:t>
      </w:r>
    </w:p>
    <w:p w14:paraId="5015C07D" w14:textId="5F3E6524" w:rsidR="008E1890" w:rsidRDefault="008E1890" w:rsidP="006D0C09">
      <w:pPr>
        <w:pStyle w:val="Heading4"/>
      </w:pPr>
      <w:bookmarkStart w:id="61" w:name="_Ref69795222"/>
      <w:r w:rsidRPr="006D0C09">
        <w:t>Safety</w:t>
      </w:r>
      <w:bookmarkEnd w:id="61"/>
    </w:p>
    <w:p w14:paraId="77BAEE57" w14:textId="646274C8" w:rsidR="00E343A5" w:rsidRPr="00E343A5" w:rsidRDefault="00E343A5" w:rsidP="00E343A5">
      <w:r>
        <w:t>The safety studies consisted of:</w:t>
      </w:r>
    </w:p>
    <w:p w14:paraId="56B7BBF4" w14:textId="497CFD12" w:rsidR="005C660B" w:rsidRPr="00E343A5" w:rsidRDefault="00CF18E7" w:rsidP="00E343A5">
      <w:pPr>
        <w:pStyle w:val="ListBullet"/>
        <w:rPr>
          <w:b/>
        </w:rPr>
      </w:pPr>
      <w:r>
        <w:t>Two intranasal studies:</w:t>
      </w:r>
    </w:p>
    <w:p w14:paraId="145E7B7E" w14:textId="6E0311EC" w:rsidR="005C660B" w:rsidRPr="006330DF" w:rsidRDefault="00B61A08" w:rsidP="00E343A5">
      <w:pPr>
        <w:pStyle w:val="ListBullet2"/>
      </w:pPr>
      <w:r>
        <w:t xml:space="preserve">Study </w:t>
      </w:r>
      <w:r w:rsidR="00E343A5">
        <w:t>ESKETINTRD3004 (</w:t>
      </w:r>
      <w:r>
        <w:t xml:space="preserve">a </w:t>
      </w:r>
      <w:r w:rsidR="00E343A5">
        <w:t>P</w:t>
      </w:r>
      <w:r w:rsidR="005C660B" w:rsidRPr="006330DF">
        <w:t xml:space="preserve">hase III, long-term </w:t>
      </w:r>
      <w:r w:rsidR="00E343A5">
        <w:t>open label</w:t>
      </w:r>
      <w:r w:rsidR="005C660B" w:rsidRPr="006330DF">
        <w:t xml:space="preserve"> safety</w:t>
      </w:r>
      <w:r>
        <w:t xml:space="preserve">, </w:t>
      </w:r>
      <w:r w:rsidR="005C660B">
        <w:t>tolerability</w:t>
      </w:r>
      <w:r>
        <w:t xml:space="preserve">, and </w:t>
      </w:r>
      <w:r w:rsidR="005C660B">
        <w:t>efficacy</w:t>
      </w:r>
      <w:r>
        <w:t xml:space="preserve"> study</w:t>
      </w:r>
      <w:r w:rsidR="00E343A5">
        <w:t xml:space="preserve">) referred to as Study </w:t>
      </w:r>
      <w:r w:rsidR="005C660B" w:rsidRPr="006330DF">
        <w:t>T</w:t>
      </w:r>
      <w:r w:rsidR="00E343A5">
        <w:t>RD3004 (described above in ‘</w:t>
      </w:r>
      <w:r w:rsidR="00E343A5" w:rsidRPr="00E343A5">
        <w:rPr>
          <w:i/>
        </w:rPr>
        <w:fldChar w:fldCharType="begin"/>
      </w:r>
      <w:r w:rsidR="00E343A5" w:rsidRPr="00E343A5">
        <w:rPr>
          <w:i/>
        </w:rPr>
        <w:instrText xml:space="preserve"> REF _Ref69793917 \h </w:instrText>
      </w:r>
      <w:r w:rsidR="00E343A5">
        <w:rPr>
          <w:i/>
        </w:rPr>
        <w:instrText xml:space="preserve"> \* MERGEFORMAT </w:instrText>
      </w:r>
      <w:r w:rsidR="00E343A5" w:rsidRPr="00E343A5">
        <w:rPr>
          <w:i/>
        </w:rPr>
      </w:r>
      <w:r w:rsidR="00E343A5" w:rsidRPr="00E343A5">
        <w:rPr>
          <w:i/>
        </w:rPr>
        <w:fldChar w:fldCharType="separate"/>
      </w:r>
      <w:r w:rsidR="003938C9" w:rsidRPr="003938C9">
        <w:rPr>
          <w:i/>
          <w:lang w:val="en-GB"/>
        </w:rPr>
        <w:t>Open label study</w:t>
      </w:r>
      <w:r w:rsidR="00E343A5" w:rsidRPr="00E343A5">
        <w:rPr>
          <w:i/>
        </w:rPr>
        <w:fldChar w:fldCharType="end"/>
      </w:r>
      <w:r w:rsidR="00E343A5">
        <w:t>’);</w:t>
      </w:r>
    </w:p>
    <w:p w14:paraId="2C90BB8F" w14:textId="6C35CCE6" w:rsidR="005C660B" w:rsidRDefault="00B61A08" w:rsidP="00E343A5">
      <w:pPr>
        <w:pStyle w:val="ListBullet2"/>
      </w:pPr>
      <w:r>
        <w:t xml:space="preserve">Study </w:t>
      </w:r>
      <w:r w:rsidR="00E343A5">
        <w:t>ESKETINTRD2003 (</w:t>
      </w:r>
      <w:r>
        <w:t xml:space="preserve">a </w:t>
      </w:r>
      <w:r w:rsidR="00E343A5">
        <w:t>P</w:t>
      </w:r>
      <w:r w:rsidR="005C660B" w:rsidRPr="006330DF">
        <w:t>hase II</w:t>
      </w:r>
      <w:r w:rsidR="00E343A5">
        <w:t>, dose-ranging</w:t>
      </w:r>
      <w:r w:rsidR="000B5BD7">
        <w:t xml:space="preserve"> study</w:t>
      </w:r>
      <w:r w:rsidR="00E343A5">
        <w:t>) referred to as Study</w:t>
      </w:r>
      <w:r>
        <w:t> </w:t>
      </w:r>
      <w:r w:rsidR="00E343A5">
        <w:t>TRD2003.</w:t>
      </w:r>
    </w:p>
    <w:p w14:paraId="65AD6529" w14:textId="565B705C" w:rsidR="005C660B" w:rsidRPr="006330DF" w:rsidRDefault="005C660B" w:rsidP="00E343A5">
      <w:pPr>
        <w:pStyle w:val="ListBullet"/>
      </w:pPr>
      <w:r w:rsidRPr="006330DF">
        <w:t xml:space="preserve">Two intravenous </w:t>
      </w:r>
      <w:r>
        <w:t>studies:</w:t>
      </w:r>
    </w:p>
    <w:p w14:paraId="7BED921D" w14:textId="5C7FC117" w:rsidR="005C660B" w:rsidRPr="009327E5" w:rsidRDefault="00B61A08" w:rsidP="00E343A5">
      <w:pPr>
        <w:pStyle w:val="ListBullet2"/>
      </w:pPr>
      <w:bookmarkStart w:id="62" w:name="_Hlk534894840"/>
      <w:r>
        <w:t xml:space="preserve">Study </w:t>
      </w:r>
      <w:r w:rsidR="00E343A5">
        <w:t>ESKETIVTRD2001 (P</w:t>
      </w:r>
      <w:r w:rsidR="005C660B" w:rsidRPr="009327E5">
        <w:t xml:space="preserve">hase II, with IV </w:t>
      </w:r>
      <w:proofErr w:type="spellStart"/>
      <w:r w:rsidR="005C660B" w:rsidRPr="009327E5">
        <w:t>esket</w:t>
      </w:r>
      <w:r w:rsidR="00E343A5">
        <w:t>amine</w:t>
      </w:r>
      <w:proofErr w:type="spellEnd"/>
      <w:r w:rsidR="00E343A5">
        <w:t>) referred to as Study</w:t>
      </w:r>
      <w:r>
        <w:t> </w:t>
      </w:r>
      <w:r w:rsidR="00E343A5">
        <w:t>TRD2001</w:t>
      </w:r>
    </w:p>
    <w:bookmarkEnd w:id="62"/>
    <w:p w14:paraId="2295CCE5" w14:textId="1E70CB23" w:rsidR="005C660B" w:rsidRPr="009327E5" w:rsidRDefault="00E343A5" w:rsidP="00E343A5">
      <w:pPr>
        <w:pStyle w:val="ListBullet2"/>
      </w:pPr>
      <w:r>
        <w:t>KETIVTRD2002 (P</w:t>
      </w:r>
      <w:r w:rsidR="005C660B" w:rsidRPr="009327E5">
        <w:t>hase II, wi</w:t>
      </w:r>
      <w:r>
        <w:t>th IV ketamine) referred to as Study TRD2002</w:t>
      </w:r>
    </w:p>
    <w:p w14:paraId="6A342478" w14:textId="40E6952B" w:rsidR="005C660B" w:rsidRPr="00F03893" w:rsidRDefault="005C660B" w:rsidP="00CF18E7">
      <w:pPr>
        <w:pStyle w:val="ListBullet"/>
      </w:pPr>
      <w:r w:rsidRPr="00F03893">
        <w:t>One intranasal</w:t>
      </w:r>
      <w:r>
        <w:t xml:space="preserve"> study in</w:t>
      </w:r>
      <w:r w:rsidRPr="00F03893">
        <w:rPr>
          <w:rFonts w:asciiTheme="minorHAnsi" w:eastAsiaTheme="minorHAnsi" w:hAnsiTheme="minorHAnsi" w:cs="TimesNewRoman"/>
          <w:lang w:val="en-GB" w:eastAsia="en-AU"/>
        </w:rPr>
        <w:t xml:space="preserve"> </w:t>
      </w:r>
      <w:r w:rsidRPr="00F03893">
        <w:t>MDSI:</w:t>
      </w:r>
    </w:p>
    <w:p w14:paraId="4BC2BBD3" w14:textId="7EC72541" w:rsidR="005C660B" w:rsidRDefault="00B61A08" w:rsidP="00CF18E7">
      <w:pPr>
        <w:pStyle w:val="ListBullet2"/>
      </w:pPr>
      <w:bookmarkStart w:id="63" w:name="_Hlk534894780"/>
      <w:r>
        <w:t xml:space="preserve">Study </w:t>
      </w:r>
      <w:r w:rsidR="00CF18E7">
        <w:t>ESKETINSUI2001 (</w:t>
      </w:r>
      <w:r>
        <w:t xml:space="preserve">a </w:t>
      </w:r>
      <w:r w:rsidR="00CF18E7">
        <w:t>P</w:t>
      </w:r>
      <w:r w:rsidR="005C660B" w:rsidRPr="00F03893">
        <w:t>hase II, proof-of-concept</w:t>
      </w:r>
      <w:r>
        <w:t xml:space="preserve"> study</w:t>
      </w:r>
      <w:r w:rsidR="005C660B" w:rsidRPr="00F03893">
        <w:t xml:space="preserve">) referred to as </w:t>
      </w:r>
      <w:r w:rsidR="00CF18E7">
        <w:t>Study</w:t>
      </w:r>
      <w:r>
        <w:t> </w:t>
      </w:r>
      <w:r w:rsidR="005C660B" w:rsidRPr="00F03893">
        <w:t>SUI2001</w:t>
      </w:r>
      <w:bookmarkEnd w:id="63"/>
    </w:p>
    <w:p w14:paraId="5A13928C" w14:textId="76E9CA05" w:rsidR="00047015" w:rsidRPr="00CF18E7" w:rsidRDefault="00047015" w:rsidP="00CF18E7">
      <w:r w:rsidRPr="00CF18E7">
        <w:t xml:space="preserve">Safety data are available for 2,321 patients, who received at least </w:t>
      </w:r>
      <w:r w:rsidR="00CF18E7">
        <w:t>one</w:t>
      </w:r>
      <w:r w:rsidRPr="00CF18E7">
        <w:t xml:space="preserve"> dose of </w:t>
      </w:r>
      <w:proofErr w:type="spellStart"/>
      <w:r w:rsidRPr="00CF18E7">
        <w:t>esketamine</w:t>
      </w:r>
      <w:proofErr w:type="spellEnd"/>
      <w:r w:rsidRPr="00CF18E7">
        <w:t xml:space="preserve"> nasal spray across co</w:t>
      </w:r>
      <w:r w:rsidR="00CF18E7">
        <w:t>mpleted P</w:t>
      </w:r>
      <w:r w:rsidRPr="00CF18E7">
        <w:t xml:space="preserve">hase I, II and III clinical studies. In the </w:t>
      </w:r>
      <w:r w:rsidR="00CF18E7">
        <w:t>six completed Phase </w:t>
      </w:r>
      <w:r w:rsidRPr="00CF18E7">
        <w:t xml:space="preserve">II and III studies in subjects with TRD, 1708 subjects received at least one dose of </w:t>
      </w:r>
      <w:proofErr w:type="spellStart"/>
      <w:r w:rsidRPr="00CF18E7">
        <w:t>esketamine</w:t>
      </w:r>
      <w:proofErr w:type="spellEnd"/>
      <w:r w:rsidRPr="00CF18E7">
        <w:t xml:space="preserve">, and 432 subjects received at least one dose of oral </w:t>
      </w:r>
      <w:r w:rsidR="00B61A08">
        <w:t xml:space="preserve">antidepressant </w:t>
      </w:r>
      <w:r w:rsidRPr="00CF18E7">
        <w:t xml:space="preserve">+ placebo (cumulative </w:t>
      </w:r>
      <w:proofErr w:type="spellStart"/>
      <w:r w:rsidRPr="00CF18E7">
        <w:t>esketamine</w:t>
      </w:r>
      <w:proofErr w:type="spellEnd"/>
      <w:r w:rsidRPr="00CF18E7">
        <w:t xml:space="preserve"> exposure 611 patient-years; cumulative ex</w:t>
      </w:r>
      <w:r w:rsidR="00CF18E7">
        <w:t xml:space="preserve">posure to oral </w:t>
      </w:r>
      <w:r w:rsidR="00B61A08">
        <w:t xml:space="preserve">antidepressant </w:t>
      </w:r>
      <w:r w:rsidR="00CF18E7">
        <w:t>+ placebo 108 patient-years). In the P</w:t>
      </w:r>
      <w:r w:rsidRPr="00CF18E7">
        <w:t xml:space="preserve">hase III program, 479 subjects received </w:t>
      </w:r>
      <w:proofErr w:type="spellStart"/>
      <w:r w:rsidRPr="00CF18E7">
        <w:t>esketamine</w:t>
      </w:r>
      <w:proofErr w:type="spellEnd"/>
      <w:r w:rsidRPr="00CF18E7">
        <w:t xml:space="preserve"> for at least 6 months and 178 for at le</w:t>
      </w:r>
      <w:r w:rsidR="00CF18E7">
        <w:t>ast 12 months. Subjects in the P</w:t>
      </w:r>
      <w:r w:rsidRPr="00CF18E7">
        <w:t>hase II and III clinical programs in TRD were representative of patients commonly seen in psychiatric clinical practice an</w:t>
      </w:r>
      <w:r w:rsidR="00CF18E7">
        <w:t>d a population with MDD or TRD.</w:t>
      </w:r>
    </w:p>
    <w:p w14:paraId="16AC83B8" w14:textId="0F5E6867" w:rsidR="00047015" w:rsidRPr="00CF18E7" w:rsidRDefault="00CF18E7" w:rsidP="00CF18E7">
      <w:r>
        <w:t>Across the P</w:t>
      </w:r>
      <w:r w:rsidR="00047015" w:rsidRPr="00CF18E7">
        <w:t xml:space="preserve">hase III studies in TRD, intranasal </w:t>
      </w:r>
      <w:proofErr w:type="spellStart"/>
      <w:r w:rsidR="00047015" w:rsidRPr="00CF18E7">
        <w:t>esketamine</w:t>
      </w:r>
      <w:proofErr w:type="spellEnd"/>
      <w:r w:rsidR="00047015" w:rsidRPr="00CF18E7">
        <w:t xml:space="preserve"> + oral </w:t>
      </w:r>
      <w:r w:rsidR="00B61A08">
        <w:t xml:space="preserve">antidepressant </w:t>
      </w:r>
      <w:r w:rsidR="00047015" w:rsidRPr="00CF18E7">
        <w:t xml:space="preserve">appeared to have a consistent and tolerable safety profile, with generally low reported numbers of deaths, </w:t>
      </w:r>
      <w:r>
        <w:t>serious adverse events (</w:t>
      </w:r>
      <w:r w:rsidR="00047015" w:rsidRPr="00CF18E7">
        <w:t>SAEs</w:t>
      </w:r>
      <w:r>
        <w:t>)</w:t>
      </w:r>
      <w:r w:rsidR="00047015" w:rsidRPr="00CF18E7">
        <w:t xml:space="preserve">, severe </w:t>
      </w:r>
      <w:r>
        <w:t>treatment emergent adverse events (</w:t>
      </w:r>
      <w:r w:rsidR="00047015" w:rsidRPr="00CF18E7">
        <w:t>TEAEs</w:t>
      </w:r>
      <w:r>
        <w:t>)</w:t>
      </w:r>
      <w:r w:rsidR="00047015" w:rsidRPr="00CF18E7">
        <w:t xml:space="preserve"> and TEAEs that led to discontinuation of study drug, with no major differences in incidence from the oral </w:t>
      </w:r>
      <w:r w:rsidR="00B61A08">
        <w:t xml:space="preserve">antidepressant </w:t>
      </w:r>
      <w:r w:rsidR="00047015" w:rsidRPr="00CF18E7">
        <w:t xml:space="preserve">+ intranasal placebo comparison groups, with the exception of discontinuations. Rates of discontinuation of intranasal </w:t>
      </w:r>
      <w:proofErr w:type="spellStart"/>
      <w:r w:rsidR="00047015" w:rsidRPr="00CF18E7">
        <w:t>esketamine</w:t>
      </w:r>
      <w:proofErr w:type="spellEnd"/>
      <w:r w:rsidR="00047015" w:rsidRPr="00CF18E7">
        <w:t xml:space="preserve"> treatment due to TEAEs were generally highest early in the course of treatment and became more evenly distributed with long-term exposure, in both elderly and younger adult subpopulations. The relatively low rates of discontinuation due to TEAEs in the o</w:t>
      </w:r>
      <w:r>
        <w:t xml:space="preserve">ral </w:t>
      </w:r>
      <w:r w:rsidR="00B61A08">
        <w:t xml:space="preserve">antidepressant </w:t>
      </w:r>
      <w:r>
        <w:t>+ placebo groups of the P</w:t>
      </w:r>
      <w:r w:rsidR="00047015" w:rsidRPr="00CF18E7">
        <w:t xml:space="preserve">hase III studies may reflect a more tolerant population to oral </w:t>
      </w:r>
      <w:r w:rsidR="00B61A08">
        <w:t xml:space="preserve">antidepressant </w:t>
      </w:r>
      <w:r w:rsidR="00047015" w:rsidRPr="00CF18E7">
        <w:t xml:space="preserve">medications, given the prior </w:t>
      </w:r>
      <w:r w:rsidR="00B61A08">
        <w:t xml:space="preserve">antidepressant </w:t>
      </w:r>
      <w:r w:rsidR="00047015" w:rsidRPr="00CF18E7">
        <w:t xml:space="preserve">exposure in the current depression episode and &gt; 1-year average duration of use of the </w:t>
      </w:r>
      <w:r>
        <w:t xml:space="preserve">last </w:t>
      </w:r>
      <w:r w:rsidR="00B61A08">
        <w:t xml:space="preserve">antidepressant </w:t>
      </w:r>
      <w:r>
        <w:t>prior to randomisation.</w:t>
      </w:r>
    </w:p>
    <w:p w14:paraId="5B5C580B" w14:textId="2C16A144" w:rsidR="00047015" w:rsidRPr="00CF18E7" w:rsidRDefault="00047015" w:rsidP="00CF18E7">
      <w:r w:rsidRPr="00CF18E7">
        <w:lastRenderedPageBreak/>
        <w:t xml:space="preserve">The pattern of TEAEs reported with longer-term repeated dosing of intranasal </w:t>
      </w:r>
      <w:proofErr w:type="spellStart"/>
      <w:r w:rsidRPr="00CF18E7">
        <w:t>esketamine</w:t>
      </w:r>
      <w:proofErr w:type="spellEnd"/>
      <w:r w:rsidRPr="00CF18E7">
        <w:t xml:space="preserve"> + oral </w:t>
      </w:r>
      <w:r w:rsidR="00B61A08">
        <w:t xml:space="preserve">antidepressant </w:t>
      </w:r>
      <w:r w:rsidRPr="00CF18E7">
        <w:t>up to 1 year of exposure, was consistent with th</w:t>
      </w:r>
      <w:r w:rsidR="00CF18E7">
        <w:t>e experience in the short-term P</w:t>
      </w:r>
      <w:r w:rsidRPr="00CF18E7">
        <w:t xml:space="preserve">hase III studies with respect to the types and relative incidence of common TEAEs, overall frequency of severe TEAEs, SAEs, discontinuations due to </w:t>
      </w:r>
      <w:r w:rsidR="00CF18E7">
        <w:t>adverse events (</w:t>
      </w:r>
      <w:r w:rsidRPr="00CF18E7">
        <w:t>AEs</w:t>
      </w:r>
      <w:r w:rsidR="00CF18E7">
        <w:t>)</w:t>
      </w:r>
      <w:r w:rsidRPr="00CF18E7">
        <w:t xml:space="preserve"> and overall frequency of post-dose TEAEs t</w:t>
      </w:r>
      <w:r w:rsidR="00CF18E7">
        <w:t>hat resolved the day of dosing.</w:t>
      </w:r>
    </w:p>
    <w:p w14:paraId="2AAC7169" w14:textId="29BCFC87" w:rsidR="00047015" w:rsidRPr="00CF18E7" w:rsidRDefault="00047015" w:rsidP="00CF18E7">
      <w:r w:rsidRPr="00CF18E7">
        <w:t>Gener</w:t>
      </w:r>
      <w:r w:rsidR="00CF18E7">
        <w:t>ally, the safety data from the P</w:t>
      </w:r>
      <w:r w:rsidRPr="00CF18E7">
        <w:t>hase I and II clinical studies were consis</w:t>
      </w:r>
      <w:r w:rsidR="00CF18E7">
        <w:t>tent with the results from the P</w:t>
      </w:r>
      <w:r w:rsidRPr="00CF18E7">
        <w:t>hase III program, including ongoing studies in the related condition of MDSI. With the exception of dissociation and nausea, there was no conclusive evidence of a dose effect with regard to the incidence of commonly reported TEAEs. Other than somnolence, the incidence of most other TEAEs remai</w:t>
      </w:r>
      <w:r w:rsidR="00CF18E7">
        <w:t>ned stable or reduced with long </w:t>
      </w:r>
      <w:r w:rsidRPr="00CF18E7">
        <w:t xml:space="preserve">term </w:t>
      </w:r>
      <w:r w:rsidR="00CF18E7">
        <w:t xml:space="preserve">intranasal </w:t>
      </w:r>
      <w:proofErr w:type="spellStart"/>
      <w:r w:rsidR="00CF18E7">
        <w:t>esketamine</w:t>
      </w:r>
      <w:proofErr w:type="spellEnd"/>
      <w:r w:rsidR="00CF18E7">
        <w:t xml:space="preserve"> exposure.</w:t>
      </w:r>
    </w:p>
    <w:p w14:paraId="503FD4D8" w14:textId="231BE592" w:rsidR="00047015" w:rsidRPr="00CF18E7" w:rsidRDefault="00047015" w:rsidP="00CF18E7">
      <w:r w:rsidRPr="00CF18E7">
        <w:t>Most post-dose severe TEAEs were transient (median duration &lt; 2 h</w:t>
      </w:r>
      <w:r w:rsidR="00CF18E7">
        <w:t>ours</w:t>
      </w:r>
      <w:r w:rsidRPr="00CF18E7">
        <w:t>) and resolved without clinical sequelae on the same day as dosing. These severe TEAEs included diss</w:t>
      </w:r>
      <w:r w:rsidR="00CF18E7">
        <w:t>ociation, dizziness and nausea.</w:t>
      </w:r>
    </w:p>
    <w:p w14:paraId="7EDD7FD0" w14:textId="192D20D6" w:rsidR="00047015" w:rsidRPr="00CF18E7" w:rsidRDefault="00047015" w:rsidP="00CF18E7">
      <w:r w:rsidRPr="00CF18E7">
        <w:t xml:space="preserve">Each of the 5 deaths (including 3 completed suicides) in </w:t>
      </w:r>
      <w:proofErr w:type="spellStart"/>
      <w:r w:rsidRPr="00CF18E7">
        <w:t>esketamine</w:t>
      </w:r>
      <w:proofErr w:type="spellEnd"/>
      <w:r w:rsidRPr="00CF18E7">
        <w:t xml:space="preserve">-treated subjects were assessed by the investigator as not associated with study treatment. The overall </w:t>
      </w:r>
      <w:r w:rsidR="00CF18E7">
        <w:t>rate of death in the completed P</w:t>
      </w:r>
      <w:r w:rsidRPr="00CF18E7">
        <w:t xml:space="preserve">hase II and III studies with </w:t>
      </w:r>
      <w:proofErr w:type="spellStart"/>
      <w:r w:rsidRPr="00CF18E7">
        <w:t>esketamine</w:t>
      </w:r>
      <w:proofErr w:type="spellEnd"/>
      <w:r w:rsidRPr="00CF18E7">
        <w:t xml:space="preserve"> was 0.2 (n = 4), which appears to be consistent with other published reports in MDD populations. Furthermore, higher rates of suicidality would be expected in the more functionall</w:t>
      </w:r>
      <w:r w:rsidR="00CF18E7">
        <w:t>y debilitating TRD population.</w:t>
      </w:r>
    </w:p>
    <w:p w14:paraId="6DCA755C" w14:textId="7B0CBEB6" w:rsidR="00047015" w:rsidRPr="00CF18E7" w:rsidRDefault="00047015" w:rsidP="00CF18E7">
      <w:r w:rsidRPr="00CF18E7">
        <w:t xml:space="preserve">There was no evidence to suggest that </w:t>
      </w:r>
      <w:proofErr w:type="spellStart"/>
      <w:r w:rsidRPr="00CF18E7">
        <w:t>esketamine</w:t>
      </w:r>
      <w:proofErr w:type="spellEnd"/>
      <w:r w:rsidRPr="00CF18E7">
        <w:t xml:space="preserve"> is associated with increased risk of suicidal ideation and behaviour in the clinical dossier. Clinical review indicated, that most suicidality-related TEAEs events were likely to be associated with the underlying disease condition. Overall, incidence of suicid</w:t>
      </w:r>
      <w:r w:rsidR="00CF18E7">
        <w:t>ality-related TEAEs across the P</w:t>
      </w:r>
      <w:r w:rsidRPr="00CF18E7">
        <w:t xml:space="preserve">hase III studies was low: 0.6% for the </w:t>
      </w:r>
      <w:proofErr w:type="spellStart"/>
      <w:r w:rsidRPr="00CF18E7">
        <w:t>esketamine</w:t>
      </w:r>
      <w:proofErr w:type="spellEnd"/>
      <w:r w:rsidRPr="00CF18E7">
        <w:t xml:space="preserve"> group </w:t>
      </w:r>
      <w:r w:rsidR="00CF18E7">
        <w:t>versus</w:t>
      </w:r>
      <w:r w:rsidRPr="00CF18E7">
        <w:t xml:space="preserve"> 0.3% for the placebo group. Also, treatment with </w:t>
      </w:r>
      <w:proofErr w:type="spellStart"/>
      <w:r w:rsidRPr="00CF18E7">
        <w:t>esketamine</w:t>
      </w:r>
      <w:proofErr w:type="spellEnd"/>
      <w:r w:rsidRPr="00CF18E7">
        <w:t xml:space="preserve"> nasal spray did not appear to be associated with development of potential psychotic-like symptoms or a distinct withdrawal syndrome after cessation of treatm</w:t>
      </w:r>
      <w:r w:rsidR="00CF18E7">
        <w:t xml:space="preserve">ent with </w:t>
      </w:r>
      <w:proofErr w:type="spellStart"/>
      <w:r w:rsidR="00CF18E7">
        <w:t>esketamine</w:t>
      </w:r>
      <w:proofErr w:type="spellEnd"/>
      <w:r w:rsidR="00CF18E7">
        <w:t xml:space="preserve"> + oral </w:t>
      </w:r>
      <w:r w:rsidR="00B61A08">
        <w:t>antidepressant</w:t>
      </w:r>
      <w:r w:rsidR="00CF18E7">
        <w:t>.</w:t>
      </w:r>
    </w:p>
    <w:p w14:paraId="6285EB0B" w14:textId="329BA35E" w:rsidR="00047015" w:rsidRPr="00CF18E7" w:rsidRDefault="00047015" w:rsidP="00CF18E7">
      <w:r w:rsidRPr="00CF18E7">
        <w:t>Similar to the peak incidence of general TEAEs around 40 minutes post-dose (with resolution by 2 h</w:t>
      </w:r>
      <w:r w:rsidR="00CF18E7">
        <w:t>ours</w:t>
      </w:r>
      <w:r w:rsidRPr="00CF18E7">
        <w:t xml:space="preserve"> post-dose), AEs of special interest generally followed a similar pattern, including dissociative or perceptual changes, somnolence and se</w:t>
      </w:r>
      <w:r w:rsidR="00291CE5">
        <w:t>dation and effect on cognition.</w:t>
      </w:r>
    </w:p>
    <w:p w14:paraId="27EF06E3" w14:textId="05FADE5D" w:rsidR="00047015" w:rsidRPr="00CF18E7" w:rsidRDefault="00047015" w:rsidP="00CF18E7">
      <w:r w:rsidRPr="00CF18E7">
        <w:t>Most TEAEs were</w:t>
      </w:r>
      <w:r w:rsidR="00CF18E7">
        <w:t xml:space="preserve"> mild or moderate in severity.</w:t>
      </w:r>
    </w:p>
    <w:p w14:paraId="38306BEB" w14:textId="2C5B00D8" w:rsidR="00047015" w:rsidRPr="00CF18E7" w:rsidRDefault="00047015" w:rsidP="00CF18E7">
      <w:r w:rsidRPr="00CF18E7">
        <w:t xml:space="preserve">Reported AEs associated with dissociative or perceptual changes (captured by </w:t>
      </w:r>
      <w:r w:rsidR="00B61A08">
        <w:t xml:space="preserve">the </w:t>
      </w:r>
      <w:r w:rsidR="00CF18E7" w:rsidRPr="00CF18E7">
        <w:t>Clinician-Admini</w:t>
      </w:r>
      <w:r w:rsidR="00CF18E7">
        <w:t xml:space="preserve">stered Dissociative States </w:t>
      </w:r>
      <w:r w:rsidRPr="00CF18E7">
        <w:t xml:space="preserve">rating scale) were more pronounced in subjects receiving higher doses of </w:t>
      </w:r>
      <w:proofErr w:type="spellStart"/>
      <w:r w:rsidRPr="00CF18E7">
        <w:t>esketamine</w:t>
      </w:r>
      <w:proofErr w:type="spellEnd"/>
      <w:r w:rsidRPr="00CF18E7">
        <w:t xml:space="preserve">, with some degree of tolerance to </w:t>
      </w:r>
      <w:proofErr w:type="spellStart"/>
      <w:r w:rsidRPr="00CF18E7">
        <w:t>esketamine</w:t>
      </w:r>
      <w:proofErr w:type="spellEnd"/>
      <w:r w:rsidRPr="00CF18E7">
        <w:t xml:space="preserve"> effects over the initial 4 weeks of treatment. Of note, 28 to 40% subjects in t</w:t>
      </w:r>
      <w:r w:rsidR="00CF18E7">
        <w:t xml:space="preserve">he oral </w:t>
      </w:r>
      <w:r w:rsidR="00B61A08">
        <w:t xml:space="preserve">antidepressant </w:t>
      </w:r>
      <w:r w:rsidR="00CF18E7">
        <w:t>+ placebo groups of P</w:t>
      </w:r>
      <w:r w:rsidRPr="00CF18E7">
        <w:t>hase III studies also experienced dissociative or perceptual changes. This is in contrast to no observed dissociative or perceptual changes in the dose-range study (</w:t>
      </w:r>
      <w:r w:rsidR="00BA7E5E">
        <w:t>Study </w:t>
      </w:r>
      <w:r w:rsidRPr="00CF18E7">
        <w:t xml:space="preserve">TRD2003), in which subjects generally received </w:t>
      </w:r>
      <w:r w:rsidR="00CF18E7">
        <w:t>open label</w:t>
      </w:r>
      <w:r w:rsidRPr="00CF18E7">
        <w:t xml:space="preserve"> </w:t>
      </w:r>
      <w:r w:rsidR="00B61A08">
        <w:t xml:space="preserve">antidepressant </w:t>
      </w:r>
      <w:r w:rsidRPr="00CF18E7">
        <w:t xml:space="preserve">that had demonstrated non-response prior to </w:t>
      </w:r>
      <w:r w:rsidR="00BA7E5E">
        <w:t>double bli</w:t>
      </w:r>
      <w:r w:rsidR="00CF18E7">
        <w:t>nd</w:t>
      </w:r>
      <w:r w:rsidRPr="00CF18E7">
        <w:t xml:space="preserve"> randomisation. The explanation for this discrepancy is unclear, but may in part have arisen if study subjects were allowed to interact on dosing days, or observed behaviours in other subjects who had been do</w:t>
      </w:r>
      <w:r w:rsidR="00CF18E7">
        <w:t xml:space="preserve">sed with intranasal </w:t>
      </w:r>
      <w:proofErr w:type="spellStart"/>
      <w:r w:rsidR="00CF18E7">
        <w:t>esketamine</w:t>
      </w:r>
      <w:proofErr w:type="spellEnd"/>
      <w:r w:rsidR="00CF18E7">
        <w:t>.</w:t>
      </w:r>
    </w:p>
    <w:p w14:paraId="50C93124" w14:textId="335C185B" w:rsidR="00047015" w:rsidRPr="00CF18E7" w:rsidRDefault="00CF18E7" w:rsidP="00CF18E7">
      <w:r>
        <w:t>Cognitive data from completed P</w:t>
      </w:r>
      <w:r w:rsidR="00047015" w:rsidRPr="00CF18E7">
        <w:t xml:space="preserve">hase III studies suggested treatment with intranasal </w:t>
      </w:r>
      <w:proofErr w:type="spellStart"/>
      <w:r w:rsidR="00047015" w:rsidRPr="00CF18E7">
        <w:t>esketamine</w:t>
      </w:r>
      <w:proofErr w:type="spellEnd"/>
      <w:r w:rsidR="00047015" w:rsidRPr="00CF18E7">
        <w:t xml:space="preserve"> + oral </w:t>
      </w:r>
      <w:r w:rsidR="00B61A08">
        <w:t xml:space="preserve">antidepressant </w:t>
      </w:r>
      <w:r w:rsidR="00047015" w:rsidRPr="00CF18E7">
        <w:t xml:space="preserve">was not associated with negative cognitive effects and there was no deterioration in cognitive performance with repeated intermittent dosing, based on </w:t>
      </w:r>
      <w:proofErr w:type="spellStart"/>
      <w:r w:rsidR="00047015" w:rsidRPr="00CF18E7">
        <w:t>Cogstate</w:t>
      </w:r>
      <w:proofErr w:type="spellEnd"/>
      <w:r w:rsidR="00047015" w:rsidRPr="00CF18E7">
        <w:t xml:space="preserve"> battery and </w:t>
      </w:r>
      <w:r w:rsidR="00B61A08">
        <w:t xml:space="preserve">revised </w:t>
      </w:r>
      <w:r w:rsidRPr="00CF18E7">
        <w:t>Hopkins Verbal Learning Test</w:t>
      </w:r>
      <w:r w:rsidR="00047015" w:rsidRPr="00CF18E7">
        <w:t xml:space="preserve">. While some elderly subjects appeared to exhibit slowing of reaction time after 20 weeks </w:t>
      </w:r>
      <w:proofErr w:type="spellStart"/>
      <w:r w:rsidR="00047015" w:rsidRPr="00CF18E7">
        <w:t>esketamine</w:t>
      </w:r>
      <w:proofErr w:type="spellEnd"/>
      <w:r w:rsidR="00047015" w:rsidRPr="00CF18E7">
        <w:t xml:space="preserve"> exposure, this finding should be interpreted with caution given the small number of elderly subjects </w:t>
      </w:r>
      <w:r w:rsidR="00047015" w:rsidRPr="00CF18E7">
        <w:lastRenderedPageBreak/>
        <w:t xml:space="preserve">who completed later time-points in </w:t>
      </w:r>
      <w:r>
        <w:t xml:space="preserve">Study </w:t>
      </w:r>
      <w:r w:rsidR="00047015" w:rsidRPr="00CF18E7">
        <w:t xml:space="preserve">TRD3004, as well as the high intra-individual variability in reaction time </w:t>
      </w:r>
      <w:r>
        <w:t>and lack of comparator control.</w:t>
      </w:r>
    </w:p>
    <w:p w14:paraId="2D6DD96E" w14:textId="2BD26CD2" w:rsidR="00047015" w:rsidRPr="00CF18E7" w:rsidRDefault="00047015" w:rsidP="00CF18E7">
      <w:r w:rsidRPr="00CF18E7">
        <w:t xml:space="preserve">Intranasal </w:t>
      </w:r>
      <w:proofErr w:type="spellStart"/>
      <w:r w:rsidRPr="00CF18E7">
        <w:t>esketamine</w:t>
      </w:r>
      <w:proofErr w:type="spellEnd"/>
      <w:r w:rsidRPr="00CF18E7">
        <w:t xml:space="preserve"> was demonstrated to have similar abuse potential to IV ketamine in </w:t>
      </w:r>
      <w:r w:rsidR="00CF18E7">
        <w:t xml:space="preserve">Study </w:t>
      </w:r>
      <w:r w:rsidRPr="00CF18E7">
        <w:t xml:space="preserve">TRD1015. Across </w:t>
      </w:r>
      <w:r w:rsidR="00CF18E7">
        <w:t>all P</w:t>
      </w:r>
      <w:r w:rsidRPr="00CF18E7">
        <w:t xml:space="preserve">hase I, II and III studies, TEAEs suggestive of abuse potential most commonly associated with </w:t>
      </w:r>
      <w:proofErr w:type="spellStart"/>
      <w:r w:rsidRPr="00CF18E7">
        <w:t>esketamine</w:t>
      </w:r>
      <w:proofErr w:type="spellEnd"/>
      <w:r w:rsidRPr="00CF18E7">
        <w:t xml:space="preserve"> were dizziness, somnolence and dissociation. These symptoms were predominantly reported shortly after dosing on the day of </w:t>
      </w:r>
      <w:proofErr w:type="spellStart"/>
      <w:r w:rsidRPr="00CF18E7">
        <w:t>esketamine</w:t>
      </w:r>
      <w:proofErr w:type="spellEnd"/>
      <w:r w:rsidRPr="00CF18E7">
        <w:t xml:space="preserve"> administration, transient, self-limiting and mild or moderate in severity. Other events, such as euphoric mood, </w:t>
      </w:r>
      <w:proofErr w:type="spellStart"/>
      <w:r w:rsidRPr="00CF18E7">
        <w:t>confusional</w:t>
      </w:r>
      <w:proofErr w:type="spellEnd"/>
      <w:r w:rsidRPr="00CF18E7">
        <w:t xml:space="preserve"> state, feeling drunk or abnormal, and hallucinations, occurred at lower rates and &lt; 4% in up </w:t>
      </w:r>
      <w:r w:rsidR="00CF18E7">
        <w:t xml:space="preserve">to 1 year </w:t>
      </w:r>
      <w:proofErr w:type="spellStart"/>
      <w:r w:rsidR="00CF18E7">
        <w:t>esketamine</w:t>
      </w:r>
      <w:proofErr w:type="spellEnd"/>
      <w:r w:rsidR="00CF18E7">
        <w:t xml:space="preserve"> exposure.</w:t>
      </w:r>
    </w:p>
    <w:p w14:paraId="7A087619" w14:textId="0F48A2B1" w:rsidR="00047015" w:rsidRPr="00CF18E7" w:rsidRDefault="00047015" w:rsidP="00CF18E7">
      <w:r w:rsidRPr="00CF18E7">
        <w:t>The overall clinical laboratory</w:t>
      </w:r>
      <w:r w:rsidR="00CF18E7">
        <w:t xml:space="preserve"> test results in the completed P</w:t>
      </w:r>
      <w:r w:rsidRPr="00CF18E7">
        <w:t xml:space="preserve">hase I, II and III studies in TRD did not suggest any safety concerns associated with intranasal </w:t>
      </w:r>
      <w:proofErr w:type="spellStart"/>
      <w:r w:rsidRPr="00CF18E7">
        <w:t>esketamine</w:t>
      </w:r>
      <w:proofErr w:type="spellEnd"/>
      <w:r w:rsidRPr="00CF18E7">
        <w:t xml:space="preserve"> + oral </w:t>
      </w:r>
      <w:r w:rsidR="00B61A08">
        <w:t>antidepressant</w:t>
      </w:r>
      <w:r w:rsidRPr="00CF18E7">
        <w:t xml:space="preserve">. There was no evidence of treatment emergent hepatotoxicity associated with </w:t>
      </w:r>
      <w:proofErr w:type="spellStart"/>
      <w:r w:rsidRPr="00CF18E7">
        <w:t>esketamine</w:t>
      </w:r>
      <w:proofErr w:type="spellEnd"/>
      <w:r w:rsidRPr="00CF18E7">
        <w:t xml:space="preserve"> nasal spray and no subject met the definition for a </w:t>
      </w:r>
      <w:proofErr w:type="spellStart"/>
      <w:r w:rsidRPr="00CF18E7">
        <w:t>Hy’s</w:t>
      </w:r>
      <w:proofErr w:type="spellEnd"/>
      <w:r w:rsidRPr="00CF18E7">
        <w:t xml:space="preserve"> law case.</w:t>
      </w:r>
      <w:r w:rsidR="00BA7E5E">
        <w:rPr>
          <w:rStyle w:val="FootnoteReference"/>
        </w:rPr>
        <w:footnoteReference w:id="31"/>
      </w:r>
      <w:r w:rsidRPr="00CF18E7">
        <w:t xml:space="preserve"> While there were some low rates of hepatic enzyme elevations</w:t>
      </w:r>
      <w:r w:rsidR="00CF18E7">
        <w:t xml:space="preserve"> across the completed P</w:t>
      </w:r>
      <w:r w:rsidRPr="00CF18E7">
        <w:t xml:space="preserve">hase II and III studies in TRD, they were generally transient and resolved spontaneously without the need for study discontinuation. Since intranasal </w:t>
      </w:r>
      <w:proofErr w:type="spellStart"/>
      <w:r w:rsidRPr="00CF18E7">
        <w:t>esketamine</w:t>
      </w:r>
      <w:proofErr w:type="spellEnd"/>
      <w:r w:rsidRPr="00CF18E7">
        <w:t xml:space="preserve"> was co-administered with an oral </w:t>
      </w:r>
      <w:r w:rsidR="00B61A08">
        <w:t>antidepressant</w:t>
      </w:r>
      <w:r w:rsidRPr="00CF18E7">
        <w:t xml:space="preserve">, the observed elevations in hepatic enzymes could, in part, be attributed to the oral </w:t>
      </w:r>
      <w:r w:rsidR="00B61A08">
        <w:t xml:space="preserve">antidepressant </w:t>
      </w:r>
      <w:r w:rsidRPr="00CF18E7">
        <w:t xml:space="preserve">since many </w:t>
      </w:r>
      <w:r w:rsidR="00B61A08">
        <w:t xml:space="preserve">antidepressants </w:t>
      </w:r>
      <w:r w:rsidRPr="00CF18E7">
        <w:t xml:space="preserve">(duloxetine, sertraline and </w:t>
      </w:r>
      <w:proofErr w:type="spellStart"/>
      <w:r w:rsidRPr="00CF18E7">
        <w:t>escitalopram</w:t>
      </w:r>
      <w:proofErr w:type="spellEnd"/>
      <w:r w:rsidRPr="00CF18E7">
        <w:t>) have been associated w</w:t>
      </w:r>
      <w:r w:rsidR="00CF18E7">
        <w:t>ith elevated hepatic enzymes.</w:t>
      </w:r>
    </w:p>
    <w:p w14:paraId="07C819FF" w14:textId="25A0CFFC" w:rsidR="00047015" w:rsidRPr="00CF18E7" w:rsidRDefault="00047015" w:rsidP="00CF18E7">
      <w:r w:rsidRPr="00CF18E7">
        <w:t xml:space="preserve">Transient increases in </w:t>
      </w:r>
      <w:r w:rsidR="00CF18E7">
        <w:t>systolic blood pressure</w:t>
      </w:r>
      <w:r w:rsidRPr="00CF18E7">
        <w:t xml:space="preserve">, </w:t>
      </w:r>
      <w:r w:rsidR="00CF18E7">
        <w:t>diastolic blood pressure</w:t>
      </w:r>
      <w:r w:rsidRPr="00CF18E7">
        <w:t xml:space="preserve"> and </w:t>
      </w:r>
      <w:r w:rsidR="00CF18E7">
        <w:t>heart rate</w:t>
      </w:r>
      <w:r w:rsidR="007D3B23">
        <w:t xml:space="preserve"> were observed across the P</w:t>
      </w:r>
      <w:r w:rsidRPr="00CF18E7">
        <w:t xml:space="preserve">hase II and III studies, usually peaking to coincide with </w:t>
      </w:r>
      <w:proofErr w:type="spellStart"/>
      <w:r w:rsidRPr="00CF18E7">
        <w:t>esketamine</w:t>
      </w:r>
      <w:proofErr w:type="spellEnd"/>
      <w:r w:rsidRPr="00CF18E7">
        <w:t xml:space="preserve"> </w:t>
      </w:r>
      <w:proofErr w:type="spellStart"/>
      <w:r w:rsidRPr="00CF18E7">
        <w:t>C</w:t>
      </w:r>
      <w:r w:rsidRPr="007D3B23">
        <w:rPr>
          <w:vertAlign w:val="subscript"/>
        </w:rPr>
        <w:t>max</w:t>
      </w:r>
      <w:proofErr w:type="spellEnd"/>
      <w:r w:rsidRPr="00CF18E7">
        <w:t xml:space="preserve"> around 40 minutes post intranasal </w:t>
      </w:r>
      <w:proofErr w:type="spellStart"/>
      <w:r w:rsidRPr="00CF18E7">
        <w:t>esketamine</w:t>
      </w:r>
      <w:proofErr w:type="spellEnd"/>
      <w:r w:rsidRPr="00CF18E7">
        <w:t xml:space="preserve"> dosing, and generally returned to pre-dose values by 1.5 h</w:t>
      </w:r>
      <w:r w:rsidR="007D3B23">
        <w:t>ours</w:t>
      </w:r>
      <w:r w:rsidRPr="00CF18E7">
        <w:t xml:space="preserve"> post-dose. While the mean percent increase in </w:t>
      </w:r>
      <w:r w:rsidR="007D3B23">
        <w:t>systolic blood pressure</w:t>
      </w:r>
      <w:r w:rsidRPr="00CF18E7">
        <w:t xml:space="preserve"> or </w:t>
      </w:r>
      <w:r w:rsidR="007D3B23">
        <w:t>diastolic blood pressure</w:t>
      </w:r>
      <w:r w:rsidRPr="00CF18E7">
        <w:t xml:space="preserve"> values were relatively stab</w:t>
      </w:r>
      <w:r w:rsidR="007D3B23">
        <w:t>le and proportional across the P</w:t>
      </w:r>
      <w:r w:rsidRPr="00CF18E7">
        <w:t xml:space="preserve">hase III studies, elevations in </w:t>
      </w:r>
      <w:r w:rsidR="007D3B23">
        <w:t>diastolic blood pressure</w:t>
      </w:r>
      <w:r w:rsidRPr="00CF18E7">
        <w:t xml:space="preserve"> tended to occur earlier from intranasal </w:t>
      </w:r>
      <w:proofErr w:type="spellStart"/>
      <w:r w:rsidRPr="00CF18E7">
        <w:t>esketamine</w:t>
      </w:r>
      <w:proofErr w:type="spellEnd"/>
      <w:r w:rsidRPr="00CF18E7">
        <w:t xml:space="preserve"> + oral </w:t>
      </w:r>
      <w:r w:rsidR="00B61A08">
        <w:t xml:space="preserve">antidepressant </w:t>
      </w:r>
      <w:r w:rsidRPr="00CF18E7">
        <w:t xml:space="preserve">exposure than corresponding elevations in </w:t>
      </w:r>
      <w:r w:rsidR="007D3B23">
        <w:t>systolic blood pressure</w:t>
      </w:r>
      <w:r w:rsidRPr="00CF18E7">
        <w:t>, and in subjects without prior diagnosis of acute hypertension, diastolic hypertension tended to be the most common cause for the acute episode of hypertension. In contrast, subjects who had history of hypertension, while generally having overall higher rates of acute hypertension, tended to have an even number of subjects’ who had primarily dias</w:t>
      </w:r>
      <w:r w:rsidR="007D3B23">
        <w:t>tolic of systolic hypertension.</w:t>
      </w:r>
    </w:p>
    <w:p w14:paraId="072500FF" w14:textId="62A1A72F" w:rsidR="00047015" w:rsidRPr="00CF18E7" w:rsidRDefault="00047015" w:rsidP="00CF18E7">
      <w:r w:rsidRPr="00CF18E7">
        <w:t xml:space="preserve">Elderly subjects also tended to have higher incidence of TEAEs of </w:t>
      </w:r>
      <w:r w:rsidR="007D3B23">
        <w:t>blood pressure</w:t>
      </w:r>
      <w:r w:rsidRPr="00CF18E7">
        <w:t xml:space="preserve"> elevation and this is reflected in the proportionally higher baseline of elderly subjects who reported hypertension compared with</w:t>
      </w:r>
      <w:r w:rsidR="00CF18E7">
        <w:t xml:space="preserve"> younger adults at study entry.</w:t>
      </w:r>
    </w:p>
    <w:p w14:paraId="7AC8F024" w14:textId="3AF90059" w:rsidR="00047015" w:rsidRPr="00CF18E7" w:rsidRDefault="00047015" w:rsidP="00CF18E7">
      <w:r w:rsidRPr="00CF18E7">
        <w:t>The major issue of contention that applies to the safety data is also directly applicabl</w:t>
      </w:r>
      <w:r w:rsidR="007D3B23">
        <w:t>e to the clinical efficacy data</w:t>
      </w:r>
      <w:r w:rsidRPr="00CF18E7">
        <w:t xml:space="preserve">. In summary, the addition of a new oral </w:t>
      </w:r>
      <w:r w:rsidR="00B61A08">
        <w:t xml:space="preserve">antidepressant </w:t>
      </w:r>
      <w:r w:rsidRPr="00CF18E7">
        <w:t xml:space="preserve">at the time of </w:t>
      </w:r>
      <w:r w:rsidR="00BA7E5E">
        <w:t>randomisation in the pivotal P</w:t>
      </w:r>
      <w:r w:rsidRPr="00CF18E7">
        <w:t xml:space="preserve">hase III inductions studies, introduces a potentially major confounding effect of the new oral </w:t>
      </w:r>
      <w:r w:rsidR="00B61A08">
        <w:t xml:space="preserve">antidepressant </w:t>
      </w:r>
      <w:r w:rsidRPr="00CF18E7">
        <w:t xml:space="preserve">on the study results (efficacy and safety). No direct assessment of the attributable contribution to TEAEs from each individual treatment (intranasal </w:t>
      </w:r>
      <w:proofErr w:type="spellStart"/>
      <w:r w:rsidRPr="00CF18E7">
        <w:t>esketamine</w:t>
      </w:r>
      <w:proofErr w:type="spellEnd"/>
      <w:r w:rsidRPr="00CF18E7">
        <w:t xml:space="preserve">, intranasal placebo, oral </w:t>
      </w:r>
      <w:r w:rsidR="00B61A08">
        <w:t>antidepressant</w:t>
      </w:r>
      <w:r w:rsidRPr="00CF18E7">
        <w:t>) could be made, with a high degree of precision and certainty. Even allowing for the fact the safety profiles of SSRIs and SNRIs are reasonably well characterised, the safety profiles of these agents cannot be assumed to be mutua</w:t>
      </w:r>
      <w:r w:rsidR="007D3B23">
        <w:t xml:space="preserve">lly exclusive from </w:t>
      </w:r>
      <w:proofErr w:type="spellStart"/>
      <w:r w:rsidR="007D3B23">
        <w:t>esketamine</w:t>
      </w:r>
      <w:proofErr w:type="spellEnd"/>
      <w:r w:rsidR="007D3B23">
        <w:t>.</w:t>
      </w:r>
    </w:p>
    <w:p w14:paraId="7ADE7250" w14:textId="778667E6" w:rsidR="008E1890" w:rsidRPr="007B6132" w:rsidRDefault="00047015" w:rsidP="008E1890">
      <w:r w:rsidRPr="00CF18E7">
        <w:t>Further studies are recommended before approval is granted.</w:t>
      </w:r>
    </w:p>
    <w:p w14:paraId="42D46A30" w14:textId="77777777" w:rsidR="007B6132" w:rsidRDefault="007B6132" w:rsidP="00555280">
      <w:pPr>
        <w:pStyle w:val="Heading4"/>
      </w:pPr>
      <w:r w:rsidRPr="007B6132">
        <w:lastRenderedPageBreak/>
        <w:t>Clinical evaluator’s recommendation</w:t>
      </w:r>
    </w:p>
    <w:p w14:paraId="54DB10F8" w14:textId="77777777" w:rsidR="007D3B23" w:rsidRDefault="007D3B23" w:rsidP="007D3B23">
      <w:r w:rsidRPr="007D3B23">
        <w:t xml:space="preserve">Unconditional approval of </w:t>
      </w:r>
      <w:proofErr w:type="spellStart"/>
      <w:r w:rsidRPr="007D3B23">
        <w:t>esketamine</w:t>
      </w:r>
      <w:proofErr w:type="spellEnd"/>
      <w:r w:rsidRPr="007D3B23">
        <w:t xml:space="preserve"> hydrochloride </w:t>
      </w:r>
      <w:r>
        <w:t>is not recommended for:</w:t>
      </w:r>
    </w:p>
    <w:p w14:paraId="28C37FA3" w14:textId="77777777" w:rsidR="007D3B23" w:rsidRPr="007D3B23" w:rsidRDefault="007D3B23" w:rsidP="007D3B23">
      <w:pPr>
        <w:ind w:left="720"/>
        <w:rPr>
          <w:i/>
        </w:rPr>
      </w:pPr>
      <w:r w:rsidRPr="007D3B23">
        <w:rPr>
          <w:i/>
        </w:rPr>
        <w:t>treatment resistant depression (Major Depressive Disorder in adults who have not responded adequately to at least two different antidepressants of adequate dose and duration to treat the current moderate to severe depressive episode).</w:t>
      </w:r>
    </w:p>
    <w:p w14:paraId="01211C5D" w14:textId="323489AB" w:rsidR="00047015" w:rsidRPr="007D3B23" w:rsidRDefault="007D3B23" w:rsidP="007D3B23">
      <w:r w:rsidRPr="007D3B23">
        <w:t>This recommendation is based on the available</w:t>
      </w:r>
      <w:r>
        <w:t xml:space="preserve"> data at the time of the fourth </w:t>
      </w:r>
      <w:r w:rsidRPr="007D3B23">
        <w:t xml:space="preserve">round </w:t>
      </w:r>
      <w:r>
        <w:t xml:space="preserve">of the </w:t>
      </w:r>
      <w:r w:rsidRPr="007D3B23">
        <w:t>clinical evaluation</w:t>
      </w:r>
      <w:r w:rsidR="00BA7E5E">
        <w:t>,</w:t>
      </w:r>
      <w:r w:rsidRPr="007D3B23">
        <w:t xml:space="preserve"> </w:t>
      </w:r>
      <w:r>
        <w:t xml:space="preserve">in particular due to the </w:t>
      </w:r>
      <w:r w:rsidRPr="007D3B23">
        <w:t>lack of efficacy data that support</w:t>
      </w:r>
      <w:r w:rsidR="00BA7E5E">
        <w:t>s</w:t>
      </w:r>
      <w:r w:rsidRPr="007D3B23">
        <w:t xml:space="preserve"> the proposed indication.</w:t>
      </w:r>
    </w:p>
    <w:p w14:paraId="75DF8703" w14:textId="6EE10FDD" w:rsidR="007D3B23" w:rsidRDefault="007D3B23" w:rsidP="007D3B23">
      <w:r>
        <w:t xml:space="preserve">However, since the sponsor has agreed to provide the TGA with the full clinical study report (CSR) for the Phase </w:t>
      </w:r>
      <w:proofErr w:type="spellStart"/>
      <w:r>
        <w:t>IIb</w:t>
      </w:r>
      <w:proofErr w:type="spellEnd"/>
      <w:r>
        <w:t xml:space="preserve"> Japanese study, Study TRD2005, as a post-approval commitment (estimated completion July 2020), it appears reasonable to </w:t>
      </w:r>
      <w:r w:rsidR="00BA7E5E">
        <w:t>the</w:t>
      </w:r>
      <w:r>
        <w:t xml:space="preserve"> clinical evaluator that either of the following courses of action are acceptable:</w:t>
      </w:r>
    </w:p>
    <w:p w14:paraId="1B4B6DA9" w14:textId="60BFF35C" w:rsidR="007D3B23" w:rsidRDefault="007D3B23" w:rsidP="007D3B23">
      <w:pPr>
        <w:pStyle w:val="ListBullet"/>
      </w:pPr>
      <w:r>
        <w:t xml:space="preserve">The application for </w:t>
      </w:r>
      <w:proofErr w:type="spellStart"/>
      <w:r>
        <w:t>Spravato</w:t>
      </w:r>
      <w:proofErr w:type="spellEnd"/>
      <w:r>
        <w:t xml:space="preserve"> in the treatment of TRD be deferred until the CSR for Study TRD2005 has been fully evaluated by the TGA, and if deemed acceptable, unconditional approval be granted; or</w:t>
      </w:r>
    </w:p>
    <w:p w14:paraId="37BAB1B4" w14:textId="51DD7010" w:rsidR="007D3B23" w:rsidRDefault="007D3B23" w:rsidP="007D3B23">
      <w:pPr>
        <w:pStyle w:val="ListBullet"/>
      </w:pPr>
      <w:r>
        <w:t xml:space="preserve">The Delegate may consider granting a conditional approval for </w:t>
      </w:r>
      <w:proofErr w:type="spellStart"/>
      <w:r>
        <w:t>Spravato</w:t>
      </w:r>
      <w:proofErr w:type="spellEnd"/>
      <w:r>
        <w:t xml:space="preserve"> in the treatment of TRD, on the understanding that the full CSR for Study TRD2005 is provided as soon as practicably possible upon study completion and that the study findings, once they have been evaluated by the TGA, support ongoing registration of </w:t>
      </w:r>
      <w:proofErr w:type="spellStart"/>
      <w:r>
        <w:t>Spravato</w:t>
      </w:r>
      <w:proofErr w:type="spellEnd"/>
      <w:r>
        <w:t xml:space="preserve"> for the approved indication.</w:t>
      </w:r>
    </w:p>
    <w:p w14:paraId="6E49DB79" w14:textId="40CD0A26" w:rsidR="00456765" w:rsidRPr="00456765" w:rsidRDefault="007D3B23" w:rsidP="007D3B23">
      <w:r>
        <w:t xml:space="preserve">It is also noted in the sponsor’s response to the TGA that the US Food and Drug Administration (FDA) requested the sponsor to provide a post-approval commitment to undertake a clinical study focused on the use of </w:t>
      </w:r>
      <w:proofErr w:type="spellStart"/>
      <w:r>
        <w:t>esketamine</w:t>
      </w:r>
      <w:proofErr w:type="spellEnd"/>
      <w:r>
        <w:t xml:space="preserve"> (56 mg or 84 mg) as monotherapy that is, intranasal </w:t>
      </w:r>
      <w:proofErr w:type="spellStart"/>
      <w:r>
        <w:t>esketamine</w:t>
      </w:r>
      <w:proofErr w:type="spellEnd"/>
      <w:r>
        <w:t xml:space="preserve"> versus placebo treatment (estimated start date: first quarter of 2020; estimated completion date: end of 2022). The sponsor has also agreed to commit to provide the full CSR for this clinical trial to the TGA, as part of its post</w:t>
      </w:r>
      <w:r>
        <w:noBreakHyphen/>
        <w:t xml:space="preserve">approval commitment. While the results of this latter study may be expected to provide a more accurate determination of the treatment effect, and safety profile, of intranasal </w:t>
      </w:r>
      <w:proofErr w:type="spellStart"/>
      <w:r>
        <w:t>esketamine</w:t>
      </w:r>
      <w:proofErr w:type="spellEnd"/>
      <w:r>
        <w:t xml:space="preserve">, its results will not be critical for the determination of approval in the proposed indication in which intranasal </w:t>
      </w:r>
      <w:proofErr w:type="spellStart"/>
      <w:r>
        <w:t>esketamine</w:t>
      </w:r>
      <w:proofErr w:type="spellEnd"/>
      <w:r>
        <w:t xml:space="preserve"> is proposed to be used as adjunctive therapy with an oral antidepressant.</w:t>
      </w:r>
    </w:p>
    <w:p w14:paraId="227599EF" w14:textId="77777777" w:rsidR="008E7846" w:rsidRDefault="00386150" w:rsidP="007B6132">
      <w:pPr>
        <w:pStyle w:val="Heading3"/>
        <w:rPr>
          <w:lang w:eastAsia="en-AU"/>
        </w:rPr>
      </w:pPr>
      <w:bookmarkStart w:id="64" w:name="_Toc72744023"/>
      <w:r>
        <w:rPr>
          <w:lang w:eastAsia="en-AU"/>
        </w:rPr>
        <w:t>Risk m</w:t>
      </w:r>
      <w:r w:rsidR="008E7846">
        <w:rPr>
          <w:lang w:eastAsia="en-AU"/>
        </w:rPr>
        <w:t xml:space="preserve">anagement </w:t>
      </w:r>
      <w:r>
        <w:rPr>
          <w:lang w:eastAsia="en-AU"/>
        </w:rPr>
        <w:t>p</w:t>
      </w:r>
      <w:r w:rsidR="008E7846">
        <w:rPr>
          <w:lang w:eastAsia="en-AU"/>
        </w:rPr>
        <w:t>lan</w:t>
      </w:r>
      <w:bookmarkEnd w:id="44"/>
      <w:bookmarkEnd w:id="64"/>
    </w:p>
    <w:p w14:paraId="149F3746" w14:textId="5FEF2C59" w:rsidR="00E27F64" w:rsidRDefault="00E27F64" w:rsidP="00E27F64">
      <w:r>
        <w:t>The sponsor has submitted EU-</w:t>
      </w:r>
      <w:r w:rsidR="007D3B23">
        <w:t>risk management plan (</w:t>
      </w:r>
      <w:r>
        <w:t>RMP</w:t>
      </w:r>
      <w:r w:rsidR="007D3B23">
        <w:t>)</w:t>
      </w:r>
      <w:r>
        <w:t xml:space="preserve"> version 1.0 (date 26</w:t>
      </w:r>
      <w:r w:rsidR="000E689D">
        <w:t> </w:t>
      </w:r>
      <w:r>
        <w:t xml:space="preserve">September 2018; </w:t>
      </w:r>
      <w:r w:rsidR="007D3B23">
        <w:t>data lock point (</w:t>
      </w:r>
      <w:r>
        <w:t>DLP</w:t>
      </w:r>
      <w:r w:rsidR="007D3B23">
        <w:t>)</w:t>
      </w:r>
      <w:r>
        <w:t xml:space="preserve"> 4 March 2018) and </w:t>
      </w:r>
      <w:r w:rsidR="007D3B23">
        <w:t>Australian specific Annex (</w:t>
      </w:r>
      <w:r>
        <w:t>ASA</w:t>
      </w:r>
      <w:r w:rsidR="007D3B23">
        <w:t>)</w:t>
      </w:r>
      <w:r>
        <w:t xml:space="preserve"> version 0.1 (date 25 October 2018) i</w:t>
      </w:r>
      <w:r w:rsidR="007D3B23">
        <w:t>n support of this application.</w:t>
      </w:r>
    </w:p>
    <w:p w14:paraId="3B183CEA" w14:textId="77777777" w:rsidR="007D53B6" w:rsidRDefault="00E27F64" w:rsidP="00E27F64">
      <w:r>
        <w:t>In response to the first round of evaluation, the sponsor has provided an updated EU RMP version 1.0 Succession No. 2 (date 20 May 2019; DLP 4 March 2018) and ASA version 0.2 (date 27 June 2019).</w:t>
      </w:r>
    </w:p>
    <w:p w14:paraId="2BE5B799" w14:textId="625FB6E5" w:rsidR="007D53B6" w:rsidRDefault="007D53B6" w:rsidP="007D53B6">
      <w:r>
        <w:t>The summary of safety concerns and their associated risk monitoring and mitigation strategies are summarised in</w:t>
      </w:r>
      <w:r w:rsidR="009A4597">
        <w:t xml:space="preserve"> </w:t>
      </w:r>
      <w:r w:rsidR="009A4597">
        <w:fldChar w:fldCharType="begin"/>
      </w:r>
      <w:r w:rsidR="009A4597">
        <w:instrText xml:space="preserve"> REF _Ref69731539 \h </w:instrText>
      </w:r>
      <w:r w:rsidR="009A4597">
        <w:fldChar w:fldCharType="separate"/>
      </w:r>
      <w:r w:rsidR="003938C9">
        <w:t xml:space="preserve">Table </w:t>
      </w:r>
      <w:r w:rsidR="003938C9">
        <w:rPr>
          <w:noProof/>
        </w:rPr>
        <w:t>6</w:t>
      </w:r>
      <w:r w:rsidR="009A4597">
        <w:fldChar w:fldCharType="end"/>
      </w:r>
      <w:r>
        <w:t>.</w:t>
      </w:r>
      <w:r>
        <w:rPr>
          <w:rStyle w:val="FootnoteReference"/>
        </w:rPr>
        <w:footnoteReference w:id="32"/>
      </w:r>
    </w:p>
    <w:p w14:paraId="26C13336" w14:textId="1EAFB597" w:rsidR="00E27F64" w:rsidRPr="004B5635" w:rsidRDefault="00E27F64" w:rsidP="00E27F64">
      <w:pPr>
        <w:pStyle w:val="TableTitle"/>
      </w:pPr>
      <w:bookmarkStart w:id="65" w:name="_Ref69731539"/>
      <w:r>
        <w:lastRenderedPageBreak/>
        <w:t xml:space="preserve">Table </w:t>
      </w:r>
      <w:r w:rsidR="00D42A0C">
        <w:fldChar w:fldCharType="begin"/>
      </w:r>
      <w:r w:rsidR="00D42A0C">
        <w:instrText xml:space="preserve"> SEQ Table \* ARABIC </w:instrText>
      </w:r>
      <w:r w:rsidR="00D42A0C">
        <w:fldChar w:fldCharType="separate"/>
      </w:r>
      <w:r w:rsidR="003938C9">
        <w:rPr>
          <w:noProof/>
        </w:rPr>
        <w:t>6</w:t>
      </w:r>
      <w:r w:rsidR="00D42A0C">
        <w:rPr>
          <w:noProof/>
        </w:rPr>
        <w:fldChar w:fldCharType="end"/>
      </w:r>
      <w:bookmarkEnd w:id="65"/>
      <w:r>
        <w:t>: Summary of safety concerns</w:t>
      </w:r>
    </w:p>
    <w:tbl>
      <w:tblPr>
        <w:tblStyle w:val="TableTGAblue"/>
        <w:tblW w:w="5000" w:type="pct"/>
        <w:tblLook w:val="04A0" w:firstRow="1" w:lastRow="0" w:firstColumn="1" w:lastColumn="0" w:noHBand="0" w:noVBand="1"/>
      </w:tblPr>
      <w:tblGrid>
        <w:gridCol w:w="1649"/>
        <w:gridCol w:w="2286"/>
        <w:gridCol w:w="1134"/>
        <w:gridCol w:w="1277"/>
        <w:gridCol w:w="1134"/>
        <w:gridCol w:w="1240"/>
      </w:tblGrid>
      <w:tr w:rsidR="009A4597" w:rsidRPr="00E27F64" w14:paraId="67CA34F6" w14:textId="77777777" w:rsidTr="003938C9">
        <w:trPr>
          <w:cnfStyle w:val="100000000000" w:firstRow="1" w:lastRow="0" w:firstColumn="0" w:lastColumn="0" w:oddVBand="0" w:evenVBand="0" w:oddHBand="0" w:evenHBand="0" w:firstRowFirstColumn="0" w:firstRowLastColumn="0" w:lastRowFirstColumn="0" w:lastRowLastColumn="0"/>
          <w:trHeight w:val="131"/>
        </w:trPr>
        <w:tc>
          <w:tcPr>
            <w:tcW w:w="2256" w:type="pct"/>
            <w:gridSpan w:val="2"/>
            <w:vMerge w:val="restart"/>
          </w:tcPr>
          <w:p w14:paraId="5CD67528" w14:textId="77777777" w:rsidR="00E27F64" w:rsidRPr="00E27F64" w:rsidRDefault="00E27F64" w:rsidP="00E27F64">
            <w:pPr>
              <w:pStyle w:val="Tabletext"/>
              <w:ind w:left="0" w:right="0"/>
              <w:rPr>
                <w:b w:val="0"/>
                <w:sz w:val="20"/>
                <w:szCs w:val="20"/>
              </w:rPr>
            </w:pPr>
            <w:r w:rsidRPr="00E27F64">
              <w:rPr>
                <w:sz w:val="20"/>
                <w:szCs w:val="20"/>
              </w:rPr>
              <w:t>Summary of safety concerns</w:t>
            </w:r>
          </w:p>
        </w:tc>
        <w:tc>
          <w:tcPr>
            <w:tcW w:w="1382" w:type="pct"/>
            <w:gridSpan w:val="2"/>
          </w:tcPr>
          <w:p w14:paraId="2A5977DE" w14:textId="77777777" w:rsidR="00E27F64" w:rsidRPr="00E27F64" w:rsidRDefault="00E27F64" w:rsidP="00E27F64">
            <w:pPr>
              <w:pStyle w:val="Tabletext"/>
              <w:ind w:left="0" w:right="0"/>
              <w:rPr>
                <w:b w:val="0"/>
                <w:sz w:val="20"/>
                <w:szCs w:val="20"/>
              </w:rPr>
            </w:pPr>
            <w:r w:rsidRPr="00E27F64">
              <w:rPr>
                <w:sz w:val="20"/>
                <w:szCs w:val="20"/>
              </w:rPr>
              <w:t>Pharmacovigilance</w:t>
            </w:r>
          </w:p>
        </w:tc>
        <w:tc>
          <w:tcPr>
            <w:tcW w:w="1361" w:type="pct"/>
            <w:gridSpan w:val="2"/>
          </w:tcPr>
          <w:p w14:paraId="45584E8C" w14:textId="77777777" w:rsidR="00E27F64" w:rsidRPr="00E27F64" w:rsidRDefault="00E27F64" w:rsidP="00E27F64">
            <w:pPr>
              <w:pStyle w:val="Tabletext"/>
              <w:ind w:left="0" w:right="0"/>
              <w:rPr>
                <w:b w:val="0"/>
                <w:sz w:val="20"/>
                <w:szCs w:val="20"/>
              </w:rPr>
            </w:pPr>
            <w:r>
              <w:rPr>
                <w:sz w:val="20"/>
                <w:szCs w:val="20"/>
              </w:rPr>
              <w:t>Risk m</w:t>
            </w:r>
            <w:r w:rsidRPr="00E27F64">
              <w:rPr>
                <w:sz w:val="20"/>
                <w:szCs w:val="20"/>
              </w:rPr>
              <w:t>inimisation</w:t>
            </w:r>
          </w:p>
        </w:tc>
      </w:tr>
      <w:tr w:rsidR="00E27F64" w:rsidRPr="00E27F64" w14:paraId="30A2E2C7" w14:textId="77777777" w:rsidTr="003938C9">
        <w:trPr>
          <w:trHeight w:val="150"/>
        </w:trPr>
        <w:tc>
          <w:tcPr>
            <w:tcW w:w="2256" w:type="pct"/>
            <w:gridSpan w:val="2"/>
            <w:vMerge/>
          </w:tcPr>
          <w:p w14:paraId="535EB4FB" w14:textId="77777777" w:rsidR="00E27F64" w:rsidRPr="00E27F64" w:rsidRDefault="00E27F64" w:rsidP="00E27F64">
            <w:pPr>
              <w:pStyle w:val="Tabletext"/>
              <w:ind w:left="0" w:right="0"/>
              <w:rPr>
                <w:b/>
                <w:sz w:val="20"/>
                <w:szCs w:val="20"/>
              </w:rPr>
            </w:pPr>
          </w:p>
        </w:tc>
        <w:tc>
          <w:tcPr>
            <w:tcW w:w="650" w:type="pct"/>
            <w:shd w:val="clear" w:color="auto" w:fill="006DA7"/>
          </w:tcPr>
          <w:p w14:paraId="7351E56F" w14:textId="77777777" w:rsidR="00E27F64" w:rsidRPr="009A4597" w:rsidRDefault="00E27F64" w:rsidP="00E27F64">
            <w:pPr>
              <w:pStyle w:val="Tabletext"/>
              <w:ind w:left="0" w:right="0"/>
              <w:rPr>
                <w:b/>
                <w:color w:val="FFFFFF" w:themeColor="background1"/>
                <w:sz w:val="20"/>
                <w:szCs w:val="20"/>
              </w:rPr>
            </w:pPr>
            <w:r w:rsidRPr="009A4597">
              <w:rPr>
                <w:b/>
                <w:color w:val="FFFFFF" w:themeColor="background1"/>
                <w:sz w:val="20"/>
                <w:szCs w:val="20"/>
              </w:rPr>
              <w:t>Routine</w:t>
            </w:r>
          </w:p>
        </w:tc>
        <w:tc>
          <w:tcPr>
            <w:tcW w:w="732" w:type="pct"/>
            <w:shd w:val="clear" w:color="auto" w:fill="006DA7"/>
          </w:tcPr>
          <w:p w14:paraId="27DBD4E1" w14:textId="77777777" w:rsidR="00E27F64" w:rsidRPr="009A4597" w:rsidRDefault="00E27F64" w:rsidP="00E27F64">
            <w:pPr>
              <w:pStyle w:val="Tabletext"/>
              <w:ind w:left="0" w:right="0"/>
              <w:rPr>
                <w:b/>
                <w:color w:val="FFFFFF" w:themeColor="background1"/>
                <w:sz w:val="20"/>
                <w:szCs w:val="20"/>
              </w:rPr>
            </w:pPr>
            <w:r w:rsidRPr="009A4597">
              <w:rPr>
                <w:b/>
                <w:color w:val="FFFFFF" w:themeColor="background1"/>
                <w:sz w:val="20"/>
                <w:szCs w:val="20"/>
              </w:rPr>
              <w:t>Additional</w:t>
            </w:r>
          </w:p>
        </w:tc>
        <w:tc>
          <w:tcPr>
            <w:tcW w:w="650" w:type="pct"/>
            <w:shd w:val="clear" w:color="auto" w:fill="006DA7"/>
          </w:tcPr>
          <w:p w14:paraId="37827176" w14:textId="77777777" w:rsidR="00E27F64" w:rsidRPr="009A4597" w:rsidRDefault="00E27F64" w:rsidP="00E27F64">
            <w:pPr>
              <w:pStyle w:val="Tabletext"/>
              <w:ind w:left="0" w:right="0"/>
              <w:rPr>
                <w:b/>
                <w:color w:val="FFFFFF" w:themeColor="background1"/>
                <w:sz w:val="20"/>
                <w:szCs w:val="20"/>
              </w:rPr>
            </w:pPr>
            <w:r w:rsidRPr="009A4597">
              <w:rPr>
                <w:b/>
                <w:color w:val="FFFFFF" w:themeColor="background1"/>
                <w:sz w:val="20"/>
                <w:szCs w:val="20"/>
              </w:rPr>
              <w:t>Routine</w:t>
            </w:r>
          </w:p>
        </w:tc>
        <w:tc>
          <w:tcPr>
            <w:tcW w:w="711" w:type="pct"/>
            <w:shd w:val="clear" w:color="auto" w:fill="006DA7"/>
          </w:tcPr>
          <w:p w14:paraId="22479EC6" w14:textId="77777777" w:rsidR="00E27F64" w:rsidRPr="009A4597" w:rsidRDefault="00E27F64" w:rsidP="00E27F64">
            <w:pPr>
              <w:pStyle w:val="Tabletext"/>
              <w:ind w:left="0" w:right="0"/>
              <w:rPr>
                <w:b/>
                <w:color w:val="FFFFFF" w:themeColor="background1"/>
                <w:sz w:val="20"/>
                <w:szCs w:val="20"/>
              </w:rPr>
            </w:pPr>
            <w:r w:rsidRPr="009A4597">
              <w:rPr>
                <w:b/>
                <w:color w:val="FFFFFF" w:themeColor="background1"/>
                <w:sz w:val="20"/>
                <w:szCs w:val="20"/>
              </w:rPr>
              <w:t>Additional</w:t>
            </w:r>
          </w:p>
        </w:tc>
      </w:tr>
      <w:tr w:rsidR="00E27F64" w:rsidRPr="00E27F64" w14:paraId="64D71829" w14:textId="77777777" w:rsidTr="003938C9">
        <w:trPr>
          <w:trHeight w:val="137"/>
        </w:trPr>
        <w:tc>
          <w:tcPr>
            <w:tcW w:w="946" w:type="pct"/>
            <w:vMerge w:val="restart"/>
          </w:tcPr>
          <w:p w14:paraId="73E2C5C1" w14:textId="77777777" w:rsidR="00E27F64" w:rsidRPr="00E27F64" w:rsidRDefault="00E27F64" w:rsidP="00E27F64">
            <w:pPr>
              <w:pStyle w:val="Tabletext"/>
              <w:ind w:left="0" w:right="0"/>
              <w:rPr>
                <w:b/>
                <w:sz w:val="20"/>
                <w:szCs w:val="20"/>
              </w:rPr>
            </w:pPr>
            <w:r w:rsidRPr="00E27F64">
              <w:rPr>
                <w:b/>
                <w:sz w:val="20"/>
                <w:szCs w:val="20"/>
              </w:rPr>
              <w:t>Important identified risks</w:t>
            </w:r>
          </w:p>
        </w:tc>
        <w:tc>
          <w:tcPr>
            <w:tcW w:w="1311" w:type="pct"/>
          </w:tcPr>
          <w:p w14:paraId="5DC978AB" w14:textId="77777777" w:rsidR="00E27F64" w:rsidRPr="00E27F64" w:rsidRDefault="009A4597" w:rsidP="00E27F64">
            <w:pPr>
              <w:pStyle w:val="Summaryofsafetyconcerns"/>
              <w:keepNext/>
              <w:keepLines/>
              <w:ind w:left="0" w:right="0"/>
              <w:rPr>
                <w:b w:val="0"/>
                <w:szCs w:val="20"/>
              </w:rPr>
            </w:pPr>
            <w:r>
              <w:rPr>
                <w:b w:val="0"/>
                <w:szCs w:val="20"/>
              </w:rPr>
              <w:t>Drug abuse</w:t>
            </w:r>
          </w:p>
        </w:tc>
        <w:tc>
          <w:tcPr>
            <w:tcW w:w="650" w:type="pct"/>
          </w:tcPr>
          <w:p w14:paraId="15272632"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19F0F920" w14:textId="77777777" w:rsidR="00E27F64" w:rsidRPr="00E27F64" w:rsidRDefault="00E27F64" w:rsidP="00E27F64">
            <w:pPr>
              <w:ind w:left="0" w:right="0"/>
              <w:jc w:val="center"/>
              <w:rPr>
                <w:sz w:val="20"/>
                <w:szCs w:val="20"/>
              </w:rPr>
            </w:pPr>
            <w:r w:rsidRPr="00E27F64">
              <w:rPr>
                <w:sz w:val="20"/>
                <w:szCs w:val="20"/>
              </w:rPr>
              <w:sym w:font="Wingdings" w:char="F0FC"/>
            </w:r>
            <w:r w:rsidRPr="00E27F64">
              <w:rPr>
                <w:sz w:val="20"/>
                <w:szCs w:val="20"/>
                <w:vertAlign w:val="superscript"/>
              </w:rPr>
              <w:t>3,</w:t>
            </w:r>
            <w:r w:rsidRPr="00E27F64">
              <w:rPr>
                <w:sz w:val="20"/>
                <w:szCs w:val="20"/>
              </w:rPr>
              <w:t xml:space="preserve"> </w:t>
            </w:r>
            <w:r w:rsidRPr="00E27F64">
              <w:rPr>
                <w:sz w:val="20"/>
                <w:szCs w:val="20"/>
                <w:vertAlign w:val="superscript"/>
              </w:rPr>
              <w:t>4</w:t>
            </w:r>
          </w:p>
        </w:tc>
        <w:tc>
          <w:tcPr>
            <w:tcW w:w="650" w:type="pct"/>
          </w:tcPr>
          <w:p w14:paraId="4C91F380" w14:textId="77777777" w:rsidR="00E27F64" w:rsidRPr="00E27F64" w:rsidRDefault="00E27F64" w:rsidP="00E27F64">
            <w:pPr>
              <w:pStyle w:val="Tabletext"/>
              <w:ind w:left="0" w:right="0"/>
              <w:jc w:val="center"/>
              <w:rPr>
                <w:sz w:val="20"/>
                <w:szCs w:val="20"/>
              </w:rPr>
            </w:pPr>
            <w:r w:rsidRPr="00E27F64">
              <w:rPr>
                <w:sz w:val="20"/>
                <w:szCs w:val="20"/>
              </w:rPr>
              <w:sym w:font="Wingdings" w:char="F0FC"/>
            </w:r>
            <w:r w:rsidRPr="00E27F64">
              <w:rPr>
                <w:sz w:val="20"/>
                <w:szCs w:val="20"/>
                <w:vertAlign w:val="superscript"/>
              </w:rPr>
              <w:t>6</w:t>
            </w:r>
          </w:p>
        </w:tc>
        <w:tc>
          <w:tcPr>
            <w:tcW w:w="711" w:type="pct"/>
          </w:tcPr>
          <w:p w14:paraId="16375C28" w14:textId="77777777" w:rsidR="00E27F64" w:rsidRPr="00E27F64" w:rsidRDefault="00E27F64" w:rsidP="00E27F64">
            <w:pPr>
              <w:pStyle w:val="Tabletext"/>
              <w:ind w:left="0" w:right="0"/>
              <w:jc w:val="center"/>
              <w:rPr>
                <w:sz w:val="20"/>
                <w:szCs w:val="20"/>
                <w:vertAlign w:val="superscript"/>
              </w:rPr>
            </w:pPr>
            <w:r w:rsidRPr="00E27F64">
              <w:rPr>
                <w:sz w:val="20"/>
                <w:szCs w:val="20"/>
              </w:rPr>
              <w:sym w:font="Wingdings" w:char="F0FC"/>
            </w:r>
            <w:r w:rsidRPr="00E27F64">
              <w:rPr>
                <w:sz w:val="20"/>
                <w:szCs w:val="20"/>
                <w:vertAlign w:val="superscript"/>
              </w:rPr>
              <w:t>1</w:t>
            </w:r>
          </w:p>
        </w:tc>
      </w:tr>
      <w:tr w:rsidR="00E27F64" w:rsidRPr="00E27F64" w14:paraId="76119191" w14:textId="77777777" w:rsidTr="003938C9">
        <w:trPr>
          <w:trHeight w:val="94"/>
        </w:trPr>
        <w:tc>
          <w:tcPr>
            <w:tcW w:w="946" w:type="pct"/>
            <w:vMerge/>
          </w:tcPr>
          <w:p w14:paraId="2AC6CE7D" w14:textId="77777777" w:rsidR="00E27F64" w:rsidRPr="00E27F64" w:rsidRDefault="00E27F64" w:rsidP="00E27F64">
            <w:pPr>
              <w:pStyle w:val="Tabletext"/>
              <w:ind w:left="0" w:right="0"/>
              <w:rPr>
                <w:b/>
                <w:sz w:val="20"/>
                <w:szCs w:val="20"/>
              </w:rPr>
            </w:pPr>
          </w:p>
        </w:tc>
        <w:tc>
          <w:tcPr>
            <w:tcW w:w="1311" w:type="pct"/>
          </w:tcPr>
          <w:p w14:paraId="27EC52F9" w14:textId="77777777" w:rsidR="00E27F64" w:rsidRPr="00E27F64" w:rsidRDefault="00E27F64" w:rsidP="00E27F64">
            <w:pPr>
              <w:pStyle w:val="Summaryofsafetyconcerns"/>
              <w:keepNext/>
              <w:keepLines/>
              <w:ind w:left="0" w:right="0"/>
              <w:rPr>
                <w:b w:val="0"/>
                <w:szCs w:val="20"/>
              </w:rPr>
            </w:pPr>
            <w:r w:rsidRPr="00E27F64">
              <w:rPr>
                <w:b w:val="0"/>
                <w:szCs w:val="20"/>
              </w:rPr>
              <w:t>Transient dissociative states and perception</w:t>
            </w:r>
            <w:r w:rsidR="009A4597">
              <w:rPr>
                <w:b w:val="0"/>
                <w:szCs w:val="20"/>
              </w:rPr>
              <w:t xml:space="preserve"> </w:t>
            </w:r>
            <w:r w:rsidRPr="00E27F64">
              <w:rPr>
                <w:b w:val="0"/>
                <w:szCs w:val="20"/>
              </w:rPr>
              <w:t>disorders</w:t>
            </w:r>
          </w:p>
        </w:tc>
        <w:tc>
          <w:tcPr>
            <w:tcW w:w="650" w:type="pct"/>
          </w:tcPr>
          <w:p w14:paraId="3037F1D3"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6D44FD8C" w14:textId="77777777" w:rsidR="00E27F64" w:rsidRPr="00E27F64" w:rsidRDefault="00E27F64" w:rsidP="00E27F64">
            <w:pPr>
              <w:ind w:left="0" w:right="0"/>
              <w:jc w:val="center"/>
              <w:rPr>
                <w:sz w:val="20"/>
                <w:szCs w:val="20"/>
              </w:rPr>
            </w:pPr>
            <w:r w:rsidRPr="00E27F64">
              <w:rPr>
                <w:sz w:val="20"/>
                <w:szCs w:val="20"/>
              </w:rPr>
              <w:sym w:font="Wingdings" w:char="F0FC"/>
            </w:r>
            <w:r w:rsidRPr="00E27F64">
              <w:rPr>
                <w:sz w:val="20"/>
                <w:szCs w:val="20"/>
                <w:vertAlign w:val="superscript"/>
              </w:rPr>
              <w:t>3, 4</w:t>
            </w:r>
          </w:p>
        </w:tc>
        <w:tc>
          <w:tcPr>
            <w:tcW w:w="650" w:type="pct"/>
          </w:tcPr>
          <w:p w14:paraId="0ABFD228" w14:textId="77777777" w:rsidR="00E27F64" w:rsidRPr="00E27F64" w:rsidRDefault="00E27F64" w:rsidP="00E27F64">
            <w:pPr>
              <w:pStyle w:val="Tabletext"/>
              <w:ind w:left="0" w:right="0"/>
              <w:jc w:val="center"/>
              <w:rPr>
                <w:sz w:val="20"/>
                <w:szCs w:val="20"/>
              </w:rPr>
            </w:pPr>
            <w:r w:rsidRPr="00E27F64">
              <w:rPr>
                <w:sz w:val="20"/>
                <w:szCs w:val="20"/>
              </w:rPr>
              <w:sym w:font="Wingdings" w:char="F0FC"/>
            </w:r>
            <w:r w:rsidRPr="00E27F64">
              <w:rPr>
                <w:sz w:val="20"/>
                <w:szCs w:val="20"/>
                <w:vertAlign w:val="superscript"/>
              </w:rPr>
              <w:t>6</w:t>
            </w:r>
          </w:p>
        </w:tc>
        <w:tc>
          <w:tcPr>
            <w:tcW w:w="711" w:type="pct"/>
          </w:tcPr>
          <w:p w14:paraId="7BEE0A64" w14:textId="77777777" w:rsidR="00E27F64" w:rsidRPr="00E27F64" w:rsidRDefault="00E27F64" w:rsidP="00E27F64">
            <w:pPr>
              <w:pStyle w:val="Tabletext"/>
              <w:ind w:left="0" w:right="0"/>
              <w:jc w:val="center"/>
              <w:rPr>
                <w:sz w:val="20"/>
                <w:szCs w:val="20"/>
                <w:vertAlign w:val="superscript"/>
              </w:rPr>
            </w:pPr>
            <w:r w:rsidRPr="00E27F64">
              <w:rPr>
                <w:sz w:val="20"/>
                <w:szCs w:val="20"/>
              </w:rPr>
              <w:sym w:font="Wingdings" w:char="F0FC"/>
            </w:r>
            <w:r w:rsidRPr="00E27F64">
              <w:rPr>
                <w:sz w:val="20"/>
                <w:szCs w:val="20"/>
                <w:vertAlign w:val="superscript"/>
              </w:rPr>
              <w:t>1, 2</w:t>
            </w:r>
          </w:p>
        </w:tc>
      </w:tr>
      <w:tr w:rsidR="00E27F64" w:rsidRPr="00E27F64" w14:paraId="10DEAE7D" w14:textId="77777777" w:rsidTr="003938C9">
        <w:trPr>
          <w:trHeight w:val="94"/>
        </w:trPr>
        <w:tc>
          <w:tcPr>
            <w:tcW w:w="946" w:type="pct"/>
            <w:vMerge/>
          </w:tcPr>
          <w:p w14:paraId="1B0A4F9B" w14:textId="77777777" w:rsidR="00E27F64" w:rsidRPr="00E27F64" w:rsidRDefault="00E27F64" w:rsidP="00E27F64">
            <w:pPr>
              <w:pStyle w:val="Tabletext"/>
              <w:ind w:left="0" w:right="0"/>
              <w:rPr>
                <w:b/>
                <w:sz w:val="20"/>
                <w:szCs w:val="20"/>
              </w:rPr>
            </w:pPr>
          </w:p>
        </w:tc>
        <w:tc>
          <w:tcPr>
            <w:tcW w:w="1311" w:type="pct"/>
          </w:tcPr>
          <w:p w14:paraId="759C9E62" w14:textId="77777777" w:rsidR="00E27F64" w:rsidRPr="00E27F64" w:rsidRDefault="00E27F64" w:rsidP="00E27F64">
            <w:pPr>
              <w:pStyle w:val="Summaryofsafetyconcerns"/>
              <w:keepNext/>
              <w:keepLines/>
              <w:ind w:left="0" w:right="0"/>
              <w:rPr>
                <w:b w:val="0"/>
                <w:szCs w:val="20"/>
              </w:rPr>
            </w:pPr>
            <w:r w:rsidRPr="00E27F64">
              <w:rPr>
                <w:b w:val="0"/>
                <w:szCs w:val="20"/>
              </w:rPr>
              <w:t>Disturbances in consciousness</w:t>
            </w:r>
          </w:p>
        </w:tc>
        <w:tc>
          <w:tcPr>
            <w:tcW w:w="650" w:type="pct"/>
          </w:tcPr>
          <w:p w14:paraId="147514D5"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6AACF356" w14:textId="77777777" w:rsidR="00E27F64" w:rsidRPr="00E27F64" w:rsidRDefault="00E27F64" w:rsidP="00E27F64">
            <w:pPr>
              <w:ind w:left="0" w:right="0"/>
              <w:jc w:val="center"/>
              <w:rPr>
                <w:sz w:val="20"/>
                <w:szCs w:val="20"/>
              </w:rPr>
            </w:pPr>
            <w:r w:rsidRPr="00E27F64">
              <w:rPr>
                <w:sz w:val="20"/>
                <w:szCs w:val="20"/>
              </w:rPr>
              <w:sym w:font="Wingdings" w:char="F0FC"/>
            </w:r>
            <w:r w:rsidRPr="00E27F64">
              <w:rPr>
                <w:sz w:val="20"/>
                <w:szCs w:val="20"/>
                <w:vertAlign w:val="superscript"/>
              </w:rPr>
              <w:t>3</w:t>
            </w:r>
          </w:p>
        </w:tc>
        <w:tc>
          <w:tcPr>
            <w:tcW w:w="650" w:type="pct"/>
          </w:tcPr>
          <w:p w14:paraId="080020C8" w14:textId="77777777" w:rsidR="00E27F64" w:rsidRPr="00E27F64" w:rsidRDefault="00E27F64" w:rsidP="00E27F64">
            <w:pPr>
              <w:pStyle w:val="Tabletext"/>
              <w:ind w:left="0" w:right="0"/>
              <w:jc w:val="center"/>
              <w:rPr>
                <w:sz w:val="20"/>
                <w:szCs w:val="20"/>
              </w:rPr>
            </w:pPr>
            <w:r w:rsidRPr="00E27F64">
              <w:rPr>
                <w:sz w:val="20"/>
                <w:szCs w:val="20"/>
              </w:rPr>
              <w:sym w:font="Wingdings" w:char="F0FC"/>
            </w:r>
            <w:r w:rsidRPr="00E27F64">
              <w:rPr>
                <w:sz w:val="20"/>
                <w:szCs w:val="20"/>
                <w:vertAlign w:val="superscript"/>
              </w:rPr>
              <w:t>6</w:t>
            </w:r>
          </w:p>
        </w:tc>
        <w:tc>
          <w:tcPr>
            <w:tcW w:w="711" w:type="pct"/>
          </w:tcPr>
          <w:p w14:paraId="07F659C6" w14:textId="77777777" w:rsidR="00E27F64" w:rsidRPr="00E27F64" w:rsidRDefault="00E27F64" w:rsidP="00E27F64">
            <w:pPr>
              <w:ind w:left="0" w:right="0"/>
              <w:jc w:val="center"/>
              <w:rPr>
                <w:sz w:val="20"/>
                <w:szCs w:val="20"/>
              </w:rPr>
            </w:pPr>
            <w:r w:rsidRPr="00E27F64">
              <w:rPr>
                <w:sz w:val="20"/>
                <w:szCs w:val="20"/>
              </w:rPr>
              <w:sym w:font="Wingdings" w:char="F0FC"/>
            </w:r>
            <w:r w:rsidRPr="00E27F64">
              <w:rPr>
                <w:sz w:val="20"/>
                <w:szCs w:val="20"/>
                <w:vertAlign w:val="superscript"/>
              </w:rPr>
              <w:t>1, 2</w:t>
            </w:r>
          </w:p>
        </w:tc>
      </w:tr>
      <w:tr w:rsidR="00E27F64" w:rsidRPr="00E27F64" w14:paraId="280D94E2" w14:textId="77777777" w:rsidTr="003938C9">
        <w:trPr>
          <w:trHeight w:val="187"/>
        </w:trPr>
        <w:tc>
          <w:tcPr>
            <w:tcW w:w="946" w:type="pct"/>
            <w:vMerge/>
          </w:tcPr>
          <w:p w14:paraId="49D8B5AB" w14:textId="77777777" w:rsidR="00E27F64" w:rsidRPr="00E27F64" w:rsidRDefault="00E27F64" w:rsidP="00E27F64">
            <w:pPr>
              <w:pStyle w:val="Tabletext"/>
              <w:ind w:left="0" w:right="0"/>
              <w:rPr>
                <w:b/>
                <w:sz w:val="20"/>
                <w:szCs w:val="20"/>
              </w:rPr>
            </w:pPr>
          </w:p>
        </w:tc>
        <w:tc>
          <w:tcPr>
            <w:tcW w:w="1311" w:type="pct"/>
          </w:tcPr>
          <w:p w14:paraId="19BE4D2C" w14:textId="77777777" w:rsidR="00E27F64" w:rsidRPr="00E27F64" w:rsidRDefault="00E27F64" w:rsidP="00E27F64">
            <w:pPr>
              <w:pStyle w:val="Summaryofsafetyconcerns"/>
              <w:keepNext/>
              <w:keepLines/>
              <w:ind w:left="0" w:right="0"/>
              <w:rPr>
                <w:b w:val="0"/>
                <w:szCs w:val="20"/>
              </w:rPr>
            </w:pPr>
            <w:r w:rsidRPr="00E27F64">
              <w:rPr>
                <w:b w:val="0"/>
                <w:szCs w:val="20"/>
              </w:rPr>
              <w:t>Blood pressure increased</w:t>
            </w:r>
          </w:p>
        </w:tc>
        <w:tc>
          <w:tcPr>
            <w:tcW w:w="650" w:type="pct"/>
          </w:tcPr>
          <w:p w14:paraId="34A3419D"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7618F973" w14:textId="77777777" w:rsidR="00E27F64" w:rsidRPr="00E27F64" w:rsidRDefault="00E27F64" w:rsidP="00E27F64">
            <w:pPr>
              <w:pStyle w:val="Tabletext"/>
              <w:ind w:left="0" w:right="0"/>
              <w:jc w:val="center"/>
              <w:rPr>
                <w:sz w:val="20"/>
                <w:szCs w:val="20"/>
              </w:rPr>
            </w:pPr>
            <w:r w:rsidRPr="00E27F64">
              <w:rPr>
                <w:sz w:val="20"/>
                <w:szCs w:val="20"/>
              </w:rPr>
              <w:sym w:font="Wingdings" w:char="F0FC"/>
            </w:r>
            <w:r w:rsidRPr="00E27F64">
              <w:rPr>
                <w:sz w:val="20"/>
                <w:szCs w:val="20"/>
                <w:vertAlign w:val="superscript"/>
              </w:rPr>
              <w:t>3</w:t>
            </w:r>
          </w:p>
        </w:tc>
        <w:tc>
          <w:tcPr>
            <w:tcW w:w="650" w:type="pct"/>
          </w:tcPr>
          <w:p w14:paraId="3726B3AE" w14:textId="77777777" w:rsidR="00E27F64" w:rsidRPr="00E27F64" w:rsidRDefault="00E27F64" w:rsidP="00E27F64">
            <w:pPr>
              <w:pStyle w:val="Tabletext"/>
              <w:ind w:left="0" w:right="0"/>
              <w:jc w:val="center"/>
              <w:rPr>
                <w:sz w:val="20"/>
                <w:szCs w:val="20"/>
              </w:rPr>
            </w:pPr>
            <w:r w:rsidRPr="00E27F64">
              <w:rPr>
                <w:sz w:val="20"/>
                <w:szCs w:val="20"/>
              </w:rPr>
              <w:sym w:font="Wingdings" w:char="F0FC"/>
            </w:r>
            <w:r w:rsidRPr="00E27F64">
              <w:rPr>
                <w:sz w:val="20"/>
                <w:szCs w:val="20"/>
                <w:vertAlign w:val="superscript"/>
              </w:rPr>
              <w:t>6</w:t>
            </w:r>
          </w:p>
        </w:tc>
        <w:tc>
          <w:tcPr>
            <w:tcW w:w="711" w:type="pct"/>
          </w:tcPr>
          <w:p w14:paraId="62C7DA46" w14:textId="77777777" w:rsidR="00E27F64" w:rsidRPr="00E27F64" w:rsidRDefault="00E27F64" w:rsidP="00E27F64">
            <w:pPr>
              <w:pStyle w:val="Tabletext"/>
              <w:ind w:left="0" w:right="0"/>
              <w:jc w:val="center"/>
              <w:rPr>
                <w:sz w:val="20"/>
                <w:szCs w:val="20"/>
                <w:vertAlign w:val="superscript"/>
              </w:rPr>
            </w:pPr>
            <w:r w:rsidRPr="00E27F64">
              <w:rPr>
                <w:sz w:val="20"/>
                <w:szCs w:val="20"/>
              </w:rPr>
              <w:sym w:font="Wingdings" w:char="F0FC"/>
            </w:r>
            <w:r w:rsidRPr="00E27F64">
              <w:rPr>
                <w:sz w:val="20"/>
                <w:szCs w:val="20"/>
                <w:vertAlign w:val="superscript"/>
              </w:rPr>
              <w:t>1, 2</w:t>
            </w:r>
          </w:p>
        </w:tc>
      </w:tr>
      <w:tr w:rsidR="00E27F64" w:rsidRPr="00E27F64" w14:paraId="72666E25" w14:textId="77777777" w:rsidTr="003938C9">
        <w:trPr>
          <w:trHeight w:val="159"/>
        </w:trPr>
        <w:tc>
          <w:tcPr>
            <w:tcW w:w="946" w:type="pct"/>
            <w:vMerge w:val="restart"/>
          </w:tcPr>
          <w:p w14:paraId="2C1579B2" w14:textId="77777777" w:rsidR="00E27F64" w:rsidRPr="00E27F64" w:rsidRDefault="00E27F64" w:rsidP="00E27F64">
            <w:pPr>
              <w:pStyle w:val="Tabletext"/>
              <w:ind w:left="0" w:right="0"/>
              <w:rPr>
                <w:b/>
                <w:sz w:val="20"/>
                <w:szCs w:val="20"/>
              </w:rPr>
            </w:pPr>
            <w:r w:rsidRPr="00E27F64">
              <w:rPr>
                <w:b/>
                <w:sz w:val="20"/>
                <w:szCs w:val="20"/>
              </w:rPr>
              <w:t>Important potential risks</w:t>
            </w:r>
          </w:p>
        </w:tc>
        <w:tc>
          <w:tcPr>
            <w:tcW w:w="1311" w:type="pct"/>
          </w:tcPr>
          <w:p w14:paraId="4EEA621A" w14:textId="77777777" w:rsidR="00E27F64" w:rsidRPr="00E27F64" w:rsidRDefault="00E27F64" w:rsidP="00E27F64">
            <w:pPr>
              <w:pStyle w:val="Summaryofsafetyconcerns"/>
              <w:keepNext/>
              <w:keepLines/>
              <w:ind w:left="0" w:right="0"/>
              <w:rPr>
                <w:b w:val="0"/>
                <w:szCs w:val="20"/>
              </w:rPr>
            </w:pPr>
            <w:r w:rsidRPr="00E27F64">
              <w:rPr>
                <w:b w:val="0"/>
                <w:szCs w:val="20"/>
              </w:rPr>
              <w:t>Cognitive and memory impairment (long-term use)</w:t>
            </w:r>
          </w:p>
        </w:tc>
        <w:tc>
          <w:tcPr>
            <w:tcW w:w="650" w:type="pct"/>
          </w:tcPr>
          <w:p w14:paraId="10C26161"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0C1E893A" w14:textId="77777777" w:rsidR="00E27F64" w:rsidRPr="00E27F64" w:rsidRDefault="00E27F64" w:rsidP="00E27F64">
            <w:pPr>
              <w:pStyle w:val="Tabletext"/>
              <w:ind w:left="0" w:right="0"/>
              <w:jc w:val="center"/>
              <w:rPr>
                <w:sz w:val="20"/>
                <w:szCs w:val="20"/>
                <w:vertAlign w:val="superscript"/>
              </w:rPr>
            </w:pPr>
            <w:r w:rsidRPr="00E27F64">
              <w:rPr>
                <w:sz w:val="20"/>
                <w:szCs w:val="20"/>
              </w:rPr>
              <w:sym w:font="Wingdings" w:char="F0FC"/>
            </w:r>
            <w:r w:rsidRPr="00E27F64">
              <w:rPr>
                <w:sz w:val="20"/>
                <w:szCs w:val="20"/>
                <w:vertAlign w:val="superscript"/>
              </w:rPr>
              <w:t>5</w:t>
            </w:r>
          </w:p>
        </w:tc>
        <w:tc>
          <w:tcPr>
            <w:tcW w:w="650" w:type="pct"/>
          </w:tcPr>
          <w:p w14:paraId="0A833863"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11" w:type="pct"/>
          </w:tcPr>
          <w:p w14:paraId="6716D7EC" w14:textId="77777777" w:rsidR="00E27F64" w:rsidRPr="00E27F64" w:rsidRDefault="00E27F64" w:rsidP="00E27F64">
            <w:pPr>
              <w:pStyle w:val="Tabletext"/>
              <w:ind w:left="0" w:right="0"/>
              <w:jc w:val="center"/>
              <w:rPr>
                <w:sz w:val="20"/>
                <w:szCs w:val="20"/>
              </w:rPr>
            </w:pPr>
            <w:r w:rsidRPr="00E27F64">
              <w:rPr>
                <w:sz w:val="20"/>
                <w:szCs w:val="20"/>
              </w:rPr>
              <w:t>–</w:t>
            </w:r>
          </w:p>
        </w:tc>
      </w:tr>
      <w:tr w:rsidR="00E27F64" w:rsidRPr="00E27F64" w14:paraId="1BA56A0F" w14:textId="77777777" w:rsidTr="003938C9">
        <w:trPr>
          <w:trHeight w:val="122"/>
        </w:trPr>
        <w:tc>
          <w:tcPr>
            <w:tcW w:w="946" w:type="pct"/>
            <w:vMerge/>
          </w:tcPr>
          <w:p w14:paraId="5E9C737B" w14:textId="77777777" w:rsidR="00E27F64" w:rsidRPr="00E27F64" w:rsidRDefault="00E27F64" w:rsidP="00E27F64">
            <w:pPr>
              <w:pStyle w:val="Tabletext"/>
              <w:ind w:left="0" w:right="0"/>
              <w:rPr>
                <w:b/>
                <w:sz w:val="20"/>
                <w:szCs w:val="20"/>
              </w:rPr>
            </w:pPr>
          </w:p>
        </w:tc>
        <w:tc>
          <w:tcPr>
            <w:tcW w:w="1311" w:type="pct"/>
          </w:tcPr>
          <w:p w14:paraId="33072135" w14:textId="77777777" w:rsidR="00E27F64" w:rsidRPr="00E27F64" w:rsidRDefault="00E27F64" w:rsidP="00E27F64">
            <w:pPr>
              <w:pStyle w:val="Summaryofsafetyconcerns"/>
              <w:keepNext/>
              <w:keepLines/>
              <w:ind w:left="0" w:right="0"/>
              <w:rPr>
                <w:b w:val="0"/>
                <w:szCs w:val="20"/>
              </w:rPr>
            </w:pPr>
            <w:r w:rsidRPr="00E27F64">
              <w:rPr>
                <w:b w:val="0"/>
                <w:szCs w:val="20"/>
              </w:rPr>
              <w:t>Interstitial cystitis</w:t>
            </w:r>
          </w:p>
        </w:tc>
        <w:tc>
          <w:tcPr>
            <w:tcW w:w="650" w:type="pct"/>
          </w:tcPr>
          <w:p w14:paraId="3391BAD5"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78B94947" w14:textId="77777777" w:rsidR="00E27F64" w:rsidRPr="00E27F64" w:rsidRDefault="00E27F64" w:rsidP="00E27F64">
            <w:pPr>
              <w:pStyle w:val="Tabletext"/>
              <w:ind w:left="0" w:right="0"/>
              <w:jc w:val="center"/>
              <w:rPr>
                <w:sz w:val="20"/>
                <w:szCs w:val="20"/>
                <w:vertAlign w:val="superscript"/>
              </w:rPr>
            </w:pPr>
            <w:r w:rsidRPr="00E27F64">
              <w:rPr>
                <w:sz w:val="20"/>
                <w:szCs w:val="20"/>
              </w:rPr>
              <w:sym w:font="Wingdings" w:char="F0FC"/>
            </w:r>
            <w:r w:rsidRPr="00E27F64">
              <w:rPr>
                <w:sz w:val="20"/>
                <w:szCs w:val="20"/>
                <w:vertAlign w:val="superscript"/>
              </w:rPr>
              <w:t>5</w:t>
            </w:r>
          </w:p>
        </w:tc>
        <w:tc>
          <w:tcPr>
            <w:tcW w:w="650" w:type="pct"/>
          </w:tcPr>
          <w:p w14:paraId="773D2911"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11" w:type="pct"/>
          </w:tcPr>
          <w:p w14:paraId="005D702F" w14:textId="77777777" w:rsidR="00E27F64" w:rsidRPr="00E27F64" w:rsidRDefault="00E27F64" w:rsidP="00E27F64">
            <w:pPr>
              <w:pStyle w:val="Tabletext"/>
              <w:ind w:left="0" w:right="0"/>
              <w:jc w:val="center"/>
              <w:rPr>
                <w:sz w:val="20"/>
                <w:szCs w:val="20"/>
              </w:rPr>
            </w:pPr>
            <w:r w:rsidRPr="00E27F64">
              <w:rPr>
                <w:sz w:val="20"/>
                <w:szCs w:val="20"/>
              </w:rPr>
              <w:t>–</w:t>
            </w:r>
          </w:p>
        </w:tc>
      </w:tr>
      <w:tr w:rsidR="00E27F64" w:rsidRPr="00E27F64" w14:paraId="3C2568A0" w14:textId="77777777" w:rsidTr="003938C9">
        <w:trPr>
          <w:trHeight w:val="178"/>
        </w:trPr>
        <w:tc>
          <w:tcPr>
            <w:tcW w:w="946" w:type="pct"/>
          </w:tcPr>
          <w:p w14:paraId="33E270A8" w14:textId="77777777" w:rsidR="00E27F64" w:rsidRPr="00E27F64" w:rsidRDefault="00E27F64" w:rsidP="00E27F64">
            <w:pPr>
              <w:pStyle w:val="Tabletext"/>
              <w:ind w:left="0" w:right="0"/>
              <w:rPr>
                <w:b/>
                <w:sz w:val="20"/>
                <w:szCs w:val="20"/>
              </w:rPr>
            </w:pPr>
            <w:r w:rsidRPr="00E27F64">
              <w:rPr>
                <w:b/>
                <w:sz w:val="20"/>
                <w:szCs w:val="20"/>
              </w:rPr>
              <w:t>Missing information</w:t>
            </w:r>
          </w:p>
        </w:tc>
        <w:tc>
          <w:tcPr>
            <w:tcW w:w="1311" w:type="pct"/>
          </w:tcPr>
          <w:p w14:paraId="1108AF88" w14:textId="77777777" w:rsidR="00E27F64" w:rsidRPr="00E27F64" w:rsidRDefault="00E27F64" w:rsidP="00E27F64">
            <w:pPr>
              <w:pStyle w:val="Summaryofsafetyconcerns"/>
              <w:keepNext/>
              <w:keepLines/>
              <w:ind w:left="0" w:right="0"/>
              <w:rPr>
                <w:b w:val="0"/>
                <w:szCs w:val="20"/>
              </w:rPr>
            </w:pPr>
            <w:r w:rsidRPr="00E27F64">
              <w:rPr>
                <w:b w:val="0"/>
                <w:szCs w:val="20"/>
              </w:rPr>
              <w:t>Use during pregnancy</w:t>
            </w:r>
          </w:p>
        </w:tc>
        <w:tc>
          <w:tcPr>
            <w:tcW w:w="650" w:type="pct"/>
          </w:tcPr>
          <w:p w14:paraId="1542A75C"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32" w:type="pct"/>
          </w:tcPr>
          <w:p w14:paraId="391B3BAE" w14:textId="77777777" w:rsidR="00E27F64" w:rsidRPr="00E27F64" w:rsidRDefault="00E27F64" w:rsidP="00E27F64">
            <w:pPr>
              <w:pStyle w:val="Tabletext"/>
              <w:ind w:left="0" w:right="0"/>
              <w:jc w:val="center"/>
              <w:rPr>
                <w:sz w:val="20"/>
                <w:szCs w:val="20"/>
              </w:rPr>
            </w:pPr>
            <w:r w:rsidRPr="00E27F64">
              <w:rPr>
                <w:sz w:val="20"/>
                <w:szCs w:val="20"/>
              </w:rPr>
              <w:t>–</w:t>
            </w:r>
          </w:p>
        </w:tc>
        <w:tc>
          <w:tcPr>
            <w:tcW w:w="650" w:type="pct"/>
          </w:tcPr>
          <w:p w14:paraId="64CD5215" w14:textId="77777777" w:rsidR="00E27F64" w:rsidRPr="00E27F64" w:rsidRDefault="00E27F64" w:rsidP="00E27F64">
            <w:pPr>
              <w:pStyle w:val="Tabletext"/>
              <w:ind w:left="0" w:right="0"/>
              <w:jc w:val="center"/>
              <w:rPr>
                <w:sz w:val="20"/>
                <w:szCs w:val="20"/>
              </w:rPr>
            </w:pPr>
            <w:r w:rsidRPr="00E27F64">
              <w:rPr>
                <w:sz w:val="20"/>
                <w:szCs w:val="20"/>
              </w:rPr>
              <w:sym w:font="Wingdings" w:char="F0FC"/>
            </w:r>
          </w:p>
        </w:tc>
        <w:tc>
          <w:tcPr>
            <w:tcW w:w="711" w:type="pct"/>
          </w:tcPr>
          <w:p w14:paraId="33D2E199" w14:textId="77777777" w:rsidR="00E27F64" w:rsidRPr="00E27F64" w:rsidRDefault="00E27F64" w:rsidP="00E27F64">
            <w:pPr>
              <w:pStyle w:val="Tabletext"/>
              <w:ind w:left="0" w:right="0"/>
              <w:jc w:val="center"/>
              <w:rPr>
                <w:sz w:val="20"/>
                <w:szCs w:val="20"/>
              </w:rPr>
            </w:pPr>
            <w:r w:rsidRPr="00E27F64">
              <w:rPr>
                <w:sz w:val="20"/>
                <w:szCs w:val="20"/>
              </w:rPr>
              <w:t>–</w:t>
            </w:r>
          </w:p>
        </w:tc>
      </w:tr>
    </w:tbl>
    <w:p w14:paraId="022B84E4" w14:textId="4D9833F2" w:rsidR="00E27F64" w:rsidRPr="004B5635" w:rsidRDefault="00E27F64" w:rsidP="009A4597">
      <w:pPr>
        <w:pStyle w:val="TableDescription"/>
      </w:pPr>
      <w:r w:rsidRPr="004B5635">
        <w:rPr>
          <w:vertAlign w:val="superscript"/>
        </w:rPr>
        <w:t>1</w:t>
      </w:r>
      <w:r w:rsidR="009A4597">
        <w:t xml:space="preserve"> </w:t>
      </w:r>
      <w:r w:rsidR="00CB1D15">
        <w:t>Healthcare professional (</w:t>
      </w:r>
      <w:r w:rsidRPr="004B5635">
        <w:t>HCP</w:t>
      </w:r>
      <w:r w:rsidR="00CB1D15">
        <w:t>)</w:t>
      </w:r>
      <w:r w:rsidRPr="004B5635">
        <w:t xml:space="preserve"> </w:t>
      </w:r>
      <w:r>
        <w:t xml:space="preserve">Guide </w:t>
      </w:r>
      <w:r w:rsidRPr="004B5635">
        <w:t>and Patient Guide</w:t>
      </w:r>
      <w:r>
        <w:t xml:space="preserve"> to treatment</w:t>
      </w:r>
      <w:r w:rsidR="009A4597">
        <w:t xml:space="preserve">; </w:t>
      </w:r>
      <w:r w:rsidRPr="004B5635">
        <w:rPr>
          <w:vertAlign w:val="superscript"/>
        </w:rPr>
        <w:t>2</w:t>
      </w:r>
      <w:r w:rsidR="009A4597">
        <w:t xml:space="preserve"> </w:t>
      </w:r>
      <w:r w:rsidRPr="004B5635">
        <w:t>Readiness to Leave Checklist for HCP</w:t>
      </w:r>
      <w:r>
        <w:t xml:space="preserve">, </w:t>
      </w:r>
      <w:r w:rsidRPr="00C87406">
        <w:t>How to self-administer</w:t>
      </w:r>
      <w:r>
        <w:t xml:space="preserve"> card for patient</w:t>
      </w:r>
      <w:r w:rsidR="009A4597">
        <w:t xml:space="preserve">; </w:t>
      </w:r>
      <w:r w:rsidRPr="004B5635">
        <w:rPr>
          <w:vertAlign w:val="superscript"/>
        </w:rPr>
        <w:t>3</w:t>
      </w:r>
      <w:r w:rsidR="009A4597">
        <w:rPr>
          <w:vertAlign w:val="superscript"/>
        </w:rPr>
        <w:t xml:space="preserve"> </w:t>
      </w:r>
      <w:r w:rsidRPr="004B5635">
        <w:t>HCP Survey to assess effectiveness of additional risk minimisation</w:t>
      </w:r>
      <w:r w:rsidR="009A4597">
        <w:t xml:space="preserve">; </w:t>
      </w:r>
      <w:r w:rsidR="009A4597">
        <w:rPr>
          <w:vertAlign w:val="superscript"/>
        </w:rPr>
        <w:t xml:space="preserve">4 </w:t>
      </w:r>
      <w:r w:rsidRPr="004B5635">
        <w:t>Australian commitment (ASA only; no</w:t>
      </w:r>
      <w:r w:rsidR="00BA7E5E">
        <w:t>t EU-</w:t>
      </w:r>
      <w:r w:rsidR="00CB1D15">
        <w:t>RMP). Results of ongoing US</w:t>
      </w:r>
      <w:r w:rsidRPr="004B5635">
        <w:t xml:space="preserve"> Risk Evaluation and Mitigation Strategy (RE</w:t>
      </w:r>
      <w:r w:rsidR="009A4597">
        <w:t xml:space="preserve">MS) Registry; </w:t>
      </w:r>
      <w:r w:rsidRPr="004B5635">
        <w:rPr>
          <w:vertAlign w:val="superscript"/>
        </w:rPr>
        <w:t xml:space="preserve">5 </w:t>
      </w:r>
      <w:r w:rsidRPr="004B5635">
        <w:t xml:space="preserve">Study 54135419TRD3008 (Final report estimated </w:t>
      </w:r>
      <w:r w:rsidR="00CB1D15">
        <w:t>second quarter</w:t>
      </w:r>
      <w:r w:rsidRPr="004B5635">
        <w:t>, 2022)</w:t>
      </w:r>
      <w:r w:rsidR="009A4597">
        <w:t xml:space="preserve">; </w:t>
      </w:r>
      <w:r>
        <w:rPr>
          <w:vertAlign w:val="superscript"/>
        </w:rPr>
        <w:t>6</w:t>
      </w:r>
      <w:r>
        <w:t xml:space="preserve"> Boxed warning inclusion in PI and CMI</w:t>
      </w:r>
      <w:r w:rsidR="009A4597">
        <w:t>.</w:t>
      </w:r>
    </w:p>
    <w:p w14:paraId="5A95CC3C" w14:textId="4D4F18FA" w:rsidR="00E27F64" w:rsidRPr="004B5635" w:rsidRDefault="00E27F64" w:rsidP="009A4597">
      <w:pPr>
        <w:pStyle w:val="ListBullet"/>
      </w:pPr>
      <w:r w:rsidRPr="004B5635">
        <w:t xml:space="preserve">During </w:t>
      </w:r>
      <w:r w:rsidR="009A4597">
        <w:t>the second round of</w:t>
      </w:r>
      <w:r w:rsidRPr="004B5635">
        <w:t xml:space="preserve"> evaluation, </w:t>
      </w:r>
      <w:r w:rsidR="009A4597">
        <w:t xml:space="preserve">the </w:t>
      </w:r>
      <w:r w:rsidRPr="004B5635">
        <w:t xml:space="preserve">sponsor has added </w:t>
      </w:r>
      <w:r w:rsidRPr="004B5635">
        <w:rPr>
          <w:i/>
        </w:rPr>
        <w:t>‘disturbances in consciousness’</w:t>
      </w:r>
      <w:r w:rsidRPr="004B5635">
        <w:t xml:space="preserve"> as an important identified risk in the RMP, and removed </w:t>
      </w:r>
      <w:r w:rsidRPr="004B5635">
        <w:rPr>
          <w:i/>
        </w:rPr>
        <w:t>‘use in breast-feeding women’</w:t>
      </w:r>
      <w:r w:rsidRPr="004B5635">
        <w:t xml:space="preserve"> and </w:t>
      </w:r>
      <w:r w:rsidRPr="004B5635">
        <w:rPr>
          <w:i/>
        </w:rPr>
        <w:t>‘use in patients with severe hepatic impairment’</w:t>
      </w:r>
      <w:r w:rsidRPr="004B5635">
        <w:t xml:space="preserve"> to ali</w:t>
      </w:r>
      <w:r w:rsidR="00BA7E5E">
        <w:t>gn with changes to the EU-</w:t>
      </w:r>
      <w:r w:rsidR="009A4597">
        <w:t xml:space="preserve">RMP. </w:t>
      </w:r>
      <w:r w:rsidRPr="004B5635">
        <w:t>The removed items should have negli</w:t>
      </w:r>
      <w:r>
        <w:t>gi</w:t>
      </w:r>
      <w:r w:rsidRPr="004B5635">
        <w:t xml:space="preserve">ble impact on the risk management as the PI continues to convey that </w:t>
      </w:r>
      <w:proofErr w:type="spellStart"/>
      <w:r w:rsidRPr="004B5635">
        <w:t>Spravato</w:t>
      </w:r>
      <w:proofErr w:type="spellEnd"/>
      <w:r w:rsidRPr="004B5635">
        <w:t xml:space="preserve"> </w:t>
      </w:r>
      <w:r>
        <w:t>is not recommended for</w:t>
      </w:r>
      <w:r w:rsidRPr="004B5635">
        <w:t xml:space="preserve"> use during lactation and that there is no clinical experience when administered as a nasal spray in patients with severe hepatic impairment.</w:t>
      </w:r>
    </w:p>
    <w:p w14:paraId="3FC8F67C" w14:textId="00AA025A" w:rsidR="00E27F64" w:rsidRPr="004B5635" w:rsidRDefault="00E27F64" w:rsidP="009A4597">
      <w:pPr>
        <w:pStyle w:val="ListBullet"/>
      </w:pPr>
      <w:r w:rsidRPr="004B5635">
        <w:t xml:space="preserve">Routine pharmacovigilance and risk minimisation activities are </w:t>
      </w:r>
      <w:r>
        <w:t xml:space="preserve">applicable </w:t>
      </w:r>
      <w:r w:rsidRPr="004B5635">
        <w:t xml:space="preserve">for most safety concerns. There is an ongoing overseas long-term safety study for </w:t>
      </w:r>
      <w:proofErr w:type="spellStart"/>
      <w:r w:rsidRPr="004B5635">
        <w:t>Spravato</w:t>
      </w:r>
      <w:proofErr w:type="spellEnd"/>
      <w:r w:rsidRPr="004B5635">
        <w:t xml:space="preserve"> with Australian patient involvement to further address im</w:t>
      </w:r>
      <w:r w:rsidR="00BA7E5E">
        <w:t>portant potential risks of long </w:t>
      </w:r>
      <w:r w:rsidRPr="004B5635">
        <w:t>term use including cognitive disorders, memory impairment, and interstitial cystitis. Study results will be relevant to the Australian use</w:t>
      </w:r>
      <w:r>
        <w:t xml:space="preserve">. </w:t>
      </w:r>
      <w:r w:rsidRPr="004B5635">
        <w:t xml:space="preserve">During </w:t>
      </w:r>
      <w:r w:rsidR="00CB1D15">
        <w:t>the second round of</w:t>
      </w:r>
      <w:r w:rsidRPr="004B5635">
        <w:t xml:space="preserve"> evaluation, </w:t>
      </w:r>
      <w:r w:rsidR="00CB1D15">
        <w:t xml:space="preserve">the </w:t>
      </w:r>
      <w:r>
        <w:t xml:space="preserve">sponsor has agreed to include a </w:t>
      </w:r>
      <w:r w:rsidR="00CB1D15">
        <w:t>US</w:t>
      </w:r>
      <w:r w:rsidRPr="004B5635">
        <w:t xml:space="preserve"> </w:t>
      </w:r>
      <w:proofErr w:type="spellStart"/>
      <w:r>
        <w:t>Spravato</w:t>
      </w:r>
      <w:proofErr w:type="spellEnd"/>
      <w:r>
        <w:t xml:space="preserve"> patient r</w:t>
      </w:r>
      <w:r w:rsidRPr="004B5635">
        <w:t>egistry</w:t>
      </w:r>
      <w:r w:rsidRPr="00BA1D86">
        <w:t xml:space="preserve"> </w:t>
      </w:r>
      <w:r>
        <w:t>(</w:t>
      </w:r>
      <w:r w:rsidR="00CB1D15">
        <w:t>US</w:t>
      </w:r>
      <w:r w:rsidRPr="00BA1D86">
        <w:t xml:space="preserve"> </w:t>
      </w:r>
      <w:r w:rsidR="00CB1D15" w:rsidRPr="004B5635">
        <w:t xml:space="preserve">Risk Evaluation and Mitigation Strategy </w:t>
      </w:r>
      <w:r w:rsidR="00CB1D15">
        <w:t xml:space="preserve">(REMS) </w:t>
      </w:r>
      <w:r w:rsidRPr="00BA1D86">
        <w:t>Registry</w:t>
      </w:r>
      <w:r>
        <w:t>)</w:t>
      </w:r>
      <w:r w:rsidRPr="00BA1D86">
        <w:t xml:space="preserve"> </w:t>
      </w:r>
      <w:r w:rsidRPr="004B5635">
        <w:t xml:space="preserve">in the ASA </w:t>
      </w:r>
      <w:r>
        <w:t>as an additio</w:t>
      </w:r>
      <w:r w:rsidR="00CB1D15">
        <w:t>nal pharmacovigilance activity.</w:t>
      </w:r>
    </w:p>
    <w:p w14:paraId="1BA4D7FA" w14:textId="031C33F5" w:rsidR="00E27F64" w:rsidRPr="004B5635" w:rsidRDefault="00E27F64" w:rsidP="00CB1D15">
      <w:pPr>
        <w:pStyle w:val="ListBullet"/>
      </w:pPr>
      <w:r w:rsidRPr="004B5635">
        <w:t xml:space="preserve">Restrictive access controls for </w:t>
      </w:r>
      <w:proofErr w:type="spellStart"/>
      <w:r w:rsidRPr="004B5635">
        <w:t>Spravato</w:t>
      </w:r>
      <w:proofErr w:type="spellEnd"/>
      <w:r w:rsidRPr="004B5635">
        <w:t xml:space="preserve"> in Australia </w:t>
      </w:r>
      <w:r>
        <w:t>must</w:t>
      </w:r>
      <w:r w:rsidRPr="004B5635">
        <w:t xml:space="preserve"> be in accordance with </w:t>
      </w:r>
      <w:r>
        <w:t>its status as a</w:t>
      </w:r>
      <w:r w:rsidRPr="004B5635">
        <w:t xml:space="preserve"> </w:t>
      </w:r>
      <w:r w:rsidR="00CB1D15" w:rsidRPr="00CB1D15">
        <w:t>Standard for the Uniform Scheduling of Medicines and Poisons</w:t>
      </w:r>
      <w:r w:rsidRPr="004B5635">
        <w:t xml:space="preserve"> Schedule 8 controlled drug.</w:t>
      </w:r>
      <w:r w:rsidR="00BA7E5E">
        <w:rPr>
          <w:rStyle w:val="FootnoteReference"/>
        </w:rPr>
        <w:footnoteReference w:id="33"/>
      </w:r>
    </w:p>
    <w:p w14:paraId="1DFE5F00" w14:textId="0C48C61D" w:rsidR="00E27F64" w:rsidRDefault="009A4597" w:rsidP="009A4597">
      <w:pPr>
        <w:pStyle w:val="ListBullet"/>
      </w:pPr>
      <w:r>
        <w:lastRenderedPageBreak/>
        <w:t>The s</w:t>
      </w:r>
      <w:r w:rsidR="00E27F64" w:rsidRPr="0077769A">
        <w:t xml:space="preserve">ponsor proposes to apply strict eligibility criteria under </w:t>
      </w:r>
      <w:r w:rsidR="00E27F64">
        <w:t xml:space="preserve">the </w:t>
      </w:r>
      <w:proofErr w:type="spellStart"/>
      <w:r w:rsidR="00E27F64">
        <w:t>Spravato</w:t>
      </w:r>
      <w:proofErr w:type="spellEnd"/>
      <w:r w:rsidR="00E27F64" w:rsidRPr="0077769A">
        <w:t xml:space="preserve"> </w:t>
      </w:r>
      <w:r w:rsidR="000E689D">
        <w:t>RMP</w:t>
      </w:r>
      <w:r w:rsidR="00E27F64" w:rsidRPr="0077769A">
        <w:t xml:space="preserve"> to ensure that: access to </w:t>
      </w:r>
      <w:proofErr w:type="spellStart"/>
      <w:r w:rsidR="00E27F64" w:rsidRPr="0077769A">
        <w:t>Spravato</w:t>
      </w:r>
      <w:proofErr w:type="spellEnd"/>
      <w:r w:rsidR="00E27F64" w:rsidRPr="0077769A">
        <w:t xml:space="preserve"> is restricted</w:t>
      </w:r>
      <w:r w:rsidR="00E27F64">
        <w:t xml:space="preserve"> to limited number of eligible health care sites and </w:t>
      </w:r>
      <w:r w:rsidR="00CB1D15">
        <w:t>healthcare professionals (</w:t>
      </w:r>
      <w:r w:rsidR="00E27F64">
        <w:t>HCPs</w:t>
      </w:r>
      <w:r w:rsidR="00CB1D15">
        <w:t>)</w:t>
      </w:r>
      <w:r w:rsidR="00E27F64">
        <w:t xml:space="preserve"> to avoid drug diversion and dependence</w:t>
      </w:r>
      <w:r w:rsidR="00E27F64" w:rsidRPr="0077769A">
        <w:t xml:space="preserve">; </w:t>
      </w:r>
      <w:r w:rsidR="00CB1D15">
        <w:t xml:space="preserve">the </w:t>
      </w:r>
      <w:r w:rsidR="00E27F64" w:rsidRPr="0077769A">
        <w:t>product and its use will be</w:t>
      </w:r>
      <w:r w:rsidR="00E27F64">
        <w:t xml:space="preserve"> subject to</w:t>
      </w:r>
      <w:r w:rsidR="00E27F64" w:rsidRPr="0077769A">
        <w:t xml:space="preserve"> direct</w:t>
      </w:r>
      <w:r w:rsidR="00E27F64">
        <w:t xml:space="preserve"> oversight by certified </w:t>
      </w:r>
      <w:r w:rsidR="00E27F64" w:rsidRPr="0077769A">
        <w:t>HCPs</w:t>
      </w:r>
      <w:r w:rsidR="00E27F64">
        <w:t xml:space="preserve"> following sponsor training of eligible HCP</w:t>
      </w:r>
      <w:r w:rsidR="00E27F64" w:rsidRPr="0077769A">
        <w:t xml:space="preserve">; patients will be appropriately monitored following treatment; </w:t>
      </w:r>
      <w:r w:rsidR="00E27F64">
        <w:t xml:space="preserve">stringent </w:t>
      </w:r>
      <w:r w:rsidR="00E27F64" w:rsidRPr="0077769A">
        <w:t xml:space="preserve">product disposal requirements </w:t>
      </w:r>
      <w:r w:rsidR="00E27F64">
        <w:t>are to</w:t>
      </w:r>
      <w:r w:rsidR="00E27F64" w:rsidRPr="0077769A">
        <w:t xml:space="preserve"> be met </w:t>
      </w:r>
      <w:r w:rsidR="00E27F64">
        <w:t xml:space="preserve">by the HCP </w:t>
      </w:r>
      <w:r w:rsidR="00E27F64" w:rsidRPr="0077769A">
        <w:t>following use</w:t>
      </w:r>
      <w:r w:rsidR="00E27F64">
        <w:t xml:space="preserve"> to ensure product cannot be taken away by patient or other personnel</w:t>
      </w:r>
      <w:r w:rsidR="00E27F64" w:rsidRPr="0077769A">
        <w:t xml:space="preserve">. </w:t>
      </w:r>
      <w:r w:rsidR="00E27F64">
        <w:t xml:space="preserve">During </w:t>
      </w:r>
      <w:r w:rsidR="00CB1D15">
        <w:t>the second round of</w:t>
      </w:r>
      <w:r w:rsidR="00E27F64">
        <w:t xml:space="preserve"> evaluation, </w:t>
      </w:r>
      <w:r w:rsidR="00E27F64" w:rsidRPr="0077769A">
        <w:t xml:space="preserve">the ASA’s risk minimisation plan </w:t>
      </w:r>
      <w:r w:rsidR="00E27F64">
        <w:t>was</w:t>
      </w:r>
      <w:r w:rsidR="00E27F64" w:rsidRPr="0077769A">
        <w:t xml:space="preserve"> considered deficient in key information concerning the restricted access provisions and patient support controls in Australia required to support safe use of </w:t>
      </w:r>
      <w:proofErr w:type="spellStart"/>
      <w:r w:rsidR="00E27F64" w:rsidRPr="0077769A">
        <w:t>Spravato</w:t>
      </w:r>
      <w:proofErr w:type="spellEnd"/>
      <w:r w:rsidR="00E27F64" w:rsidRPr="0077769A">
        <w:t>. The</w:t>
      </w:r>
      <w:r w:rsidR="00E27F64">
        <w:t xml:space="preserve"> sponsor provided further details</w:t>
      </w:r>
      <w:r w:rsidR="00E27F64" w:rsidRPr="0077769A">
        <w:t xml:space="preserve">, but </w:t>
      </w:r>
      <w:r w:rsidR="00E27F64">
        <w:t xml:space="preserve">on completion of the </w:t>
      </w:r>
      <w:r w:rsidR="00CB1D15">
        <w:t>post-second round</w:t>
      </w:r>
      <w:r w:rsidR="00E27F64">
        <w:t xml:space="preserve"> evaluation uncertainties remained on the</w:t>
      </w:r>
      <w:r w:rsidR="00E27F64" w:rsidRPr="0077769A">
        <w:t xml:space="preserve"> </w:t>
      </w:r>
      <w:r w:rsidR="00E27F64">
        <w:t xml:space="preserve">adequacy of the plan, mainly on the patient monitoring and support controls required to address acute effects of </w:t>
      </w:r>
      <w:proofErr w:type="spellStart"/>
      <w:r w:rsidR="00E27F64">
        <w:t>Spravato</w:t>
      </w:r>
      <w:proofErr w:type="spellEnd"/>
      <w:r w:rsidR="00E27F64">
        <w:t xml:space="preserve"> that may lead to patient harm.</w:t>
      </w:r>
    </w:p>
    <w:p w14:paraId="428F39EC" w14:textId="51F0E9A9" w:rsidR="00E27F64" w:rsidRDefault="00E27F64" w:rsidP="00824C4C">
      <w:pPr>
        <w:pStyle w:val="ListBullet"/>
      </w:pPr>
      <w:r>
        <w:t xml:space="preserve">The </w:t>
      </w:r>
      <w:r w:rsidR="00CB1D15">
        <w:t>post-second round</w:t>
      </w:r>
      <w:r>
        <w:t xml:space="preserve"> </w:t>
      </w:r>
      <w:r w:rsidR="00CB1D15">
        <w:t xml:space="preserve">Advisory Committee </w:t>
      </w:r>
      <w:r w:rsidRPr="0077769A">
        <w:t xml:space="preserve">advice </w:t>
      </w:r>
      <w:r w:rsidR="00CB1D15">
        <w:t>(see ‘</w:t>
      </w:r>
      <w:r w:rsidR="00CB1D15" w:rsidRPr="00CB1D15">
        <w:rPr>
          <w:i/>
        </w:rPr>
        <w:fldChar w:fldCharType="begin"/>
      </w:r>
      <w:r w:rsidR="00CB1D15" w:rsidRPr="00CB1D15">
        <w:rPr>
          <w:i/>
        </w:rPr>
        <w:instrText xml:space="preserve"> REF _Ref69798062 \h </w:instrText>
      </w:r>
      <w:r w:rsidR="00CB1D15">
        <w:rPr>
          <w:i/>
        </w:rPr>
        <w:instrText xml:space="preserve"> \* MERGEFORMAT </w:instrText>
      </w:r>
      <w:r w:rsidR="00CB1D15" w:rsidRPr="00CB1D15">
        <w:rPr>
          <w:i/>
        </w:rPr>
      </w:r>
      <w:r w:rsidR="00CB1D15" w:rsidRPr="00CB1D15">
        <w:rPr>
          <w:i/>
        </w:rPr>
        <w:fldChar w:fldCharType="separate"/>
      </w:r>
      <w:r w:rsidR="003938C9" w:rsidRPr="003938C9">
        <w:rPr>
          <w:i/>
        </w:rPr>
        <w:t>Advisory Committee considerations</w:t>
      </w:r>
      <w:r w:rsidR="00CB1D15" w:rsidRPr="00CB1D15">
        <w:rPr>
          <w:i/>
        </w:rPr>
        <w:fldChar w:fldCharType="end"/>
      </w:r>
      <w:r w:rsidR="00CB1D15">
        <w:t xml:space="preserve">’ section, below) </w:t>
      </w:r>
      <w:r>
        <w:t>is that the key risk communication documents including PI and additional risk minimisation materials must be further strengthened with additional safety-related messaging to HCP</w:t>
      </w:r>
      <w:r w:rsidR="00CB1D15">
        <w:t>s</w:t>
      </w:r>
      <w:r>
        <w:t>,</w:t>
      </w:r>
      <w:r w:rsidR="00824C4C">
        <w:t xml:space="preserve"> including the need for patient monitoring protocols to specify a minimum 2 </w:t>
      </w:r>
      <w:r w:rsidR="00824C4C" w:rsidRPr="001402A2">
        <w:t>hour duration of monitoring at the treatment site</w:t>
      </w:r>
      <w:r w:rsidR="00824C4C">
        <w:t xml:space="preserve"> and </w:t>
      </w:r>
      <w:r w:rsidR="00824C4C" w:rsidRPr="001402A2">
        <w:t>that every patient must be discharged to the care of a</w:t>
      </w:r>
      <w:r w:rsidR="00824C4C">
        <w:t>n accompanying support person or carer to help ensure compliance with patient’s discharge instructions</w:t>
      </w:r>
      <w:r>
        <w:t>.</w:t>
      </w:r>
      <w:r w:rsidR="00824C4C">
        <w:rPr>
          <w:rStyle w:val="FootnoteReference"/>
        </w:rPr>
        <w:footnoteReference w:id="34"/>
      </w:r>
      <w:r>
        <w:t xml:space="preserve"> From an RMP perspective, the </w:t>
      </w:r>
      <w:r w:rsidR="00CB1D15">
        <w:t>Advisory Committee</w:t>
      </w:r>
      <w:r>
        <w:t xml:space="preserve"> advice is supported and further negotiations with sponsor on its risk minimisation plan are to ensue at the </w:t>
      </w:r>
      <w:r w:rsidR="00CB1D15">
        <w:t>discretion of the Delegate.</w:t>
      </w:r>
    </w:p>
    <w:p w14:paraId="0BADF20C" w14:textId="567871DF" w:rsidR="00E27F64" w:rsidRPr="004B5635" w:rsidRDefault="00E27F64" w:rsidP="00824C4C">
      <w:pPr>
        <w:pStyle w:val="ListBullet"/>
      </w:pPr>
      <w:r>
        <w:t xml:space="preserve">During </w:t>
      </w:r>
      <w:r w:rsidR="00CB1D15">
        <w:t>the second round of</w:t>
      </w:r>
      <w:r>
        <w:t xml:space="preserve"> evaluation, the sponsor </w:t>
      </w:r>
      <w:r w:rsidRPr="004B5635">
        <w:t xml:space="preserve">agreed to include boxed warnings in the PI and CMI to highlight potential </w:t>
      </w:r>
      <w:r>
        <w:t>for acute effects of dissociation, sedation and elevated blood pressure following administration and specify key aspects of safe use.</w:t>
      </w:r>
      <w:r w:rsidRPr="004B5635">
        <w:t xml:space="preserve"> The sponsor </w:t>
      </w:r>
      <w:r>
        <w:t>commits to</w:t>
      </w:r>
      <w:r w:rsidRPr="004B5635">
        <w:t xml:space="preserve"> include these warnings on all HCP and patient educational materials as</w:t>
      </w:r>
      <w:r w:rsidR="00CB1D15">
        <w:t xml:space="preserve"> well as promotional materials.</w:t>
      </w:r>
    </w:p>
    <w:p w14:paraId="2B2B6BA3" w14:textId="3066BAB4" w:rsidR="008E7846" w:rsidRDefault="00E27F64" w:rsidP="009A4597">
      <w:pPr>
        <w:pStyle w:val="ListBullet"/>
      </w:pPr>
      <w:r w:rsidRPr="004B5635">
        <w:t xml:space="preserve">The ASA has been updated during </w:t>
      </w:r>
      <w:r w:rsidR="00CB1D15">
        <w:t>the second round of</w:t>
      </w:r>
      <w:r w:rsidRPr="004B5635">
        <w:t xml:space="preserve"> evaluation to include additional risk minimisation materials and particulars of their implementation to support safe use of </w:t>
      </w:r>
      <w:proofErr w:type="spellStart"/>
      <w:r w:rsidRPr="004B5635">
        <w:t>Spravato</w:t>
      </w:r>
      <w:proofErr w:type="spellEnd"/>
      <w:r w:rsidRPr="004B5635">
        <w:t xml:space="preserve">: </w:t>
      </w:r>
      <w:r w:rsidR="00CB1D15">
        <w:t>‘</w:t>
      </w:r>
      <w:r w:rsidRPr="00D73786">
        <w:rPr>
          <w:i/>
        </w:rPr>
        <w:t>HCP Guide</w:t>
      </w:r>
      <w:r>
        <w:t xml:space="preserve"> </w:t>
      </w:r>
      <w:r w:rsidRPr="004B5635">
        <w:t xml:space="preserve">and </w:t>
      </w:r>
      <w:r w:rsidRPr="00D73786">
        <w:rPr>
          <w:i/>
        </w:rPr>
        <w:t>Patient Guide to Treatment</w:t>
      </w:r>
      <w:r w:rsidR="00CB1D15">
        <w:rPr>
          <w:i/>
        </w:rPr>
        <w:t>’</w:t>
      </w:r>
      <w:r w:rsidRPr="004B5635">
        <w:t xml:space="preserve">, HCP </w:t>
      </w:r>
      <w:r w:rsidR="00CB1D15">
        <w:rPr>
          <w:i/>
        </w:rPr>
        <w:t>‘Readiness to Leave’</w:t>
      </w:r>
      <w:r>
        <w:t xml:space="preserve"> </w:t>
      </w:r>
      <w:r w:rsidRPr="004B5635">
        <w:t>checklist to establish patient is clinically stable and safe to leave after dosing, and patient’s instruction for self-administration</w:t>
      </w:r>
      <w:r w:rsidR="00CB1D15">
        <w:t xml:space="preserve"> (‘</w:t>
      </w:r>
      <w:r w:rsidRPr="00BD6823">
        <w:rPr>
          <w:i/>
        </w:rPr>
        <w:t>How to self-administer Card</w:t>
      </w:r>
      <w:r w:rsidR="00CB1D15">
        <w:t>’</w:t>
      </w:r>
      <w:r>
        <w:t>)</w:t>
      </w:r>
      <w:r w:rsidR="00CB1D15">
        <w:t xml:space="preserve">. </w:t>
      </w:r>
      <w:r>
        <w:t xml:space="preserve">Further particulars were sought during </w:t>
      </w:r>
      <w:r w:rsidR="00CB1D15">
        <w:t>the post-second round</w:t>
      </w:r>
      <w:r>
        <w:t xml:space="preserve"> evaluation on how sponsor will ensure that the key documents will be made available for HCP or patient’s use during each treatment session. </w:t>
      </w:r>
      <w:r w:rsidRPr="0077769A">
        <w:t>The sponsor has committed to conducting a physician survey for measuring effectiveness of the additional risk minimisation materials. T</w:t>
      </w:r>
      <w:r>
        <w:t xml:space="preserve">he </w:t>
      </w:r>
      <w:r w:rsidR="00CB1D15">
        <w:t>second round evaluation</w:t>
      </w:r>
      <w:r>
        <w:t xml:space="preserve"> recommended, and the sponsor has now acknowledged,</w:t>
      </w:r>
      <w:r w:rsidRPr="0077769A">
        <w:t xml:space="preserve"> that an approved TGA protocol and questionnaire for use in the HCP </w:t>
      </w:r>
      <w:r w:rsidR="000E689D">
        <w:t>s</w:t>
      </w:r>
      <w:r w:rsidR="000E689D" w:rsidRPr="0077769A">
        <w:t xml:space="preserve">urvey </w:t>
      </w:r>
      <w:r w:rsidRPr="0077769A">
        <w:t xml:space="preserve">be established prior to initial training of the HCP prescribers and that </w:t>
      </w:r>
      <w:r>
        <w:t xml:space="preserve">study </w:t>
      </w:r>
      <w:r w:rsidRPr="0077769A">
        <w:t xml:space="preserve">timelines and submission </w:t>
      </w:r>
      <w:r>
        <w:t xml:space="preserve">to </w:t>
      </w:r>
      <w:r w:rsidRPr="0077769A">
        <w:t xml:space="preserve">TGA be further </w:t>
      </w:r>
      <w:r>
        <w:t>agreed upon.</w:t>
      </w:r>
    </w:p>
    <w:p w14:paraId="3BCD0550" w14:textId="77777777" w:rsidR="008E7846" w:rsidRDefault="00AA0ED0" w:rsidP="008E7846">
      <w:pPr>
        <w:pStyle w:val="Heading3"/>
      </w:pPr>
      <w:bookmarkStart w:id="66" w:name="_Toc247691531"/>
      <w:bookmarkStart w:id="67" w:name="_Toc314842515"/>
      <w:bookmarkStart w:id="68" w:name="_Toc196046505"/>
      <w:bookmarkStart w:id="69" w:name="_Toc196046949"/>
      <w:bookmarkStart w:id="70" w:name="_Toc72744024"/>
      <w:r>
        <w:lastRenderedPageBreak/>
        <w:t>Risk-benefit a</w:t>
      </w:r>
      <w:r w:rsidR="008E7846">
        <w:t>nalysis</w:t>
      </w:r>
      <w:bookmarkEnd w:id="66"/>
      <w:bookmarkEnd w:id="67"/>
      <w:bookmarkEnd w:id="70"/>
    </w:p>
    <w:p w14:paraId="43519146" w14:textId="77777777" w:rsidR="00D23139" w:rsidRDefault="007D53B6" w:rsidP="00D23139">
      <w:pPr>
        <w:pStyle w:val="Heading4"/>
      </w:pPr>
      <w:r>
        <w:t>Delegate’s considerations</w:t>
      </w:r>
    </w:p>
    <w:p w14:paraId="2B3F01A6" w14:textId="279FBA42" w:rsidR="00047015" w:rsidRPr="00CB1D15" w:rsidRDefault="000E689D" w:rsidP="00CB1D15">
      <w:r>
        <w:t>Major depressive disorder (MDD)</w:t>
      </w:r>
      <w:r w:rsidRPr="00CB1D15">
        <w:t xml:space="preserve"> </w:t>
      </w:r>
      <w:r w:rsidR="00047015" w:rsidRPr="00CB1D15">
        <w:t xml:space="preserve">is a severely debilitating and recurrent psychiatric disorder. </w:t>
      </w:r>
      <w:r>
        <w:t>Treatment resistant depression (TRD)</w:t>
      </w:r>
      <w:r w:rsidRPr="00CB1D15">
        <w:t xml:space="preserve"> </w:t>
      </w:r>
      <w:r w:rsidR="00047015" w:rsidRPr="00CB1D15">
        <w:t xml:space="preserve">is considered </w:t>
      </w:r>
      <w:r>
        <w:t xml:space="preserve">to be </w:t>
      </w:r>
      <w:r w:rsidR="00047015" w:rsidRPr="00CB1D15">
        <w:t>a subset of MDD and is defined, as MDD in adults who have not responded adequately</w:t>
      </w:r>
      <w:r w:rsidR="00CB1D15">
        <w:t>, that is,</w:t>
      </w:r>
      <w:r w:rsidR="00047015" w:rsidRPr="00CB1D15">
        <w:t xml:space="preserve"> lack of clinically meaningful improvement, to at least two different antidepressants, prescribed and used at adequate dose and for adequate duration, to treat</w:t>
      </w:r>
      <w:r w:rsidR="00CB1D15">
        <w:t xml:space="preserve"> the current depressive episode</w:t>
      </w:r>
      <w:r w:rsidR="00047015" w:rsidRPr="00CB1D15">
        <w:t>.</w:t>
      </w:r>
    </w:p>
    <w:p w14:paraId="2B2F0144" w14:textId="223AF7D0" w:rsidR="00047015" w:rsidRPr="00CB1D15" w:rsidRDefault="00047015" w:rsidP="00CB1D15">
      <w:r w:rsidRPr="00CB1D15">
        <w:t>TRD is a principal contributor to the morbidity and mortality associated with depression. Patients with TRD are more likely to have lower remission rates</w:t>
      </w:r>
      <w:r w:rsidR="00CB1D15">
        <w:t>,</w:t>
      </w:r>
      <w:r w:rsidRPr="00CB1D15">
        <w:t xml:space="preserve"> p</w:t>
      </w:r>
      <w:r w:rsidR="00CB1D15">
        <w:t>ronounced functional impairment,</w:t>
      </w:r>
      <w:r w:rsidRPr="00CB1D15">
        <w:t xml:space="preserve"> substantially lower quality of life</w:t>
      </w:r>
      <w:r w:rsidR="00CB1D15">
        <w:t>,</w:t>
      </w:r>
      <w:r w:rsidRPr="00CB1D15">
        <w:t xml:space="preserve"> higher suicide rates</w:t>
      </w:r>
      <w:r w:rsidR="00CB1D15">
        <w:t>,</w:t>
      </w:r>
      <w:r w:rsidRPr="00CB1D15">
        <w:t xml:space="preserve"> and incur higher medical </w:t>
      </w:r>
      <w:r w:rsidR="00CB1D15">
        <w:t>and</w:t>
      </w:r>
      <w:r w:rsidRPr="00CB1D15">
        <w:t xml:space="preserve"> mental healthcare costs </w:t>
      </w:r>
      <w:r w:rsidR="00CB1D15">
        <w:t>versus</w:t>
      </w:r>
      <w:r w:rsidRPr="00CB1D15">
        <w:t xml:space="preserve"> patients with MDD who respond to </w:t>
      </w:r>
      <w:r w:rsidR="000E689D">
        <w:t>antidepressant</w:t>
      </w:r>
      <w:r w:rsidR="000E689D" w:rsidRPr="00CB1D15">
        <w:t xml:space="preserve"> </w:t>
      </w:r>
      <w:r w:rsidRPr="00CB1D15">
        <w:t>treatment.</w:t>
      </w:r>
    </w:p>
    <w:p w14:paraId="45505DE0" w14:textId="286C3B83" w:rsidR="00047015" w:rsidRPr="00CB1D15" w:rsidRDefault="00047015" w:rsidP="00CB1D15">
      <w:r w:rsidRPr="00CB1D15">
        <w:t xml:space="preserve">Although no medication is currently indicated specifically alone for TRD in Australia, </w:t>
      </w:r>
      <w:r w:rsidR="000E689D">
        <w:t>antidepressants</w:t>
      </w:r>
      <w:r w:rsidR="000E689D" w:rsidRPr="00CB1D15">
        <w:t xml:space="preserve"> </w:t>
      </w:r>
      <w:r w:rsidRPr="00CB1D15">
        <w:t xml:space="preserve">such as </w:t>
      </w:r>
      <w:proofErr w:type="spellStart"/>
      <w:r w:rsidR="00CB1D15" w:rsidRPr="00CB1D15">
        <w:t>phenelzine</w:t>
      </w:r>
      <w:proofErr w:type="spellEnd"/>
      <w:r w:rsidR="00CB1D15" w:rsidRPr="00CB1D15">
        <w:t xml:space="preserve"> (Nardil)</w:t>
      </w:r>
      <w:r w:rsidRPr="00CB1D15">
        <w:t xml:space="preserve"> and </w:t>
      </w:r>
      <w:r w:rsidR="00CB1D15" w:rsidRPr="00CB1D15">
        <w:t>tranylcypromine (Parnate)</w:t>
      </w:r>
      <w:r w:rsidRPr="00CB1D15">
        <w:t>, both</w:t>
      </w:r>
      <w:r w:rsidR="00BA7E5E">
        <w:t xml:space="preserve"> monoamine oxidase inhibitors</w:t>
      </w:r>
      <w:r w:rsidRPr="00CB1D15">
        <w:t xml:space="preserve">, are indicated on the ARTG for </w:t>
      </w:r>
      <w:r w:rsidR="00CB1D15" w:rsidRPr="00CB1D15">
        <w:t>‘</w:t>
      </w:r>
      <w:r w:rsidRPr="00CB1D15">
        <w:rPr>
          <w:i/>
        </w:rPr>
        <w:t>MDD when other antidepressant therapy has failed</w:t>
      </w:r>
      <w:r w:rsidRPr="00CB1D15">
        <w:t>.</w:t>
      </w:r>
      <w:r w:rsidR="00CB1D15" w:rsidRPr="00CB1D15">
        <w:t>’</w:t>
      </w:r>
    </w:p>
    <w:p w14:paraId="12652F15" w14:textId="2C15F63D" w:rsidR="00803125" w:rsidRDefault="00047015" w:rsidP="00CB1D15">
      <w:r w:rsidRPr="00CB1D15">
        <w:t>Seroquel XR (</w:t>
      </w:r>
      <w:r w:rsidR="00803125">
        <w:t>q</w:t>
      </w:r>
      <w:r w:rsidRPr="00CB1D15">
        <w:t>uetiapine</w:t>
      </w:r>
      <w:r w:rsidR="000E689D">
        <w:t>, extended release formulation</w:t>
      </w:r>
      <w:r w:rsidRPr="00CB1D15">
        <w:t>), an atypical antipsychotic agent, is approved on the ARTG for</w:t>
      </w:r>
      <w:r w:rsidR="00803125">
        <w:t>:</w:t>
      </w:r>
      <w:r w:rsidR="00803125">
        <w:fldChar w:fldCharType="begin"/>
      </w:r>
      <w:r w:rsidR="00803125">
        <w:instrText xml:space="preserve"> NOTEREF _Ref69798432 \f \h </w:instrText>
      </w:r>
      <w:r w:rsidR="00803125">
        <w:fldChar w:fldCharType="separate"/>
      </w:r>
      <w:r w:rsidR="003938C9" w:rsidRPr="003938C9">
        <w:rPr>
          <w:rStyle w:val="FootnoteReference"/>
        </w:rPr>
        <w:t>5</w:t>
      </w:r>
      <w:r w:rsidR="00803125">
        <w:fldChar w:fldCharType="end"/>
      </w:r>
    </w:p>
    <w:p w14:paraId="030B82F2" w14:textId="208466B7" w:rsidR="00803125" w:rsidRPr="00803125" w:rsidRDefault="00047015" w:rsidP="00803125">
      <w:pPr>
        <w:ind w:left="720"/>
        <w:rPr>
          <w:i/>
        </w:rPr>
      </w:pPr>
      <w:r w:rsidRPr="00803125">
        <w:rPr>
          <w:i/>
        </w:rPr>
        <w:t>treatment of recurrent MDD in patients who are intolerant of, or who have an inadequate re</w:t>
      </w:r>
      <w:r w:rsidR="00803125" w:rsidRPr="00803125">
        <w:rPr>
          <w:i/>
        </w:rPr>
        <w:t>sponse to alternative therapies.</w:t>
      </w:r>
    </w:p>
    <w:p w14:paraId="372E41DA" w14:textId="1CBDC366" w:rsidR="00047015" w:rsidRPr="00CB1D15" w:rsidRDefault="00047015" w:rsidP="00CB1D15">
      <w:r w:rsidRPr="00CB1D15">
        <w:t xml:space="preserve">However, atypical antipsychotic usage has been limited by significant adverse reactions, including metabolic disturbances, weight gain and </w:t>
      </w:r>
      <w:r w:rsidR="00803125">
        <w:t>neuroleptic malignant syndrome.</w:t>
      </w:r>
    </w:p>
    <w:p w14:paraId="04A11C1E" w14:textId="4953A3AD" w:rsidR="00047015" w:rsidRPr="00CB1D15" w:rsidRDefault="00047015" w:rsidP="00CB1D15">
      <w:r w:rsidRPr="00CB1D15">
        <w:t>Non-pharmacological treatment opti</w:t>
      </w:r>
      <w:r w:rsidR="00803125">
        <w:t>ons (ECT and</w:t>
      </w:r>
      <w:r w:rsidRPr="00CB1D15">
        <w:t xml:space="preserve"> </w:t>
      </w:r>
      <w:r w:rsidR="00803125" w:rsidRPr="00CB1D15">
        <w:t>transcranial direct current stimulation</w:t>
      </w:r>
      <w:r w:rsidRPr="00CB1D15">
        <w:t>) for TRD have limited eff</w:t>
      </w:r>
      <w:r w:rsidR="00803125">
        <w:t>icacy or patient acceptability.</w:t>
      </w:r>
    </w:p>
    <w:p w14:paraId="33C06F29" w14:textId="5E646360" w:rsidR="00047015" w:rsidRPr="00CB1D15" w:rsidRDefault="00047015" w:rsidP="00CB1D15">
      <w:r w:rsidRPr="00CB1D15">
        <w:t>Only about two-thirds of patients with MDD achieve remission after the first or second courses of treatment using currently approved drugs, mostly acting by modulating the monoaminergic system. Remission rates following subsequent steps of therapy are lower (approximately 13%), and relapse rates are</w:t>
      </w:r>
      <w:r w:rsidR="00803125">
        <w:t xml:space="preserve"> higher and occur more quickly.</w:t>
      </w:r>
    </w:p>
    <w:p w14:paraId="44C82DC2" w14:textId="35C315F0" w:rsidR="00047015" w:rsidRPr="00803125" w:rsidRDefault="00047015" w:rsidP="00803125">
      <w:r w:rsidRPr="00803125">
        <w:t>There is a need to develop innovative treatments, based upon relevant pathophysiologic pathways underlying MDD, for the rapid and sustained relief of depressive symptoms, especially in patients with TRD.</w:t>
      </w:r>
    </w:p>
    <w:p w14:paraId="4E9040F8" w14:textId="381B84F9" w:rsidR="00047015" w:rsidRPr="00803125" w:rsidRDefault="00047015" w:rsidP="00803125">
      <w:proofErr w:type="spellStart"/>
      <w:r w:rsidRPr="00803125">
        <w:t>Esketamine</w:t>
      </w:r>
      <w:proofErr w:type="spellEnd"/>
      <w:r w:rsidRPr="00803125">
        <w:t xml:space="preserve">, the S-enantiomer of racemic ketamine, is a first in class </w:t>
      </w:r>
      <w:r w:rsidR="000E689D">
        <w:t>antidepressant</w:t>
      </w:r>
      <w:r w:rsidR="000E689D" w:rsidRPr="00803125">
        <w:t xml:space="preserve"> </w:t>
      </w:r>
      <w:r w:rsidRPr="00803125">
        <w:t>with a novel mechanism of action as a glutamate receptor modulator, expected to address this unmet medical need.</w:t>
      </w:r>
    </w:p>
    <w:p w14:paraId="58C2C8D0" w14:textId="04D3EC9D" w:rsidR="00047015" w:rsidRPr="00803125" w:rsidRDefault="00047015" w:rsidP="00803125">
      <w:r w:rsidRPr="00803125">
        <w:t xml:space="preserve">The </w:t>
      </w:r>
      <w:r w:rsidR="00803125">
        <w:t xml:space="preserve">clinical </w:t>
      </w:r>
      <w:r w:rsidR="00291CE5">
        <w:t>evaluator</w:t>
      </w:r>
      <w:r w:rsidRPr="00803125">
        <w:t xml:space="preserve"> found the evaluated PK data t</w:t>
      </w:r>
      <w:r w:rsidR="00803125">
        <w:t>o be satisfactory overall. The D</w:t>
      </w:r>
      <w:r w:rsidRPr="00803125">
        <w:t xml:space="preserve">elegate believes that the observed variations in </w:t>
      </w:r>
      <w:proofErr w:type="spellStart"/>
      <w:r w:rsidRPr="00803125">
        <w:t>C</w:t>
      </w:r>
      <w:r w:rsidRPr="00803125">
        <w:rPr>
          <w:vertAlign w:val="subscript"/>
        </w:rPr>
        <w:t>max</w:t>
      </w:r>
      <w:proofErr w:type="spellEnd"/>
      <w:r w:rsidRPr="00803125">
        <w:t xml:space="preserve"> and AUC with regard to the Japanese e</w:t>
      </w:r>
      <w:r w:rsidR="003938C9">
        <w:t>thnicity are significant enough</w:t>
      </w:r>
      <w:r w:rsidRPr="00803125">
        <w:t xml:space="preserve"> to warrant modifications to the propose</w:t>
      </w:r>
      <w:r w:rsidR="00803125">
        <w:t>d dosing regimen in that group.</w:t>
      </w:r>
    </w:p>
    <w:p w14:paraId="3A2FB16D" w14:textId="348A9C90" w:rsidR="00047015" w:rsidRPr="00803125" w:rsidRDefault="00047015" w:rsidP="00803125">
      <w:r w:rsidRPr="00803125">
        <w:t>Three pivotal</w:t>
      </w:r>
      <w:r w:rsidR="00803125">
        <w:t xml:space="preserve"> short term (4</w:t>
      </w:r>
      <w:r w:rsidR="00291CE5">
        <w:t xml:space="preserve"> </w:t>
      </w:r>
      <w:r w:rsidR="00803125">
        <w:t>weeks)</w:t>
      </w:r>
      <w:r w:rsidRPr="00803125">
        <w:t xml:space="preserve"> randomised double</w:t>
      </w:r>
      <w:r w:rsidR="00803125">
        <w:t xml:space="preserve"> blind, multicentre, active</w:t>
      </w:r>
      <w:r w:rsidR="00803125">
        <w:noBreakHyphen/>
      </w:r>
      <w:r w:rsidRPr="00803125">
        <w:t>controlled induction studies (</w:t>
      </w:r>
      <w:r w:rsidR="00803125">
        <w:t xml:space="preserve">Studies TRD3001, TRD3002 and </w:t>
      </w:r>
      <w:r w:rsidR="00D65167">
        <w:t xml:space="preserve">TRD3005), in adult </w:t>
      </w:r>
      <w:r w:rsidR="00F33853">
        <w:t>subjects (&gt; 18 years, including the elderly &gt; 65 years)</w:t>
      </w:r>
      <w:r w:rsidRPr="00803125">
        <w:t xml:space="preserve"> with </w:t>
      </w:r>
      <w:r w:rsidR="00D65167">
        <w:t>TRD</w:t>
      </w:r>
      <w:r w:rsidRPr="00803125">
        <w:t xml:space="preserve"> were evaluated. </w:t>
      </w:r>
      <w:r w:rsidR="00D65167">
        <w:t>Study TRD</w:t>
      </w:r>
      <w:r w:rsidRPr="00803125">
        <w:t xml:space="preserve">3001 involved fixed </w:t>
      </w:r>
      <w:proofErr w:type="spellStart"/>
      <w:r w:rsidRPr="00803125">
        <w:t>esketamine</w:t>
      </w:r>
      <w:proofErr w:type="spellEnd"/>
      <w:r w:rsidRPr="00803125">
        <w:t xml:space="preserve"> doses (56</w:t>
      </w:r>
      <w:r w:rsidR="00D65167">
        <w:t xml:space="preserve"> </w:t>
      </w:r>
      <w:r w:rsidRPr="00803125">
        <w:t>mg or 84</w:t>
      </w:r>
      <w:r w:rsidR="00D65167">
        <w:t xml:space="preserve"> </w:t>
      </w:r>
      <w:r w:rsidRPr="00803125">
        <w:t xml:space="preserve">mg) while flexible doses of </w:t>
      </w:r>
      <w:proofErr w:type="spellStart"/>
      <w:r w:rsidR="00D65167">
        <w:t>esketamine</w:t>
      </w:r>
      <w:proofErr w:type="spellEnd"/>
      <w:r w:rsidR="00D65167">
        <w:t xml:space="preserve"> were utilised in Study</w:t>
      </w:r>
      <w:r w:rsidR="00F33853">
        <w:t> </w:t>
      </w:r>
      <w:r w:rsidR="00D65167">
        <w:t>TRD</w:t>
      </w:r>
      <w:r w:rsidRPr="00803125">
        <w:t>3002 (56</w:t>
      </w:r>
      <w:r w:rsidR="00D65167">
        <w:t xml:space="preserve"> </w:t>
      </w:r>
      <w:r w:rsidRPr="00803125">
        <w:t>mg to 84</w:t>
      </w:r>
      <w:r w:rsidR="00D65167">
        <w:t xml:space="preserve"> </w:t>
      </w:r>
      <w:r w:rsidRPr="00803125">
        <w:t xml:space="preserve">mg) and </w:t>
      </w:r>
      <w:r w:rsidR="00F33853">
        <w:t xml:space="preserve">Study </w:t>
      </w:r>
      <w:r w:rsidRPr="00803125">
        <w:t>TRD 3005 (</w:t>
      </w:r>
      <w:r w:rsidR="00D65167">
        <w:t>28 mg to 56 mg to 84 mg).</w:t>
      </w:r>
    </w:p>
    <w:p w14:paraId="3C9D1433" w14:textId="4C871225" w:rsidR="00047015" w:rsidRPr="00803125" w:rsidRDefault="00047015" w:rsidP="00803125">
      <w:r w:rsidRPr="00803125">
        <w:t xml:space="preserve">The primary objective for each trial was to assess the efficacy of switching adult subjects with TRD from a prior </w:t>
      </w:r>
      <w:r w:rsidR="00F33853">
        <w:t>antidepressant</w:t>
      </w:r>
      <w:r w:rsidR="00F33853" w:rsidRPr="00803125">
        <w:t xml:space="preserve"> </w:t>
      </w:r>
      <w:r w:rsidRPr="00803125">
        <w:t xml:space="preserve">treatment (to which they had not responded) to intranasal </w:t>
      </w:r>
      <w:proofErr w:type="spellStart"/>
      <w:r w:rsidRPr="00803125">
        <w:t>esketamine</w:t>
      </w:r>
      <w:proofErr w:type="spellEnd"/>
      <w:r w:rsidRPr="00803125">
        <w:t xml:space="preserve"> + a newly initiated oral </w:t>
      </w:r>
      <w:r w:rsidR="00F33853">
        <w:t>antidepressant</w:t>
      </w:r>
      <w:r w:rsidRPr="00803125">
        <w:t xml:space="preserve">, compared with switching to </w:t>
      </w:r>
      <w:r w:rsidRPr="00803125">
        <w:lastRenderedPageBreak/>
        <w:t xml:space="preserve">intranasal placebo + a newly initiated oral </w:t>
      </w:r>
      <w:r w:rsidR="00F33853">
        <w:t>antidepressant</w:t>
      </w:r>
      <w:r w:rsidR="00F33853" w:rsidRPr="00803125">
        <w:t xml:space="preserve"> </w:t>
      </w:r>
      <w:r w:rsidRPr="00803125">
        <w:t>(active comparator), in improving TRD symptoms.</w:t>
      </w:r>
    </w:p>
    <w:p w14:paraId="745FA417" w14:textId="5195BEBB" w:rsidR="00047015" w:rsidRPr="00D65167" w:rsidRDefault="00047015" w:rsidP="00D65167">
      <w:r w:rsidRPr="00803125">
        <w:t xml:space="preserve">The key secondary objective (for both </w:t>
      </w:r>
      <w:r w:rsidR="00F33853">
        <w:t xml:space="preserve">Study </w:t>
      </w:r>
      <w:r w:rsidRPr="00803125">
        <w:t xml:space="preserve">TRD3001 and </w:t>
      </w:r>
      <w:r w:rsidR="00F33853">
        <w:t xml:space="preserve">Study </w:t>
      </w:r>
      <w:r w:rsidRPr="00803125">
        <w:t xml:space="preserve">TRD3002 but not for </w:t>
      </w:r>
      <w:r w:rsidR="00F33853">
        <w:t xml:space="preserve">Study </w:t>
      </w:r>
      <w:r w:rsidRPr="00803125">
        <w:t xml:space="preserve">TRD3005) was to assess the effect of intranasal </w:t>
      </w:r>
      <w:proofErr w:type="spellStart"/>
      <w:r w:rsidRPr="00803125">
        <w:t>esketamine</w:t>
      </w:r>
      <w:proofErr w:type="spellEnd"/>
      <w:r w:rsidRPr="00803125">
        <w:t xml:space="preserve"> + a newly initiated oral </w:t>
      </w:r>
      <w:r w:rsidR="00F33853">
        <w:t xml:space="preserve">antidepressant </w:t>
      </w:r>
      <w:r w:rsidR="00F33853" w:rsidRPr="00803125">
        <w:t xml:space="preserve"> </w:t>
      </w:r>
      <w:r w:rsidR="00D65167">
        <w:t>versus</w:t>
      </w:r>
      <w:r w:rsidRPr="00803125">
        <w:t xml:space="preserve"> intranasal placebo + a newly initiated oral </w:t>
      </w:r>
      <w:r w:rsidR="00F33853">
        <w:t>antidepressant</w:t>
      </w:r>
      <w:r w:rsidR="00F33853" w:rsidRPr="00803125">
        <w:t xml:space="preserve"> </w:t>
      </w:r>
      <w:r w:rsidRPr="00803125">
        <w:t>(active comparator)</w:t>
      </w:r>
      <w:r w:rsidR="00D65167">
        <w:t xml:space="preserve"> including</w:t>
      </w:r>
      <w:r w:rsidRPr="00803125">
        <w:t xml:space="preserve"> (</w:t>
      </w:r>
      <w:proofErr w:type="spellStart"/>
      <w:r w:rsidRPr="00803125">
        <w:t>i</w:t>
      </w:r>
      <w:proofErr w:type="spellEnd"/>
      <w:r w:rsidRPr="00803125">
        <w:t>) onset of clinical response by Day 2 (24 h</w:t>
      </w:r>
      <w:r w:rsidR="00D65167">
        <w:t>ours</w:t>
      </w:r>
      <w:r w:rsidRPr="00803125">
        <w:t>)</w:t>
      </w:r>
      <w:r w:rsidR="00F33853">
        <w:t>;</w:t>
      </w:r>
      <w:r w:rsidRPr="00803125">
        <w:t xml:space="preserve"> (ii) functioning and associated disability</w:t>
      </w:r>
      <w:r w:rsidR="00F33853">
        <w:t>;</w:t>
      </w:r>
      <w:r w:rsidRPr="00803125">
        <w:t xml:space="preserve"> and (iii) depressive symptoms (subject reported) in adult subjects with TRD.</w:t>
      </w:r>
    </w:p>
    <w:p w14:paraId="1426F1BB" w14:textId="281611A4" w:rsidR="00047015" w:rsidRPr="00D65167" w:rsidRDefault="00047015" w:rsidP="00D65167">
      <w:r w:rsidRPr="00D65167">
        <w:t xml:space="preserve">The </w:t>
      </w:r>
      <w:r w:rsidR="00D65167">
        <w:t xml:space="preserve">clinical evaluator </w:t>
      </w:r>
      <w:r w:rsidR="003938C9">
        <w:t>pointed</w:t>
      </w:r>
      <w:r w:rsidRPr="00D65167">
        <w:t xml:space="preserve"> out the limitations in the conduct of the pivotal </w:t>
      </w:r>
      <w:r w:rsidR="00D65167">
        <w:t>double blind</w:t>
      </w:r>
      <w:r w:rsidRPr="00D65167">
        <w:t xml:space="preserve"> induction studies</w:t>
      </w:r>
      <w:r w:rsidR="003938C9">
        <w:t>,</w:t>
      </w:r>
      <w:r w:rsidRPr="00D65167">
        <w:t xml:space="preserve"> such as:</w:t>
      </w:r>
    </w:p>
    <w:p w14:paraId="351451A6" w14:textId="3F1B0C61" w:rsidR="00047015" w:rsidRPr="0044332E" w:rsidRDefault="00F33853" w:rsidP="00D65167">
      <w:pPr>
        <w:pStyle w:val="ListBullet"/>
        <w:rPr>
          <w:rFonts w:asciiTheme="minorHAnsi" w:eastAsiaTheme="minorHAnsi" w:hAnsiTheme="minorHAnsi" w:cs="TimesNewRoman"/>
          <w:lang w:val="en-GB"/>
        </w:rPr>
      </w:pPr>
      <w:r>
        <w:rPr>
          <w:lang w:val="en-GB"/>
        </w:rPr>
        <w:t>n</w:t>
      </w:r>
      <w:r w:rsidR="00047015" w:rsidRPr="0044332E">
        <w:rPr>
          <w:lang w:val="en-GB"/>
        </w:rPr>
        <w:t>ot having patients continue</w:t>
      </w:r>
      <w:r w:rsidR="00047015">
        <w:rPr>
          <w:lang w:val="en-GB"/>
        </w:rPr>
        <w:t>d</w:t>
      </w:r>
      <w:r w:rsidR="00047015" w:rsidRPr="0044332E">
        <w:rPr>
          <w:lang w:val="en-GB"/>
        </w:rPr>
        <w:t xml:space="preserve"> with baseline </w:t>
      </w:r>
      <w:r>
        <w:rPr>
          <w:lang w:val="en-GB"/>
        </w:rPr>
        <w:t>antidepressants</w:t>
      </w:r>
      <w:r w:rsidRPr="0044332E">
        <w:rPr>
          <w:lang w:val="en-GB"/>
        </w:rPr>
        <w:t xml:space="preserve"> </w:t>
      </w:r>
      <w:r w:rsidR="00047015" w:rsidRPr="0044332E">
        <w:rPr>
          <w:lang w:val="en-GB"/>
        </w:rPr>
        <w:t xml:space="preserve">that had demonstrated non-response in the current major depressive episode into the </w:t>
      </w:r>
      <w:r w:rsidR="00291CE5">
        <w:rPr>
          <w:lang w:val="en-GB"/>
        </w:rPr>
        <w:t>double bli</w:t>
      </w:r>
      <w:r w:rsidR="00D65167">
        <w:rPr>
          <w:lang w:val="en-GB"/>
        </w:rPr>
        <w:t>nd treatment;</w:t>
      </w:r>
      <w:r>
        <w:rPr>
          <w:lang w:val="en-GB"/>
        </w:rPr>
        <w:t xml:space="preserve"> and</w:t>
      </w:r>
    </w:p>
    <w:p w14:paraId="2D5465EB" w14:textId="5AB78AF7" w:rsidR="00047015" w:rsidRPr="00D65167" w:rsidRDefault="00F33853" w:rsidP="00D65167">
      <w:pPr>
        <w:pStyle w:val="ListBullet"/>
        <w:rPr>
          <w:rFonts w:asciiTheme="minorHAnsi" w:eastAsiaTheme="minorHAnsi" w:hAnsiTheme="minorHAnsi" w:cs="TimesNewRoman"/>
          <w:lang w:val="en-GB"/>
        </w:rPr>
      </w:pPr>
      <w:r>
        <w:rPr>
          <w:lang w:val="en-GB"/>
        </w:rPr>
        <w:t>m</w:t>
      </w:r>
      <w:r w:rsidR="00047015" w:rsidRPr="0044332E">
        <w:rPr>
          <w:lang w:val="en-GB"/>
        </w:rPr>
        <w:t xml:space="preserve">ore so, that it cannot be assumed that each newly initiated oral </w:t>
      </w:r>
      <w:r>
        <w:rPr>
          <w:lang w:val="en-GB"/>
        </w:rPr>
        <w:t>antidepressant</w:t>
      </w:r>
      <w:r w:rsidRPr="0044332E">
        <w:rPr>
          <w:lang w:val="en-GB"/>
        </w:rPr>
        <w:t xml:space="preserve"> </w:t>
      </w:r>
      <w:r w:rsidR="00047015" w:rsidRPr="0044332E">
        <w:rPr>
          <w:lang w:val="en-GB"/>
        </w:rPr>
        <w:t>treatment will provide equal efficacy on a dose-for-dose basis.</w:t>
      </w:r>
    </w:p>
    <w:p w14:paraId="5A143AC5" w14:textId="14C6F5DF" w:rsidR="00047015" w:rsidRPr="001E0A31" w:rsidRDefault="00047015" w:rsidP="00D65167">
      <w:pPr>
        <w:rPr>
          <w:lang w:val="en-GB"/>
        </w:rPr>
      </w:pPr>
      <w:r w:rsidRPr="001E0A31">
        <w:rPr>
          <w:lang w:val="en-GB"/>
        </w:rPr>
        <w:t xml:space="preserve">Following the first round </w:t>
      </w:r>
      <w:r w:rsidR="00D65167">
        <w:rPr>
          <w:lang w:val="en-GB"/>
        </w:rPr>
        <w:t xml:space="preserve">of </w:t>
      </w:r>
      <w:r w:rsidRPr="001E0A31">
        <w:rPr>
          <w:lang w:val="en-GB"/>
        </w:rPr>
        <w:t xml:space="preserve">evaluation, the </w:t>
      </w:r>
      <w:r w:rsidR="00D65167">
        <w:rPr>
          <w:lang w:val="en-GB"/>
        </w:rPr>
        <w:t>clinical evaluator</w:t>
      </w:r>
      <w:r w:rsidRPr="001E0A31">
        <w:rPr>
          <w:lang w:val="en-GB"/>
        </w:rPr>
        <w:t xml:space="preserve"> concluded in general that the:</w:t>
      </w:r>
    </w:p>
    <w:p w14:paraId="551F742D" w14:textId="3C5513E6" w:rsidR="00047015" w:rsidRPr="001E0A31" w:rsidRDefault="00047015" w:rsidP="00D65167">
      <w:pPr>
        <w:pStyle w:val="ListBullet"/>
        <w:rPr>
          <w:i/>
          <w:lang w:val="en-GB"/>
        </w:rPr>
      </w:pPr>
      <w:r w:rsidRPr="001E0A31">
        <w:rPr>
          <w:lang w:val="en-GB"/>
        </w:rPr>
        <w:t xml:space="preserve">study objectives for the </w:t>
      </w:r>
      <w:r w:rsidR="00BA7E5E">
        <w:rPr>
          <w:lang w:val="en-GB"/>
        </w:rPr>
        <w:t>double blind</w:t>
      </w:r>
      <w:r w:rsidRPr="001E0A31">
        <w:rPr>
          <w:lang w:val="en-GB"/>
        </w:rPr>
        <w:t xml:space="preserve"> induction studies were not completely achieved</w:t>
      </w:r>
      <w:r w:rsidR="00291CE5">
        <w:rPr>
          <w:lang w:val="en-GB"/>
        </w:rPr>
        <w:t>, namely</w:t>
      </w:r>
      <w:r w:rsidRPr="001E0A31">
        <w:rPr>
          <w:lang w:val="en-GB"/>
        </w:rPr>
        <w:t>:</w:t>
      </w:r>
    </w:p>
    <w:p w14:paraId="63234A22" w14:textId="033D4437" w:rsidR="00047015" w:rsidRPr="00D65167" w:rsidRDefault="00F33853" w:rsidP="00D65167">
      <w:pPr>
        <w:pStyle w:val="ListBullet2"/>
        <w:rPr>
          <w:lang w:val="en-GB"/>
        </w:rPr>
      </w:pPr>
      <w:r>
        <w:rPr>
          <w:lang w:val="en-GB"/>
        </w:rPr>
        <w:t>w</w:t>
      </w:r>
      <w:r w:rsidRPr="00D65167">
        <w:rPr>
          <w:lang w:val="en-GB"/>
        </w:rPr>
        <w:t xml:space="preserve">hile </w:t>
      </w:r>
      <w:r w:rsidR="00047015" w:rsidRPr="00D65167">
        <w:rPr>
          <w:lang w:val="en-GB"/>
        </w:rPr>
        <w:t xml:space="preserve">statistical separation was demonstrated in the primary efficacy analysis in </w:t>
      </w:r>
      <w:r>
        <w:rPr>
          <w:lang w:val="en-GB"/>
        </w:rPr>
        <w:t xml:space="preserve">Study </w:t>
      </w:r>
      <w:r w:rsidR="00047015" w:rsidRPr="00D65167">
        <w:rPr>
          <w:lang w:val="en-GB"/>
        </w:rPr>
        <w:t xml:space="preserve">TRD3002, for intranasal flexible-dose </w:t>
      </w:r>
      <w:proofErr w:type="spellStart"/>
      <w:r w:rsidR="00047015" w:rsidRPr="00D65167">
        <w:rPr>
          <w:lang w:val="en-GB"/>
        </w:rPr>
        <w:t>esketamine</w:t>
      </w:r>
      <w:proofErr w:type="spellEnd"/>
      <w:r w:rsidR="00047015" w:rsidRPr="00D65167">
        <w:rPr>
          <w:lang w:val="en-GB"/>
        </w:rPr>
        <w:t xml:space="preserve"> + oral </w:t>
      </w:r>
      <w:r>
        <w:rPr>
          <w:lang w:val="en-GB"/>
        </w:rPr>
        <w:t>antidepressant</w:t>
      </w:r>
      <w:r w:rsidRPr="00D65167">
        <w:rPr>
          <w:lang w:val="en-GB"/>
        </w:rPr>
        <w:t xml:space="preserve"> </w:t>
      </w:r>
      <w:r w:rsidR="00047015" w:rsidRPr="00D65167">
        <w:rPr>
          <w:lang w:val="en-GB"/>
        </w:rPr>
        <w:t xml:space="preserve">compared to intranasal placebo + oral </w:t>
      </w:r>
      <w:r>
        <w:rPr>
          <w:lang w:val="en-GB"/>
        </w:rPr>
        <w:t>antidepressant</w:t>
      </w:r>
      <w:r w:rsidR="00047015" w:rsidRPr="00D65167">
        <w:rPr>
          <w:lang w:val="en-GB"/>
        </w:rPr>
        <w:t xml:space="preserve">; statistical separation over intranasal placebo + oral </w:t>
      </w:r>
      <w:r>
        <w:rPr>
          <w:lang w:val="en-GB"/>
        </w:rPr>
        <w:t>antidepressant</w:t>
      </w:r>
      <w:r w:rsidRPr="00D65167">
        <w:rPr>
          <w:lang w:val="en-GB"/>
        </w:rPr>
        <w:t xml:space="preserve"> </w:t>
      </w:r>
      <w:r w:rsidR="00047015" w:rsidRPr="00D65167">
        <w:rPr>
          <w:lang w:val="en-GB"/>
        </w:rPr>
        <w:t xml:space="preserve">was not achieved for the pre-specified first key secondary endpoint (onset </w:t>
      </w:r>
      <w:r w:rsidR="00D65167">
        <w:rPr>
          <w:lang w:val="en-GB"/>
        </w:rPr>
        <w:t>of clinical response by Day</w:t>
      </w:r>
      <w:r>
        <w:rPr>
          <w:lang w:val="en-GB"/>
        </w:rPr>
        <w:t> </w:t>
      </w:r>
      <w:r w:rsidR="00D65167">
        <w:rPr>
          <w:lang w:val="en-GB"/>
        </w:rPr>
        <w:t>2).</w:t>
      </w:r>
    </w:p>
    <w:p w14:paraId="363ADDB2" w14:textId="650C3BDA" w:rsidR="00047015" w:rsidRPr="00D65167" w:rsidRDefault="00F33853" w:rsidP="00D65167">
      <w:pPr>
        <w:pStyle w:val="ListBullet2"/>
        <w:rPr>
          <w:lang w:val="en-GB"/>
        </w:rPr>
      </w:pPr>
      <w:r>
        <w:t>s</w:t>
      </w:r>
      <w:r w:rsidR="00047015" w:rsidRPr="00121079">
        <w:t xml:space="preserve">tatistical significance was not achieved in the primary efficacy analysis in </w:t>
      </w:r>
      <w:r w:rsidR="00291CE5">
        <w:t>Study </w:t>
      </w:r>
      <w:r w:rsidR="00047015" w:rsidRPr="00121079">
        <w:t xml:space="preserve">TRD3001 and only borderline statistical significance (p =0.052) was achieved in </w:t>
      </w:r>
      <w:r w:rsidR="00291CE5">
        <w:t xml:space="preserve">Study </w:t>
      </w:r>
      <w:r w:rsidR="00047015" w:rsidRPr="00121079">
        <w:t>TRD3005.</w:t>
      </w:r>
    </w:p>
    <w:p w14:paraId="4213E14B" w14:textId="79531FC5" w:rsidR="00047015" w:rsidRPr="00D65167" w:rsidRDefault="00047015" w:rsidP="00D65167">
      <w:pPr>
        <w:pStyle w:val="ListBullet"/>
        <w:rPr>
          <w:rFonts w:eastAsiaTheme="minorHAnsi"/>
          <w:i/>
          <w:lang w:val="en-GB"/>
        </w:rPr>
      </w:pPr>
      <w:r w:rsidRPr="00121079">
        <w:rPr>
          <w:lang w:val="en-GB"/>
        </w:rPr>
        <w:t xml:space="preserve">the differences in LS means of </w:t>
      </w:r>
      <w:proofErr w:type="spellStart"/>
      <w:r w:rsidRPr="00121079">
        <w:rPr>
          <w:lang w:val="en-GB"/>
        </w:rPr>
        <w:t>esketamine</w:t>
      </w:r>
      <w:proofErr w:type="spellEnd"/>
      <w:r w:rsidRPr="00121079">
        <w:rPr>
          <w:lang w:val="en-GB"/>
        </w:rPr>
        <w:t xml:space="preserve"> treatments </w:t>
      </w:r>
      <w:r w:rsidR="00291CE5">
        <w:rPr>
          <w:lang w:val="en-GB"/>
        </w:rPr>
        <w:t>versus</w:t>
      </w:r>
      <w:r w:rsidRPr="00121079">
        <w:rPr>
          <w:lang w:val="en-GB"/>
        </w:rPr>
        <w:t xml:space="preserve"> the placebo treatments were consistently above 2 units across studies, for most primary and secondary efficacy endpoints. The latter provides support for a clinically meaningful difference of intranasal </w:t>
      </w:r>
      <w:proofErr w:type="spellStart"/>
      <w:r w:rsidRPr="00121079">
        <w:rPr>
          <w:lang w:val="en-GB"/>
        </w:rPr>
        <w:t>esketamine</w:t>
      </w:r>
      <w:proofErr w:type="spellEnd"/>
      <w:r w:rsidRPr="00121079">
        <w:rPr>
          <w:lang w:val="en-GB"/>
        </w:rPr>
        <w:t xml:space="preserve"> treatments </w:t>
      </w:r>
      <w:r w:rsidRPr="00121079">
        <w:rPr>
          <w:i/>
          <w:lang w:val="en-GB"/>
        </w:rPr>
        <w:t>in the range 56 mg to 84 mg, at twice weekly dosing for adults and 28 mg to 84 mg in elderly persons</w:t>
      </w:r>
      <w:r>
        <w:rPr>
          <w:i/>
          <w:lang w:val="en-GB"/>
        </w:rPr>
        <w:t>.</w:t>
      </w:r>
    </w:p>
    <w:p w14:paraId="767144F3" w14:textId="53A0E359" w:rsidR="00047015" w:rsidRPr="00D65167" w:rsidRDefault="00047015" w:rsidP="00D65167">
      <w:r w:rsidRPr="00D65167">
        <w:t>One randomised</w:t>
      </w:r>
      <w:r w:rsidR="00F33853">
        <w:t>,</w:t>
      </w:r>
      <w:r w:rsidRPr="00D65167">
        <w:t xml:space="preserve"> withdrawal desi</w:t>
      </w:r>
      <w:r w:rsidR="00243193">
        <w:t>gn</w:t>
      </w:r>
      <w:r w:rsidR="00F33853">
        <w:t>,</w:t>
      </w:r>
      <w:r w:rsidR="00243193">
        <w:t xml:space="preserve"> double blind, multicentre, P</w:t>
      </w:r>
      <w:r w:rsidRPr="00D65167">
        <w:t>hase III, active-contr</w:t>
      </w:r>
      <w:r w:rsidR="00291CE5">
        <w:t>olled relapse</w:t>
      </w:r>
      <w:r w:rsidR="00F33853">
        <w:noBreakHyphen/>
      </w:r>
      <w:r w:rsidR="00291CE5">
        <w:t>prevention study (Study TRD 3003)</w:t>
      </w:r>
      <w:r w:rsidRPr="00D65167">
        <w:t xml:space="preserve"> was evaluated (</w:t>
      </w:r>
      <w:r w:rsidR="00243193">
        <w:t>known as</w:t>
      </w:r>
      <w:r w:rsidRPr="00D65167">
        <w:t xml:space="preserve"> </w:t>
      </w:r>
      <w:r w:rsidR="00F33853">
        <w:t xml:space="preserve">a </w:t>
      </w:r>
      <w:r w:rsidR="00243193" w:rsidRPr="00D65167">
        <w:t>maintenance</w:t>
      </w:r>
      <w:r w:rsidRPr="00D65167">
        <w:t xml:space="preserve"> of effect/</w:t>
      </w:r>
      <w:r w:rsidR="00243193" w:rsidRPr="00D65167">
        <w:t>relapse study</w:t>
      </w:r>
      <w:r w:rsidRPr="00D65167">
        <w:t>).</w:t>
      </w:r>
    </w:p>
    <w:p w14:paraId="726F23DF" w14:textId="5148A28F" w:rsidR="00047015" w:rsidRPr="00D65167" w:rsidRDefault="00047015" w:rsidP="00D65167">
      <w:r w:rsidRPr="00D65167">
        <w:t xml:space="preserve">The primary objective was to assess the efficacy of intranasal </w:t>
      </w:r>
      <w:proofErr w:type="spellStart"/>
      <w:r w:rsidRPr="00D65167">
        <w:t>esketamine</w:t>
      </w:r>
      <w:proofErr w:type="spellEnd"/>
      <w:r w:rsidRPr="00D65167">
        <w:t xml:space="preserve"> + oral </w:t>
      </w:r>
      <w:r w:rsidR="00F33853">
        <w:t xml:space="preserve">antidepressant </w:t>
      </w:r>
      <w:r w:rsidR="00243193">
        <w:t>versus</w:t>
      </w:r>
      <w:r w:rsidRPr="00D65167">
        <w:t xml:space="preserve"> intranasal placebo + oral </w:t>
      </w:r>
      <w:r w:rsidR="00F33853">
        <w:t>antidepressant</w:t>
      </w:r>
      <w:r w:rsidR="00F33853" w:rsidRPr="00D65167">
        <w:t xml:space="preserve"> </w:t>
      </w:r>
      <w:r w:rsidRPr="00D65167">
        <w:t>in delaying relapse of depressive symptoms in subjects with TRD, who were in stable remission (</w:t>
      </w:r>
      <w:r w:rsidR="00243193">
        <w:t>that is,</w:t>
      </w:r>
      <w:r w:rsidRPr="00D65167">
        <w:t xml:space="preserve"> stable remission response</w:t>
      </w:r>
      <w:r w:rsidR="00243193">
        <w:t xml:space="preserve">, also known as </w:t>
      </w:r>
      <w:r w:rsidRPr="00D65167">
        <w:t>stable remitters) after an induction and optimisation course of i</w:t>
      </w:r>
      <w:r w:rsidR="00243193">
        <w:t xml:space="preserve">ntranasal </w:t>
      </w:r>
      <w:proofErr w:type="spellStart"/>
      <w:r w:rsidR="00243193">
        <w:t>esketamine</w:t>
      </w:r>
      <w:proofErr w:type="spellEnd"/>
      <w:r w:rsidR="00243193">
        <w:t xml:space="preserve"> + oral </w:t>
      </w:r>
      <w:r w:rsidR="00F33853">
        <w:t>antidepressant</w:t>
      </w:r>
      <w:r w:rsidR="00243193">
        <w:t>.</w:t>
      </w:r>
    </w:p>
    <w:p w14:paraId="6129F285" w14:textId="5BBA6A23" w:rsidR="00047015" w:rsidRPr="00D65167" w:rsidRDefault="00047015" w:rsidP="00D65167">
      <w:r w:rsidRPr="00D65167">
        <w:t xml:space="preserve">The secondary objective was to assess the efficacy of intranasal </w:t>
      </w:r>
      <w:proofErr w:type="spellStart"/>
      <w:r w:rsidRPr="00D65167">
        <w:t>esketamine</w:t>
      </w:r>
      <w:proofErr w:type="spellEnd"/>
      <w:r w:rsidRPr="00D65167">
        <w:t xml:space="preserve"> + oral </w:t>
      </w:r>
      <w:r w:rsidR="00F33853">
        <w:t>antidepressant</w:t>
      </w:r>
      <w:r w:rsidR="00F33853" w:rsidRPr="00D65167">
        <w:t xml:space="preserve"> </w:t>
      </w:r>
      <w:r w:rsidR="00243193">
        <w:t>versus</w:t>
      </w:r>
      <w:r w:rsidRPr="00D65167">
        <w:t xml:space="preserve"> intranasal placebo + oral </w:t>
      </w:r>
      <w:r w:rsidR="00F33853">
        <w:t>antidepressant</w:t>
      </w:r>
      <w:r w:rsidR="00F33853" w:rsidRPr="00D65167">
        <w:t xml:space="preserve"> </w:t>
      </w:r>
      <w:r w:rsidRPr="00D65167">
        <w:t xml:space="preserve">in delaying relapse of depressive symptoms in subjects with TRD, who were in stable response (but not in stable remission </w:t>
      </w:r>
      <w:r w:rsidR="00243193">
        <w:t>that is,</w:t>
      </w:r>
      <w:r w:rsidRPr="00D65167">
        <w:t xml:space="preserve"> stable non-remission</w:t>
      </w:r>
      <w:r w:rsidR="00243193">
        <w:t xml:space="preserve"> response, also known as </w:t>
      </w:r>
      <w:r w:rsidRPr="00D65167">
        <w:t xml:space="preserve">stable responders) after an induction and optimisation course of intranasal </w:t>
      </w:r>
      <w:proofErr w:type="spellStart"/>
      <w:r w:rsidRPr="00D65167">
        <w:t>esketamine</w:t>
      </w:r>
      <w:proofErr w:type="spellEnd"/>
      <w:r w:rsidRPr="00D65167">
        <w:t xml:space="preserve"> + oral </w:t>
      </w:r>
      <w:r w:rsidR="00F33853">
        <w:t>antidepressant</w:t>
      </w:r>
      <w:r w:rsidRPr="00D65167">
        <w:t>.</w:t>
      </w:r>
    </w:p>
    <w:p w14:paraId="2149C45D" w14:textId="2D63A7BB" w:rsidR="00047015" w:rsidRPr="00AC3FEC" w:rsidRDefault="00047015" w:rsidP="00047015">
      <w:pPr>
        <w:tabs>
          <w:tab w:val="left" w:pos="993"/>
          <w:tab w:val="left" w:pos="1134"/>
        </w:tabs>
        <w:autoSpaceDE w:val="0"/>
        <w:autoSpaceDN w:val="0"/>
        <w:spacing w:before="0" w:after="0" w:line="240" w:lineRule="auto"/>
        <w:rPr>
          <w:lang w:val="en-GB"/>
        </w:rPr>
      </w:pPr>
      <w:r w:rsidRPr="00AC3FEC">
        <w:rPr>
          <w:lang w:val="en-GB"/>
        </w:rPr>
        <w:t xml:space="preserve">As part of the primary </w:t>
      </w:r>
      <w:r>
        <w:rPr>
          <w:lang w:val="en-GB"/>
        </w:rPr>
        <w:t xml:space="preserve">and secondary </w:t>
      </w:r>
      <w:r w:rsidRPr="00AC3FEC">
        <w:rPr>
          <w:lang w:val="en-GB"/>
        </w:rPr>
        <w:t xml:space="preserve">efficacy outcomes in the </w:t>
      </w:r>
      <w:r w:rsidR="00243193">
        <w:rPr>
          <w:lang w:val="en-GB"/>
        </w:rPr>
        <w:t>double blind</w:t>
      </w:r>
      <w:r w:rsidRPr="00AC3FEC">
        <w:rPr>
          <w:lang w:val="en-GB"/>
        </w:rPr>
        <w:t xml:space="preserve"> maintenance phase, the </w:t>
      </w:r>
      <w:r w:rsidR="00243193">
        <w:rPr>
          <w:lang w:val="en-GB"/>
        </w:rPr>
        <w:t>clinical evaluator</w:t>
      </w:r>
      <w:r w:rsidRPr="00AC3FEC">
        <w:rPr>
          <w:lang w:val="en-GB"/>
        </w:rPr>
        <w:t xml:space="preserve"> found that:</w:t>
      </w:r>
    </w:p>
    <w:p w14:paraId="41E779B6" w14:textId="04E507C7" w:rsidR="00047015" w:rsidRPr="00243193" w:rsidRDefault="00243193" w:rsidP="00243193">
      <w:pPr>
        <w:pStyle w:val="ListBullet"/>
        <w:rPr>
          <w:rFonts w:eastAsiaTheme="minorHAnsi" w:cs="TimesNewRoman"/>
          <w:lang w:val="en-GB"/>
        </w:rPr>
      </w:pPr>
      <w:r>
        <w:rPr>
          <w:lang w:val="en-GB"/>
        </w:rPr>
        <w:lastRenderedPageBreak/>
        <w:t xml:space="preserve">There was </w:t>
      </w:r>
      <w:r w:rsidR="00047015" w:rsidRPr="00121B08">
        <w:rPr>
          <w:rFonts w:cs="TimesNewRoman"/>
          <w:lang w:val="en-GB"/>
        </w:rPr>
        <w:t xml:space="preserve">statistically significantly fewer </w:t>
      </w:r>
      <w:r w:rsidR="00291CE5">
        <w:rPr>
          <w:lang w:val="en-GB"/>
        </w:rPr>
        <w:t xml:space="preserve">stable remitters </w:t>
      </w:r>
      <w:r w:rsidR="00047015" w:rsidRPr="00121B08">
        <w:rPr>
          <w:lang w:val="en-GB"/>
        </w:rPr>
        <w:t xml:space="preserve">who relapsed in the intranasal </w:t>
      </w:r>
      <w:proofErr w:type="spellStart"/>
      <w:r w:rsidR="00047015" w:rsidRPr="00121B08">
        <w:rPr>
          <w:lang w:val="en-GB"/>
        </w:rPr>
        <w:t>esketamine</w:t>
      </w:r>
      <w:proofErr w:type="spellEnd"/>
      <w:r w:rsidR="00047015" w:rsidRPr="00121B08">
        <w:rPr>
          <w:lang w:val="en-GB"/>
        </w:rPr>
        <w:t xml:space="preserve"> + oral </w:t>
      </w:r>
      <w:r w:rsidR="00F33853">
        <w:rPr>
          <w:lang w:val="en-GB"/>
        </w:rPr>
        <w:t>antidepressant</w:t>
      </w:r>
      <w:r w:rsidR="00F33853" w:rsidRPr="00121B08">
        <w:rPr>
          <w:lang w:val="en-GB"/>
        </w:rPr>
        <w:t xml:space="preserve"> </w:t>
      </w:r>
      <w:r w:rsidR="00047015" w:rsidRPr="00121B08">
        <w:rPr>
          <w:lang w:val="en-GB"/>
        </w:rPr>
        <w:t xml:space="preserve">group </w:t>
      </w:r>
      <w:r>
        <w:rPr>
          <w:lang w:val="en-GB"/>
        </w:rPr>
        <w:t>versus</w:t>
      </w:r>
      <w:r w:rsidR="00047015" w:rsidRPr="00121B08">
        <w:rPr>
          <w:lang w:val="en-GB"/>
        </w:rPr>
        <w:t xml:space="preserve"> intranasal placebo + oral </w:t>
      </w:r>
      <w:r w:rsidR="00F33853">
        <w:rPr>
          <w:lang w:val="en-GB"/>
        </w:rPr>
        <w:t>antidepressant</w:t>
      </w:r>
      <w:r w:rsidR="00F33853" w:rsidRPr="00121B08">
        <w:rPr>
          <w:lang w:val="en-GB"/>
        </w:rPr>
        <w:t xml:space="preserve"> </w:t>
      </w:r>
      <w:r w:rsidR="00047015" w:rsidRPr="00121B08">
        <w:rPr>
          <w:lang w:val="en-GB"/>
        </w:rPr>
        <w:t xml:space="preserve">group </w:t>
      </w:r>
      <w:r>
        <w:rPr>
          <w:lang w:val="en-GB"/>
        </w:rPr>
        <w:t>that is, 26.7%</w:t>
      </w:r>
      <w:r w:rsidR="00047015" w:rsidRPr="00121B08">
        <w:rPr>
          <w:lang w:val="en-GB"/>
        </w:rPr>
        <w:t xml:space="preserve"> (n = 24) </w:t>
      </w:r>
      <w:r>
        <w:rPr>
          <w:lang w:val="en-GB"/>
        </w:rPr>
        <w:t>versus</w:t>
      </w:r>
      <w:r w:rsidR="00291CE5">
        <w:rPr>
          <w:lang w:val="en-GB"/>
        </w:rPr>
        <w:t xml:space="preserve"> 45.3% (n = 39): the e</w:t>
      </w:r>
      <w:r w:rsidR="00047015" w:rsidRPr="00121B08">
        <w:rPr>
          <w:lang w:val="en-GB"/>
        </w:rPr>
        <w:t xml:space="preserve">stimated </w:t>
      </w:r>
      <w:r>
        <w:rPr>
          <w:lang w:val="en-GB"/>
        </w:rPr>
        <w:t>hazard ratio</w:t>
      </w:r>
      <w:r w:rsidR="00047015" w:rsidRPr="00121B08">
        <w:rPr>
          <w:lang w:val="en-GB"/>
        </w:rPr>
        <w:t xml:space="preserve"> (95%</w:t>
      </w:r>
      <w:r>
        <w:rPr>
          <w:lang w:val="en-GB"/>
        </w:rPr>
        <w:t xml:space="preserve"> CI) was 0.49 (0.29, 0.84: 2 </w:t>
      </w:r>
      <w:r w:rsidR="00047015" w:rsidRPr="00121B08">
        <w:rPr>
          <w:lang w:val="en-GB"/>
        </w:rPr>
        <w:t>sided p = 0.003; based on the</w:t>
      </w:r>
      <w:r w:rsidR="00047015" w:rsidRPr="00121B08">
        <w:rPr>
          <w:rFonts w:cs="TimesNewRoman"/>
          <w:lang w:val="en-GB"/>
        </w:rPr>
        <w:t xml:space="preserve"> weighted combi</w:t>
      </w:r>
      <w:r>
        <w:rPr>
          <w:rFonts w:cs="TimesNewRoman"/>
          <w:lang w:val="en-GB"/>
        </w:rPr>
        <w:t xml:space="preserve">nation log-rank test) and was </w:t>
      </w:r>
      <w:r w:rsidR="00047015" w:rsidRPr="00121B08">
        <w:rPr>
          <w:rFonts w:cs="TimesNewRoman"/>
          <w:lang w:val="en-GB"/>
        </w:rPr>
        <w:t xml:space="preserve">less than 0.046, the threshold of statistical significance. </w:t>
      </w:r>
      <w:r w:rsidR="00047015" w:rsidRPr="00965C21">
        <w:rPr>
          <w:rFonts w:eastAsiaTheme="minorHAnsi" w:cs="TimesNewRoman"/>
          <w:lang w:val="en-GB"/>
        </w:rPr>
        <w:t xml:space="preserve">This result indicated that relapse was, on average, 51% less likely for stable remitters who continued treatment with </w:t>
      </w:r>
      <w:proofErr w:type="spellStart"/>
      <w:r w:rsidR="00047015" w:rsidRPr="00965C21">
        <w:rPr>
          <w:rFonts w:eastAsiaTheme="minorHAnsi" w:cs="TimesNewRoman"/>
          <w:lang w:val="en-GB"/>
        </w:rPr>
        <w:t>esketamine</w:t>
      </w:r>
      <w:proofErr w:type="spellEnd"/>
      <w:r w:rsidR="00047015" w:rsidRPr="00965C21">
        <w:rPr>
          <w:rFonts w:eastAsiaTheme="minorHAnsi" w:cs="TimesNewRoman"/>
          <w:lang w:val="en-GB"/>
        </w:rPr>
        <w:t xml:space="preserve"> than for those switched to placebo</w:t>
      </w:r>
      <w:r w:rsidR="00047015" w:rsidRPr="00121B08">
        <w:rPr>
          <w:rFonts w:eastAsiaTheme="minorHAnsi" w:cs="TimesNewRoman"/>
          <w:i/>
          <w:lang w:val="en-GB"/>
        </w:rPr>
        <w:t>.</w:t>
      </w:r>
    </w:p>
    <w:p w14:paraId="57D94805" w14:textId="6DB10312" w:rsidR="00047015" w:rsidRPr="00243193" w:rsidRDefault="00243193" w:rsidP="00243193">
      <w:pPr>
        <w:pStyle w:val="ListBullet"/>
      </w:pPr>
      <w:r>
        <w:t>B</w:t>
      </w:r>
      <w:r w:rsidR="00047015" w:rsidRPr="00243193">
        <w:t xml:space="preserve">ased on Kaplan-Meier estimates, median time to relapse (time at which cumulative survival function = 0.5 or 50%) in stable remitters for intranasal </w:t>
      </w:r>
      <w:proofErr w:type="spellStart"/>
      <w:r w:rsidR="00047015" w:rsidRPr="00243193">
        <w:t>esketamine</w:t>
      </w:r>
      <w:proofErr w:type="spellEnd"/>
      <w:r w:rsidR="00047015" w:rsidRPr="00243193">
        <w:t xml:space="preserve"> + oral </w:t>
      </w:r>
      <w:r w:rsidR="00F33853">
        <w:t>antidepressant</w:t>
      </w:r>
      <w:r w:rsidR="00F33853" w:rsidRPr="00243193">
        <w:t xml:space="preserve"> </w:t>
      </w:r>
      <w:r w:rsidR="00047015" w:rsidRPr="00243193">
        <w:t xml:space="preserve">arm was not estimable, whereas median time to relapse (95% CI) for oral </w:t>
      </w:r>
      <w:r w:rsidR="00F33853">
        <w:t>antidepressant</w:t>
      </w:r>
      <w:r w:rsidR="00F33853" w:rsidRPr="00243193">
        <w:t xml:space="preserve"> </w:t>
      </w:r>
      <w:r w:rsidR="00047015" w:rsidRPr="00243193">
        <w:t>+ intranasal placebo was 273.0 days. Of note, 48.7% (n = 19) of relapses in subjects randomised to intranasal placebo +</w:t>
      </w:r>
      <w:r w:rsidR="00F33853">
        <w:t xml:space="preserve"> </w:t>
      </w:r>
      <w:r w:rsidR="00047015" w:rsidRPr="00243193">
        <w:t xml:space="preserve">oral </w:t>
      </w:r>
      <w:r w:rsidR="00F33853">
        <w:t>antidepressant</w:t>
      </w:r>
      <w:r w:rsidR="00F33853" w:rsidRPr="00243193">
        <w:t xml:space="preserve"> </w:t>
      </w:r>
      <w:r w:rsidR="00047015" w:rsidRPr="00243193">
        <w:t>occ</w:t>
      </w:r>
      <w:r w:rsidRPr="00243193">
        <w:t>urred within the first 4 weeks.</w:t>
      </w:r>
    </w:p>
    <w:p w14:paraId="104053B0" w14:textId="19587527" w:rsidR="00047015" w:rsidRPr="00243193" w:rsidRDefault="00243193" w:rsidP="00243193">
      <w:pPr>
        <w:pStyle w:val="ListBullet"/>
      </w:pPr>
      <w:r>
        <w:t>R</w:t>
      </w:r>
      <w:r w:rsidR="00047015" w:rsidRPr="00243193">
        <w:t xml:space="preserve">elapse events in stable responders occurred in 25.8% (n = 16) of the intranasal </w:t>
      </w:r>
      <w:proofErr w:type="spellStart"/>
      <w:r w:rsidR="00047015" w:rsidRPr="00243193">
        <w:t>esketamine</w:t>
      </w:r>
      <w:proofErr w:type="spellEnd"/>
      <w:r w:rsidR="00047015" w:rsidRPr="00243193">
        <w:t xml:space="preserve"> + oral </w:t>
      </w:r>
      <w:r w:rsidR="00F33853">
        <w:t>antidepressant</w:t>
      </w:r>
      <w:r w:rsidR="00F33853" w:rsidRPr="00243193">
        <w:t xml:space="preserve"> </w:t>
      </w:r>
      <w:r w:rsidR="00047015" w:rsidRPr="00243193">
        <w:t xml:space="preserve">group versus 57.6% (n = 34) of the intranasal placebo + </w:t>
      </w:r>
      <w:r w:rsidRPr="00243193">
        <w:t xml:space="preserve">oral </w:t>
      </w:r>
      <w:r w:rsidR="00F33853">
        <w:t>antidepressant</w:t>
      </w:r>
      <w:r w:rsidR="00F33853" w:rsidRPr="00243193">
        <w:t xml:space="preserve"> </w:t>
      </w:r>
      <w:r w:rsidRPr="00243193">
        <w:t>group.</w:t>
      </w:r>
    </w:p>
    <w:p w14:paraId="73CBB073" w14:textId="6B75268E" w:rsidR="00047015" w:rsidRPr="00243193" w:rsidRDefault="00243193" w:rsidP="00243193">
      <w:pPr>
        <w:pStyle w:val="ListBullet"/>
        <w:rPr>
          <w:rFonts w:eastAsiaTheme="minorHAnsi" w:cs="TimesNewRoman"/>
          <w:lang w:val="en-GB"/>
        </w:rPr>
      </w:pPr>
      <w:r>
        <w:rPr>
          <w:rFonts w:cs="TimesNewRoman"/>
          <w:lang w:val="en-GB"/>
        </w:rPr>
        <w:t>T</w:t>
      </w:r>
      <w:r w:rsidR="00047015" w:rsidRPr="00BB5968">
        <w:rPr>
          <w:rFonts w:cs="TimesNewRoman"/>
          <w:lang w:val="en-GB"/>
        </w:rPr>
        <w:t xml:space="preserve">he treatment group difference for time to relapse </w:t>
      </w:r>
      <w:r w:rsidR="00047015">
        <w:rPr>
          <w:rFonts w:cs="TimesNewRoman"/>
          <w:lang w:val="en-GB"/>
        </w:rPr>
        <w:t xml:space="preserve">in stable responders </w:t>
      </w:r>
      <w:r w:rsidR="00047015" w:rsidRPr="00BB5968">
        <w:rPr>
          <w:rFonts w:cs="TimesNewRoman"/>
          <w:lang w:val="en-GB"/>
        </w:rPr>
        <w:t>w</w:t>
      </w:r>
      <w:r w:rsidR="00291CE5">
        <w:rPr>
          <w:rFonts w:cs="TimesNewRoman"/>
          <w:lang w:val="en-GB"/>
        </w:rPr>
        <w:t xml:space="preserve">as statistically significant (2 </w:t>
      </w:r>
      <w:r w:rsidR="00047015" w:rsidRPr="00BB5968">
        <w:rPr>
          <w:rFonts w:cs="TimesNewRoman"/>
          <w:lang w:val="en-GB"/>
        </w:rPr>
        <w:t>sided p &lt; 0.001)</w:t>
      </w:r>
      <w:r w:rsidR="00047015">
        <w:rPr>
          <w:rFonts w:cs="TimesNewRoman"/>
          <w:lang w:val="en-GB"/>
        </w:rPr>
        <w:t>,</w:t>
      </w:r>
      <w:r w:rsidR="00047015" w:rsidRPr="00BB5968">
        <w:rPr>
          <w:rFonts w:cs="TimesNewRoman"/>
          <w:lang w:val="en-GB"/>
        </w:rPr>
        <w:t xml:space="preserve"> with an estimated </w:t>
      </w:r>
      <w:r>
        <w:rPr>
          <w:rFonts w:cs="TimesNewRoman"/>
          <w:lang w:val="en-GB"/>
        </w:rPr>
        <w:t>hazard ratio</w:t>
      </w:r>
      <w:r w:rsidR="00047015" w:rsidRPr="00BB5968">
        <w:rPr>
          <w:rFonts w:cs="TimesNewRoman"/>
          <w:lang w:val="en-GB"/>
        </w:rPr>
        <w:t xml:space="preserve"> (95% CI) of </w:t>
      </w:r>
      <w:r w:rsidR="00047015">
        <w:rPr>
          <w:rFonts w:cs="TimesNewRoman"/>
          <w:lang w:val="en-GB"/>
        </w:rPr>
        <w:t xml:space="preserve">intranasal </w:t>
      </w:r>
      <w:proofErr w:type="spellStart"/>
      <w:r w:rsidR="00047015" w:rsidRPr="00BB5968">
        <w:rPr>
          <w:rFonts w:cs="TimesNewRoman"/>
          <w:lang w:val="en-GB"/>
        </w:rPr>
        <w:t>esketamine</w:t>
      </w:r>
      <w:proofErr w:type="spellEnd"/>
      <w:r w:rsidR="00047015" w:rsidRPr="00BB5968">
        <w:rPr>
          <w:rFonts w:cs="TimesNewRoman"/>
          <w:lang w:val="en-GB"/>
        </w:rPr>
        <w:t xml:space="preserve"> </w:t>
      </w:r>
      <w:r w:rsidR="00047015">
        <w:rPr>
          <w:rFonts w:cs="TimesNewRoman"/>
          <w:lang w:val="en-GB"/>
        </w:rPr>
        <w:t xml:space="preserve">+ oral </w:t>
      </w:r>
      <w:r w:rsidR="00F33853">
        <w:rPr>
          <w:rFonts w:cs="TimesNewRoman"/>
          <w:lang w:val="en-GB"/>
        </w:rPr>
        <w:t>antidepressant</w:t>
      </w:r>
      <w:r w:rsidR="00F33853" w:rsidRPr="00BB5968">
        <w:rPr>
          <w:rFonts w:eastAsiaTheme="minorHAnsi" w:cs="TimesNewRoman"/>
          <w:lang w:val="en-GB"/>
        </w:rPr>
        <w:t xml:space="preserve"> </w:t>
      </w:r>
      <w:r w:rsidR="00047015">
        <w:rPr>
          <w:rFonts w:eastAsiaTheme="minorHAnsi" w:cs="TimesNewRoman"/>
          <w:lang w:val="en-GB"/>
        </w:rPr>
        <w:t xml:space="preserve">group </w:t>
      </w:r>
      <w:r w:rsidR="00047015" w:rsidRPr="00BB5968">
        <w:rPr>
          <w:rFonts w:eastAsiaTheme="minorHAnsi" w:cs="TimesNewRoman"/>
          <w:lang w:val="en-GB"/>
        </w:rPr>
        <w:t xml:space="preserve">relative to </w:t>
      </w:r>
      <w:r w:rsidR="00047015">
        <w:rPr>
          <w:rFonts w:cs="TimesNewRoman"/>
          <w:lang w:val="en-GB"/>
        </w:rPr>
        <w:t xml:space="preserve">intranasal placebo + </w:t>
      </w:r>
      <w:r w:rsidR="00047015" w:rsidRPr="00BB5968">
        <w:rPr>
          <w:rFonts w:cs="TimesNewRoman"/>
          <w:lang w:val="en-GB"/>
        </w:rPr>
        <w:t>oral AD group</w:t>
      </w:r>
      <w:r w:rsidR="00047015" w:rsidRPr="00BB5968">
        <w:rPr>
          <w:rFonts w:eastAsiaTheme="minorHAnsi" w:cs="TimesNewRoman"/>
          <w:lang w:val="en-GB"/>
        </w:rPr>
        <w:t xml:space="preserve"> </w:t>
      </w:r>
      <w:r w:rsidR="00047015">
        <w:rPr>
          <w:rFonts w:eastAsiaTheme="minorHAnsi" w:cs="TimesNewRoman"/>
          <w:lang w:val="en-GB"/>
        </w:rPr>
        <w:t>of 0.30</w:t>
      </w:r>
      <w:r w:rsidR="00047015" w:rsidRPr="00BB5968">
        <w:rPr>
          <w:rFonts w:cs="TimesNewRoman"/>
          <w:lang w:val="en-GB"/>
        </w:rPr>
        <w:t xml:space="preserve"> (0.16; 0.55). </w:t>
      </w:r>
      <w:r w:rsidR="00047015" w:rsidRPr="00965C21">
        <w:rPr>
          <w:rFonts w:eastAsiaTheme="minorHAnsi" w:cs="TimesNewRoman"/>
          <w:lang w:val="en-GB"/>
        </w:rPr>
        <w:t xml:space="preserve">This result indicated that relapse was 70% less likely for stable responders who continued treatment with </w:t>
      </w:r>
      <w:proofErr w:type="spellStart"/>
      <w:r w:rsidR="00047015" w:rsidRPr="00965C21">
        <w:rPr>
          <w:rFonts w:eastAsiaTheme="minorHAnsi" w:cs="TimesNewRoman"/>
          <w:lang w:val="en-GB"/>
        </w:rPr>
        <w:t>esketamine</w:t>
      </w:r>
      <w:proofErr w:type="spellEnd"/>
      <w:r w:rsidR="00047015" w:rsidRPr="00965C21">
        <w:rPr>
          <w:rFonts w:eastAsiaTheme="minorHAnsi" w:cs="TimesNewRoman"/>
          <w:lang w:val="en-GB"/>
        </w:rPr>
        <w:t xml:space="preserve"> than for those who discontinued </w:t>
      </w:r>
      <w:proofErr w:type="spellStart"/>
      <w:r w:rsidR="00047015" w:rsidRPr="00965C21">
        <w:rPr>
          <w:rFonts w:eastAsiaTheme="minorHAnsi" w:cs="TimesNewRoman"/>
          <w:lang w:val="en-GB"/>
        </w:rPr>
        <w:t>esketamine</w:t>
      </w:r>
      <w:proofErr w:type="spellEnd"/>
      <w:r w:rsidR="00047015" w:rsidRPr="00965C21">
        <w:rPr>
          <w:rFonts w:eastAsiaTheme="minorHAnsi" w:cs="TimesNewRoman"/>
          <w:lang w:val="en-GB"/>
        </w:rPr>
        <w:t xml:space="preserve"> treatment.</w:t>
      </w:r>
    </w:p>
    <w:p w14:paraId="225BDB1A" w14:textId="60872F36" w:rsidR="00047015" w:rsidRDefault="00047015" w:rsidP="00243193">
      <w:pPr>
        <w:rPr>
          <w:i/>
        </w:rPr>
      </w:pPr>
      <w:r>
        <w:rPr>
          <w:lang w:val="en-GB"/>
        </w:rPr>
        <w:t xml:space="preserve">The </w:t>
      </w:r>
      <w:r w:rsidR="00243193">
        <w:rPr>
          <w:lang w:val="en-GB"/>
        </w:rPr>
        <w:t>clinical evaluator</w:t>
      </w:r>
      <w:r>
        <w:rPr>
          <w:lang w:val="en-GB"/>
        </w:rPr>
        <w:t xml:space="preserve"> identified some issues with the submission that generated three rounds of </w:t>
      </w:r>
      <w:r w:rsidR="00243193">
        <w:rPr>
          <w:lang w:val="en-GB"/>
        </w:rPr>
        <w:t>questions from the TGA</w:t>
      </w:r>
      <w:r>
        <w:rPr>
          <w:lang w:val="en-GB"/>
        </w:rPr>
        <w:t xml:space="preserve"> and </w:t>
      </w:r>
      <w:r w:rsidR="00243193">
        <w:rPr>
          <w:lang w:val="en-GB"/>
        </w:rPr>
        <w:t xml:space="preserve">associated </w:t>
      </w:r>
      <w:r>
        <w:rPr>
          <w:lang w:val="en-GB"/>
        </w:rPr>
        <w:t xml:space="preserve">sponsor responses, and four rounds of </w:t>
      </w:r>
      <w:r w:rsidR="00243193">
        <w:rPr>
          <w:lang w:val="en-GB"/>
        </w:rPr>
        <w:t xml:space="preserve">clinical </w:t>
      </w:r>
      <w:r w:rsidR="00291CE5">
        <w:rPr>
          <w:lang w:val="en-GB"/>
        </w:rPr>
        <w:t>evaluator’s</w:t>
      </w:r>
      <w:r>
        <w:rPr>
          <w:lang w:val="en-GB"/>
        </w:rPr>
        <w:t xml:space="preserve"> comments and authorisation recommendations. </w:t>
      </w:r>
      <w:r w:rsidR="00243193">
        <w:rPr>
          <w:lang w:val="en-GB"/>
        </w:rPr>
        <w:t>The clinical evaluator’s fourth round recommendation is shown in the ‘</w:t>
      </w:r>
      <w:r w:rsidR="00243193" w:rsidRPr="00243193">
        <w:rPr>
          <w:i/>
          <w:lang w:val="en-GB"/>
        </w:rPr>
        <w:fldChar w:fldCharType="begin"/>
      </w:r>
      <w:r w:rsidR="00243193" w:rsidRPr="00243193">
        <w:rPr>
          <w:i/>
          <w:lang w:val="en-GB"/>
        </w:rPr>
        <w:instrText xml:space="preserve"> REF _Ref69799520 \h </w:instrText>
      </w:r>
      <w:r w:rsidR="00243193">
        <w:rPr>
          <w:i/>
          <w:lang w:val="en-GB"/>
        </w:rPr>
        <w:instrText xml:space="preserve"> \* MERGEFORMAT </w:instrText>
      </w:r>
      <w:r w:rsidR="00243193" w:rsidRPr="00243193">
        <w:rPr>
          <w:i/>
          <w:lang w:val="en-GB"/>
        </w:rPr>
      </w:r>
      <w:r w:rsidR="00243193" w:rsidRPr="00243193">
        <w:rPr>
          <w:i/>
          <w:lang w:val="en-GB"/>
        </w:rPr>
        <w:fldChar w:fldCharType="separate"/>
      </w:r>
      <w:r w:rsidR="003938C9" w:rsidRPr="003938C9">
        <w:rPr>
          <w:i/>
        </w:rPr>
        <w:t>Clinical evaluator’s overall conclusions on clinical efficacy</w:t>
      </w:r>
      <w:r w:rsidR="00243193" w:rsidRPr="00243193">
        <w:rPr>
          <w:i/>
          <w:lang w:val="en-GB"/>
        </w:rPr>
        <w:fldChar w:fldCharType="end"/>
      </w:r>
      <w:r w:rsidR="00243193">
        <w:rPr>
          <w:lang w:val="en-GB"/>
        </w:rPr>
        <w:t>’ section, above.</w:t>
      </w:r>
    </w:p>
    <w:p w14:paraId="38F13350" w14:textId="3D996A26" w:rsidR="00047015" w:rsidRDefault="00047015" w:rsidP="00047015">
      <w:pPr>
        <w:autoSpaceDE w:val="0"/>
        <w:autoSpaceDN w:val="0"/>
        <w:adjustRightInd w:val="0"/>
        <w:spacing w:before="0" w:after="0" w:line="240" w:lineRule="auto"/>
      </w:pPr>
      <w:r w:rsidRPr="005148ED">
        <w:t xml:space="preserve">Despite the </w:t>
      </w:r>
      <w:r w:rsidR="00243193">
        <w:t>clinical evaluator</w:t>
      </w:r>
      <w:r w:rsidR="00243193" w:rsidRPr="005148ED">
        <w:t>’s</w:t>
      </w:r>
      <w:r w:rsidRPr="005148ED">
        <w:t xml:space="preserve"> </w:t>
      </w:r>
      <w:r w:rsidR="003938C9">
        <w:t xml:space="preserve">previously </w:t>
      </w:r>
      <w:r>
        <w:t xml:space="preserve">stated </w:t>
      </w:r>
      <w:r w:rsidRPr="005148ED">
        <w:t>positive efficacy outcomes for both the primary and secondary objectives</w:t>
      </w:r>
      <w:r>
        <w:t xml:space="preserve"> </w:t>
      </w:r>
      <w:r w:rsidRPr="005148ED">
        <w:t>in both the induction and maintenance phases of the clinical trials</w:t>
      </w:r>
      <w:r>
        <w:t xml:space="preserve"> (see above)</w:t>
      </w:r>
      <w:r w:rsidRPr="005148ED">
        <w:t xml:space="preserve">, the </w:t>
      </w:r>
      <w:r w:rsidR="00243193">
        <w:t>clinical evaluator</w:t>
      </w:r>
      <w:r w:rsidR="00243193" w:rsidRPr="005148ED">
        <w:t xml:space="preserve">’s </w:t>
      </w:r>
      <w:r w:rsidRPr="005148ED">
        <w:t>authorisation recommendation</w:t>
      </w:r>
      <w:r>
        <w:t xml:space="preserve"> above</w:t>
      </w:r>
      <w:r w:rsidRPr="005148ED">
        <w:t xml:space="preserve"> is based on </w:t>
      </w:r>
      <w:r>
        <w:t xml:space="preserve">the perception of </w:t>
      </w:r>
      <w:r w:rsidR="00243193">
        <w:t>‘</w:t>
      </w:r>
      <w:r w:rsidRPr="000874CC">
        <w:rPr>
          <w:i/>
        </w:rPr>
        <w:t xml:space="preserve">lack of efficacy data for </w:t>
      </w:r>
      <w:r w:rsidR="00243193">
        <w:rPr>
          <w:i/>
        </w:rPr>
        <w:t xml:space="preserve">the intranasal </w:t>
      </w:r>
      <w:proofErr w:type="spellStart"/>
      <w:r w:rsidR="00243193">
        <w:rPr>
          <w:i/>
        </w:rPr>
        <w:t>esketamine</w:t>
      </w:r>
      <w:proofErr w:type="spellEnd"/>
      <w:r w:rsidR="00243193">
        <w:rPr>
          <w:i/>
        </w:rPr>
        <w:t xml:space="preserve"> per se’</w:t>
      </w:r>
      <w:r w:rsidRPr="005148ED">
        <w:t xml:space="preserve">. The latter essentially relates to the </w:t>
      </w:r>
      <w:r w:rsidR="00243193">
        <w:t>clinical evaluator’s</w:t>
      </w:r>
      <w:r w:rsidRPr="005148ED">
        <w:t xml:space="preserve"> </w:t>
      </w:r>
      <w:r>
        <w:t>impression,</w:t>
      </w:r>
      <w:r w:rsidRPr="005148ED">
        <w:t xml:space="preserve"> that initiation of both the new oral </w:t>
      </w:r>
      <w:r w:rsidR="00F33853">
        <w:t>antidepressant</w:t>
      </w:r>
      <w:r w:rsidR="00F33853" w:rsidRPr="005148ED">
        <w:t xml:space="preserve"> </w:t>
      </w:r>
      <w:r w:rsidRPr="005148ED">
        <w:t xml:space="preserve">and the test drug for TRD </w:t>
      </w:r>
      <w:r w:rsidR="00243193">
        <w:t xml:space="preserve">(intranasal </w:t>
      </w:r>
      <w:proofErr w:type="spellStart"/>
      <w:r w:rsidR="00243193">
        <w:t>esketamine</w:t>
      </w:r>
      <w:proofErr w:type="spellEnd"/>
      <w:r w:rsidR="00243193">
        <w:t>)</w:t>
      </w:r>
      <w:r>
        <w:t xml:space="preserve"> </w:t>
      </w:r>
      <w:r w:rsidRPr="005148ED">
        <w:t xml:space="preserve">was simultaneous at the commencement of the </w:t>
      </w:r>
      <w:r w:rsidR="00BA7E5E">
        <w:t>double blind</w:t>
      </w:r>
      <w:r w:rsidR="00291CE5">
        <w:t xml:space="preserve"> trial phase.</w:t>
      </w:r>
    </w:p>
    <w:p w14:paraId="184A46C0" w14:textId="58C04959" w:rsidR="00047015" w:rsidRDefault="00243193" w:rsidP="00047015">
      <w:r>
        <w:t>The Delegate’s</w:t>
      </w:r>
      <w:r w:rsidR="00047015">
        <w:t xml:space="preserve"> thought is that the </w:t>
      </w:r>
      <w:r>
        <w:t>clinical evaluator’s</w:t>
      </w:r>
      <w:r w:rsidR="00047015">
        <w:t xml:space="preserve"> perception may be superficial and </w:t>
      </w:r>
      <w:r>
        <w:t>the Delegate</w:t>
      </w:r>
      <w:r w:rsidR="00047015">
        <w:t xml:space="preserve"> contend</w:t>
      </w:r>
      <w:r>
        <w:t>s</w:t>
      </w:r>
      <w:r w:rsidR="00047015">
        <w:t xml:space="preserve">, that having a trial design </w:t>
      </w:r>
      <w:r>
        <w:t>of</w:t>
      </w:r>
      <w:r w:rsidR="00047015" w:rsidRPr="00243193">
        <w:t xml:space="preserve"> </w:t>
      </w:r>
      <w:r w:rsidR="00047015" w:rsidRPr="00291CE5">
        <w:rPr>
          <w:i/>
        </w:rPr>
        <w:t xml:space="preserve">intranasal </w:t>
      </w:r>
      <w:proofErr w:type="spellStart"/>
      <w:r w:rsidR="00047015" w:rsidRPr="00291CE5">
        <w:rPr>
          <w:i/>
        </w:rPr>
        <w:t>esketamine</w:t>
      </w:r>
      <w:proofErr w:type="spellEnd"/>
      <w:r w:rsidR="00047015" w:rsidRPr="00291CE5">
        <w:rPr>
          <w:i/>
        </w:rPr>
        <w:t xml:space="preserve"> + new oral </w:t>
      </w:r>
      <w:r w:rsidR="00F33853">
        <w:rPr>
          <w:i/>
        </w:rPr>
        <w:t>antidepressant</w:t>
      </w:r>
      <w:r w:rsidR="00F33853" w:rsidRPr="00291CE5">
        <w:rPr>
          <w:i/>
        </w:rPr>
        <w:t xml:space="preserve"> </w:t>
      </w:r>
      <w:r w:rsidR="00047015" w:rsidRPr="00291CE5">
        <w:t>compared to</w:t>
      </w:r>
      <w:r w:rsidR="00047015" w:rsidRPr="00291CE5">
        <w:rPr>
          <w:i/>
        </w:rPr>
        <w:t xml:space="preserve"> intranasal placebo + new oral </w:t>
      </w:r>
      <w:r w:rsidR="00F33853">
        <w:rPr>
          <w:i/>
        </w:rPr>
        <w:t>antidepressant</w:t>
      </w:r>
      <w:r w:rsidR="00F33853" w:rsidRPr="00291CE5">
        <w:rPr>
          <w:i/>
        </w:rPr>
        <w:t xml:space="preserve"> </w:t>
      </w:r>
      <w:r w:rsidR="00047015" w:rsidRPr="00243193">
        <w:t xml:space="preserve">mitigates </w:t>
      </w:r>
      <w:r w:rsidR="00047015" w:rsidRPr="00FD569D">
        <w:t xml:space="preserve">the </w:t>
      </w:r>
      <w:r>
        <w:t>clinical evaluator’s</w:t>
      </w:r>
      <w:r w:rsidR="00047015" w:rsidRPr="00FD569D">
        <w:t xml:space="preserve"> view</w:t>
      </w:r>
      <w:r w:rsidR="00047015">
        <w:t xml:space="preserve">. </w:t>
      </w:r>
      <w:r>
        <w:t>The Delegate</w:t>
      </w:r>
      <w:r w:rsidR="00047015">
        <w:t xml:space="preserve"> believe</w:t>
      </w:r>
      <w:r>
        <w:t>s</w:t>
      </w:r>
      <w:r w:rsidR="00047015">
        <w:t xml:space="preserve"> that the efficacy of the new oral </w:t>
      </w:r>
      <w:r w:rsidR="00F33853">
        <w:t>antidepressant</w:t>
      </w:r>
      <w:r w:rsidR="00F33853" w:rsidRPr="00CF4BA3">
        <w:t xml:space="preserve"> </w:t>
      </w:r>
      <w:r w:rsidR="00047015" w:rsidRPr="00CF4BA3">
        <w:t xml:space="preserve">is also quantifiable in the main by such trial design. It is also plausible that in practice, clinicians may choose to change oral AD from time to time in conjunction with intranasal </w:t>
      </w:r>
      <w:proofErr w:type="spellStart"/>
      <w:r w:rsidR="00047015" w:rsidRPr="00CF4BA3">
        <w:t>esketamine</w:t>
      </w:r>
      <w:proofErr w:type="spellEnd"/>
      <w:r w:rsidR="00047015" w:rsidRPr="00CF4BA3">
        <w:t xml:space="preserve"> </w:t>
      </w:r>
      <w:r w:rsidR="00047015">
        <w:t xml:space="preserve">treatment </w:t>
      </w:r>
      <w:r w:rsidR="00047015" w:rsidRPr="00CF4BA3">
        <w:t>for maximum efficacy.</w:t>
      </w:r>
    </w:p>
    <w:p w14:paraId="7489008C" w14:textId="51339BAA" w:rsidR="00047015" w:rsidRPr="00231263" w:rsidRDefault="00047015" w:rsidP="00047015">
      <w:r w:rsidRPr="00231263">
        <w:t>It is worth mentioning</w:t>
      </w:r>
      <w:r w:rsidR="00243193">
        <w:t>,</w:t>
      </w:r>
      <w:r w:rsidRPr="00231263">
        <w:t xml:space="preserve"> however, that the sponsor has provided the pro</w:t>
      </w:r>
      <w:r w:rsidR="00243193">
        <w:t>visional negative outcome of a P</w:t>
      </w:r>
      <w:r w:rsidRPr="00231263">
        <w:t xml:space="preserve">hase </w:t>
      </w:r>
      <w:proofErr w:type="spellStart"/>
      <w:r w:rsidRPr="00231263">
        <w:t>IIb</w:t>
      </w:r>
      <w:proofErr w:type="spellEnd"/>
      <w:r w:rsidRPr="00231263">
        <w:t xml:space="preserve"> clinical study (</w:t>
      </w:r>
      <w:r w:rsidR="00243193">
        <w:t xml:space="preserve">Study </w:t>
      </w:r>
      <w:r w:rsidRPr="00231263">
        <w:t>TRD2005) for the Japanese market (completed September 2019</w:t>
      </w:r>
      <w:r w:rsidR="00243193">
        <w:t>)</w:t>
      </w:r>
      <w:r w:rsidRPr="00231263">
        <w:t xml:space="preserve">. The study design in </w:t>
      </w:r>
      <w:r w:rsidR="00243193">
        <w:t xml:space="preserve">Study </w:t>
      </w:r>
      <w:r w:rsidRPr="00231263">
        <w:t>TRD2</w:t>
      </w:r>
      <w:r w:rsidR="00243193">
        <w:t>005 is very different from the P</w:t>
      </w:r>
      <w:r w:rsidRPr="00231263">
        <w:t xml:space="preserve">hase III double blind induction studies in that, subjects are stabilised on an oral antidepressant prior to randomisation to intranasal </w:t>
      </w:r>
      <w:proofErr w:type="spellStart"/>
      <w:r w:rsidRPr="00231263">
        <w:t>esketamine</w:t>
      </w:r>
      <w:proofErr w:type="spellEnd"/>
      <w:r w:rsidRPr="00231263">
        <w:t xml:space="preserve"> or placebo treatment. The sponsor stated that failure was most probably </w:t>
      </w:r>
      <w:r w:rsidR="00243193">
        <w:t>due to a high placebo response (t</w:t>
      </w:r>
      <w:r w:rsidRPr="00231263">
        <w:t xml:space="preserve">he full </w:t>
      </w:r>
      <w:r w:rsidR="00243193">
        <w:t>CSR</w:t>
      </w:r>
      <w:r w:rsidRPr="00231263">
        <w:t xml:space="preserve"> completion estimation </w:t>
      </w:r>
      <w:r>
        <w:t xml:space="preserve">date </w:t>
      </w:r>
      <w:r w:rsidRPr="00231263">
        <w:t>is July 2020</w:t>
      </w:r>
      <w:r>
        <w:t>, for submission to the TGA</w:t>
      </w:r>
      <w:r w:rsidR="00243193">
        <w:t>)</w:t>
      </w:r>
      <w:r>
        <w:t>.</w:t>
      </w:r>
    </w:p>
    <w:p w14:paraId="46E70208" w14:textId="14C4567B" w:rsidR="00047015" w:rsidRDefault="00243193" w:rsidP="00047015">
      <w:r>
        <w:lastRenderedPageBreak/>
        <w:t>Of note is the US FDA request that the s</w:t>
      </w:r>
      <w:r w:rsidR="00291CE5">
        <w:t>ponsor</w:t>
      </w:r>
      <w:r w:rsidR="00047015" w:rsidRPr="00741C00">
        <w:t xml:space="preserve"> provides a post-approval commitment to undertake a clinical study focused on the use of </w:t>
      </w:r>
      <w:proofErr w:type="spellStart"/>
      <w:r w:rsidR="00047015" w:rsidRPr="00741C00">
        <w:t>esketamine</w:t>
      </w:r>
      <w:proofErr w:type="spellEnd"/>
      <w:r w:rsidR="00047015" w:rsidRPr="00741C00">
        <w:t xml:space="preserve"> </w:t>
      </w:r>
      <w:r>
        <w:t xml:space="preserve">(56 mg or 84 mg) as monotherapy, that is, </w:t>
      </w:r>
      <w:r w:rsidR="00047015" w:rsidRPr="00741C00">
        <w:t xml:space="preserve">intranasal </w:t>
      </w:r>
      <w:proofErr w:type="spellStart"/>
      <w:r w:rsidR="00047015" w:rsidRPr="00741C00">
        <w:t>esketamine</w:t>
      </w:r>
      <w:proofErr w:type="spellEnd"/>
      <w:r w:rsidR="00047015" w:rsidRPr="00741C00">
        <w:t xml:space="preserve"> </w:t>
      </w:r>
      <w:r>
        <w:t>versus</w:t>
      </w:r>
      <w:r w:rsidR="00047015" w:rsidRPr="00741C00">
        <w:t xml:space="preserve"> placebo treatment (estimated start date: </w:t>
      </w:r>
      <w:r>
        <w:t>first</w:t>
      </w:r>
      <w:r w:rsidR="00047015" w:rsidRPr="00741C00">
        <w:t xml:space="preserve"> quarter of 2020; estimated comp</w:t>
      </w:r>
      <w:r>
        <w:t>letion date: end of 2022). The s</w:t>
      </w:r>
      <w:r w:rsidR="00047015" w:rsidRPr="00741C00">
        <w:t xml:space="preserve">ponsor has also agreed to provide the full CSR for this clinical trial to the TGA, as part of its post-approval commitment. In that regard, the </w:t>
      </w:r>
      <w:r>
        <w:t xml:space="preserve">clinical </w:t>
      </w:r>
      <w:r w:rsidR="00291CE5">
        <w:t>evaluator</w:t>
      </w:r>
      <w:r w:rsidR="00047015" w:rsidRPr="00741C00">
        <w:t xml:space="preserve"> stated that the results of this latter study may be expected to provide a more accurate determination of the treatment effect and safety profile of intranasal </w:t>
      </w:r>
      <w:proofErr w:type="spellStart"/>
      <w:r w:rsidR="00047015" w:rsidRPr="00741C00">
        <w:t>esketamine</w:t>
      </w:r>
      <w:proofErr w:type="spellEnd"/>
      <w:r w:rsidR="00047015">
        <w:t xml:space="preserve">. However, </w:t>
      </w:r>
      <w:r w:rsidR="00047015" w:rsidRPr="00741C00">
        <w:t>the</w:t>
      </w:r>
      <w:r w:rsidR="00047015">
        <w:t xml:space="preserve"> study </w:t>
      </w:r>
      <w:r w:rsidR="00047015" w:rsidRPr="00741C00">
        <w:t>results will not be critical for the determination of approval</w:t>
      </w:r>
      <w:r w:rsidR="00047015">
        <w:t>,</w:t>
      </w:r>
      <w:r w:rsidR="00047015" w:rsidRPr="00741C00">
        <w:t xml:space="preserve"> </w:t>
      </w:r>
      <w:r w:rsidR="00047015">
        <w:t xml:space="preserve">concerning the currently </w:t>
      </w:r>
      <w:r w:rsidR="00047015" w:rsidRPr="00741C00">
        <w:t xml:space="preserve">proposed indication in which intranasal </w:t>
      </w:r>
      <w:proofErr w:type="spellStart"/>
      <w:r w:rsidR="00047015" w:rsidRPr="00741C00">
        <w:t>esketamine</w:t>
      </w:r>
      <w:proofErr w:type="spellEnd"/>
      <w:r w:rsidR="00047015" w:rsidRPr="00741C00">
        <w:t xml:space="preserve"> is to be used as adjunctive therapy with an oral </w:t>
      </w:r>
      <w:r w:rsidR="004E719E">
        <w:t>antidepressant</w:t>
      </w:r>
      <w:r>
        <w:t>. The D</w:t>
      </w:r>
      <w:r w:rsidR="00047015" w:rsidRPr="00741C00">
        <w:t xml:space="preserve">elegate agrees with the </w:t>
      </w:r>
      <w:r>
        <w:t>clinical evaluator, as a positive outcome will only be relevant if the s</w:t>
      </w:r>
      <w:r w:rsidR="00047015" w:rsidRPr="00741C00">
        <w:t xml:space="preserve">ponsor is seeking a monotherapy TRD indication for intranasal </w:t>
      </w:r>
      <w:proofErr w:type="spellStart"/>
      <w:r w:rsidR="00047015" w:rsidRPr="00741C00">
        <w:t>esketamine</w:t>
      </w:r>
      <w:proofErr w:type="spellEnd"/>
      <w:r w:rsidR="00047015" w:rsidRPr="00741C00">
        <w:t>.</w:t>
      </w:r>
    </w:p>
    <w:p w14:paraId="2745BA75" w14:textId="0E9E0EFC" w:rsidR="00456765" w:rsidRDefault="00047015" w:rsidP="00047015">
      <w:r>
        <w:t xml:space="preserve">Safety issues identified with the use of intranasal </w:t>
      </w:r>
      <w:proofErr w:type="spellStart"/>
      <w:r>
        <w:t>esketamine</w:t>
      </w:r>
      <w:proofErr w:type="spellEnd"/>
      <w:r>
        <w:t xml:space="preserve"> include elevated blood pressure, sedation, drug abuse /addiction potential and dissociation/perceptual changes. Those issues have led to suggested modifications to the d</w:t>
      </w:r>
      <w:r w:rsidR="00616924">
        <w:t xml:space="preserve">raft PI and draft </w:t>
      </w:r>
      <w:r>
        <w:t>CMI</w:t>
      </w:r>
      <w:r w:rsidR="00616924">
        <w:t>,</w:t>
      </w:r>
      <w:r>
        <w:t xml:space="preserve"> and to several recommendations in the RMP.</w:t>
      </w:r>
    </w:p>
    <w:p w14:paraId="390EF445" w14:textId="77777777" w:rsidR="00047015" w:rsidRDefault="00047015" w:rsidP="00047015">
      <w:pPr>
        <w:pStyle w:val="Heading5"/>
      </w:pPr>
      <w:r>
        <w:t>Indications</w:t>
      </w:r>
    </w:p>
    <w:p w14:paraId="0DBDC5C6" w14:textId="75C88612" w:rsidR="00047015" w:rsidRPr="00E5668B" w:rsidRDefault="00616924" w:rsidP="00047015">
      <w:r>
        <w:t>The proposed i</w:t>
      </w:r>
      <w:r w:rsidR="00047015" w:rsidRPr="00E5668B">
        <w:t>nitial</w:t>
      </w:r>
      <w:r>
        <w:t xml:space="preserve"> indication was</w:t>
      </w:r>
      <w:r w:rsidR="00047015" w:rsidRPr="00E5668B">
        <w:t>:</w:t>
      </w:r>
    </w:p>
    <w:p w14:paraId="4458F414" w14:textId="77777777" w:rsidR="00047015" w:rsidRPr="00616924" w:rsidRDefault="00047015" w:rsidP="00616924">
      <w:pPr>
        <w:ind w:left="720"/>
        <w:rPr>
          <w:i/>
        </w:rPr>
      </w:pPr>
      <w:r w:rsidRPr="00616924">
        <w:rPr>
          <w:i/>
        </w:rPr>
        <w:t>Treatment resistant depression, defined as MDD in adults who have not responded adequately to at least two different antidepressants of adequate dose and duration, to treat the current depressive episode.</w:t>
      </w:r>
    </w:p>
    <w:p w14:paraId="2398711E" w14:textId="62CF2B5B" w:rsidR="00047015" w:rsidRDefault="003938C9" w:rsidP="00047015">
      <w:r>
        <w:t>This was</w:t>
      </w:r>
      <w:r w:rsidR="00616924">
        <w:t xml:space="preserve"> later modified (post </w:t>
      </w:r>
      <w:r w:rsidR="004E719E">
        <w:t xml:space="preserve">the final </w:t>
      </w:r>
      <w:r w:rsidR="00616924">
        <w:t>clinical evaluation report</w:t>
      </w:r>
      <w:r w:rsidR="00047015">
        <w:t>)</w:t>
      </w:r>
      <w:r w:rsidR="00616924">
        <w:t xml:space="preserve"> to</w:t>
      </w:r>
      <w:r w:rsidR="00047015">
        <w:t>:</w:t>
      </w:r>
    </w:p>
    <w:p w14:paraId="2A385B2D" w14:textId="77777777" w:rsidR="00047015" w:rsidRPr="00616924" w:rsidRDefault="00047015" w:rsidP="00616924">
      <w:pPr>
        <w:ind w:left="720"/>
        <w:rPr>
          <w:i/>
        </w:rPr>
      </w:pPr>
      <w:r w:rsidRPr="00616924">
        <w:rPr>
          <w:i/>
        </w:rPr>
        <w:t>Treatment resistant depression, defined as MDD in adults who have not responded adequately to at least two different antidepressants of adequate dose and duration, to treat the current moderate to severe depressive episode.</w:t>
      </w:r>
    </w:p>
    <w:p w14:paraId="4F0E8791" w14:textId="7E27EA32" w:rsidR="00047015" w:rsidRPr="00616924" w:rsidRDefault="00616924" w:rsidP="00616924">
      <w:r w:rsidRPr="00616924">
        <w:t xml:space="preserve">The </w:t>
      </w:r>
      <w:r>
        <w:t>p</w:t>
      </w:r>
      <w:r w:rsidR="00047015" w:rsidRPr="00616924">
        <w:t xml:space="preserve">roposed modified indication for </w:t>
      </w:r>
      <w:r w:rsidRPr="00616924">
        <w:t xml:space="preserve">intranasal </w:t>
      </w:r>
      <w:proofErr w:type="spellStart"/>
      <w:r w:rsidRPr="00616924">
        <w:t>esketamine</w:t>
      </w:r>
      <w:proofErr w:type="spellEnd"/>
      <w:r w:rsidRPr="00616924">
        <w:t xml:space="preserve"> </w:t>
      </w:r>
      <w:r w:rsidR="00047015" w:rsidRPr="00616924">
        <w:t>(</w:t>
      </w:r>
      <w:proofErr w:type="spellStart"/>
      <w:r w:rsidR="00047015" w:rsidRPr="00616924">
        <w:t>Spravato</w:t>
      </w:r>
      <w:proofErr w:type="spellEnd"/>
      <w:r>
        <w:t>) as per the D</w:t>
      </w:r>
      <w:r w:rsidR="00047015" w:rsidRPr="00616924">
        <w:t>elegate</w:t>
      </w:r>
      <w:r>
        <w:t xml:space="preserve"> </w:t>
      </w:r>
      <w:r w:rsidR="004E719E">
        <w:t>is</w:t>
      </w:r>
      <w:r>
        <w:t>:</w:t>
      </w:r>
    </w:p>
    <w:p w14:paraId="7B73A4AE" w14:textId="77777777" w:rsidR="00047015" w:rsidRPr="00616924" w:rsidRDefault="00047015" w:rsidP="00616924">
      <w:pPr>
        <w:ind w:left="720"/>
        <w:rPr>
          <w:i/>
        </w:rPr>
      </w:pPr>
      <w:r w:rsidRPr="00616924">
        <w:rPr>
          <w:i/>
        </w:rPr>
        <w:t>Treatment resistant depression (defined as MDD in adults who have not responded adequately to at least two different antidepressants of adequate dose and duration, to treat the current moderate to severe depressive episode).</w:t>
      </w:r>
      <w:proofErr w:type="spellStart"/>
      <w:r w:rsidRPr="00616924">
        <w:rPr>
          <w:i/>
        </w:rPr>
        <w:t>Esketamine</w:t>
      </w:r>
      <w:proofErr w:type="spellEnd"/>
      <w:r w:rsidRPr="00616924">
        <w:rPr>
          <w:i/>
        </w:rPr>
        <w:t xml:space="preserve"> is to be initiated as adjuvant in conjunction with oral SSRI or SNRI antidepressant (preferably new) and, in the context of conjoint supportive psychotherapy combined with counselling and significant social assistance.</w:t>
      </w:r>
    </w:p>
    <w:p w14:paraId="1E81B3B4" w14:textId="0C164BC4" w:rsidR="00047015" w:rsidRPr="00616924" w:rsidRDefault="00616924" w:rsidP="00616924">
      <w:r w:rsidRPr="00616924">
        <w:t>This proposed indication is based on the following r</w:t>
      </w:r>
      <w:r w:rsidR="00047015" w:rsidRPr="00616924">
        <w:t>ationale:</w:t>
      </w:r>
    </w:p>
    <w:p w14:paraId="70D7CA0B" w14:textId="11FC96BC" w:rsidR="00047015" w:rsidRPr="00616924" w:rsidRDefault="00616924" w:rsidP="00616924">
      <w:pPr>
        <w:pStyle w:val="ListBullet"/>
      </w:pPr>
      <w:r>
        <w:t>b</w:t>
      </w:r>
      <w:r w:rsidR="00047015" w:rsidRPr="00616924">
        <w:t>ased on the evaluated data from the trial design;</w:t>
      </w:r>
    </w:p>
    <w:p w14:paraId="216EF70B" w14:textId="682C0C61" w:rsidR="00047015" w:rsidRPr="00616924" w:rsidRDefault="00616924" w:rsidP="00616924">
      <w:pPr>
        <w:pStyle w:val="ListBullet"/>
      </w:pPr>
      <w:r>
        <w:t>b</w:t>
      </w:r>
      <w:r w:rsidR="00047015" w:rsidRPr="00616924">
        <w:t xml:space="preserve">oth </w:t>
      </w:r>
      <w:r>
        <w:t xml:space="preserve">the </w:t>
      </w:r>
      <w:r w:rsidR="00047015" w:rsidRPr="00616924">
        <w:t>E</w:t>
      </w:r>
      <w:r w:rsidR="004E719E">
        <w:t>MA</w:t>
      </w:r>
      <w:r w:rsidR="00047015" w:rsidRPr="00616924">
        <w:t xml:space="preserve"> </w:t>
      </w:r>
      <w:r>
        <w:t>and</w:t>
      </w:r>
      <w:r w:rsidR="00047015" w:rsidRPr="00616924">
        <w:t xml:space="preserve"> FDA did not particularly specify new SSRI or SNRI as followed in the clinical trials;</w:t>
      </w:r>
    </w:p>
    <w:p w14:paraId="39081BF7" w14:textId="2FE04FF7" w:rsidR="00047015" w:rsidRPr="00616924" w:rsidRDefault="00616924" w:rsidP="00616924">
      <w:pPr>
        <w:pStyle w:val="ListBullet"/>
      </w:pPr>
      <w:r>
        <w:t>c</w:t>
      </w:r>
      <w:r w:rsidR="00047015" w:rsidRPr="00616924">
        <w:t>ontemporary clinical practice and therapeutic guidelines utilise psychotherapy, counselling and social support in the management of all forms of depression;</w:t>
      </w:r>
      <w:r w:rsidR="004E719E">
        <w:t xml:space="preserve"> and</w:t>
      </w:r>
    </w:p>
    <w:p w14:paraId="0725AAB3" w14:textId="18AC72A0" w:rsidR="00047015" w:rsidRPr="00616924" w:rsidRDefault="00616924" w:rsidP="00616924">
      <w:pPr>
        <w:pStyle w:val="ListBullet"/>
      </w:pPr>
      <w:r>
        <w:t>s</w:t>
      </w:r>
      <w:r w:rsidR="00047015" w:rsidRPr="00616924">
        <w:t>ome patients received psychotherapy in the trials.</w:t>
      </w:r>
    </w:p>
    <w:p w14:paraId="758ABEA4" w14:textId="6B1934C5" w:rsidR="00047015" w:rsidRPr="00616924" w:rsidRDefault="00616924" w:rsidP="00616924">
      <w:pPr>
        <w:pStyle w:val="Heading5"/>
      </w:pPr>
      <w:r w:rsidRPr="00616924">
        <w:t>Proposed c</w:t>
      </w:r>
      <w:r w:rsidR="00047015" w:rsidRPr="00616924">
        <w:t>onditions of registration</w:t>
      </w:r>
    </w:p>
    <w:p w14:paraId="02070B61" w14:textId="2A005D87" w:rsidR="00047015" w:rsidRPr="00616924" w:rsidRDefault="00047015" w:rsidP="00616924">
      <w:pPr>
        <w:pStyle w:val="ListBullet"/>
      </w:pPr>
      <w:r w:rsidRPr="00616924">
        <w:t xml:space="preserve">Fulfilment by the sponsor, prior to product launch, to adhere to the gamut of RMP recommendations as currently suggested by the RMP evaluator, the </w:t>
      </w:r>
      <w:r w:rsidR="00616924">
        <w:t xml:space="preserve">clinical </w:t>
      </w:r>
      <w:r w:rsidR="00291CE5">
        <w:t>evaluator</w:t>
      </w:r>
      <w:r w:rsidRPr="00616924">
        <w:t xml:space="preserve"> and the Delegate. Any RMP recommendations by the </w:t>
      </w:r>
      <w:r w:rsidR="00616924">
        <w:t>Advisory Committee</w:t>
      </w:r>
      <w:r w:rsidRPr="00616924">
        <w:t xml:space="preserve"> must also be complied with</w:t>
      </w:r>
      <w:r w:rsidR="004E719E">
        <w:t>.</w:t>
      </w:r>
    </w:p>
    <w:p w14:paraId="7CD86175" w14:textId="6429AD4B" w:rsidR="00047015" w:rsidRPr="00616924" w:rsidRDefault="00047015" w:rsidP="00616924">
      <w:pPr>
        <w:pStyle w:val="ListBullet"/>
      </w:pPr>
      <w:r w:rsidRPr="00616924">
        <w:t xml:space="preserve">Compliance with the Australian </w:t>
      </w:r>
      <w:r w:rsidR="00616924">
        <w:t>periodic safety report (PSUR)</w:t>
      </w:r>
      <w:r w:rsidRPr="00616924">
        <w:t xml:space="preserve"> submission requirements</w:t>
      </w:r>
      <w:r w:rsidR="004E719E">
        <w:t>.</w:t>
      </w:r>
    </w:p>
    <w:p w14:paraId="1ECBA6B7" w14:textId="38FAB7E8" w:rsidR="00047015" w:rsidRPr="00616924" w:rsidRDefault="00047015" w:rsidP="00616924">
      <w:pPr>
        <w:pStyle w:val="ListBullet"/>
      </w:pPr>
      <w:r w:rsidRPr="00616924">
        <w:lastRenderedPageBreak/>
        <w:t>Resolution of all recommendations pertaining to the d</w:t>
      </w:r>
      <w:r w:rsidR="00616924">
        <w:t xml:space="preserve">raft </w:t>
      </w:r>
      <w:r w:rsidRPr="00616924">
        <w:t>PI/d</w:t>
      </w:r>
      <w:r w:rsidR="00616924">
        <w:t xml:space="preserve">raft </w:t>
      </w:r>
      <w:r w:rsidRPr="00616924">
        <w:t xml:space="preserve">CMI as per the </w:t>
      </w:r>
      <w:r w:rsidR="00616924">
        <w:t>clinical evaluator</w:t>
      </w:r>
      <w:r w:rsidR="005E7689">
        <w:t>, Delegate</w:t>
      </w:r>
      <w:r w:rsidRPr="00616924">
        <w:t xml:space="preserve">, </w:t>
      </w:r>
      <w:r w:rsidR="00616924">
        <w:t>nonclinical</w:t>
      </w:r>
      <w:r w:rsidRPr="00616924">
        <w:t xml:space="preserve"> and RMP evaluators, </w:t>
      </w:r>
      <w:r w:rsidR="00616924">
        <w:t>to the satisfaction of the TGA</w:t>
      </w:r>
      <w:r w:rsidR="004E719E">
        <w:t>.</w:t>
      </w:r>
    </w:p>
    <w:p w14:paraId="503F3140" w14:textId="268B2D5E" w:rsidR="00047015" w:rsidRPr="00616924" w:rsidRDefault="00047015" w:rsidP="00616924">
      <w:pPr>
        <w:pStyle w:val="ListBullet"/>
      </w:pPr>
      <w:r w:rsidRPr="00616924">
        <w:t>Compliance with out</w:t>
      </w:r>
      <w:r w:rsidR="00616924">
        <w:t>comes of the Advisory Committee deliberations</w:t>
      </w:r>
      <w:r w:rsidR="004E719E">
        <w:t>.</w:t>
      </w:r>
    </w:p>
    <w:p w14:paraId="00C49324" w14:textId="732A47BF" w:rsidR="00047015" w:rsidRPr="00616924" w:rsidRDefault="00616924" w:rsidP="00616924">
      <w:pPr>
        <w:pStyle w:val="ListBullet"/>
      </w:pPr>
      <w:r>
        <w:t xml:space="preserve">Provision of the </w:t>
      </w:r>
      <w:r w:rsidR="00047015" w:rsidRPr="00616924">
        <w:t>US FDA requested clinical study, focus</w:t>
      </w:r>
      <w:r>
        <w:t xml:space="preserve">ed on the use of </w:t>
      </w:r>
      <w:proofErr w:type="spellStart"/>
      <w:r>
        <w:t>esketamine</w:t>
      </w:r>
      <w:proofErr w:type="spellEnd"/>
      <w:r>
        <w:t xml:space="preserve"> (56 </w:t>
      </w:r>
      <w:r w:rsidR="00047015" w:rsidRPr="00616924">
        <w:t>mg o</w:t>
      </w:r>
      <w:r>
        <w:t xml:space="preserve">r 84 mg) as monotherapy, that is, </w:t>
      </w:r>
      <w:r w:rsidR="00047015" w:rsidRPr="00616924">
        <w:t xml:space="preserve">intranasal </w:t>
      </w:r>
      <w:proofErr w:type="spellStart"/>
      <w:r w:rsidR="00047015" w:rsidRPr="00616924">
        <w:t>esketamine</w:t>
      </w:r>
      <w:proofErr w:type="spellEnd"/>
      <w:r w:rsidR="00047015" w:rsidRPr="00616924">
        <w:t xml:space="preserve"> </w:t>
      </w:r>
      <w:r>
        <w:t>versus</w:t>
      </w:r>
      <w:r w:rsidR="00047015" w:rsidRPr="00616924">
        <w:t xml:space="preserve"> placebo treatment, when completed</w:t>
      </w:r>
      <w:r w:rsidR="004E719E">
        <w:t>.</w:t>
      </w:r>
    </w:p>
    <w:p w14:paraId="3138344A" w14:textId="70BBEA09" w:rsidR="00047015" w:rsidRPr="00456765" w:rsidRDefault="00047015" w:rsidP="00616924">
      <w:pPr>
        <w:pStyle w:val="ListBullet"/>
      </w:pPr>
      <w:r w:rsidRPr="00616924">
        <w:t xml:space="preserve">Provision of the full </w:t>
      </w:r>
      <w:r w:rsidR="00616924">
        <w:t>CSR</w:t>
      </w:r>
      <w:r w:rsidRPr="00616924">
        <w:t xml:space="preserve"> on </w:t>
      </w:r>
      <w:r w:rsidR="00616924">
        <w:t>S</w:t>
      </w:r>
      <w:r w:rsidRPr="00616924">
        <w:t>tudy TRD 2005 when completed.</w:t>
      </w:r>
    </w:p>
    <w:p w14:paraId="543AD2E3" w14:textId="77777777" w:rsidR="00D23139" w:rsidRDefault="00D23139" w:rsidP="00D23139">
      <w:pPr>
        <w:pStyle w:val="Heading4"/>
      </w:pPr>
      <w:r w:rsidRPr="00D23139">
        <w:t>Proposed action</w:t>
      </w:r>
    </w:p>
    <w:p w14:paraId="6FB9220B" w14:textId="25FC3EC5" w:rsidR="00456765" w:rsidRPr="00456765" w:rsidRDefault="00616924" w:rsidP="00047015">
      <w:r>
        <w:t>The Delegate considers the submission to be a</w:t>
      </w:r>
      <w:r w:rsidR="00047015">
        <w:t>pprovable, provided all the stated RMP issues are complied with prior to product launch and the above stated conditions</w:t>
      </w:r>
      <w:r w:rsidR="003D56DD">
        <w:t xml:space="preserve"> of registration are adhered to</w:t>
      </w:r>
      <w:r w:rsidR="007D53B6" w:rsidRPr="007D53B6">
        <w:t>.</w:t>
      </w:r>
    </w:p>
    <w:p w14:paraId="6B5930F6" w14:textId="77777777" w:rsidR="008E7846" w:rsidRDefault="008E7846" w:rsidP="007D53B6">
      <w:pPr>
        <w:pStyle w:val="Heading4"/>
      </w:pPr>
      <w:bookmarkStart w:id="71" w:name="_Ref69798062"/>
      <w:r>
        <w:t xml:space="preserve">Advisory Committee </w:t>
      </w:r>
      <w:r w:rsidR="007D53B6">
        <w:t>c</w:t>
      </w:r>
      <w:r>
        <w:t>onsiderations</w:t>
      </w:r>
      <w:r w:rsidR="00456765">
        <w:rPr>
          <w:rStyle w:val="FootnoteReference"/>
        </w:rPr>
        <w:footnoteReference w:id="35"/>
      </w:r>
      <w:bookmarkEnd w:id="71"/>
    </w:p>
    <w:p w14:paraId="57B84ED8" w14:textId="77777777" w:rsidR="00744121" w:rsidRDefault="00744121" w:rsidP="00744121">
      <w:pPr>
        <w:rPr>
          <w:bCs/>
        </w:rPr>
      </w:pPr>
      <w:bookmarkStart w:id="72" w:name="_Toc247691532"/>
      <w:bookmarkStart w:id="73" w:name="_Toc314842516"/>
      <w:bookmarkEnd w:id="32"/>
      <w:bookmarkEnd w:id="68"/>
      <w:bookmarkEnd w:id="69"/>
      <w:r w:rsidRPr="00456765">
        <w:rPr>
          <w:bCs/>
        </w:rPr>
        <w:t>The Advisory Committee on Medicines (ACM), having considered the evaluations and the Delegate’s overview, as well as the sponsor’s response to these documents, advised the following</w:t>
      </w:r>
      <w:r w:rsidR="00630749">
        <w:rPr>
          <w:bCs/>
        </w:rPr>
        <w:t xml:space="preserve"> at the April 2020 meeting</w:t>
      </w:r>
      <w:r>
        <w:rPr>
          <w:bCs/>
        </w:rPr>
        <w:t>.</w:t>
      </w:r>
    </w:p>
    <w:p w14:paraId="54B5A097" w14:textId="77777777" w:rsidR="00744121" w:rsidRDefault="00744121" w:rsidP="00744121">
      <w:pPr>
        <w:pStyle w:val="Heading5"/>
      </w:pPr>
      <w:r>
        <w:t>Specific advice to the Delegate</w:t>
      </w:r>
    </w:p>
    <w:p w14:paraId="56DE9ED1" w14:textId="29DF6D18" w:rsidR="00630749" w:rsidRDefault="00630749" w:rsidP="00630749">
      <w:pPr>
        <w:pStyle w:val="BodyText"/>
        <w:spacing w:before="119"/>
      </w:pPr>
      <w:r>
        <w:t xml:space="preserve">The ACM advised the following in response to the Delegate’s specific </w:t>
      </w:r>
      <w:r w:rsidR="00616924">
        <w:t>request for advice.</w:t>
      </w:r>
    </w:p>
    <w:p w14:paraId="357F8939" w14:textId="360E76C6" w:rsidR="00630749" w:rsidRPr="00630749" w:rsidRDefault="00630749" w:rsidP="003938C9">
      <w:pPr>
        <w:pStyle w:val="Numberbullet0"/>
        <w:keepNext/>
        <w:rPr>
          <w:b/>
          <w:i/>
        </w:rPr>
      </w:pPr>
      <w:r w:rsidRPr="00630749">
        <w:rPr>
          <w:b/>
          <w:i/>
        </w:rPr>
        <w:t>The ACM is requested to consider the approvability or not of the submission at this point in time and provide advice as appropriate, based on the gamut of available evidence and the stated conditions of</w:t>
      </w:r>
      <w:r w:rsidRPr="00630749">
        <w:rPr>
          <w:b/>
          <w:i/>
          <w:spacing w:val="-8"/>
        </w:rPr>
        <w:t xml:space="preserve"> </w:t>
      </w:r>
      <w:r>
        <w:rPr>
          <w:b/>
          <w:i/>
        </w:rPr>
        <w:t>registration.</w:t>
      </w:r>
    </w:p>
    <w:p w14:paraId="78C02C9D" w14:textId="0C3FE9AE" w:rsidR="00630749" w:rsidRDefault="00630749" w:rsidP="00630749">
      <w:r>
        <w:t xml:space="preserve">There is significant and unacceptable uncertainty associated with the claims of the efficacy of </w:t>
      </w:r>
      <w:proofErr w:type="spellStart"/>
      <w:r>
        <w:t>esketamine</w:t>
      </w:r>
      <w:proofErr w:type="spellEnd"/>
      <w:r>
        <w:t xml:space="preserve"> in patients with TRD. The pivotal trials </w:t>
      </w:r>
      <w:r w:rsidR="00116F84">
        <w:t xml:space="preserve">failed to achieve their primary </w:t>
      </w:r>
      <w:r>
        <w:t xml:space="preserve">outcomes. There were a number of irresolvable methodological issues with the pivotal trials. In addition, there is significant potential toxicity associated with use of this product, requiring the deployment of a complex and resource-intensive </w:t>
      </w:r>
      <w:r w:rsidR="00616924">
        <w:t>RMP</w:t>
      </w:r>
      <w:r>
        <w:t xml:space="preserve">, at both regulatory and clinical levels. There is also a high risk of misuse, diversion and abuse despite the proposed </w:t>
      </w:r>
      <w:r w:rsidR="004E719E">
        <w:t>d</w:t>
      </w:r>
      <w:r>
        <w:t xml:space="preserve">angerous </w:t>
      </w:r>
      <w:r w:rsidR="004E719E">
        <w:t>d</w:t>
      </w:r>
      <w:r>
        <w:t xml:space="preserve">rug </w:t>
      </w:r>
      <w:r w:rsidR="004E719E">
        <w:t>s</w:t>
      </w:r>
      <w:r>
        <w:t>cheduling.</w:t>
      </w:r>
      <w:r w:rsidR="004E719E">
        <w:rPr>
          <w:rStyle w:val="FootnoteReference"/>
        </w:rPr>
        <w:footnoteReference w:id="36"/>
      </w:r>
      <w:r>
        <w:t xml:space="preserve"> The ACM noted that ongoing studies which may address the efficacy uncertainties of </w:t>
      </w:r>
      <w:proofErr w:type="spellStart"/>
      <w:r>
        <w:t>esketamine</w:t>
      </w:r>
      <w:proofErr w:type="spellEnd"/>
      <w:r>
        <w:t xml:space="preserve"> in TRD, are due for reporting within the next 12 months.</w:t>
      </w:r>
    </w:p>
    <w:p w14:paraId="7F7C8C3A" w14:textId="556D5603" w:rsidR="00630749" w:rsidRPr="00630749" w:rsidRDefault="00630749" w:rsidP="00630749">
      <w:r>
        <w:t xml:space="preserve">The sponsor has undertaken to submit these data to the TGA once available. Given the magnitude of uncertainty regarding the efficacy of </w:t>
      </w:r>
      <w:proofErr w:type="spellStart"/>
      <w:r>
        <w:t>esketamine</w:t>
      </w:r>
      <w:proofErr w:type="spellEnd"/>
      <w:r>
        <w:t xml:space="preserve"> in treating TRD, the ACM advised against approval</w:t>
      </w:r>
      <w:r w:rsidR="00B142A7">
        <w:t>,</w:t>
      </w:r>
      <w:r>
        <w:t xml:space="preserve"> conditional on access to these data. In light of the clearly negative benefit to risk balance, </w:t>
      </w:r>
      <w:r w:rsidR="00B142A7">
        <w:t xml:space="preserve">the </w:t>
      </w:r>
      <w:r>
        <w:t>ACM felt compelled to advise</w:t>
      </w:r>
      <w:r w:rsidR="00B142A7">
        <w:t xml:space="preserve"> </w:t>
      </w:r>
      <w:r>
        <w:t>rejection of the request for registration.</w:t>
      </w:r>
    </w:p>
    <w:p w14:paraId="681C7D63" w14:textId="77777777" w:rsidR="00630749" w:rsidRPr="00630749" w:rsidRDefault="00630749" w:rsidP="00291CE5">
      <w:pPr>
        <w:pStyle w:val="Numberbullet0"/>
        <w:keepNext/>
        <w:rPr>
          <w:b/>
          <w:i/>
        </w:rPr>
      </w:pPr>
      <w:r w:rsidRPr="00630749">
        <w:rPr>
          <w:b/>
          <w:i/>
        </w:rPr>
        <w:lastRenderedPageBreak/>
        <w:t>The acceptability of the modified indication by the</w:t>
      </w:r>
      <w:r w:rsidRPr="00630749">
        <w:rPr>
          <w:b/>
          <w:i/>
          <w:spacing w:val="-5"/>
        </w:rPr>
        <w:t xml:space="preserve"> </w:t>
      </w:r>
      <w:r w:rsidR="009A4597">
        <w:rPr>
          <w:b/>
          <w:i/>
        </w:rPr>
        <w:t>D</w:t>
      </w:r>
      <w:r w:rsidRPr="00630749">
        <w:rPr>
          <w:b/>
          <w:i/>
        </w:rPr>
        <w:t>elegate.</w:t>
      </w:r>
    </w:p>
    <w:p w14:paraId="28032398" w14:textId="77777777" w:rsidR="00630749" w:rsidRDefault="00630749" w:rsidP="00630749">
      <w:pPr>
        <w:pStyle w:val="BodyText"/>
        <w:ind w:right="898"/>
      </w:pPr>
      <w:r>
        <w:t>The ACM was of the view that it would be more appropriate for the indication to specify ‘</w:t>
      </w:r>
      <w:r w:rsidRPr="00616924">
        <w:rPr>
          <w:i/>
        </w:rPr>
        <w:t>moderate to severe treatment resistant depression</w:t>
      </w:r>
      <w:r>
        <w:t>’, should the product be registered.</w:t>
      </w:r>
    </w:p>
    <w:p w14:paraId="1B7955E3" w14:textId="77777777" w:rsidR="00744121" w:rsidRDefault="00744121" w:rsidP="00744121">
      <w:pPr>
        <w:pStyle w:val="Heading5"/>
      </w:pPr>
      <w:r>
        <w:t>Conclusion</w:t>
      </w:r>
    </w:p>
    <w:p w14:paraId="18E0ACE0" w14:textId="77777777" w:rsidR="00630749" w:rsidRDefault="00630749" w:rsidP="00630749">
      <w:pPr>
        <w:pStyle w:val="BodyText"/>
        <w:spacing w:before="120"/>
      </w:pPr>
      <w:r>
        <w:t>The proposed indication considered by the ACM was:</w:t>
      </w:r>
    </w:p>
    <w:p w14:paraId="7E54C4D2" w14:textId="77777777" w:rsidR="00630749" w:rsidRPr="00630749" w:rsidRDefault="00116F84" w:rsidP="00630749">
      <w:pPr>
        <w:ind w:left="720"/>
        <w:rPr>
          <w:i/>
        </w:rPr>
      </w:pPr>
      <w:proofErr w:type="spellStart"/>
      <w:r w:rsidRPr="00630749">
        <w:rPr>
          <w:i/>
        </w:rPr>
        <w:t>Spravato</w:t>
      </w:r>
      <w:proofErr w:type="spellEnd"/>
      <w:r w:rsidR="00630749" w:rsidRPr="00630749">
        <w:rPr>
          <w:i/>
        </w:rPr>
        <w:t xml:space="preserve"> is indicated for treatment resistant depression, defined as MDD in adults who have not responded adequately to at least two different antidepressants of adequate dose and duration, to treat the current moderate to severe depressive episode.</w:t>
      </w:r>
    </w:p>
    <w:p w14:paraId="150F9604" w14:textId="77777777" w:rsidR="00744121" w:rsidRDefault="00630749" w:rsidP="00630749">
      <w:r>
        <w:t xml:space="preserve">The ACM agreed that </w:t>
      </w:r>
      <w:proofErr w:type="spellStart"/>
      <w:r w:rsidR="00116F84">
        <w:t>Spravato</w:t>
      </w:r>
      <w:proofErr w:type="spellEnd"/>
      <w:r>
        <w:t xml:space="preserve"> had an overall negative benefit-risk profile for the proposed indication. The data submitted did not satisfactorily establish adequate and unquestionable efficacy of the product, given the magnitude of the safety risk management issues to be associated with the use of the product. The ACM commented about the clinical trial design of the submission and the potential for misuse/diversion of the product.</w:t>
      </w:r>
    </w:p>
    <w:p w14:paraId="11FAD652" w14:textId="77777777" w:rsidR="00630749" w:rsidRDefault="00630749" w:rsidP="00630749">
      <w:pPr>
        <w:pStyle w:val="Heading4"/>
      </w:pPr>
      <w:bookmarkStart w:id="74" w:name="_Ref69802263"/>
      <w:r>
        <w:t>Follow-up Advisory Committee considerations</w:t>
      </w:r>
      <w:bookmarkEnd w:id="74"/>
    </w:p>
    <w:p w14:paraId="4C3C0FE0" w14:textId="5198A420" w:rsidR="00E53051" w:rsidRDefault="00630749" w:rsidP="00630749">
      <w:r>
        <w:t>Follow</w:t>
      </w:r>
      <w:r w:rsidR="00E53051">
        <w:t>ing the April 2020 ACM meeting,</w:t>
      </w:r>
      <w:r w:rsidR="00E53051" w:rsidRPr="00E53051">
        <w:t xml:space="preserve"> </w:t>
      </w:r>
      <w:r w:rsidR="004A4DE7">
        <w:t>the s</w:t>
      </w:r>
      <w:r w:rsidR="00E53051" w:rsidRPr="00E53051">
        <w:t>ponsor was encouraged and given the opportun</w:t>
      </w:r>
      <w:r w:rsidR="00E53051">
        <w:t>ity by the TGA</w:t>
      </w:r>
      <w:r w:rsidR="00E53051" w:rsidRPr="00E53051">
        <w:t>,</w:t>
      </w:r>
      <w:r w:rsidR="00E53051">
        <w:t xml:space="preserve"> </w:t>
      </w:r>
      <w:r w:rsidR="00E53051" w:rsidRPr="00E53051">
        <w:t xml:space="preserve">to submit any new data it might hold on </w:t>
      </w:r>
      <w:r w:rsidR="004A4DE7">
        <w:t xml:space="preserve">a </w:t>
      </w:r>
      <w:r w:rsidR="00E53051" w:rsidRPr="00E53051">
        <w:t>properly designed clinical</w:t>
      </w:r>
      <w:r w:rsidR="004A4DE7">
        <w:t xml:space="preserve"> trial, in order to address the </w:t>
      </w:r>
      <w:r w:rsidR="00E53051" w:rsidRPr="00E53051">
        <w:t xml:space="preserve">methodological issues identified with the pivotal efficacy induction trials (Studies TRD3001, TRD3002 </w:t>
      </w:r>
      <w:r w:rsidR="00E53051">
        <w:t>and</w:t>
      </w:r>
      <w:r w:rsidR="00E53051" w:rsidRPr="00E53051">
        <w:t xml:space="preserve"> TRD3005), especially the trial requirement that, subjects </w:t>
      </w:r>
      <w:r w:rsidR="00E53051">
        <w:t>simultaneously initiated on Day </w:t>
      </w:r>
      <w:r w:rsidR="00E53051" w:rsidRPr="00E53051">
        <w:t xml:space="preserve">1 of the double blind phase, a new oral </w:t>
      </w:r>
      <w:r w:rsidR="00B142A7">
        <w:t>antidepressant</w:t>
      </w:r>
      <w:r w:rsidR="00E53051">
        <w:t>, the ‘</w:t>
      </w:r>
      <w:r w:rsidR="00E53051" w:rsidRPr="00E53051">
        <w:t>active comparator</w:t>
      </w:r>
      <w:r w:rsidR="00E53051">
        <w:t>’</w:t>
      </w:r>
      <w:r w:rsidR="00E53051" w:rsidRPr="00E53051">
        <w:t xml:space="preserve">. </w:t>
      </w:r>
      <w:r w:rsidR="00DE5463">
        <w:t>T</w:t>
      </w:r>
      <w:r w:rsidR="00E53051">
        <w:t>he s</w:t>
      </w:r>
      <w:r w:rsidR="00E53051" w:rsidRPr="00E53051">
        <w:t>ponsor has provided efficacy data from an ongoing, global, open-label trial (</w:t>
      </w:r>
      <w:r w:rsidR="00E53051">
        <w:t>Study TRD</w:t>
      </w:r>
      <w:r w:rsidR="00E53051" w:rsidRPr="00E53051">
        <w:t>3008),</w:t>
      </w:r>
      <w:r w:rsidR="00DE5463">
        <w:rPr>
          <w:rStyle w:val="FootnoteReference"/>
        </w:rPr>
        <w:footnoteReference w:id="37"/>
      </w:r>
      <w:r w:rsidR="00E53051" w:rsidRPr="00E53051">
        <w:t xml:space="preserve"> new analysis of previously submitted data and recent</w:t>
      </w:r>
      <w:r w:rsidR="0040147C">
        <w:t>ly</w:t>
      </w:r>
      <w:r w:rsidR="00E53051" w:rsidRPr="00E53051">
        <w:t xml:space="preserve"> published literature (</w:t>
      </w:r>
      <w:r w:rsidR="00462DE4">
        <w:t xml:space="preserve">a </w:t>
      </w:r>
      <w:r w:rsidR="00462DE4" w:rsidRPr="005E7689">
        <w:rPr>
          <w:i/>
        </w:rPr>
        <w:t>post-hoc</w:t>
      </w:r>
      <w:r w:rsidR="00462DE4">
        <w:t xml:space="preserve"> study;</w:t>
      </w:r>
      <w:r w:rsidR="00462DE4">
        <w:rPr>
          <w:rStyle w:val="FootnoteReference"/>
        </w:rPr>
        <w:footnoteReference w:id="38"/>
      </w:r>
      <w:r w:rsidR="00462DE4">
        <w:t xml:space="preserve"> and a </w:t>
      </w:r>
      <w:r w:rsidR="00E53051" w:rsidRPr="00E53051">
        <w:t>me</w:t>
      </w:r>
      <w:r w:rsidR="004A4DE7">
        <w:t>ta-analysis)</w:t>
      </w:r>
      <w:r w:rsidR="00C54E03">
        <w:t>.</w:t>
      </w:r>
      <w:r w:rsidR="00C54E03">
        <w:rPr>
          <w:rStyle w:val="FootnoteReference"/>
        </w:rPr>
        <w:footnoteReference w:id="39"/>
      </w:r>
      <w:r w:rsidR="00C54E03" w:rsidRPr="00C54E03">
        <w:rPr>
          <w:vertAlign w:val="superscript"/>
        </w:rPr>
        <w:t>,</w:t>
      </w:r>
      <w:r w:rsidR="004A4DE7">
        <w:rPr>
          <w:rStyle w:val="FootnoteReference"/>
        </w:rPr>
        <w:footnoteReference w:id="40"/>
      </w:r>
    </w:p>
    <w:p w14:paraId="22F07720" w14:textId="77777777" w:rsidR="00630749" w:rsidRDefault="00630749" w:rsidP="00630749">
      <w:r>
        <w:t>The Delegate sought the Committee’s advice at the June 2020 ACM meeting on whether the sponsor’s response to the April 2020 ACM meeting outcome has addressed the Committee’s concerns.</w:t>
      </w:r>
    </w:p>
    <w:p w14:paraId="7E16C111" w14:textId="77777777" w:rsidR="00630749" w:rsidRDefault="00630749" w:rsidP="00630749">
      <w:pPr>
        <w:pStyle w:val="Heading5"/>
      </w:pPr>
      <w:r>
        <w:t>Specific advice to the Delegate</w:t>
      </w:r>
    </w:p>
    <w:p w14:paraId="49F99D17" w14:textId="5040B688" w:rsidR="00630749" w:rsidRDefault="00630749" w:rsidP="00630749">
      <w:pPr>
        <w:pStyle w:val="Default"/>
        <w:rPr>
          <w:sz w:val="22"/>
          <w:szCs w:val="22"/>
        </w:rPr>
      </w:pPr>
      <w:r>
        <w:rPr>
          <w:sz w:val="22"/>
          <w:szCs w:val="22"/>
        </w:rPr>
        <w:t>The ACM advised the following in response to the Delegate</w:t>
      </w:r>
      <w:r w:rsidR="00DE5463">
        <w:rPr>
          <w:sz w:val="22"/>
          <w:szCs w:val="22"/>
        </w:rPr>
        <w:t>’s specific request for advice.</w:t>
      </w:r>
    </w:p>
    <w:p w14:paraId="080C5533" w14:textId="77777777" w:rsidR="00116F84" w:rsidRDefault="00630749" w:rsidP="00630749">
      <w:r>
        <w:t xml:space="preserve">The ACM remains concerned about lack of robust evidence to support the efficacy of intranasal </w:t>
      </w:r>
      <w:proofErr w:type="spellStart"/>
      <w:r>
        <w:t>esketami</w:t>
      </w:r>
      <w:r w:rsidR="00116F84">
        <w:t>ne</w:t>
      </w:r>
      <w:proofErr w:type="spellEnd"/>
      <w:r w:rsidR="00116F84">
        <w:t xml:space="preserve"> for the proposed indication:</w:t>
      </w:r>
    </w:p>
    <w:p w14:paraId="5C2D30D6" w14:textId="7B49BB54" w:rsidR="00116F84" w:rsidRPr="00116F84" w:rsidRDefault="00116F84" w:rsidP="00116F84">
      <w:pPr>
        <w:ind w:left="720"/>
        <w:rPr>
          <w:i/>
        </w:rPr>
      </w:pPr>
      <w:proofErr w:type="spellStart"/>
      <w:r w:rsidRPr="00116F84">
        <w:rPr>
          <w:i/>
        </w:rPr>
        <w:t>Spravato</w:t>
      </w:r>
      <w:proofErr w:type="spellEnd"/>
      <w:r w:rsidR="00630749" w:rsidRPr="00116F84">
        <w:rPr>
          <w:i/>
        </w:rPr>
        <w:t xml:space="preserve"> is indicated for treatment resistant depression (Major Depressive Disorder) in adults who have not responded adequately to at least two different antidepressants of adequate dose and duration to treat the current moderate to severe depressive episode). </w:t>
      </w:r>
      <w:proofErr w:type="spellStart"/>
      <w:r w:rsidRPr="00116F84">
        <w:rPr>
          <w:i/>
        </w:rPr>
        <w:t>Spravato</w:t>
      </w:r>
      <w:proofErr w:type="spellEnd"/>
      <w:r w:rsidR="00630749" w:rsidRPr="00116F84">
        <w:rPr>
          <w:i/>
        </w:rPr>
        <w:t xml:space="preserve"> is to be initiated in conjunction with a newly </w:t>
      </w:r>
      <w:r w:rsidR="0040147C" w:rsidRPr="00116F84">
        <w:rPr>
          <w:i/>
        </w:rPr>
        <w:t>initiated</w:t>
      </w:r>
      <w:r w:rsidR="00630749" w:rsidRPr="00116F84">
        <w:rPr>
          <w:i/>
        </w:rPr>
        <w:t xml:space="preserve"> oral SS</w:t>
      </w:r>
      <w:r w:rsidRPr="00116F84">
        <w:rPr>
          <w:i/>
        </w:rPr>
        <w:t>RI or SNRI antidepressant (AD).</w:t>
      </w:r>
    </w:p>
    <w:p w14:paraId="4CB75B22" w14:textId="0573BB24" w:rsidR="00630749" w:rsidRDefault="00630749" w:rsidP="00630749">
      <w:r>
        <w:lastRenderedPageBreak/>
        <w:t>The ACM noted tha</w:t>
      </w:r>
      <w:r w:rsidR="00116F84">
        <w:t>t the response provided by the s</w:t>
      </w:r>
      <w:r>
        <w:t xml:space="preserve">ponsor has not provided any new data from </w:t>
      </w:r>
      <w:r w:rsidR="00291CE5">
        <w:t xml:space="preserve">a </w:t>
      </w:r>
      <w:r>
        <w:t xml:space="preserve">properly designed trial of adequate duration that addresses the concerns previously communicated by the Committee. Due to the complexities associated with administering the product in a community setting, the ACM agreed that a more </w:t>
      </w:r>
      <w:r w:rsidR="00DE5463">
        <w:t xml:space="preserve">reliable </w:t>
      </w:r>
      <w:r w:rsidR="00616924">
        <w:t>RMP</w:t>
      </w:r>
      <w:r>
        <w:t xml:space="preserve"> is required.</w:t>
      </w:r>
    </w:p>
    <w:p w14:paraId="312FF594" w14:textId="77777777" w:rsidR="00630749" w:rsidRDefault="00630749" w:rsidP="00630749">
      <w:pPr>
        <w:pStyle w:val="Heading5"/>
      </w:pPr>
      <w:r>
        <w:t>Conclusion</w:t>
      </w:r>
    </w:p>
    <w:p w14:paraId="17ECFA85" w14:textId="77777777" w:rsidR="00630749" w:rsidRPr="00A322B3" w:rsidRDefault="00630749" w:rsidP="00630749">
      <w:r>
        <w:t xml:space="preserve">The ACM stated that </w:t>
      </w:r>
      <w:proofErr w:type="spellStart"/>
      <w:r w:rsidR="00116F84">
        <w:t>Spravato</w:t>
      </w:r>
      <w:proofErr w:type="spellEnd"/>
      <w:r>
        <w:t xml:space="preserve"> has an overall negative benefit-risk profile for the proposed indication, as the evidence submitted did not satisfactorily establish the efficacy of the product with certainty. There is also doubt about the practicality of the RMP to support the management of significant safety and toxicity concerns.</w:t>
      </w:r>
    </w:p>
    <w:p w14:paraId="79538C4A" w14:textId="77777777" w:rsidR="008E7846" w:rsidRDefault="008E7846" w:rsidP="008E7846">
      <w:pPr>
        <w:pStyle w:val="Heading3"/>
      </w:pPr>
      <w:bookmarkStart w:id="75" w:name="_Toc72744025"/>
      <w:r>
        <w:t>Outcome</w:t>
      </w:r>
      <w:bookmarkEnd w:id="72"/>
      <w:bookmarkEnd w:id="73"/>
      <w:bookmarkEnd w:id="75"/>
    </w:p>
    <w:p w14:paraId="1539FA22" w14:textId="77777777" w:rsidR="00C802B0" w:rsidRDefault="00C802B0" w:rsidP="00C802B0">
      <w:pPr>
        <w:pStyle w:val="Heading4"/>
      </w:pPr>
      <w:r>
        <w:t>Initial outcome</w:t>
      </w:r>
    </w:p>
    <w:p w14:paraId="6C3D9894" w14:textId="77777777" w:rsidR="00C802B0" w:rsidRDefault="00C802B0" w:rsidP="00C802B0">
      <w:r w:rsidRPr="007D53B6">
        <w:t xml:space="preserve">Based on a review of quality, safety and efficacy, </w:t>
      </w:r>
      <w:r>
        <w:t xml:space="preserve">the </w:t>
      </w:r>
      <w:r w:rsidRPr="007D53B6">
        <w:t xml:space="preserve">TGA rejected the registration of </w:t>
      </w:r>
      <w:proofErr w:type="spellStart"/>
      <w:r w:rsidR="009F3624">
        <w:t>Spravato</w:t>
      </w:r>
      <w:proofErr w:type="spellEnd"/>
      <w:r w:rsidR="009F3624">
        <w:t xml:space="preserve"> (</w:t>
      </w:r>
      <w:proofErr w:type="spellStart"/>
      <w:r w:rsidR="009F3624">
        <w:t>esketamine</w:t>
      </w:r>
      <w:proofErr w:type="spellEnd"/>
      <w:r w:rsidR="009F3624">
        <w:t xml:space="preserve"> hydrochloride) 28 mg of </w:t>
      </w:r>
      <w:proofErr w:type="spellStart"/>
      <w:r w:rsidR="009F3624">
        <w:t>esketamine</w:t>
      </w:r>
      <w:proofErr w:type="spellEnd"/>
      <w:r w:rsidR="009F3624">
        <w:t xml:space="preserve"> per 2 actuations, nasal spray solution</w:t>
      </w:r>
      <w:r w:rsidRPr="007D53B6">
        <w:t xml:space="preserve"> for the propos</w:t>
      </w:r>
      <w:r w:rsidR="009F3624">
        <w:t>ed therapeutic indication:</w:t>
      </w:r>
    </w:p>
    <w:p w14:paraId="121368BE" w14:textId="77777777" w:rsidR="00C802B0" w:rsidRPr="009F3624" w:rsidRDefault="009F3624" w:rsidP="009F3624">
      <w:pPr>
        <w:ind w:left="720"/>
        <w:rPr>
          <w:i/>
        </w:rPr>
      </w:pPr>
      <w:r w:rsidRPr="009F3624">
        <w:rPr>
          <w:i/>
        </w:rPr>
        <w:t>Treatment resistant depression, defined as MDD in adults who have not responded adequately to at least two different antidepressants of adequate dose and duration, to treat the current depressive episode.</w:t>
      </w:r>
    </w:p>
    <w:p w14:paraId="0DA607FC" w14:textId="77777777" w:rsidR="00C802B0" w:rsidRDefault="00C802B0" w:rsidP="00C802B0">
      <w:pPr>
        <w:pStyle w:val="Heading5"/>
      </w:pPr>
      <w:r>
        <w:t>Reasons for the decision</w:t>
      </w:r>
    </w:p>
    <w:p w14:paraId="358D028C" w14:textId="26C26F35" w:rsidR="00C802B0" w:rsidRDefault="0040147C" w:rsidP="0040147C">
      <w:r>
        <w:t>The Delegate</w:t>
      </w:r>
      <w:r w:rsidRPr="0040147C">
        <w:t xml:space="preserve"> consider</w:t>
      </w:r>
      <w:r>
        <w:t>s</w:t>
      </w:r>
      <w:r w:rsidRPr="0040147C">
        <w:t xml:space="preserve"> that there were a number of irresolvable methodological issues with the pivotal efficacy induction tr</w:t>
      </w:r>
      <w:r>
        <w:t>ials (Studies TRD3001, TRD3002 and</w:t>
      </w:r>
      <w:r w:rsidRPr="0040147C">
        <w:t xml:space="preserve"> TRD3005), especially the trial requirement that, subjects simultaneously initiated on Day </w:t>
      </w:r>
      <w:r>
        <w:t>1 of the double blind phase</w:t>
      </w:r>
      <w:r w:rsidRPr="0040147C">
        <w:t xml:space="preserve">, a new oral </w:t>
      </w:r>
      <w:r w:rsidR="00B142A7">
        <w:t>antidepressant</w:t>
      </w:r>
      <w:r>
        <w:t>, the ‘active comparator’</w:t>
      </w:r>
      <w:r w:rsidRPr="0040147C">
        <w:t xml:space="preserve">. The new oral AD was taken daily for at least the duration of the </w:t>
      </w:r>
      <w:r>
        <w:t>double blind</w:t>
      </w:r>
      <w:r w:rsidRPr="0040147C">
        <w:t xml:space="preserve"> treatment phase.</w:t>
      </w:r>
    </w:p>
    <w:p w14:paraId="203902E3" w14:textId="568CC598" w:rsidR="0040147C" w:rsidRDefault="0040147C" w:rsidP="0040147C">
      <w:r>
        <w:t>The Delegate gave a detailed account of their reasoning behind their decision to reject the registration of the product, including the following</w:t>
      </w:r>
      <w:r w:rsidR="009F5F17">
        <w:t xml:space="preserve"> points of note</w:t>
      </w:r>
      <w:r>
        <w:t>:</w:t>
      </w:r>
    </w:p>
    <w:p w14:paraId="1C458A93" w14:textId="73D0307D" w:rsidR="0040147C" w:rsidRDefault="0040147C" w:rsidP="009F5F17">
      <w:pPr>
        <w:pStyle w:val="ListBullet"/>
      </w:pPr>
      <w:r w:rsidRPr="0040147C">
        <w:t xml:space="preserve">A new antidepressant was initiated at the same time as </w:t>
      </w:r>
      <w:proofErr w:type="spellStart"/>
      <w:r w:rsidRPr="0040147C">
        <w:t>esketamine</w:t>
      </w:r>
      <w:proofErr w:type="spellEnd"/>
      <w:r w:rsidRPr="0040147C">
        <w:t xml:space="preserve">, leading to the possibility of confounding. The preference was for only one change to the treatment plan be made at any one time, as otherwise it was directly not straightforward to determine which agent was responsible for the clinical outcomes. An alternative trial design, allowing participants to remain on an existing antidepressant whilst initiating </w:t>
      </w:r>
      <w:proofErr w:type="spellStart"/>
      <w:r w:rsidRPr="0040147C">
        <w:t>esketamine</w:t>
      </w:r>
      <w:proofErr w:type="spellEnd"/>
      <w:r w:rsidRPr="0040147C">
        <w:t xml:space="preserve"> would have been more appropriate in assessing the efficacy of </w:t>
      </w:r>
      <w:proofErr w:type="spellStart"/>
      <w:r w:rsidRPr="0040147C">
        <w:t>esketamine</w:t>
      </w:r>
      <w:proofErr w:type="spellEnd"/>
      <w:r w:rsidRPr="0040147C">
        <w:t xml:space="preserve">, thereby eliminating the current, significant and unacceptable uncertainty associated with the claims of the efficacy of </w:t>
      </w:r>
      <w:proofErr w:type="spellStart"/>
      <w:r w:rsidRPr="0040147C">
        <w:t>esketamine</w:t>
      </w:r>
      <w:proofErr w:type="spellEnd"/>
      <w:r w:rsidRPr="0040147C">
        <w:t xml:space="preserve"> in patients with </w:t>
      </w:r>
      <w:r w:rsidR="009F5F17">
        <w:t>TRD</w:t>
      </w:r>
      <w:r w:rsidRPr="0040147C">
        <w:t>.</w:t>
      </w:r>
    </w:p>
    <w:p w14:paraId="5736AD87" w14:textId="2794E1D4" w:rsidR="0040147C" w:rsidRDefault="0040147C" w:rsidP="009F5F17">
      <w:pPr>
        <w:pStyle w:val="ListBullet"/>
      </w:pPr>
      <w:r>
        <w:t>Separate from the flawed clinical trial design and the failure of two o</w:t>
      </w:r>
      <w:r w:rsidR="00DC1199">
        <w:t>ut of the three pivotal studies</w:t>
      </w:r>
      <w:r>
        <w:t xml:space="preserve"> to reach statistical significance in terms of the primary efficacy outcome, the magnitude of the safety risk management issues to be associated with the use of the product was of concern, in addition to the potential for misuse/diversion of the product.</w:t>
      </w:r>
    </w:p>
    <w:p w14:paraId="67AC081B" w14:textId="556E7EF3" w:rsidR="0040147C" w:rsidRDefault="0040147C" w:rsidP="009F5F17">
      <w:pPr>
        <w:pStyle w:val="ListBullet"/>
      </w:pPr>
      <w:r>
        <w:t>It is acknowledged, that (1) treatment resistant depression remains a challenging but treatable condition with the few effective pharmacological options currently available</w:t>
      </w:r>
      <w:r w:rsidR="00B142A7">
        <w:t>;</w:t>
      </w:r>
      <w:r>
        <w:t xml:space="preserve"> and (2) </w:t>
      </w:r>
      <w:proofErr w:type="spellStart"/>
      <w:r>
        <w:t>Spravato</w:t>
      </w:r>
      <w:proofErr w:type="spellEnd"/>
      <w:r>
        <w:t xml:space="preserve"> has recently been approved in the United States, Europe, Switzerland and New Zealand for similar indications to those proposed for Australia.</w:t>
      </w:r>
    </w:p>
    <w:p w14:paraId="00639104" w14:textId="466150C6" w:rsidR="0040147C" w:rsidRDefault="0040147C" w:rsidP="009F5F17">
      <w:pPr>
        <w:pStyle w:val="ListBullet"/>
      </w:pPr>
      <w:r>
        <w:t xml:space="preserve">Based on the provided evidence to the TGA, the overall view was that the submission is not approvable at this time. In particular, there was lack of robust data demonstrating exemplary efficacy, probably embedded in the faulty clinical trial </w:t>
      </w:r>
      <w:r>
        <w:lastRenderedPageBreak/>
        <w:t>design of the pivotal studies. Further deliberations on the approval of the submission should await the provision of the outcomes of</w:t>
      </w:r>
      <w:r w:rsidR="00291CE5">
        <w:t xml:space="preserve"> (a) </w:t>
      </w:r>
      <w:r w:rsidR="00B142A7">
        <w:t xml:space="preserve">the </w:t>
      </w:r>
      <w:r w:rsidR="00291CE5">
        <w:t>US FDA</w:t>
      </w:r>
      <w:r w:rsidR="00B142A7">
        <w:noBreakHyphen/>
      </w:r>
      <w:r w:rsidR="00291CE5">
        <w:t>requested Study </w:t>
      </w:r>
      <w:r>
        <w:t>TRD4005, t</w:t>
      </w:r>
      <w:r w:rsidR="00291CE5">
        <w:t>o which the sponsor has a post-</w:t>
      </w:r>
      <w:r>
        <w:t xml:space="preserve">approval commitment to undertake. Study TRD4005 is focused on the use of </w:t>
      </w:r>
      <w:proofErr w:type="spellStart"/>
      <w:r>
        <w:t>esketamine</w:t>
      </w:r>
      <w:proofErr w:type="spellEnd"/>
      <w:r>
        <w:t xml:space="preserve"> (56 mg or 84 mg) as monotherapy (</w:t>
      </w:r>
      <w:r w:rsidR="004A4DE7">
        <w:t>that is,</w:t>
      </w:r>
      <w:r>
        <w:t xml:space="preserve"> intranasal </w:t>
      </w:r>
      <w:proofErr w:type="spellStart"/>
      <w:r>
        <w:t>esketamine</w:t>
      </w:r>
      <w:proofErr w:type="spellEnd"/>
      <w:r>
        <w:t xml:space="preserve"> versus placebo treatment)</w:t>
      </w:r>
      <w:r w:rsidR="00B142A7">
        <w:t>;</w:t>
      </w:r>
      <w:r>
        <w:t xml:space="preserve"> and (b) </w:t>
      </w:r>
      <w:r w:rsidR="00B142A7">
        <w:t xml:space="preserve">the </w:t>
      </w:r>
      <w:r>
        <w:t xml:space="preserve">full </w:t>
      </w:r>
      <w:r w:rsidR="004A4DE7">
        <w:t>CSR</w:t>
      </w:r>
      <w:r>
        <w:t xml:space="preserve"> for the Phase </w:t>
      </w:r>
      <w:proofErr w:type="spellStart"/>
      <w:r>
        <w:t>II</w:t>
      </w:r>
      <w:r w:rsidR="004A4DE7">
        <w:t>b</w:t>
      </w:r>
      <w:proofErr w:type="spellEnd"/>
      <w:r w:rsidR="004A4DE7">
        <w:t xml:space="preserve"> Japanese Study TRD2005 (t</w:t>
      </w:r>
      <w:r>
        <w:t xml:space="preserve">he study design in </w:t>
      </w:r>
      <w:r w:rsidR="004A4DE7">
        <w:t xml:space="preserve">Study </w:t>
      </w:r>
      <w:r>
        <w:t xml:space="preserve">TRD2005 is very different from the Phase III double-blind induction studies submitted in the clinical dossier. In </w:t>
      </w:r>
      <w:r w:rsidR="004A4DE7">
        <w:t xml:space="preserve">Study </w:t>
      </w:r>
      <w:r>
        <w:t xml:space="preserve">TRD2005, subjects were stabilised on an oral antidepressant prior to randomisation to either intranasal </w:t>
      </w:r>
      <w:proofErr w:type="spellStart"/>
      <w:r>
        <w:t>e</w:t>
      </w:r>
      <w:r w:rsidR="004A4DE7">
        <w:t>sketamine</w:t>
      </w:r>
      <w:proofErr w:type="spellEnd"/>
      <w:r w:rsidR="004A4DE7">
        <w:t xml:space="preserve"> or placebo treatment that is, </w:t>
      </w:r>
      <w:r>
        <w:t>recognised, proper adjunctive study design).</w:t>
      </w:r>
    </w:p>
    <w:p w14:paraId="5FEC3BA9" w14:textId="72F0C6AF" w:rsidR="004A4DE7" w:rsidRDefault="004A4DE7" w:rsidP="009F5F17">
      <w:pPr>
        <w:pStyle w:val="ListBullet"/>
      </w:pPr>
      <w:r>
        <w:t>In May 2020, the sponsor advised the TGA that (</w:t>
      </w:r>
      <w:proofErr w:type="spellStart"/>
      <w:r>
        <w:t>i</w:t>
      </w:r>
      <w:proofErr w:type="spellEnd"/>
      <w:r>
        <w:t xml:space="preserve">) Study TRD2005 had failed to demonstrate efficacy of adjunctive </w:t>
      </w:r>
      <w:proofErr w:type="spellStart"/>
      <w:r>
        <w:t>esketmine</w:t>
      </w:r>
      <w:proofErr w:type="spellEnd"/>
      <w:r>
        <w:t xml:space="preserve"> nasal spray in Japanese adult patients with TRD</w:t>
      </w:r>
      <w:r w:rsidR="00B142A7">
        <w:t>;</w:t>
      </w:r>
      <w:r>
        <w:t xml:space="preserve"> and (ii) initiation of Study TRD4005 (the sponsor’s post marketing commitment of </w:t>
      </w:r>
      <w:proofErr w:type="spellStart"/>
      <w:r>
        <w:t>esketamine</w:t>
      </w:r>
      <w:proofErr w:type="spellEnd"/>
      <w:r>
        <w:t xml:space="preserve"> monotherapy study to the US FDA) has been delayed due to </w:t>
      </w:r>
      <w:r w:rsidR="00CB0379">
        <w:t>coronavirus disease 2019 (</w:t>
      </w:r>
      <w:r>
        <w:t>COVID-19</w:t>
      </w:r>
      <w:r w:rsidR="00CB0379">
        <w:t>)</w:t>
      </w:r>
      <w:r>
        <w:t xml:space="preserve"> issues.</w:t>
      </w:r>
    </w:p>
    <w:p w14:paraId="6CCCB343" w14:textId="7164594E" w:rsidR="004A4DE7" w:rsidRDefault="004A4DE7" w:rsidP="009F5F17">
      <w:pPr>
        <w:pStyle w:val="ListBullet"/>
      </w:pPr>
      <w:r>
        <w:t>Following the April 2020 ACM meeting,</w:t>
      </w:r>
      <w:r w:rsidRPr="00E53051">
        <w:t xml:space="preserve"> </w:t>
      </w:r>
      <w:r>
        <w:t>the s</w:t>
      </w:r>
      <w:r w:rsidRPr="00E53051">
        <w:t>ponsor was encouraged and given the opportun</w:t>
      </w:r>
      <w:r>
        <w:t>ity by the TGA</w:t>
      </w:r>
      <w:r w:rsidRPr="00E53051">
        <w:t>,</w:t>
      </w:r>
      <w:r>
        <w:t xml:space="preserve"> </w:t>
      </w:r>
      <w:r w:rsidRPr="00E53051">
        <w:t xml:space="preserve">to submit any new data it might hold on </w:t>
      </w:r>
      <w:r>
        <w:t xml:space="preserve">a </w:t>
      </w:r>
      <w:r w:rsidRPr="00E53051">
        <w:t>properly designed clinical trial. The latter will counter the previously mentioned irresolvable methodological issues identified with the pivotal efficacy induction trials (Studies</w:t>
      </w:r>
      <w:r w:rsidR="00B142A7">
        <w:t> </w:t>
      </w:r>
      <w:r w:rsidRPr="00E53051">
        <w:t xml:space="preserve">TRD3001, TRD3002 </w:t>
      </w:r>
      <w:r>
        <w:t>and</w:t>
      </w:r>
      <w:r w:rsidRPr="00E53051">
        <w:t xml:space="preserve"> TRD3005), especially the trial requirement that, subjects </w:t>
      </w:r>
      <w:r>
        <w:t>simultaneously initiated on Day </w:t>
      </w:r>
      <w:r w:rsidRPr="00E53051">
        <w:t xml:space="preserve">1 of the double blind phase, a new oral </w:t>
      </w:r>
      <w:r w:rsidR="00B142A7">
        <w:t>antidepressant</w:t>
      </w:r>
      <w:r>
        <w:t>, the ‘</w:t>
      </w:r>
      <w:r w:rsidRPr="00E53051">
        <w:t>active comparator</w:t>
      </w:r>
      <w:r>
        <w:t>’</w:t>
      </w:r>
      <w:r w:rsidRPr="00E53051">
        <w:t>. As per the TGA’s protocol, such new clinical trial data was to be formally evaluated. Rather than provide the required new data on properly designed clinical</w:t>
      </w:r>
      <w:r>
        <w:t xml:space="preserve"> trial, the s</w:t>
      </w:r>
      <w:r w:rsidRPr="00E53051">
        <w:t>ponsor has provided efficacy data from an ongoing, global, open-label trial (</w:t>
      </w:r>
      <w:r>
        <w:t>Study TRD</w:t>
      </w:r>
      <w:r w:rsidRPr="00E53051">
        <w:t>3008), new analysis of previously submitted data and recent</w:t>
      </w:r>
      <w:r>
        <w:t>ly</w:t>
      </w:r>
      <w:r w:rsidRPr="00E53051">
        <w:t xml:space="preserve"> published literature (on me</w:t>
      </w:r>
      <w:r>
        <w:t>ta-analysis). In addition, the s</w:t>
      </w:r>
      <w:r w:rsidRPr="00E53051">
        <w:t>ponsor claimed that new data is provided</w:t>
      </w:r>
      <w:r>
        <w:t xml:space="preserve"> in order to address the ACM’s </w:t>
      </w:r>
      <w:r w:rsidRPr="00E53051">
        <w:t xml:space="preserve">concern regarding the efficacy of </w:t>
      </w:r>
      <w:proofErr w:type="spellStart"/>
      <w:r w:rsidRPr="00E53051">
        <w:t>esketamine</w:t>
      </w:r>
      <w:proofErr w:type="spellEnd"/>
      <w:r w:rsidRPr="00E53051">
        <w:t xml:space="preserve"> potentially confounded by the initiation of a new oral </w:t>
      </w:r>
      <w:r w:rsidR="00B142A7">
        <w:t xml:space="preserve">antidepressant </w:t>
      </w:r>
      <w:r w:rsidRPr="00E53051">
        <w:t xml:space="preserve">at the same time as intranasal </w:t>
      </w:r>
      <w:proofErr w:type="spellStart"/>
      <w:r w:rsidRPr="00E53051">
        <w:t>esketamine</w:t>
      </w:r>
      <w:proofErr w:type="spellEnd"/>
      <w:r w:rsidRPr="00E53051">
        <w:t>.</w:t>
      </w:r>
    </w:p>
    <w:p w14:paraId="23744E5D" w14:textId="76A393DB" w:rsidR="004A4DE7" w:rsidRPr="0040147C" w:rsidRDefault="009F5F17" w:rsidP="009F5F17">
      <w:pPr>
        <w:pStyle w:val="ListBullet"/>
      </w:pPr>
      <w:r>
        <w:t>Following the ACM meeting, the Delegate provided a reply to each aspect of the sponsor’s response, also taking into consideration the ACM’s assessment. In summary, t</w:t>
      </w:r>
      <w:r w:rsidR="004A4DE7">
        <w:t>he ACM (</w:t>
      </w:r>
      <w:r>
        <w:t>see</w:t>
      </w:r>
      <w:r w:rsidR="004A4DE7">
        <w:t xml:space="preserve"> ‘</w:t>
      </w:r>
      <w:r w:rsidR="004A4DE7" w:rsidRPr="009F5F17">
        <w:rPr>
          <w:i/>
        </w:rPr>
        <w:fldChar w:fldCharType="begin"/>
      </w:r>
      <w:r w:rsidR="004A4DE7" w:rsidRPr="009F5F17">
        <w:rPr>
          <w:i/>
        </w:rPr>
        <w:instrText xml:space="preserve"> REF _Ref69802263 \h  \* MERGEFORMAT </w:instrText>
      </w:r>
      <w:r w:rsidR="004A4DE7" w:rsidRPr="009F5F17">
        <w:rPr>
          <w:i/>
        </w:rPr>
      </w:r>
      <w:r w:rsidR="004A4DE7" w:rsidRPr="009F5F17">
        <w:rPr>
          <w:i/>
        </w:rPr>
        <w:fldChar w:fldCharType="separate"/>
      </w:r>
      <w:r w:rsidR="003938C9" w:rsidRPr="003938C9">
        <w:rPr>
          <w:i/>
        </w:rPr>
        <w:t>Follow-up Advisory Committee considerations</w:t>
      </w:r>
      <w:r w:rsidR="004A4DE7" w:rsidRPr="009F5F17">
        <w:rPr>
          <w:i/>
        </w:rPr>
        <w:fldChar w:fldCharType="end"/>
      </w:r>
      <w:r w:rsidR="004A4DE7">
        <w:t>’ section, above) and the Delegate did not consider the sponsor’s response to be sufficient to resolve the previously outlined concerns regarding the submission.</w:t>
      </w:r>
    </w:p>
    <w:p w14:paraId="7DA790F1" w14:textId="77777777" w:rsidR="00485D18" w:rsidRDefault="00485D18" w:rsidP="00485D18">
      <w:pPr>
        <w:pStyle w:val="Heading4"/>
      </w:pPr>
      <w:r>
        <w:t>Section 60 review</w:t>
      </w:r>
    </w:p>
    <w:p w14:paraId="207076D2" w14:textId="77777777" w:rsidR="00C802B0" w:rsidRPr="009752A5" w:rsidRDefault="00C802B0" w:rsidP="00C802B0">
      <w:r>
        <w:t>Following the initial decision described above, the sponsor sought a review under the provisions of Section 60 of the Therapeutics Goods Act. The Delegate of the Minister for the review noted that paragraph 25(1)(d) of the Therapeutic Goods Act, which requires the goods to be evaluated with regard to whether the quality, safety and efficacy of the goods for the purposes for which they are to be used have been satisfactorily established, is of particular relevance.</w:t>
      </w:r>
    </w:p>
    <w:p w14:paraId="158B2724" w14:textId="3BC03A2B" w:rsidR="00485D18" w:rsidRDefault="00485D18" w:rsidP="00485D18">
      <w:r>
        <w:t>The Delegate of the Minister under S</w:t>
      </w:r>
      <w:r w:rsidRPr="00485D18">
        <w:t xml:space="preserve">ection 60 </w:t>
      </w:r>
      <w:r w:rsidR="00616924">
        <w:t xml:space="preserve">(hereafter referred to as the Section 60 Delegate) </w:t>
      </w:r>
      <w:r w:rsidRPr="00485D18">
        <w:t xml:space="preserve">decided to revoke the initial decision and make a new decision in substitution for that decision. </w:t>
      </w:r>
      <w:r>
        <w:t>Their</w:t>
      </w:r>
      <w:r w:rsidRPr="00485D18">
        <w:t xml:space="preserve"> substituted decision is to register the product on the basis that the quality, safety and efficacy of the product for the purposes for which it is to be used have been satisfactorily established. </w:t>
      </w:r>
      <w:r w:rsidR="009F5F17">
        <w:t>The Section 60 Delegate</w:t>
      </w:r>
      <w:r w:rsidR="009F5F17" w:rsidRPr="00485D18">
        <w:t xml:space="preserve"> </w:t>
      </w:r>
      <w:r w:rsidRPr="00485D18">
        <w:t>decided to approve the product</w:t>
      </w:r>
      <w:r>
        <w:t xml:space="preserve"> with the following indication:</w:t>
      </w:r>
    </w:p>
    <w:p w14:paraId="1669432F" w14:textId="77777777" w:rsidR="00485D18" w:rsidRPr="00485D18" w:rsidRDefault="00485D18" w:rsidP="00485D18">
      <w:pPr>
        <w:ind w:left="720"/>
        <w:rPr>
          <w:i/>
        </w:rPr>
      </w:pPr>
      <w:proofErr w:type="spellStart"/>
      <w:r w:rsidRPr="00485D18">
        <w:rPr>
          <w:i/>
        </w:rPr>
        <w:t>Spravato</w:t>
      </w:r>
      <w:proofErr w:type="spellEnd"/>
      <w:r w:rsidRPr="00485D18">
        <w:rPr>
          <w:i/>
        </w:rPr>
        <w:t xml:space="preserve"> is indicated for treatment resistant depression (Major Depressive Disorder in adults who have not responded adequately to at least two different </w:t>
      </w:r>
      <w:r w:rsidRPr="00485D18">
        <w:rPr>
          <w:i/>
        </w:rPr>
        <w:lastRenderedPageBreak/>
        <w:t>antidepressants of adequate dose and duration to treat the current moderate to severe depressive episode).</w:t>
      </w:r>
    </w:p>
    <w:p w14:paraId="5F4310E7" w14:textId="77777777" w:rsidR="00C802B0" w:rsidRDefault="00485D18" w:rsidP="00485D18">
      <w:pPr>
        <w:ind w:left="720"/>
        <w:rPr>
          <w:i/>
        </w:rPr>
      </w:pPr>
      <w:proofErr w:type="spellStart"/>
      <w:r w:rsidRPr="00485D18">
        <w:rPr>
          <w:i/>
        </w:rPr>
        <w:t>Spravato</w:t>
      </w:r>
      <w:proofErr w:type="spellEnd"/>
      <w:r w:rsidRPr="00485D18">
        <w:rPr>
          <w:i/>
        </w:rPr>
        <w:t xml:space="preserve"> is to be initiated in conjunction with a newly initiated oral antidepressant.</w:t>
      </w:r>
    </w:p>
    <w:p w14:paraId="2AEC5BEA" w14:textId="77777777" w:rsidR="00485D18" w:rsidRDefault="00485D18" w:rsidP="009F3624">
      <w:pPr>
        <w:pStyle w:val="Heading5"/>
      </w:pPr>
      <w:r>
        <w:t>Reasons for the decision</w:t>
      </w:r>
    </w:p>
    <w:p w14:paraId="488EEC5C" w14:textId="67A6A320" w:rsidR="009F3624" w:rsidRDefault="00616924" w:rsidP="009F3624">
      <w:r>
        <w:t>The Section 60 Delegate has</w:t>
      </w:r>
      <w:r w:rsidR="009F3624">
        <w:t xml:space="preserve"> decided to revoke the initial decision and make a new decision in substitution for that decision. </w:t>
      </w:r>
      <w:r>
        <w:t>Their</w:t>
      </w:r>
      <w:r w:rsidR="009F3624">
        <w:t xml:space="preserve"> substituted decision is to register the product. </w:t>
      </w:r>
      <w:r>
        <w:t>Their</w:t>
      </w:r>
      <w:r w:rsidR="009F3624">
        <w:t xml:space="preserve"> reasons for that decision are as follows.</w:t>
      </w:r>
    </w:p>
    <w:p w14:paraId="2E0E62C9" w14:textId="40116B94" w:rsidR="009F3624" w:rsidRDefault="009F3624" w:rsidP="009F3624">
      <w:r>
        <w:t>Although statistically significant results were achieved in only one of the pivotal induction studies (</w:t>
      </w:r>
      <w:r w:rsidR="00616924">
        <w:t xml:space="preserve">Study </w:t>
      </w:r>
      <w:r>
        <w:t>TRD3002), similar effect sizes were seen in the other two studies (</w:t>
      </w:r>
      <w:r w:rsidR="00291CE5">
        <w:t>Studies </w:t>
      </w:r>
      <w:r>
        <w:t xml:space="preserve">TRD3001 and TRD3005). In addition, maintenance of antidepressant effect was demonstrated in the relapse prevention study, </w:t>
      </w:r>
      <w:r w:rsidR="00616924">
        <w:t xml:space="preserve">Study </w:t>
      </w:r>
      <w:r>
        <w:t>TRD3003.</w:t>
      </w:r>
    </w:p>
    <w:p w14:paraId="78F078EE" w14:textId="5B44793D" w:rsidR="009F3624" w:rsidRDefault="00B142A7" w:rsidP="009F3624">
      <w:r>
        <w:t xml:space="preserve">Adverse events </w:t>
      </w:r>
      <w:r w:rsidR="009F3624">
        <w:t>were generally non-serious in nature. Important early adverse effects such as sedation, dissociation, and raised blood pressure can be</w:t>
      </w:r>
      <w:r w:rsidR="00616924">
        <w:t xml:space="preserve"> managed by appropriate post</w:t>
      </w:r>
      <w:r w:rsidR="00616924">
        <w:noBreakHyphen/>
      </w:r>
      <w:r w:rsidR="009F3624">
        <w:t>dose observation.</w:t>
      </w:r>
    </w:p>
    <w:p w14:paraId="3C5C4057" w14:textId="36B57512" w:rsidR="009F3624" w:rsidRDefault="009F3624" w:rsidP="009F3624">
      <w:r>
        <w:t xml:space="preserve">The clinical evaluator was concerned that the design of the pivotal induction efficacy studies did not allow estimation of the efficacy and safety attributable solely to </w:t>
      </w:r>
      <w:proofErr w:type="spellStart"/>
      <w:r w:rsidR="00616924">
        <w:t>Spravato</w:t>
      </w:r>
      <w:proofErr w:type="spellEnd"/>
      <w:r>
        <w:t xml:space="preserve">. This concern was reflected in the initial decision letter. However, the study design was acceptable to comparable overseas regulators (including the FDA and EMA). Additionally, the sponsor provided expert opinion that commencing </w:t>
      </w:r>
      <w:proofErr w:type="spellStart"/>
      <w:r>
        <w:t>esketamine</w:t>
      </w:r>
      <w:proofErr w:type="spellEnd"/>
      <w:r>
        <w:t xml:space="preserve"> simultaneously with a new oral antidepressant likely reflected</w:t>
      </w:r>
      <w:r w:rsidR="00616924">
        <w:t xml:space="preserve"> optimal clinical practice. </w:t>
      </w:r>
      <w:r>
        <w:t xml:space="preserve">Finally, </w:t>
      </w:r>
      <w:r w:rsidR="00E53051">
        <w:t xml:space="preserve">the Section 60 Delegate </w:t>
      </w:r>
      <w:r>
        <w:t xml:space="preserve">accepted that it may be unethical for patients with treatment-resistant depression to be left without any antidepressant treatment (which would be the case in placebo-controlled </w:t>
      </w:r>
      <w:proofErr w:type="spellStart"/>
      <w:r>
        <w:t>esketamine</w:t>
      </w:r>
      <w:proofErr w:type="spellEnd"/>
      <w:r>
        <w:t xml:space="preserve"> monotherapy studies) or on a treatment that has not been sufficiently effective (which would be the case in studies of </w:t>
      </w:r>
      <w:proofErr w:type="spellStart"/>
      <w:r>
        <w:t>esketamine</w:t>
      </w:r>
      <w:proofErr w:type="spellEnd"/>
      <w:r>
        <w:t xml:space="preserve"> together with an existing oral antidepressant).</w:t>
      </w:r>
    </w:p>
    <w:p w14:paraId="0BCB93BE" w14:textId="70359D2D" w:rsidR="00485D18" w:rsidRPr="00485D18" w:rsidRDefault="009F3624" w:rsidP="009F3624">
      <w:r>
        <w:t xml:space="preserve">For the reasons outlined above, </w:t>
      </w:r>
      <w:r w:rsidR="00E53051">
        <w:t xml:space="preserve">the Section 60 Delegate has </w:t>
      </w:r>
      <w:r>
        <w:t xml:space="preserve">decided to revoke the initial decision and make a new decision in substitution for that decision. </w:t>
      </w:r>
      <w:r w:rsidR="00E53051">
        <w:t>Their</w:t>
      </w:r>
      <w:r>
        <w:t xml:space="preserve"> substituted decision is to register the product on the basis that the quality, safety and efficacy of the product for the purposes for which it is to be used have been satisfactorily established.</w:t>
      </w:r>
    </w:p>
    <w:p w14:paraId="1BEFA2A3" w14:textId="77777777" w:rsidR="00C802B0" w:rsidRPr="00C802B0" w:rsidRDefault="00485D18" w:rsidP="00485D18">
      <w:pPr>
        <w:pStyle w:val="Heading4"/>
      </w:pPr>
      <w:r w:rsidRPr="00D23139">
        <w:t>Final outcome</w:t>
      </w:r>
    </w:p>
    <w:p w14:paraId="533F0D0C" w14:textId="77777777" w:rsidR="00744121" w:rsidRDefault="00744121" w:rsidP="00744121">
      <w:bookmarkStart w:id="76" w:name="_Toc247691533"/>
      <w:bookmarkStart w:id="77" w:name="_Toc314842517"/>
      <w:r>
        <w:t xml:space="preserve">Based on a review of quality, safety and efficacy, the TGA approved the registration of </w:t>
      </w:r>
      <w:proofErr w:type="spellStart"/>
      <w:r w:rsidR="00485D18">
        <w:t>Spravato</w:t>
      </w:r>
      <w:proofErr w:type="spellEnd"/>
      <w:r w:rsidR="00485D18">
        <w:t xml:space="preserve"> (</w:t>
      </w:r>
      <w:proofErr w:type="spellStart"/>
      <w:r w:rsidR="00485D18">
        <w:t>esketamine</w:t>
      </w:r>
      <w:proofErr w:type="spellEnd"/>
      <w:r w:rsidR="00485D18">
        <w:t xml:space="preserve"> hydrochloride) 28 mg of </w:t>
      </w:r>
      <w:proofErr w:type="spellStart"/>
      <w:r w:rsidR="00485D18">
        <w:t>esketamine</w:t>
      </w:r>
      <w:proofErr w:type="spellEnd"/>
      <w:r w:rsidR="00485D18">
        <w:t xml:space="preserve"> per 2 actuations, nasal spray solution</w:t>
      </w:r>
      <w:r>
        <w:t>, indicated for:</w:t>
      </w:r>
    </w:p>
    <w:p w14:paraId="34E46A4A" w14:textId="77777777" w:rsidR="00485D18" w:rsidRPr="00F63DF6" w:rsidRDefault="00485D18" w:rsidP="00485D18">
      <w:pPr>
        <w:ind w:left="720"/>
        <w:rPr>
          <w:i/>
        </w:rPr>
      </w:pPr>
      <w:proofErr w:type="spellStart"/>
      <w:r w:rsidRPr="00F63DF6">
        <w:rPr>
          <w:i/>
        </w:rPr>
        <w:t>Spravato</w:t>
      </w:r>
      <w:proofErr w:type="spellEnd"/>
      <w:r w:rsidRPr="00F63DF6">
        <w:rPr>
          <w:i/>
        </w:rPr>
        <w:t xml:space="preserve"> is indicated for treatment resistant depression (Major Depressive Disorder in adults who have not responded adequately to at least two different antidepressants of adequate dose and duration to treat the current moderate to severe depressive episode).</w:t>
      </w:r>
    </w:p>
    <w:p w14:paraId="39CE660F" w14:textId="77777777" w:rsidR="00744121" w:rsidRPr="00485D18" w:rsidRDefault="00485D18" w:rsidP="00485D18">
      <w:pPr>
        <w:ind w:left="720"/>
        <w:rPr>
          <w:i/>
        </w:rPr>
      </w:pPr>
      <w:proofErr w:type="spellStart"/>
      <w:r w:rsidRPr="00F63DF6">
        <w:rPr>
          <w:i/>
        </w:rPr>
        <w:t>Spravato</w:t>
      </w:r>
      <w:proofErr w:type="spellEnd"/>
      <w:r w:rsidRPr="00F63DF6">
        <w:rPr>
          <w:i/>
        </w:rPr>
        <w:t xml:space="preserve"> is to be initiated in conjunction with a newly initiated oral antidepressant.</w:t>
      </w:r>
    </w:p>
    <w:p w14:paraId="3E2E2ABC" w14:textId="77777777" w:rsidR="00D23139" w:rsidRDefault="00D23139" w:rsidP="00485D18">
      <w:pPr>
        <w:pStyle w:val="Heading5"/>
      </w:pPr>
      <w:r w:rsidRPr="00D23139">
        <w:t>Specific conditions of registration applying to these goods</w:t>
      </w:r>
    </w:p>
    <w:p w14:paraId="0C2A4D9C" w14:textId="0DDB91AA" w:rsidR="00485D18" w:rsidRPr="00702A6A" w:rsidRDefault="00485D18" w:rsidP="00485D18">
      <w:pPr>
        <w:pStyle w:val="ListBullet"/>
      </w:pPr>
      <w:proofErr w:type="spellStart"/>
      <w:r w:rsidRPr="00702A6A">
        <w:t>Spravato</w:t>
      </w:r>
      <w:proofErr w:type="spellEnd"/>
      <w:r w:rsidRPr="00702A6A">
        <w:t xml:space="preserve"> (</w:t>
      </w:r>
      <w:proofErr w:type="spellStart"/>
      <w:r w:rsidRPr="00702A6A">
        <w:t>esketamine</w:t>
      </w:r>
      <w:proofErr w:type="spellEnd"/>
      <w:r w:rsidRPr="00702A6A">
        <w:t xml:space="preserve"> hydrochloride) is to be include</w:t>
      </w:r>
      <w:r>
        <w:t xml:space="preserve">d in the Black Triangle Scheme. </w:t>
      </w:r>
      <w:r w:rsidRPr="00702A6A">
        <w:t xml:space="preserve">The PI and CMI for </w:t>
      </w:r>
      <w:proofErr w:type="spellStart"/>
      <w:r w:rsidRPr="00702A6A">
        <w:t>Spravato</w:t>
      </w:r>
      <w:proofErr w:type="spellEnd"/>
      <w:r w:rsidRPr="00702A6A">
        <w:t xml:space="preserve"> must include the blac</w:t>
      </w:r>
      <w:r>
        <w:t xml:space="preserve">k triangle symbol and mandatory </w:t>
      </w:r>
      <w:r w:rsidRPr="00702A6A">
        <w:t>accompanying text for five years, which starts from the</w:t>
      </w:r>
      <w:r>
        <w:t xml:space="preserve"> date that the sponsor notifies </w:t>
      </w:r>
      <w:r w:rsidRPr="00702A6A">
        <w:t>the TGA of supply of the product.</w:t>
      </w:r>
    </w:p>
    <w:p w14:paraId="4DF00EF2" w14:textId="45669160" w:rsidR="00485D18" w:rsidRPr="00702A6A" w:rsidRDefault="00485D18" w:rsidP="00485D18">
      <w:pPr>
        <w:pStyle w:val="ListBullet"/>
      </w:pPr>
      <w:r w:rsidRPr="00702A6A">
        <w:t xml:space="preserve">The </w:t>
      </w:r>
      <w:proofErr w:type="spellStart"/>
      <w:r w:rsidRPr="00702A6A">
        <w:t>Spravato</w:t>
      </w:r>
      <w:proofErr w:type="spellEnd"/>
      <w:r w:rsidRPr="00702A6A">
        <w:t xml:space="preserve"> EU-</w:t>
      </w:r>
      <w:r w:rsidR="00E53051">
        <w:t>RMP</w:t>
      </w:r>
      <w:r w:rsidRPr="00702A6A">
        <w:t xml:space="preserve"> (versio</w:t>
      </w:r>
      <w:r>
        <w:t xml:space="preserve">n 1.0 Succession 2, date 20 May </w:t>
      </w:r>
      <w:r w:rsidRPr="00702A6A">
        <w:t xml:space="preserve">2019; </w:t>
      </w:r>
      <w:r w:rsidR="00E53051">
        <w:t>DLP</w:t>
      </w:r>
      <w:r w:rsidRPr="00702A6A">
        <w:t xml:space="preserve"> </w:t>
      </w:r>
      <w:r>
        <w:t xml:space="preserve">4 March 2018), with </w:t>
      </w:r>
      <w:r w:rsidR="00E53051">
        <w:t>ASA</w:t>
      </w:r>
      <w:r w:rsidRPr="00702A6A">
        <w:t xml:space="preserve"> (v</w:t>
      </w:r>
      <w:r>
        <w:t xml:space="preserve">ersion 0.2; date 27 June </w:t>
      </w:r>
      <w:r w:rsidRPr="00702A6A">
        <w:t>2019), included with submission PM-2018-04814-1-1</w:t>
      </w:r>
      <w:r>
        <w:t xml:space="preserve">, and any subsequent revisions, </w:t>
      </w:r>
      <w:r w:rsidRPr="00702A6A">
        <w:t>as agreed with the TGA will be implemented in Australia.</w:t>
      </w:r>
    </w:p>
    <w:p w14:paraId="0D7A3960" w14:textId="2B6FDF8A" w:rsidR="00485D18" w:rsidRDefault="00485D18" w:rsidP="00485D18">
      <w:pPr>
        <w:pStyle w:val="ListBullet"/>
        <w:numPr>
          <w:ilvl w:val="0"/>
          <w:numId w:val="0"/>
        </w:numPr>
        <w:ind w:left="360"/>
      </w:pPr>
      <w:r w:rsidRPr="00702A6A">
        <w:lastRenderedPageBreak/>
        <w:t>An obligatory component of risk management plan</w:t>
      </w:r>
      <w:r>
        <w:t xml:space="preserve">s is routine pharmacovigilance. </w:t>
      </w:r>
      <w:r w:rsidRPr="00702A6A">
        <w:t>Routine pharmacovigilance includes the submission of</w:t>
      </w:r>
      <w:r>
        <w:t xml:space="preserve"> </w:t>
      </w:r>
      <w:r w:rsidR="00E53051">
        <w:t>PSURs</w:t>
      </w:r>
      <w:r w:rsidRPr="00702A6A">
        <w:t>.</w:t>
      </w:r>
    </w:p>
    <w:p w14:paraId="24F7DB16" w14:textId="77777777" w:rsidR="00485D18" w:rsidRDefault="00485D18" w:rsidP="00485D18">
      <w:pPr>
        <w:pStyle w:val="ListBullet"/>
        <w:numPr>
          <w:ilvl w:val="0"/>
          <w:numId w:val="0"/>
        </w:numPr>
        <w:ind w:left="360"/>
      </w:pPr>
      <w:r>
        <w:t>Unless agreed separately between the supplier who is the recipient of the approval and the TGA, the first report must be submitted to 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the approval letter. The annual submission may be made up of two PSURs each covering six months. If the sponsor wishes, the six monthly reports may be submitted separately as they become available.</w:t>
      </w:r>
    </w:p>
    <w:p w14:paraId="539CB235" w14:textId="77777777" w:rsidR="00485D18" w:rsidRPr="00485D18" w:rsidRDefault="00485D18" w:rsidP="00485D18">
      <w:pPr>
        <w:pStyle w:val="ListBullet"/>
        <w:numPr>
          <w:ilvl w:val="0"/>
          <w:numId w:val="0"/>
        </w:numPr>
        <w:ind w:left="360"/>
      </w:pPr>
      <w: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the approval letter. 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D6D8594" w14:textId="77777777" w:rsidR="008E7846" w:rsidRDefault="00A80B5B" w:rsidP="00D23139">
      <w:pPr>
        <w:pStyle w:val="Heading2"/>
      </w:pPr>
      <w:bookmarkStart w:id="78" w:name="_Toc72744026"/>
      <w:r>
        <w:t xml:space="preserve">Attachment 1. </w:t>
      </w:r>
      <w:r w:rsidR="008E7846">
        <w:t xml:space="preserve">Product </w:t>
      </w:r>
      <w:r w:rsidR="00AA0ED0">
        <w:t>I</w:t>
      </w:r>
      <w:r w:rsidR="008E7846">
        <w:t>nformation</w:t>
      </w:r>
      <w:bookmarkEnd w:id="76"/>
      <w:bookmarkEnd w:id="77"/>
      <w:bookmarkEnd w:id="78"/>
    </w:p>
    <w:p w14:paraId="2DAA4EF1" w14:textId="25D50F27" w:rsidR="00291957" w:rsidRPr="00485D18" w:rsidRDefault="006136D7" w:rsidP="00485D18">
      <w:pPr>
        <w:rPr>
          <w:color w:val="000000"/>
          <w:lang w:eastAsia="en-AU"/>
        </w:rPr>
      </w:pPr>
      <w:r w:rsidRPr="002B3624">
        <w:t xml:space="preserve">The </w:t>
      </w:r>
      <w:r>
        <w:t>PI</w:t>
      </w:r>
      <w:r w:rsidRPr="002B3624">
        <w:t xml:space="preserve"> for </w:t>
      </w:r>
      <w:proofErr w:type="spellStart"/>
      <w:r w:rsidR="00485D18">
        <w:t>Spravato</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5" w:history="1">
        <w:r w:rsidR="007C6B9B" w:rsidRPr="007C6B9B">
          <w:rPr>
            <w:rStyle w:val="Hyperlink"/>
          </w:rPr>
          <w:t>https://www.tga.gov.au/product-information-pi</w:t>
        </w:r>
      </w:hyperlink>
      <w:r w:rsidR="00485D18">
        <w:t>&gt;.</w:t>
      </w:r>
    </w:p>
    <w:p w14:paraId="79A334A9" w14:textId="77777777" w:rsidR="00744121" w:rsidRDefault="00744121" w:rsidP="00744121">
      <w:pPr>
        <w:rPr>
          <w:lang w:eastAsia="ja-JP"/>
        </w:rPr>
      </w:pPr>
    </w:p>
    <w:p w14:paraId="052831AE"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3E07BA5" w14:textId="77777777" w:rsidTr="00A05FA4">
        <w:trPr>
          <w:trHeight w:hRule="exact" w:val="704"/>
        </w:trPr>
        <w:tc>
          <w:tcPr>
            <w:tcW w:w="9175" w:type="dxa"/>
          </w:tcPr>
          <w:p w14:paraId="7206A478" w14:textId="77777777" w:rsidR="001C32CD" w:rsidRPr="00487162" w:rsidRDefault="001C32CD" w:rsidP="00A05FA4">
            <w:pPr>
              <w:pStyle w:val="TGASignoff"/>
            </w:pPr>
            <w:r w:rsidRPr="00487162">
              <w:lastRenderedPageBreak/>
              <w:t>Therapeutic Goods Administration</w:t>
            </w:r>
          </w:p>
        </w:tc>
      </w:tr>
      <w:tr w:rsidR="001C32CD" w:rsidRPr="004C239D" w14:paraId="339B1A64" w14:textId="77777777" w:rsidTr="00A05FA4">
        <w:trPr>
          <w:trHeight w:val="1221"/>
        </w:trPr>
        <w:tc>
          <w:tcPr>
            <w:tcW w:w="9175" w:type="dxa"/>
            <w:tcMar>
              <w:top w:w="28" w:type="dxa"/>
            </w:tcMar>
          </w:tcPr>
          <w:p w14:paraId="55F419B8" w14:textId="77777777" w:rsidR="001C32CD" w:rsidRPr="00487162" w:rsidRDefault="001C32CD" w:rsidP="00A05FA4">
            <w:pPr>
              <w:pStyle w:val="Address"/>
            </w:pPr>
            <w:r w:rsidRPr="00487162">
              <w:t>PO Box 100 Woden ACT 2606 Australia</w:t>
            </w:r>
          </w:p>
          <w:p w14:paraId="108B8B34" w14:textId="79B31F9C"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020 653  Fax: 02 6232 8605</w:t>
            </w:r>
          </w:p>
          <w:p w14:paraId="5467F7D2" w14:textId="67D098B5" w:rsidR="001C32CD" w:rsidRPr="004C239D" w:rsidRDefault="00D42A0C"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605045C5" w14:textId="77777777"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7516" w16cex:dateUtc="2021-04-27T01:33:00Z"/>
  <w16cex:commentExtensible w16cex:durableId="24328441" w16cex:dateUtc="2021-04-27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03D6EE" w16cid:durableId="24327516"/>
  <w16cid:commentId w16cid:paraId="6469B74B" w16cid:durableId="243284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2BB6" w14:textId="77777777" w:rsidR="00D42A0C" w:rsidRDefault="00D42A0C" w:rsidP="00C40A36">
      <w:pPr>
        <w:spacing w:after="0"/>
      </w:pPr>
      <w:r>
        <w:separator/>
      </w:r>
    </w:p>
  </w:endnote>
  <w:endnote w:type="continuationSeparator" w:id="0">
    <w:p w14:paraId="033F07F4" w14:textId="77777777" w:rsidR="00D42A0C" w:rsidRDefault="00D42A0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00"/>
    <w:family w:val="roman"/>
    <w:notTrueType/>
    <w:pitch w:val="default"/>
    <w:sig w:usb0="00000003" w:usb1="08070000" w:usb2="00000010" w:usb3="00000000" w:csb0="00020001" w:csb1="00000000"/>
  </w:font>
  <w:font w:name="Wingdings 3">
    <w:panose1 w:val="05040102010807070707"/>
    <w:charset w:val="02"/>
    <w:family w:val="roman"/>
    <w:pitch w:val="variable"/>
    <w:sig w:usb0="00000000" w:usb1="10000000" w:usb2="00000000" w:usb3="00000000" w:csb0="80000000" w:csb1="00000000"/>
  </w:font>
  <w:font w:name="TimesNewRoman,Bold">
    <w:altName w:val="Yu Gothic UI"/>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26C0" w14:textId="77777777" w:rsidR="00D42A0C" w:rsidRDefault="00D42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559"/>
    </w:tblGrid>
    <w:tr w:rsidR="00D42A0C" w:rsidRPr="00487162" w14:paraId="0307C0C2" w14:textId="77777777" w:rsidTr="00D42A0C">
      <w:trPr>
        <w:trHeight w:val="269"/>
      </w:trPr>
      <w:tc>
        <w:tcPr>
          <w:tcW w:w="7797" w:type="dxa"/>
          <w:tcMar>
            <w:top w:w="142" w:type="dxa"/>
            <w:bottom w:w="0" w:type="dxa"/>
          </w:tcMar>
        </w:tcPr>
        <w:p w14:paraId="7535B940" w14:textId="3DFB1F2A" w:rsidR="00D42A0C" w:rsidRPr="00487162" w:rsidRDefault="00D42A0C" w:rsidP="005E7689">
          <w:pPr>
            <w:pStyle w:val="Footer"/>
          </w:pPr>
          <w:r w:rsidRPr="00487162">
            <w:t>AusPA</w:t>
          </w:r>
          <w:r>
            <w:t xml:space="preserve">R - </w:t>
          </w:r>
          <w:proofErr w:type="spellStart"/>
          <w:r w:rsidRPr="00774800">
            <w:t>Spravato</w:t>
          </w:r>
          <w:proofErr w:type="spellEnd"/>
          <w:r w:rsidRPr="00774800">
            <w:t xml:space="preserve"> - </w:t>
          </w:r>
          <w:proofErr w:type="spellStart"/>
          <w:r w:rsidRPr="00774800">
            <w:t>esketamine</w:t>
          </w:r>
          <w:proofErr w:type="spellEnd"/>
          <w:r w:rsidRPr="00774800">
            <w:t xml:space="preserve"> hydrochloride - Janssen-</w:t>
          </w:r>
          <w:proofErr w:type="spellStart"/>
          <w:r w:rsidRPr="00774800">
            <w:t>Cilag</w:t>
          </w:r>
          <w:proofErr w:type="spellEnd"/>
          <w:r w:rsidRPr="00774800">
            <w:t xml:space="preserve"> Australia Pty Ltd - PM-2018-04814-1-1</w:t>
          </w:r>
          <w:r>
            <w:br/>
            <w:t>FINAL 7 May 2021</w:t>
          </w:r>
        </w:p>
      </w:tc>
      <w:tc>
        <w:tcPr>
          <w:tcW w:w="1559" w:type="dxa"/>
          <w:tcMar>
            <w:top w:w="142" w:type="dxa"/>
            <w:bottom w:w="0" w:type="dxa"/>
          </w:tcMar>
        </w:tcPr>
        <w:p w14:paraId="2910C2A3" w14:textId="5183AC82" w:rsidR="00D42A0C" w:rsidRPr="00487162" w:rsidRDefault="00D42A0C" w:rsidP="00DB750B">
          <w:pPr>
            <w:pStyle w:val="Footer"/>
            <w:jc w:val="right"/>
          </w:pPr>
          <w:r w:rsidRPr="00487162">
            <w:t xml:space="preserve">Page </w:t>
          </w:r>
          <w:r>
            <w:fldChar w:fldCharType="begin"/>
          </w:r>
          <w:r>
            <w:instrText xml:space="preserve"> PAGE  \* Arabic </w:instrText>
          </w:r>
          <w:r>
            <w:fldChar w:fldCharType="separate"/>
          </w:r>
          <w:r w:rsidR="005550A8">
            <w:rPr>
              <w:noProof/>
            </w:rPr>
            <w:t>5</w:t>
          </w:r>
          <w:r>
            <w:fldChar w:fldCharType="end"/>
          </w:r>
          <w:r w:rsidRPr="00487162">
            <w:t xml:space="preserve"> of </w:t>
          </w:r>
          <w:r>
            <w:fldChar w:fldCharType="begin"/>
          </w:r>
          <w:r>
            <w:instrText xml:space="preserve"> NUMPAGES  \* Arabic </w:instrText>
          </w:r>
          <w:r>
            <w:fldChar w:fldCharType="separate"/>
          </w:r>
          <w:r w:rsidR="005550A8">
            <w:rPr>
              <w:noProof/>
            </w:rPr>
            <w:t>46</w:t>
          </w:r>
          <w:r>
            <w:rPr>
              <w:noProof/>
            </w:rPr>
            <w:fldChar w:fldCharType="end"/>
          </w:r>
        </w:p>
      </w:tc>
    </w:tr>
  </w:tbl>
  <w:p w14:paraId="5B7A8846" w14:textId="77777777" w:rsidR="00D42A0C" w:rsidRDefault="00D42A0C"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53F3" w14:textId="77777777" w:rsidR="00D42A0C" w:rsidRDefault="00D42A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42A0C" w:rsidRPr="00487162" w14:paraId="064A69A6" w14:textId="77777777" w:rsidTr="00E45619">
      <w:trPr>
        <w:trHeight w:val="269"/>
      </w:trPr>
      <w:tc>
        <w:tcPr>
          <w:tcW w:w="4519" w:type="dxa"/>
          <w:tcBorders>
            <w:top w:val="single" w:sz="4" w:space="0" w:color="auto"/>
          </w:tcBorders>
          <w:tcMar>
            <w:top w:w="142" w:type="dxa"/>
            <w:bottom w:w="0" w:type="dxa"/>
          </w:tcMar>
        </w:tcPr>
        <w:p w14:paraId="42D4F166" w14:textId="77777777" w:rsidR="00D42A0C" w:rsidRPr="00487162" w:rsidRDefault="00D42A0C" w:rsidP="00FE1DEE">
          <w:pPr>
            <w:pStyle w:val="Footer"/>
          </w:pPr>
          <w:r w:rsidRPr="00487162">
            <w:t>Document title, Part #, Section # - Section title</w:t>
          </w:r>
        </w:p>
        <w:p w14:paraId="7E3DBFC6" w14:textId="77777777" w:rsidR="00D42A0C" w:rsidRPr="00487162" w:rsidRDefault="00D42A0C" w:rsidP="00FE1DEE">
          <w:pPr>
            <w:pStyle w:val="Footer"/>
          </w:pPr>
          <w:r w:rsidRPr="00487162">
            <w:t>V1.0 October 2010</w:t>
          </w:r>
        </w:p>
      </w:tc>
      <w:tc>
        <w:tcPr>
          <w:tcW w:w="4342" w:type="dxa"/>
          <w:tcBorders>
            <w:top w:val="single" w:sz="4" w:space="0" w:color="auto"/>
          </w:tcBorders>
          <w:tcMar>
            <w:top w:w="142" w:type="dxa"/>
            <w:bottom w:w="0" w:type="dxa"/>
          </w:tcMar>
        </w:tcPr>
        <w:p w14:paraId="21F31A73" w14:textId="77777777" w:rsidR="00D42A0C" w:rsidRPr="00487162" w:rsidRDefault="00D42A0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w:t>
          </w:r>
          <w:r>
            <w:rPr>
              <w:noProof/>
            </w:rPr>
            <w:fldChar w:fldCharType="end"/>
          </w:r>
        </w:p>
      </w:tc>
    </w:tr>
  </w:tbl>
  <w:p w14:paraId="6FC3BDCC" w14:textId="77777777" w:rsidR="00D42A0C" w:rsidRDefault="00D42A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955E" w14:textId="77777777" w:rsidR="00D42A0C" w:rsidRPr="001C32CD" w:rsidRDefault="00D42A0C"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42A0C" w14:paraId="65F63C5F" w14:textId="77777777" w:rsidTr="0010601F">
      <w:trPr>
        <w:trHeight w:val="108"/>
      </w:trPr>
      <w:tc>
        <w:tcPr>
          <w:tcW w:w="8875" w:type="dxa"/>
          <w:gridSpan w:val="2"/>
          <w:tcBorders>
            <w:bottom w:val="single" w:sz="4" w:space="0" w:color="auto"/>
          </w:tcBorders>
          <w:tcMar>
            <w:right w:w="284" w:type="dxa"/>
          </w:tcMar>
        </w:tcPr>
        <w:p w14:paraId="09EC7526" w14:textId="77777777" w:rsidR="00D42A0C" w:rsidRDefault="00D42A0C" w:rsidP="006E08B3">
          <w:pPr>
            <w:pStyle w:val="Heading3"/>
          </w:pPr>
          <w:r>
            <w:t>Copyright</w:t>
          </w:r>
        </w:p>
        <w:p w14:paraId="4F56DEDD" w14:textId="77777777" w:rsidR="00D42A0C" w:rsidRDefault="00D42A0C" w:rsidP="006E08B3">
          <w:r>
            <w:rPr>
              <w:rFonts w:cs="Arial"/>
            </w:rPr>
            <w:t>©</w:t>
          </w:r>
          <w:r>
            <w:t xml:space="preserve"> Commonwealth of Australia [add year]</w:t>
          </w:r>
        </w:p>
        <w:p w14:paraId="52B096A1" w14:textId="77777777" w:rsidR="00D42A0C" w:rsidRDefault="00D42A0C" w:rsidP="006E08B3"/>
        <w:p w14:paraId="5B8F903A" w14:textId="77777777" w:rsidR="00D42A0C" w:rsidRDefault="00D42A0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D9CF6EF" w14:textId="77777777" w:rsidR="00D42A0C" w:rsidRDefault="00D42A0C" w:rsidP="006E08B3"/>
        <w:p w14:paraId="79B9FDF2" w14:textId="77777777" w:rsidR="00D42A0C" w:rsidRDefault="00D42A0C" w:rsidP="006E08B3">
          <w:pPr>
            <w:pStyle w:val="Heading3"/>
          </w:pPr>
          <w:r>
            <w:t>Confidentiality</w:t>
          </w:r>
        </w:p>
        <w:p w14:paraId="6F5025EC" w14:textId="77777777" w:rsidR="00D42A0C" w:rsidRDefault="00D42A0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0CBB60F" w14:textId="77777777" w:rsidR="00D42A0C" w:rsidRDefault="00D42A0C" w:rsidP="006E08B3"/>
        <w:p w14:paraId="521449DF" w14:textId="77777777" w:rsidR="00D42A0C" w:rsidRDefault="00D42A0C" w:rsidP="006E08B3">
          <w:r>
            <w:t>For submission made by individuals, all personal details, other than your name, will be removed from your submission before it is published on the TGA’s Internet site.</w:t>
          </w:r>
        </w:p>
        <w:p w14:paraId="6F62C38E" w14:textId="77777777" w:rsidR="00D42A0C" w:rsidRDefault="00D42A0C" w:rsidP="006E08B3"/>
        <w:p w14:paraId="3AF50CBB" w14:textId="77777777" w:rsidR="00D42A0C" w:rsidRDefault="00D42A0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42A0C" w14:paraId="112E804D" w14:textId="77777777" w:rsidTr="0010601F">
      <w:trPr>
        <w:trHeight w:val="417"/>
      </w:trPr>
      <w:tc>
        <w:tcPr>
          <w:tcW w:w="4519" w:type="dxa"/>
          <w:tcBorders>
            <w:top w:val="single" w:sz="4" w:space="0" w:color="auto"/>
          </w:tcBorders>
          <w:tcMar>
            <w:top w:w="142" w:type="dxa"/>
            <w:bottom w:w="0" w:type="dxa"/>
          </w:tcMar>
        </w:tcPr>
        <w:p w14:paraId="3276EB91" w14:textId="77777777" w:rsidR="00D42A0C" w:rsidRDefault="00D42A0C" w:rsidP="006E08B3">
          <w:r>
            <w:t>Document title, Part #, Section # - Section title</w:t>
          </w:r>
        </w:p>
        <w:p w14:paraId="1737F876" w14:textId="77777777" w:rsidR="00D42A0C" w:rsidRDefault="00D42A0C" w:rsidP="006E08B3">
          <w:r>
            <w:t>V1.0 October 2010</w:t>
          </w:r>
        </w:p>
      </w:tc>
      <w:tc>
        <w:tcPr>
          <w:tcW w:w="4356" w:type="dxa"/>
          <w:tcBorders>
            <w:top w:val="single" w:sz="4" w:space="0" w:color="auto"/>
          </w:tcBorders>
          <w:tcMar>
            <w:top w:w="142" w:type="dxa"/>
            <w:bottom w:w="0" w:type="dxa"/>
          </w:tcMar>
        </w:tcPr>
        <w:p w14:paraId="59439817" w14:textId="77777777" w:rsidR="00D42A0C" w:rsidRDefault="00D42A0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14:paraId="3FFCCA90" w14:textId="77777777" w:rsidR="00D42A0C" w:rsidRDefault="00D42A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E49A8" w14:textId="77777777" w:rsidR="00D42A0C" w:rsidRDefault="00D42A0C" w:rsidP="00C40A36">
      <w:pPr>
        <w:spacing w:after="0"/>
      </w:pPr>
      <w:r>
        <w:separator/>
      </w:r>
    </w:p>
  </w:footnote>
  <w:footnote w:type="continuationSeparator" w:id="0">
    <w:p w14:paraId="5790BDC0" w14:textId="77777777" w:rsidR="00D42A0C" w:rsidRDefault="00D42A0C" w:rsidP="00C40A36">
      <w:pPr>
        <w:spacing w:after="0"/>
      </w:pPr>
      <w:r>
        <w:continuationSeparator/>
      </w:r>
    </w:p>
  </w:footnote>
  <w:footnote w:id="1">
    <w:p w14:paraId="0C596A63" w14:textId="77777777" w:rsidR="00D42A0C" w:rsidRDefault="00D42A0C">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D530871" w14:textId="77777777" w:rsidR="00D42A0C" w:rsidRDefault="00D42A0C" w:rsidP="00D16B00">
      <w:pPr>
        <w:pStyle w:val="FootnoteText"/>
      </w:pPr>
      <w:r>
        <w:rPr>
          <w:rStyle w:val="FootnoteReference"/>
        </w:rPr>
        <w:footnoteRef/>
      </w:r>
      <w:r>
        <w:t xml:space="preserve"> Depression and Other Common Mental Disorders: Global Health Estimates. Geneva: World Health Organization; 2017. Available from the WHO website.</w:t>
      </w:r>
    </w:p>
  </w:footnote>
  <w:footnote w:id="3">
    <w:p w14:paraId="5577C4E5" w14:textId="77777777" w:rsidR="00D42A0C" w:rsidRDefault="00D42A0C">
      <w:pPr>
        <w:pStyle w:val="FootnoteText"/>
      </w:pPr>
      <w:r>
        <w:rPr>
          <w:rStyle w:val="FootnoteReference"/>
        </w:rPr>
        <w:footnoteRef/>
      </w:r>
      <w:r>
        <w:t xml:space="preserve"> Manger, A, </w:t>
      </w:r>
      <w:r w:rsidRPr="00D16B00">
        <w:t>Lifestyle interventions for mental health</w:t>
      </w:r>
      <w:r>
        <w:t xml:space="preserve">, </w:t>
      </w:r>
      <w:r w:rsidRPr="00D16B00">
        <w:rPr>
          <w:i/>
        </w:rPr>
        <w:t>AJGP</w:t>
      </w:r>
      <w:r>
        <w:t xml:space="preserve">, 2019; 48: </w:t>
      </w:r>
      <w:proofErr w:type="spellStart"/>
      <w:r w:rsidRPr="00D16B00">
        <w:t>doi</w:t>
      </w:r>
      <w:proofErr w:type="spellEnd"/>
      <w:r w:rsidRPr="00D16B00">
        <w:t>: 10.31128/AJGP-06-19-4964</w:t>
      </w:r>
      <w:r>
        <w:t>.</w:t>
      </w:r>
    </w:p>
  </w:footnote>
  <w:footnote w:id="4">
    <w:p w14:paraId="6EC969F8" w14:textId="77777777" w:rsidR="00D42A0C" w:rsidRDefault="00D42A0C" w:rsidP="000A4F36">
      <w:pPr>
        <w:pStyle w:val="FootnoteText"/>
      </w:pPr>
      <w:r>
        <w:rPr>
          <w:rStyle w:val="FootnoteReference"/>
        </w:rPr>
        <w:footnoteRef/>
      </w:r>
      <w:r>
        <w:t xml:space="preserve"> Australian Bureau of Statistics (ABS), </w:t>
      </w:r>
      <w:r w:rsidRPr="000A4F36">
        <w:t>National Survey of Mental Health and Wellbeing: Summary of Results</w:t>
      </w:r>
      <w:r>
        <w:t>, Reference period: 2007, Released 23 October 2008. Available from the ABS website.</w:t>
      </w:r>
    </w:p>
  </w:footnote>
  <w:footnote w:id="5">
    <w:p w14:paraId="3FF334B2" w14:textId="77777777" w:rsidR="00D42A0C" w:rsidRDefault="00D42A0C">
      <w:pPr>
        <w:pStyle w:val="FootnoteText"/>
      </w:pPr>
      <w:r>
        <w:rPr>
          <w:rStyle w:val="FootnoteReference"/>
        </w:rPr>
        <w:footnoteRef/>
      </w:r>
      <w:r>
        <w:t xml:space="preserve"> Product Information (PI) for Seroquel XR (quetiapine fumarate) modified release tablets, Date of revision 7 December 2020. Available from the TGA PI repository at: </w:t>
      </w:r>
      <w:hyperlink r:id="rId1" w:history="1">
        <w:r w:rsidRPr="005D73B1">
          <w:rPr>
            <w:rStyle w:val="Hyperlink"/>
          </w:rPr>
          <w:t>https://www.ebs.tga.gov.au/</w:t>
        </w:r>
      </w:hyperlink>
      <w:r>
        <w:t>.</w:t>
      </w:r>
    </w:p>
  </w:footnote>
  <w:footnote w:id="6">
    <w:p w14:paraId="70397630" w14:textId="77777777" w:rsidR="00D42A0C" w:rsidRDefault="00D42A0C" w:rsidP="00AF58E6">
      <w:pPr>
        <w:pStyle w:val="FootnoteText"/>
      </w:pPr>
      <w:r>
        <w:rPr>
          <w:rStyle w:val="FootnoteReference"/>
        </w:rPr>
        <w:footnoteRef/>
      </w:r>
      <w:r>
        <w:t xml:space="preserve"> </w:t>
      </w:r>
      <w:proofErr w:type="spellStart"/>
      <w:r>
        <w:t>Center</w:t>
      </w:r>
      <w:proofErr w:type="spellEnd"/>
      <w:r>
        <w:t xml:space="preserve"> for Drug Evaluation and Research, FDA, Approval Package for application number NDA 21-520/S-012, </w:t>
      </w:r>
      <w:proofErr w:type="spellStart"/>
      <w:r>
        <w:t>Symbyax</w:t>
      </w:r>
      <w:proofErr w:type="spellEnd"/>
      <w:r>
        <w:t xml:space="preserve"> (olanzapine and fluoxetine hydrochloride), Approval date 19 March 2009. Available from the FDA website.</w:t>
      </w:r>
    </w:p>
  </w:footnote>
  <w:footnote w:id="7">
    <w:p w14:paraId="68727FAC" w14:textId="77777777" w:rsidR="00D42A0C" w:rsidRPr="002365AD" w:rsidRDefault="00D42A0C" w:rsidP="000A67BD">
      <w:pPr>
        <w:pStyle w:val="FootnoteText"/>
        <w:rPr>
          <w:lang w:val="en-US"/>
        </w:rPr>
      </w:pPr>
      <w:r>
        <w:rPr>
          <w:rStyle w:val="FootnoteReference"/>
        </w:rPr>
        <w:footnoteRef/>
      </w:r>
      <w:r>
        <w:t xml:space="preserve"> </w:t>
      </w:r>
      <w:r w:rsidRPr="000A67BD">
        <w:t xml:space="preserve">AMPA receptors </w:t>
      </w:r>
      <w:r>
        <w:t>are glutamate receptors</w:t>
      </w:r>
      <w:r w:rsidRPr="000A67BD">
        <w:t xml:space="preserve"> activated by</w:t>
      </w:r>
      <w:r>
        <w:t xml:space="preserve"> and named after</w:t>
      </w:r>
      <w:r w:rsidRPr="000A67BD">
        <w:t xml:space="preserve"> the artificial glutamate analogue α-amino-3-hydroxy-5-methyl-4-isoxazolepropionic acid (AMPA).</w:t>
      </w:r>
    </w:p>
  </w:footnote>
  <w:footnote w:id="8">
    <w:p w14:paraId="6778145C" w14:textId="77777777" w:rsidR="00D42A0C" w:rsidRDefault="00D42A0C">
      <w:pPr>
        <w:pStyle w:val="FootnoteText"/>
      </w:pPr>
      <w:r>
        <w:rPr>
          <w:rStyle w:val="FootnoteReference"/>
        </w:rPr>
        <w:footnoteRef/>
      </w:r>
      <w:r>
        <w:t xml:space="preserve"> </w:t>
      </w:r>
      <w:r w:rsidRPr="004E3568">
        <w:t>Abdallah</w:t>
      </w:r>
      <w:r>
        <w:t>, C.</w:t>
      </w:r>
      <w:r w:rsidRPr="004E3568">
        <w:t xml:space="preserve"> </w:t>
      </w:r>
      <w:r>
        <w:t>et al,</w:t>
      </w:r>
      <w:r w:rsidRPr="004E3568">
        <w:t xml:space="preserve"> Ketamine and rapid-acting antidepressants: a window into a new neurobiology</w:t>
      </w:r>
      <w:r>
        <w:t xml:space="preserve"> for mood disorder therapeutics,</w:t>
      </w:r>
      <w:r w:rsidRPr="004E3568">
        <w:t xml:space="preserve"> </w:t>
      </w:r>
      <w:r w:rsidRPr="004E3568">
        <w:rPr>
          <w:i/>
        </w:rPr>
        <w:t>Annual Reviews in Medicine</w:t>
      </w:r>
      <w:r w:rsidRPr="004E3568">
        <w:t xml:space="preserve">, </w:t>
      </w:r>
      <w:r>
        <w:t xml:space="preserve">2015; </w:t>
      </w:r>
      <w:r w:rsidRPr="004E3568">
        <w:t>66: 509-523.</w:t>
      </w:r>
    </w:p>
  </w:footnote>
  <w:footnote w:id="9">
    <w:p w14:paraId="04B1F042" w14:textId="77777777" w:rsidR="00D42A0C" w:rsidRDefault="00D42A0C">
      <w:pPr>
        <w:pStyle w:val="FootnoteText"/>
      </w:pPr>
      <w:r>
        <w:rPr>
          <w:rStyle w:val="FootnoteReference"/>
        </w:rPr>
        <w:footnoteRef/>
      </w:r>
      <w:r>
        <w:t xml:space="preserve"> EMA, </w:t>
      </w:r>
      <w:r w:rsidRPr="008A54ED">
        <w:t>Committee for Medicinal Products for Human Use (CHMP)</w:t>
      </w:r>
      <w:r>
        <w:t xml:space="preserve">, </w:t>
      </w:r>
      <w:r w:rsidRPr="00363E87">
        <w:t>Guideline on clinical investigation of medicinal products in the treatment of depression: EMA/CHMP/185423/</w:t>
      </w:r>
      <w:r>
        <w:t>2010 Rev. 2. 30 May 2013</w:t>
      </w:r>
      <w:r w:rsidRPr="00363E87">
        <w:t>.</w:t>
      </w:r>
    </w:p>
  </w:footnote>
  <w:footnote w:id="10">
    <w:p w14:paraId="395AB77E" w14:textId="7D03A345" w:rsidR="00D42A0C" w:rsidRDefault="00D42A0C">
      <w:pPr>
        <w:pStyle w:val="FootnoteText"/>
      </w:pPr>
      <w:r>
        <w:rPr>
          <w:rStyle w:val="FootnoteReference"/>
        </w:rPr>
        <w:footnoteRef/>
      </w:r>
      <w:r>
        <w:t xml:space="preserve"> ICH = </w:t>
      </w:r>
      <w:r w:rsidRPr="008A54ED">
        <w:t>International Council for Harmonisation of Technical Requirements for Phar</w:t>
      </w:r>
      <w:r>
        <w:t>maceuticals for Human Use.</w:t>
      </w:r>
    </w:p>
  </w:footnote>
  <w:footnote w:id="11">
    <w:p w14:paraId="683E3A5B" w14:textId="77777777" w:rsidR="00D42A0C" w:rsidRDefault="00D42A0C" w:rsidP="008A54ED">
      <w:pPr>
        <w:pStyle w:val="FootnoteText"/>
      </w:pPr>
      <w:r>
        <w:rPr>
          <w:rStyle w:val="FootnoteReference"/>
        </w:rPr>
        <w:footnoteRef/>
      </w:r>
      <w:r>
        <w:t xml:space="preserve"> ICH, Guidance on Nonclinical Safety Studies for the Conduct of Human Clinical Trials and Marketing Authorization for Pharmaceuticals, M3 (R2), Current Step 4 version, 11 June 2009.</w:t>
      </w:r>
    </w:p>
  </w:footnote>
  <w:footnote w:id="12">
    <w:p w14:paraId="4A6A767B" w14:textId="6097A394" w:rsidR="00D42A0C" w:rsidRPr="005E7689" w:rsidRDefault="00D42A0C">
      <w:pPr>
        <w:pStyle w:val="FootnoteText"/>
        <w:rPr>
          <w:lang w:val="en-US"/>
        </w:rPr>
      </w:pPr>
      <w:r>
        <w:rPr>
          <w:rStyle w:val="FootnoteReference"/>
        </w:rPr>
        <w:footnoteRef/>
      </w:r>
      <w:r>
        <w:t xml:space="preserve"> </w:t>
      </w:r>
      <w:r w:rsidRPr="00342B0E">
        <w:t xml:space="preserve">The </w:t>
      </w:r>
      <w:r w:rsidRPr="005E7689">
        <w:rPr>
          <w:b/>
        </w:rPr>
        <w:t>QT interval</w:t>
      </w:r>
      <w:r w:rsidRPr="00342B0E">
        <w:t xml:space="preserve"> is the time from the start of the QRS wave complex to the end of the corresponding T wave. It approximates to the time taken for ventricular depolarisation and repolarisation, that is to say, the period of ventricular systole from ventricular </w:t>
      </w:r>
      <w:proofErr w:type="spellStart"/>
      <w:r w:rsidRPr="00342B0E">
        <w:t>isovolumetric</w:t>
      </w:r>
      <w:proofErr w:type="spellEnd"/>
      <w:r w:rsidRPr="00342B0E">
        <w:t xml:space="preserve"> contraction to </w:t>
      </w:r>
      <w:proofErr w:type="spellStart"/>
      <w:r w:rsidRPr="00342B0E">
        <w:t>isovolumetric</w:t>
      </w:r>
      <w:proofErr w:type="spellEnd"/>
      <w:r w:rsidRPr="00342B0E">
        <w:t xml:space="preserve"> relaxation.</w:t>
      </w:r>
    </w:p>
  </w:footnote>
  <w:footnote w:id="13">
    <w:p w14:paraId="532421FA" w14:textId="5CC123C7" w:rsidR="00D42A0C" w:rsidRPr="005E7689" w:rsidRDefault="00D42A0C">
      <w:pPr>
        <w:pStyle w:val="FootnoteText"/>
        <w:rPr>
          <w:lang w:val="en-US"/>
        </w:rPr>
      </w:pPr>
      <w:r>
        <w:rPr>
          <w:rStyle w:val="FootnoteReference"/>
        </w:rPr>
        <w:footnoteRef/>
      </w:r>
      <w:r>
        <w:t xml:space="preserve"> The </w:t>
      </w:r>
      <w:r w:rsidRPr="005E7689">
        <w:rPr>
          <w:b/>
        </w:rPr>
        <w:t>PQ interval</w:t>
      </w:r>
      <w:r>
        <w:t xml:space="preserve"> is the time taken from the </w:t>
      </w:r>
      <w:r w:rsidRPr="00342B0E">
        <w:t xml:space="preserve">start of the P wave </w:t>
      </w:r>
      <w:r>
        <w:t xml:space="preserve">to the start of at QRS wave complex. It indicates the speed at which the action potential is being transmitted through the atrioventricular node from the atria to the ventricles. </w:t>
      </w:r>
      <w:r w:rsidRPr="008F1E1E">
        <w:t>The PQ in</w:t>
      </w:r>
      <w:r>
        <w:t xml:space="preserve">terval approximates to the period of time from the start of atrial contraction and ending at the start of </w:t>
      </w:r>
      <w:r w:rsidRPr="008F1E1E">
        <w:t>ventricular contraction.</w:t>
      </w:r>
    </w:p>
  </w:footnote>
  <w:footnote w:id="14">
    <w:p w14:paraId="4D30B64D" w14:textId="77777777" w:rsidR="00D42A0C" w:rsidRDefault="00D42A0C" w:rsidP="008F1E1E">
      <w:pPr>
        <w:pStyle w:val="FootnoteText"/>
      </w:pPr>
      <w:r>
        <w:rPr>
          <w:rStyle w:val="FootnoteReference"/>
        </w:rPr>
        <w:footnoteRef/>
      </w:r>
      <w:r>
        <w:t xml:space="preserve"> </w:t>
      </w:r>
      <w:r w:rsidRPr="005E7689">
        <w:rPr>
          <w:b/>
        </w:rPr>
        <w:t>Cytochrome P450</w:t>
      </w:r>
      <w:r>
        <w:t xml:space="preserve"> (</w:t>
      </w:r>
      <w:r w:rsidRPr="005E7689">
        <w:rPr>
          <w:b/>
        </w:rPr>
        <w:t>CYP</w:t>
      </w:r>
      <w:r>
        <w:t xml:space="preserve">) </w:t>
      </w:r>
      <w:r w:rsidRPr="005E7689">
        <w:rPr>
          <w:b/>
        </w:rPr>
        <w:t>enzymes</w:t>
      </w:r>
      <w:r>
        <w:t xml:space="preserve">: CYPs are the major enzymes involved in drug metabolism, accounting for large part of the total metabolism. Most drugs undergo deactivation by CYPs, either directly or by facilitated excretion from the body. Also, many substances are </w:t>
      </w:r>
      <w:proofErr w:type="spellStart"/>
      <w:r>
        <w:t>bioactivated</w:t>
      </w:r>
      <w:proofErr w:type="spellEnd"/>
      <w:r>
        <w:t xml:space="preserve"> by CYPs to form their active compounds.</w:t>
      </w:r>
    </w:p>
    <w:p w14:paraId="3263827C" w14:textId="2A325E13" w:rsidR="00D42A0C" w:rsidRPr="005E7689" w:rsidRDefault="00D42A0C" w:rsidP="008F1E1E">
      <w:pPr>
        <w:pStyle w:val="FootnoteText"/>
        <w:rPr>
          <w:lang w:val="en-US"/>
        </w:rPr>
      </w:pPr>
      <w: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5">
    <w:p w14:paraId="7034F32A" w14:textId="05091D6B" w:rsidR="00D42A0C" w:rsidRPr="005E7689" w:rsidRDefault="00D42A0C">
      <w:pPr>
        <w:pStyle w:val="FootnoteText"/>
        <w:rPr>
          <w:lang w:val="en-US"/>
        </w:rPr>
      </w:pPr>
      <w:r>
        <w:rPr>
          <w:rStyle w:val="FootnoteReference"/>
        </w:rPr>
        <w:footnoteRef/>
      </w:r>
      <w:r>
        <w:t xml:space="preserve"> </w:t>
      </w:r>
      <w:proofErr w:type="spellStart"/>
      <w:r w:rsidRPr="005E7689">
        <w:rPr>
          <w:b/>
        </w:rPr>
        <w:t>Preyer</w:t>
      </w:r>
      <w:proofErr w:type="spellEnd"/>
      <w:r w:rsidRPr="005E7689">
        <w:rPr>
          <w:b/>
        </w:rPr>
        <w:t xml:space="preserve"> response reflex</w:t>
      </w:r>
      <w:r>
        <w:t xml:space="preserve"> is</w:t>
      </w:r>
      <w:r w:rsidRPr="00A36BC1">
        <w:t xml:space="preserve"> the elicitation of </w:t>
      </w:r>
      <w:r>
        <w:t xml:space="preserve">a </w:t>
      </w:r>
      <w:r w:rsidRPr="00A36BC1">
        <w:t>startle response to au</w:t>
      </w:r>
      <w:r>
        <w:t xml:space="preserve">ditory stimuli, </w:t>
      </w:r>
      <w:r w:rsidRPr="00A36BC1">
        <w:t>used for the evaluation of hearing in rodents and other animals.</w:t>
      </w:r>
    </w:p>
  </w:footnote>
  <w:footnote w:id="16">
    <w:p w14:paraId="3651B03E" w14:textId="77777777" w:rsidR="00D42A0C" w:rsidRDefault="00D42A0C">
      <w:pPr>
        <w:pStyle w:val="FootnoteText"/>
      </w:pPr>
      <w:r>
        <w:rPr>
          <w:rStyle w:val="FootnoteReference"/>
        </w:rPr>
        <w:footnoteRef/>
      </w:r>
      <w:r>
        <w:t xml:space="preserve"> Zhao, T. et al. </w:t>
      </w:r>
      <w:r w:rsidRPr="006F26BD">
        <w:t xml:space="preserve">Prenatal ketamine exposure causes abnormal development of prefrontal cortex in rats. </w:t>
      </w:r>
      <w:r w:rsidRPr="006F26BD">
        <w:rPr>
          <w:i/>
        </w:rPr>
        <w:t>Nature Scientific Reports</w:t>
      </w:r>
      <w:r w:rsidRPr="006F26BD">
        <w:t>.</w:t>
      </w:r>
      <w:r>
        <w:t xml:space="preserve"> 2016;</w:t>
      </w:r>
      <w:r w:rsidRPr="006F26BD">
        <w:t xml:space="preserve"> 6: 26865, 1-12</w:t>
      </w:r>
      <w:r>
        <w:t>.</w:t>
      </w:r>
    </w:p>
  </w:footnote>
  <w:footnote w:id="17">
    <w:p w14:paraId="76E305AC" w14:textId="77777777" w:rsidR="00D42A0C" w:rsidRDefault="00D42A0C">
      <w:pPr>
        <w:pStyle w:val="FootnoteText"/>
      </w:pPr>
      <w:r>
        <w:rPr>
          <w:rStyle w:val="FootnoteReference"/>
        </w:rPr>
        <w:footnoteRef/>
      </w:r>
      <w:r>
        <w:t xml:space="preserve"> </w:t>
      </w:r>
      <w:r>
        <w:rPr>
          <w:rFonts w:eastAsia="TimesNewRoman" w:cs="TimesNewRoman"/>
        </w:rPr>
        <w:t>Zhao, T. et al.</w:t>
      </w:r>
      <w:r w:rsidRPr="00376656">
        <w:rPr>
          <w:rFonts w:eastAsia="TimesNewRoman" w:cs="TimesNewRoman"/>
        </w:rPr>
        <w:t xml:space="preserve"> Ketamine administered to pregnant rats in the second trimester causes long-lasting behavioural disorders in their offspring</w:t>
      </w:r>
      <w:r>
        <w:rPr>
          <w:rFonts w:eastAsia="TimesNewRoman" w:cs="TimesNewRoman"/>
        </w:rPr>
        <w:t>,</w:t>
      </w:r>
      <w:r w:rsidRPr="00376656">
        <w:rPr>
          <w:rFonts w:eastAsia="TimesNewRoman" w:cs="TimesNewRoman"/>
        </w:rPr>
        <w:t xml:space="preserve"> </w:t>
      </w:r>
      <w:r w:rsidRPr="00376656">
        <w:rPr>
          <w:rFonts w:eastAsia="TimesNewRoman" w:cs="TimesNewRoman"/>
          <w:i/>
        </w:rPr>
        <w:t>Neurobiology of Disease</w:t>
      </w:r>
      <w:r w:rsidRPr="00376656">
        <w:rPr>
          <w:rFonts w:eastAsia="TimesNewRoman" w:cs="TimesNewRoman"/>
        </w:rPr>
        <w:t xml:space="preserve">, </w:t>
      </w:r>
      <w:r w:rsidRPr="006F26BD">
        <w:rPr>
          <w:rFonts w:eastAsia="TimesNewRoman" w:cs="TimesNewRoman"/>
        </w:rPr>
        <w:t>2014; 68</w:t>
      </w:r>
      <w:r w:rsidRPr="00376656">
        <w:rPr>
          <w:rFonts w:eastAsia="TimesNewRoman" w:cs="TimesNewRoman"/>
        </w:rPr>
        <w:t>: 145-155.</w:t>
      </w:r>
    </w:p>
  </w:footnote>
  <w:footnote w:id="18">
    <w:p w14:paraId="7E5D9ECD" w14:textId="77777777" w:rsidR="00D42A0C" w:rsidRDefault="00D42A0C">
      <w:pPr>
        <w:pStyle w:val="FootnoteText"/>
      </w:pPr>
      <w:r>
        <w:rPr>
          <w:rStyle w:val="FootnoteReference"/>
        </w:rPr>
        <w:footnoteRef/>
      </w:r>
      <w:r>
        <w:t xml:space="preserve"> </w:t>
      </w:r>
      <w:proofErr w:type="spellStart"/>
      <w:r w:rsidRPr="00376656">
        <w:rPr>
          <w:rFonts w:eastAsia="TimesNewRoman" w:cs="TimesNewRoman"/>
        </w:rPr>
        <w:t>Brambrink</w:t>
      </w:r>
      <w:proofErr w:type="spellEnd"/>
      <w:r>
        <w:rPr>
          <w:rFonts w:eastAsia="TimesNewRoman" w:cs="TimesNewRoman"/>
        </w:rPr>
        <w:t>,</w:t>
      </w:r>
      <w:r w:rsidRPr="00376656">
        <w:rPr>
          <w:rFonts w:eastAsia="TimesNewRoman" w:cs="TimesNewRoman"/>
        </w:rPr>
        <w:t xml:space="preserve"> A</w:t>
      </w:r>
      <w:r>
        <w:rPr>
          <w:rFonts w:eastAsia="TimesNewRoman" w:cs="TimesNewRoman"/>
        </w:rPr>
        <w:t>.</w:t>
      </w:r>
      <w:r w:rsidRPr="00376656">
        <w:rPr>
          <w:rFonts w:eastAsia="TimesNewRoman" w:cs="TimesNewRoman"/>
        </w:rPr>
        <w:t>M</w:t>
      </w:r>
      <w:r>
        <w:rPr>
          <w:rFonts w:eastAsia="TimesNewRoman" w:cs="TimesNewRoman"/>
        </w:rPr>
        <w:t>.</w:t>
      </w:r>
      <w:r w:rsidRPr="00376656">
        <w:rPr>
          <w:rFonts w:eastAsia="TimesNewRoman" w:cs="TimesNewRoman"/>
        </w:rPr>
        <w:t xml:space="preserve"> </w:t>
      </w:r>
      <w:r>
        <w:rPr>
          <w:rFonts w:eastAsia="TimesNewRoman" w:cs="TimesNewRoman"/>
        </w:rPr>
        <w:t xml:space="preserve">et al. </w:t>
      </w:r>
      <w:r w:rsidRPr="00376656">
        <w:rPr>
          <w:rFonts w:eastAsia="TimesNewRoman" w:cs="TimesNewRoman"/>
        </w:rPr>
        <w:t xml:space="preserve">Ketamine-induced </w:t>
      </w:r>
      <w:proofErr w:type="spellStart"/>
      <w:r w:rsidRPr="00376656">
        <w:rPr>
          <w:rFonts w:eastAsia="TimesNewRoman" w:cs="TimesNewRoman"/>
        </w:rPr>
        <w:t>neuroapoptosis</w:t>
      </w:r>
      <w:proofErr w:type="spellEnd"/>
      <w:r w:rsidRPr="00376656">
        <w:rPr>
          <w:rFonts w:eastAsia="TimesNewRoman" w:cs="TimesNewRoman"/>
        </w:rPr>
        <w:t xml:space="preserve"> in the fetal and neonatal rhesus macaque brain. </w:t>
      </w:r>
      <w:proofErr w:type="spellStart"/>
      <w:r w:rsidRPr="00376656">
        <w:rPr>
          <w:rFonts w:eastAsia="TimesNewRoman" w:cs="TimesNewRoman"/>
          <w:i/>
        </w:rPr>
        <w:t>Anesthesiology</w:t>
      </w:r>
      <w:proofErr w:type="spellEnd"/>
      <w:r>
        <w:rPr>
          <w:rFonts w:eastAsia="TimesNewRoman" w:cs="TimesNewRoman"/>
          <w:i/>
        </w:rPr>
        <w:t>.</w:t>
      </w:r>
      <w:r w:rsidRPr="00376656">
        <w:rPr>
          <w:rFonts w:eastAsia="TimesNewRoman" w:cs="TimesNewRoman"/>
        </w:rPr>
        <w:t xml:space="preserve">, </w:t>
      </w:r>
      <w:r>
        <w:rPr>
          <w:rFonts w:eastAsia="TimesNewRoman" w:cs="TimesNewRoman"/>
        </w:rPr>
        <w:t xml:space="preserve">2012; </w:t>
      </w:r>
      <w:r w:rsidRPr="006F26BD">
        <w:rPr>
          <w:rFonts w:eastAsia="TimesNewRoman" w:cs="TimesNewRoman"/>
        </w:rPr>
        <w:t xml:space="preserve">116: </w:t>
      </w:r>
      <w:r w:rsidRPr="00376656">
        <w:rPr>
          <w:rFonts w:eastAsia="TimesNewRoman" w:cs="TimesNewRoman"/>
        </w:rPr>
        <w:t>372-384</w:t>
      </w:r>
    </w:p>
  </w:footnote>
  <w:footnote w:id="19">
    <w:p w14:paraId="68A22079" w14:textId="77777777" w:rsidR="00D42A0C" w:rsidRDefault="00D42A0C">
      <w:pPr>
        <w:pStyle w:val="FootnoteText"/>
      </w:pPr>
      <w:r>
        <w:rPr>
          <w:rStyle w:val="FootnoteReference"/>
        </w:rPr>
        <w:footnoteRef/>
      </w:r>
      <w:r>
        <w:t xml:space="preserve"> </w:t>
      </w:r>
      <w:proofErr w:type="spellStart"/>
      <w:r>
        <w:t>Slikker</w:t>
      </w:r>
      <w:proofErr w:type="spellEnd"/>
      <w:r>
        <w:t xml:space="preserve">, W. et al. </w:t>
      </w:r>
      <w:r w:rsidRPr="006F26BD">
        <w:t>Ketamine-induced neuronal cell death in the perinatal rhesus</w:t>
      </w:r>
      <w:r>
        <w:t xml:space="preserve"> monkey. </w:t>
      </w:r>
      <w:r w:rsidRPr="006F26BD">
        <w:rPr>
          <w:i/>
        </w:rPr>
        <w:t>Toxicological Sciences</w:t>
      </w:r>
      <w:r w:rsidRPr="006F26BD">
        <w:t xml:space="preserve">, </w:t>
      </w:r>
      <w:r>
        <w:t xml:space="preserve">2007; </w:t>
      </w:r>
      <w:r w:rsidRPr="006F26BD">
        <w:t>98: 145-158.</w:t>
      </w:r>
    </w:p>
  </w:footnote>
  <w:footnote w:id="20">
    <w:p w14:paraId="2EC4A17E" w14:textId="77777777" w:rsidR="00D42A0C" w:rsidRDefault="00D42A0C" w:rsidP="003D09FB">
      <w:pPr>
        <w:pStyle w:val="FootnoteText"/>
      </w:pPr>
      <w:r>
        <w:rPr>
          <w:rStyle w:val="FootnoteReference"/>
        </w:rPr>
        <w:footnoteRef/>
      </w:r>
      <w:r>
        <w:t xml:space="preserve"> </w:t>
      </w:r>
      <w:r w:rsidRPr="003D09FB">
        <w:rPr>
          <w:b/>
        </w:rPr>
        <w:t>Australian Pregnancy Category B3</w:t>
      </w:r>
      <w:r>
        <w:t>: Drugs which have been taken by only a limited number of pregnant women and women of childbearing age, without an increase in the frequency of malformation or other direct or indirect harmful effects on the human fetus having been observed.</w:t>
      </w:r>
    </w:p>
    <w:p w14:paraId="487428F4" w14:textId="77777777" w:rsidR="00D42A0C" w:rsidRDefault="00D42A0C" w:rsidP="003D09FB">
      <w:pPr>
        <w:pStyle w:val="FootnoteText"/>
      </w:pPr>
      <w:r>
        <w:t>Studies in animals have shown evidence of an increased occurrence of fetal damage, the significance of which is considered uncertain in humans.</w:t>
      </w:r>
    </w:p>
  </w:footnote>
  <w:footnote w:id="21">
    <w:p w14:paraId="3A2142A2" w14:textId="2EEBADA1" w:rsidR="00D42A0C" w:rsidRDefault="00D42A0C">
      <w:pPr>
        <w:pStyle w:val="FootnoteText"/>
      </w:pPr>
      <w:r>
        <w:rPr>
          <w:rStyle w:val="FootnoteReference"/>
        </w:rPr>
        <w:footnoteRef/>
      </w:r>
      <w:r>
        <w:t xml:space="preserve"> </w:t>
      </w:r>
      <w:r w:rsidRPr="005B7DC7">
        <w:rPr>
          <w:b/>
        </w:rPr>
        <w:t>The</w:t>
      </w:r>
      <w:r>
        <w:rPr>
          <w:b/>
        </w:rPr>
        <w:t xml:space="preserve"> Massachusetts General Hospital</w:t>
      </w:r>
      <w:r w:rsidRPr="005B7DC7">
        <w:rPr>
          <w:b/>
        </w:rPr>
        <w:t xml:space="preserve"> Antidepressant Treatment Response Questionnaire (</w:t>
      </w:r>
      <w:r>
        <w:rPr>
          <w:b/>
        </w:rPr>
        <w:t>MGH-</w:t>
      </w:r>
      <w:r w:rsidRPr="005B7DC7">
        <w:rPr>
          <w:b/>
        </w:rPr>
        <w:t>ATRQ)</w:t>
      </w:r>
      <w:r>
        <w:t xml:space="preserve"> is a self-rated scale used to determine treatment resistance in major depressive disorder (MDD). The ATRQ </w:t>
      </w:r>
      <w:r w:rsidRPr="00BF4A51">
        <w:t>examines a patient’s antidepressant treatment history</w:t>
      </w:r>
      <w:r>
        <w:t xml:space="preserve"> and electroconvulsive therapy history in the current episode of depression</w:t>
      </w:r>
      <w:r w:rsidRPr="00BF4A51">
        <w:t xml:space="preserve"> and determines the adequacy of treatment response.</w:t>
      </w:r>
    </w:p>
  </w:footnote>
  <w:footnote w:id="22">
    <w:p w14:paraId="2B53EBBD" w14:textId="6E7060B8" w:rsidR="00D42A0C" w:rsidRDefault="00D42A0C" w:rsidP="00DF2587">
      <w:pPr>
        <w:pStyle w:val="FootnoteText"/>
      </w:pPr>
      <w:r>
        <w:rPr>
          <w:rStyle w:val="FootnoteReference"/>
        </w:rPr>
        <w:footnoteRef/>
      </w:r>
      <w:r>
        <w:t xml:space="preserve"> </w:t>
      </w:r>
      <w:r w:rsidRPr="000416DE">
        <w:rPr>
          <w:b/>
        </w:rPr>
        <w:t>Montgomery-</w:t>
      </w:r>
      <w:proofErr w:type="spellStart"/>
      <w:r w:rsidRPr="005E7689">
        <w:rPr>
          <w:b/>
        </w:rPr>
        <w:t>Å</w:t>
      </w:r>
      <w:r w:rsidRPr="000416DE">
        <w:rPr>
          <w:b/>
        </w:rPr>
        <w:t>sberg</w:t>
      </w:r>
      <w:proofErr w:type="spellEnd"/>
      <w:r w:rsidRPr="000416DE">
        <w:rPr>
          <w:b/>
        </w:rPr>
        <w:t xml:space="preserve"> Depression Rating Scale (MADRS)</w:t>
      </w:r>
      <w:r w:rsidRPr="000416DE">
        <w:t xml:space="preserve"> is a clinician-rated scale designed to measure depression </w:t>
      </w:r>
      <w:r>
        <w:t xml:space="preserve">severity and detect </w:t>
      </w:r>
      <w:r w:rsidRPr="000416DE">
        <w:t xml:space="preserve">changes due to </w:t>
      </w:r>
      <w:r>
        <w:t>antidepressant</w:t>
      </w:r>
      <w:r w:rsidRPr="000416DE">
        <w:t xml:space="preserve"> treatment. The scale consists of 10 items, each scored from 0 (item not present or normal) to 6 (severe or continuous presence of symptoms), for a possible score of 60. Higher scores represent a more severe condition</w:t>
      </w:r>
      <w:r>
        <w:t>; total scores of 0 to 6 are considered normal (or in clinical remission), 7 to 19 suggestive of mild depression, 20 to 34 of moderate depression and scores over 34 are indicative of severe depression.</w:t>
      </w:r>
      <w:r w:rsidRPr="000416DE">
        <w:t xml:space="preserve"> The test exhibits high inter-</w:t>
      </w:r>
      <w:proofErr w:type="spellStart"/>
      <w:r w:rsidRPr="000416DE">
        <w:t>rater</w:t>
      </w:r>
      <w:proofErr w:type="spellEnd"/>
      <w:r w:rsidRPr="000416DE">
        <w:t xml:space="preserve"> reliability. The typical recall period for </w:t>
      </w:r>
      <w:r>
        <w:t xml:space="preserve">the </w:t>
      </w:r>
      <w:r w:rsidRPr="000416DE">
        <w:t>MADRS i</w:t>
      </w:r>
      <w:r>
        <w:t xml:space="preserve">s 7 days, and the 7 </w:t>
      </w:r>
      <w:r w:rsidRPr="000416DE">
        <w:t>day recall period was used for the primary efficacy evaluation.</w:t>
      </w:r>
    </w:p>
  </w:footnote>
  <w:footnote w:id="23">
    <w:p w14:paraId="4D8775FF" w14:textId="1982CF1C" w:rsidR="00D42A0C" w:rsidRDefault="00D42A0C" w:rsidP="000416DE">
      <w:pPr>
        <w:pStyle w:val="FootnoteText"/>
      </w:pPr>
      <w:r>
        <w:rPr>
          <w:rStyle w:val="FootnoteReference"/>
        </w:rPr>
        <w:footnoteRef/>
      </w:r>
      <w:r>
        <w:t xml:space="preserve"> Onset of clinical response was defined as ≥ 50% reduction in MADRS total score by the day after taking the first dose of double blind medication (Day 2, 24 hours) that continued through to the end of the 4 week double blind induction phase, with one excursion (non-response) allowed on Days 8, 15 or 22 (but with ≥ 25% improvement).</w:t>
      </w:r>
    </w:p>
  </w:footnote>
  <w:footnote w:id="24">
    <w:p w14:paraId="1F8D70F4" w14:textId="20542842" w:rsidR="00D42A0C" w:rsidRPr="005E7689" w:rsidRDefault="00D42A0C">
      <w:pPr>
        <w:pStyle w:val="FootnoteText"/>
        <w:rPr>
          <w:lang w:val="en-US"/>
        </w:rPr>
      </w:pPr>
      <w:r>
        <w:rPr>
          <w:rStyle w:val="FootnoteReference"/>
        </w:rPr>
        <w:footnoteRef/>
      </w:r>
      <w:r>
        <w:t xml:space="preserve"> </w:t>
      </w:r>
      <w:r>
        <w:rPr>
          <w:lang w:val="en-US"/>
        </w:rPr>
        <w:t xml:space="preserve">The </w:t>
      </w:r>
      <w:r w:rsidRPr="000726F7">
        <w:rPr>
          <w:b/>
          <w:lang w:val="en-US"/>
        </w:rPr>
        <w:t>Sheehan Disability Scale</w:t>
      </w:r>
      <w:r>
        <w:rPr>
          <w:lang w:val="en-US"/>
        </w:rPr>
        <w:t xml:space="preserve"> (</w:t>
      </w:r>
      <w:r w:rsidRPr="000726F7">
        <w:rPr>
          <w:b/>
          <w:lang w:val="en-US"/>
        </w:rPr>
        <w:t>SDS</w:t>
      </w:r>
      <w:r>
        <w:rPr>
          <w:lang w:val="en-US"/>
        </w:rPr>
        <w:t>) is</w:t>
      </w:r>
      <w:r w:rsidRPr="007768E8">
        <w:rPr>
          <w:lang w:val="en-US"/>
        </w:rPr>
        <w:t xml:space="preserve"> </w:t>
      </w:r>
      <w:r>
        <w:rPr>
          <w:lang w:val="en-US"/>
        </w:rPr>
        <w:t>a 5 item self-reported scale</w:t>
      </w:r>
      <w:r w:rsidRPr="007768E8">
        <w:rPr>
          <w:lang w:val="en-US"/>
        </w:rPr>
        <w:t xml:space="preserve"> that assesse</w:t>
      </w:r>
      <w:r>
        <w:rPr>
          <w:lang w:val="en-US"/>
        </w:rPr>
        <w:t xml:space="preserve">s functional impairment in 3 subscales of work or </w:t>
      </w:r>
      <w:r w:rsidRPr="007768E8">
        <w:rPr>
          <w:lang w:val="en-US"/>
        </w:rPr>
        <w:t>school, social life, and family life.</w:t>
      </w:r>
      <w:r>
        <w:rPr>
          <w:lang w:val="en-US"/>
        </w:rPr>
        <w:t xml:space="preserve"> Each of the three subscales are scored from 0 (no disruption/unimpaired) to 10 (extreme disruption), with scores of ≥ 5 in any of the three subscales suggestive of impairment within that subscale area. Total scores range from 0, being unimpaired to a maximum of 30 indicating globally high impairment.</w:t>
      </w:r>
    </w:p>
  </w:footnote>
  <w:footnote w:id="25">
    <w:p w14:paraId="3B9D50CB" w14:textId="6ECF7962" w:rsidR="00D42A0C" w:rsidRPr="005E7689" w:rsidRDefault="00D42A0C">
      <w:pPr>
        <w:pStyle w:val="FootnoteText"/>
        <w:rPr>
          <w:lang w:val="en-US"/>
        </w:rPr>
      </w:pPr>
      <w:r>
        <w:rPr>
          <w:rStyle w:val="FootnoteReference"/>
        </w:rPr>
        <w:footnoteRef/>
      </w:r>
      <w:r>
        <w:t xml:space="preserve"> </w:t>
      </w:r>
      <w:r w:rsidRPr="00A2403C">
        <w:t xml:space="preserve">The </w:t>
      </w:r>
      <w:r w:rsidRPr="005E7689">
        <w:rPr>
          <w:b/>
        </w:rPr>
        <w:t>Patient Health Questionnaire 9-item (PHQ-9)</w:t>
      </w:r>
      <w:r>
        <w:t xml:space="preserve"> is a 9 </w:t>
      </w:r>
      <w:r w:rsidRPr="00A2403C">
        <w:t xml:space="preserve">question tool </w:t>
      </w:r>
      <w:r>
        <w:t xml:space="preserve">validated </w:t>
      </w:r>
      <w:r w:rsidRPr="00A2403C">
        <w:t>to assess for the degree of depression present in an individual</w:t>
      </w:r>
      <w:r>
        <w:t>, but not as a screening tool for depression</w:t>
      </w:r>
      <w:r w:rsidRPr="00A2403C">
        <w:t>; the last question is not scored, but is useful functionally to help the clinician assess the impact of the patient's symptoms on his or her life.</w:t>
      </w:r>
    </w:p>
  </w:footnote>
  <w:footnote w:id="26">
    <w:p w14:paraId="571F7117" w14:textId="10D27F5C" w:rsidR="00D42A0C" w:rsidRDefault="00D42A0C">
      <w:pPr>
        <w:pStyle w:val="FootnoteText"/>
      </w:pPr>
      <w:r>
        <w:rPr>
          <w:rStyle w:val="FootnoteReference"/>
        </w:rPr>
        <w:footnoteRef/>
      </w:r>
      <w:r>
        <w:t xml:space="preserve"> </w:t>
      </w:r>
      <w:r w:rsidRPr="00216B2A">
        <w:t>Defined as MADRS total score ≥ 22 for 2 consecu</w:t>
      </w:r>
      <w:r>
        <w:t xml:space="preserve">tive assessments separated by 5 to </w:t>
      </w:r>
      <w:r w:rsidRPr="00216B2A">
        <w:t>15 days and/or hospitalisation for worsening depression or any other clinically relevant event judged to be suggestive of a rel</w:t>
      </w:r>
      <w:r>
        <w:t xml:space="preserve">apse of depressive illness for example, </w:t>
      </w:r>
      <w:r w:rsidRPr="00216B2A">
        <w:t>suicide attempt, completed suicide or hospitalisation for suicide prevention. In the case of a clinically relevant event suggestive of relapse, based on the investigator's clinical judgment but, without hospitalisation and unmet MADRS criteria, a relapse adjudication committee (RAC) reviewed the case and determined if the event was a relapse.</w:t>
      </w:r>
    </w:p>
  </w:footnote>
  <w:footnote w:id="27">
    <w:p w14:paraId="2D039720" w14:textId="43BD36CA" w:rsidR="00D42A0C" w:rsidRDefault="00D42A0C">
      <w:pPr>
        <w:pStyle w:val="FootnoteText"/>
      </w:pPr>
      <w:r>
        <w:rPr>
          <w:rStyle w:val="FootnoteReference"/>
        </w:rPr>
        <w:footnoteRef/>
      </w:r>
      <w:r>
        <w:t xml:space="preserve"> </w:t>
      </w:r>
      <w:r w:rsidRPr="00FD2631">
        <w:rPr>
          <w:szCs w:val="18"/>
        </w:rPr>
        <w:t>D</w:t>
      </w:r>
      <w:proofErr w:type="spellStart"/>
      <w:r w:rsidRPr="00FD2631">
        <w:rPr>
          <w:rFonts w:asciiTheme="minorHAnsi" w:eastAsia="TimesNewRoman,Bold" w:hAnsiTheme="minorHAnsi" w:cs="TimesNewRoman"/>
          <w:szCs w:val="18"/>
          <w:lang w:val="en-GB"/>
        </w:rPr>
        <w:t>efined</w:t>
      </w:r>
      <w:proofErr w:type="spellEnd"/>
      <w:r w:rsidRPr="00FD2631">
        <w:rPr>
          <w:rFonts w:asciiTheme="minorHAnsi" w:eastAsia="TimesNewRoman,Bold" w:hAnsiTheme="minorHAnsi" w:cs="TimesNewRoman"/>
          <w:szCs w:val="18"/>
          <w:lang w:val="en-GB"/>
        </w:rPr>
        <w:t xml:space="preserve"> as MADRS total score ≤ 12 for at least 3 of the last 4 weeks of the optimisation phase, with 1 excursion of a MADRS total score &gt;</w:t>
      </w:r>
      <w:r>
        <w:rPr>
          <w:rFonts w:asciiTheme="minorHAnsi" w:eastAsia="TimesNewRoman,Bold" w:hAnsiTheme="minorHAnsi" w:cs="TimesNewRoman"/>
          <w:szCs w:val="18"/>
          <w:lang w:val="en-GB"/>
        </w:rPr>
        <w:t xml:space="preserve"> </w:t>
      </w:r>
      <w:r w:rsidRPr="00FD2631">
        <w:rPr>
          <w:rFonts w:asciiTheme="minorHAnsi" w:eastAsia="TimesNewRoman,Bold" w:hAnsiTheme="minorHAnsi" w:cs="TimesNewRoman"/>
          <w:szCs w:val="18"/>
          <w:lang w:val="en-GB"/>
        </w:rPr>
        <w:t xml:space="preserve">12 or one missing MADRS assessment permitted at optimisation Week 13 or 14 only. </w:t>
      </w:r>
      <w:r w:rsidRPr="00FD2631">
        <w:rPr>
          <w:rFonts w:asciiTheme="minorHAnsi" w:eastAsia="TimesNewRoman,Italic" w:hAnsiTheme="minorHAnsi" w:cs="TimesNewRoman"/>
          <w:szCs w:val="18"/>
          <w:lang w:val="en-GB"/>
        </w:rPr>
        <w:t>The subject's MADRS total score at Weeks 15 and 16 must have been ≤ 12 points. (Definition modified in Protocol Amendment 4 to allow for 1 excursion or missing assessment).</w:t>
      </w:r>
    </w:p>
  </w:footnote>
  <w:footnote w:id="28">
    <w:p w14:paraId="2F6ADF61" w14:textId="77777777" w:rsidR="00D42A0C" w:rsidRDefault="00D42A0C" w:rsidP="001A1009">
      <w:pPr>
        <w:pStyle w:val="FootnoteText"/>
      </w:pPr>
      <w:r>
        <w:rPr>
          <w:rStyle w:val="FootnoteReference"/>
        </w:rPr>
        <w:footnoteRef/>
      </w:r>
      <w:r>
        <w:t xml:space="preserve"> </w:t>
      </w:r>
      <w:r w:rsidRPr="001A1009">
        <w:t>Defined as ≥ 50% reduc</w:t>
      </w:r>
      <w:r>
        <w:t>tion in MADRS total score from B</w:t>
      </w:r>
      <w:r w:rsidRPr="001A1009">
        <w:t xml:space="preserve">aseline (Day 1 of induction phase, prior to the first intranasal dose) in each of the last 2 weeks of the optimisation phase, but without meeting the criteria for stable remission. For transferred-entry subjects, Day 1 of the induction phase occurred in </w:t>
      </w:r>
      <w:r>
        <w:t xml:space="preserve">Study </w:t>
      </w:r>
      <w:r w:rsidRPr="001A1009">
        <w:t xml:space="preserve">TRD3002 or </w:t>
      </w:r>
      <w:r>
        <w:t xml:space="preserve">Study </w:t>
      </w:r>
      <w:r w:rsidRPr="001A1009">
        <w:t>TRD3001. (Definition modified in Protocol Amendment 4; before then, stability had been required for the last 4 weeks and had required at least 1 MADRS total score of &gt; 12 points in those 4 weeks for differentiation versus stable remission.)</w:t>
      </w:r>
    </w:p>
  </w:footnote>
  <w:footnote w:id="29">
    <w:p w14:paraId="27DC1597" w14:textId="25A7FDA3" w:rsidR="00D42A0C" w:rsidRDefault="00D42A0C">
      <w:pPr>
        <w:pStyle w:val="FootnoteText"/>
      </w:pPr>
      <w:r>
        <w:rPr>
          <w:rStyle w:val="FootnoteReference"/>
        </w:rPr>
        <w:footnoteRef/>
      </w:r>
      <w:r>
        <w:t xml:space="preserve"> </w:t>
      </w:r>
      <w:r w:rsidRPr="001A1009">
        <w:t>Defined as MADRS total score ≤ 12, PHQ-9 total score ≤ 4 or SDS score ≤ 2 for each item and total score ≤ 6 at a given time point.</w:t>
      </w:r>
    </w:p>
  </w:footnote>
  <w:footnote w:id="30">
    <w:p w14:paraId="3FBF2EAE" w14:textId="18EC2DD0" w:rsidR="00D42A0C" w:rsidRDefault="00D42A0C">
      <w:pPr>
        <w:pStyle w:val="FootnoteText"/>
      </w:pPr>
      <w:r>
        <w:rPr>
          <w:rStyle w:val="FootnoteReference"/>
        </w:rPr>
        <w:footnoteRef/>
      </w:r>
      <w:r>
        <w:t xml:space="preserve"> </w:t>
      </w:r>
      <w:proofErr w:type="spellStart"/>
      <w:r>
        <w:rPr>
          <w:rFonts w:asciiTheme="minorHAnsi" w:eastAsiaTheme="minorHAnsi" w:hAnsiTheme="minorHAnsi" w:cs="TimesNewRoman"/>
          <w:lang w:val="en-GB"/>
        </w:rPr>
        <w:t>Pae</w:t>
      </w:r>
      <w:proofErr w:type="spellEnd"/>
      <w:r>
        <w:rPr>
          <w:rFonts w:asciiTheme="minorHAnsi" w:eastAsiaTheme="minorHAnsi" w:hAnsiTheme="minorHAnsi" w:cs="TimesNewRoman"/>
          <w:lang w:val="en-GB"/>
        </w:rPr>
        <w:t xml:space="preserve">, C-U. et al, </w:t>
      </w:r>
      <w:r w:rsidRPr="00336789">
        <w:rPr>
          <w:rFonts w:asciiTheme="minorHAnsi" w:eastAsiaTheme="minorHAnsi" w:hAnsiTheme="minorHAnsi" w:cs="TimesNewRoman"/>
          <w:lang w:val="en-GB"/>
        </w:rPr>
        <w:t>Aripiprazole as Adjunctive Therapy for Patients with Major Depressive Disorder; Overview and Imp</w:t>
      </w:r>
      <w:r>
        <w:rPr>
          <w:rFonts w:asciiTheme="minorHAnsi" w:eastAsiaTheme="minorHAnsi" w:hAnsiTheme="minorHAnsi" w:cs="TimesNewRoman"/>
          <w:lang w:val="en-GB"/>
        </w:rPr>
        <w:t xml:space="preserve">lications of Clinical Trial Data, </w:t>
      </w:r>
      <w:r w:rsidRPr="00E343A5">
        <w:rPr>
          <w:rFonts w:asciiTheme="minorHAnsi" w:eastAsiaTheme="minorHAnsi" w:hAnsiTheme="minorHAnsi" w:cs="TimesNewRoman"/>
          <w:i/>
          <w:lang w:val="en-GB"/>
        </w:rPr>
        <w:t>CNS Drugs</w:t>
      </w:r>
      <w:r>
        <w:rPr>
          <w:rFonts w:asciiTheme="minorHAnsi" w:eastAsiaTheme="minorHAnsi" w:hAnsiTheme="minorHAnsi" w:cs="TimesNewRoman"/>
          <w:lang w:val="en-GB"/>
        </w:rPr>
        <w:t>, 2011;</w:t>
      </w:r>
      <w:r w:rsidRPr="00336789">
        <w:rPr>
          <w:rFonts w:asciiTheme="minorHAnsi" w:eastAsiaTheme="minorHAnsi" w:hAnsiTheme="minorHAnsi" w:cs="TimesNewRoman"/>
          <w:lang w:val="en-GB"/>
        </w:rPr>
        <w:t xml:space="preserve"> 25 (2): 109-127</w:t>
      </w:r>
    </w:p>
  </w:footnote>
  <w:footnote w:id="31">
    <w:p w14:paraId="550EEF82" w14:textId="20F72C7B" w:rsidR="00D42A0C" w:rsidRPr="00BA7E5E" w:rsidRDefault="00D42A0C" w:rsidP="00BA7E5E">
      <w:pPr>
        <w:spacing w:before="0" w:after="0" w:line="240" w:lineRule="auto"/>
        <w:rPr>
          <w:rFonts w:eastAsia="Times New Roman" w:cs="Calibri"/>
          <w:b/>
          <w:bCs/>
          <w:color w:val="000000"/>
          <w:sz w:val="18"/>
          <w:szCs w:val="18"/>
          <w:lang w:eastAsia="en-AU"/>
        </w:rPr>
      </w:pPr>
      <w:r>
        <w:rPr>
          <w:rStyle w:val="FootnoteReference"/>
        </w:rPr>
        <w:footnoteRef/>
      </w:r>
      <w:r>
        <w:t xml:space="preserve"> </w:t>
      </w:r>
      <w:proofErr w:type="spellStart"/>
      <w:r w:rsidRPr="00BA7E5E">
        <w:rPr>
          <w:rFonts w:eastAsia="Times New Roman" w:cs="Calibri"/>
          <w:b/>
          <w:bCs/>
          <w:color w:val="000000"/>
          <w:sz w:val="18"/>
          <w:szCs w:val="18"/>
          <w:lang w:eastAsia="en-AU"/>
        </w:rPr>
        <w:t>Hy’s</w:t>
      </w:r>
      <w:proofErr w:type="spellEnd"/>
      <w:r w:rsidRPr="00BA7E5E">
        <w:rPr>
          <w:rFonts w:eastAsia="Times New Roman" w:cs="Calibri"/>
          <w:b/>
          <w:bCs/>
          <w:color w:val="000000"/>
          <w:sz w:val="18"/>
          <w:szCs w:val="18"/>
          <w:lang w:eastAsia="en-AU"/>
        </w:rPr>
        <w:t xml:space="preserve"> Law</w:t>
      </w:r>
      <w:r w:rsidRPr="00BA7E5E">
        <w:rPr>
          <w:rFonts w:eastAsia="Times New Roman" w:cs="Calibri"/>
          <w:color w:val="000000"/>
          <w:sz w:val="18"/>
          <w:szCs w:val="18"/>
          <w:lang w:eastAsia="en-AU"/>
        </w:rPr>
        <w:t xml:space="preserve">: Evidence of hepatocellular injury with a rise in alanine aminotransferase (ALT) and/or aspartate aminotransferase (AST) &gt; 3 x the upper limit of normal (ULN) and total bilirubin &gt; 2 x ULN, and no other reason to explain rise in aminotransferases and total bilirubin. </w:t>
      </w:r>
      <w:proofErr w:type="spellStart"/>
      <w:r w:rsidRPr="00BA7E5E">
        <w:rPr>
          <w:rFonts w:eastAsia="Times New Roman" w:cs="Calibri"/>
          <w:color w:val="000000"/>
          <w:sz w:val="18"/>
          <w:szCs w:val="18"/>
          <w:lang w:eastAsia="en-AU"/>
        </w:rPr>
        <w:t>Hy's</w:t>
      </w:r>
      <w:proofErr w:type="spellEnd"/>
      <w:r w:rsidRPr="00BA7E5E">
        <w:rPr>
          <w:rFonts w:eastAsia="Times New Roman" w:cs="Calibri"/>
          <w:color w:val="000000"/>
          <w:sz w:val="18"/>
          <w:szCs w:val="18"/>
          <w:lang w:eastAsia="en-AU"/>
        </w:rPr>
        <w:t xml:space="preserve"> law is a rule of thumb that a patient is at high risk of a fatal drug-induced liver injury if given a medication that causes hepatocellular injury with jaundice.</w:t>
      </w:r>
    </w:p>
  </w:footnote>
  <w:footnote w:id="32">
    <w:p w14:paraId="60C68449" w14:textId="77777777" w:rsidR="00D42A0C" w:rsidRDefault="00D42A0C"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ACDDDC1" w14:textId="77777777" w:rsidR="00D42A0C" w:rsidRDefault="00D42A0C" w:rsidP="007D53B6">
      <w:pPr>
        <w:pStyle w:val="FootnoteText"/>
      </w:pPr>
      <w:r w:rsidRPr="007D53B6">
        <w:rPr>
          <w:i/>
        </w:rPr>
        <w:t>Routine pharmacovigilance</w:t>
      </w:r>
      <w:r>
        <w:t xml:space="preserve"> practices involve the following activities:</w:t>
      </w:r>
    </w:p>
    <w:p w14:paraId="06C10AE9" w14:textId="77777777" w:rsidR="00D42A0C" w:rsidRDefault="00D42A0C" w:rsidP="008D162C">
      <w:pPr>
        <w:pStyle w:val="FootnoteText"/>
        <w:numPr>
          <w:ilvl w:val="0"/>
          <w:numId w:val="5"/>
        </w:numPr>
        <w:ind w:left="284" w:hanging="284"/>
      </w:pPr>
      <w:r>
        <w:t>All suspected adverse reactions that are reported to the personnel of the company are collected and collated in an accessible manner;</w:t>
      </w:r>
    </w:p>
    <w:p w14:paraId="36CC3F4C" w14:textId="77777777" w:rsidR="00D42A0C" w:rsidRDefault="00D42A0C" w:rsidP="008D162C">
      <w:pPr>
        <w:pStyle w:val="FootnoteText"/>
        <w:numPr>
          <w:ilvl w:val="0"/>
          <w:numId w:val="5"/>
        </w:numPr>
        <w:ind w:left="284" w:hanging="284"/>
      </w:pPr>
      <w:r>
        <w:t>Reporting to regulatory authorities;</w:t>
      </w:r>
    </w:p>
    <w:p w14:paraId="54A5185B" w14:textId="77777777" w:rsidR="00D42A0C" w:rsidRDefault="00D42A0C" w:rsidP="008D162C">
      <w:pPr>
        <w:pStyle w:val="FootnoteText"/>
        <w:numPr>
          <w:ilvl w:val="0"/>
          <w:numId w:val="5"/>
        </w:numPr>
        <w:ind w:left="284" w:hanging="284"/>
      </w:pPr>
      <w:r>
        <w:t>Continuous monitoring of the safety profiles of approved products including signal detection and updating of labelling;</w:t>
      </w:r>
    </w:p>
    <w:p w14:paraId="5CA43B6A" w14:textId="77777777" w:rsidR="00D42A0C" w:rsidRDefault="00D42A0C" w:rsidP="008D162C">
      <w:pPr>
        <w:pStyle w:val="FootnoteText"/>
        <w:numPr>
          <w:ilvl w:val="0"/>
          <w:numId w:val="5"/>
        </w:numPr>
        <w:ind w:left="284" w:hanging="284"/>
      </w:pPr>
      <w:r>
        <w:t>Submission of PSURs;</w:t>
      </w:r>
    </w:p>
    <w:p w14:paraId="238841FA" w14:textId="77777777" w:rsidR="00D42A0C" w:rsidRDefault="00D42A0C" w:rsidP="008D162C">
      <w:pPr>
        <w:pStyle w:val="FootnoteText"/>
        <w:numPr>
          <w:ilvl w:val="0"/>
          <w:numId w:val="5"/>
        </w:numPr>
        <w:ind w:left="284" w:hanging="284"/>
      </w:pPr>
      <w:r>
        <w:t>Meeting other local regulatory agency requirements.</w:t>
      </w:r>
    </w:p>
  </w:footnote>
  <w:footnote w:id="33">
    <w:p w14:paraId="6C01FC31" w14:textId="261515B6" w:rsidR="00D42A0C" w:rsidRPr="00BA7E5E" w:rsidRDefault="00D42A0C" w:rsidP="00BA7E5E">
      <w:pPr>
        <w:spacing w:before="0" w:after="0" w:line="240" w:lineRule="auto"/>
        <w:rPr>
          <w:rFonts w:eastAsia="Times New Roman" w:cs="Calibri"/>
          <w:color w:val="000000"/>
          <w:sz w:val="18"/>
          <w:szCs w:val="18"/>
          <w:lang w:eastAsia="en-AU"/>
        </w:rPr>
      </w:pPr>
      <w:r>
        <w:rPr>
          <w:rStyle w:val="FootnoteReference"/>
        </w:rPr>
        <w:footnoteRef/>
      </w:r>
      <w:r>
        <w:t xml:space="preserve"> </w:t>
      </w:r>
      <w:r w:rsidRPr="00BA7E5E">
        <w:rPr>
          <w:rFonts w:eastAsia="Times New Roman" w:cs="Calibri"/>
          <w:b/>
          <w:bCs/>
          <w:color w:val="000000"/>
          <w:sz w:val="18"/>
          <w:szCs w:val="18"/>
          <w:lang w:eastAsia="en-AU"/>
        </w:rPr>
        <w:t>The Standard for the Uniform Scheduling of Medicines and Poisons (SUSMP)</w:t>
      </w:r>
      <w:r w:rsidRPr="00BA7E5E">
        <w:rPr>
          <w:rFonts w:eastAsia="Times New Roman" w:cs="Calibri"/>
          <w:color w:val="000000"/>
          <w:sz w:val="18"/>
          <w:szCs w:val="18"/>
          <w:lang w:eastAsia="en-AU"/>
        </w:rPr>
        <w:t>: is a record of decisions regarding the classification of medicines and chemicals into Schedules for inclusion in relevant legislation of the states and territories; includes model provisions about containers and labels, and recommendations about other controls on medicines and chemicals; and is registered on the Federal Register of Legislation as the Poisons Standard.</w:t>
      </w:r>
    </w:p>
  </w:footnote>
  <w:footnote w:id="34">
    <w:p w14:paraId="71150CB3" w14:textId="22A62C73" w:rsidR="00D42A0C" w:rsidRDefault="00D42A0C">
      <w:pPr>
        <w:pStyle w:val="FootnoteText"/>
      </w:pPr>
      <w:r>
        <w:rPr>
          <w:rStyle w:val="FootnoteReference"/>
        </w:rPr>
        <w:footnoteRef/>
      </w:r>
      <w:r>
        <w:t xml:space="preserve"> Sponsor clarification: </w:t>
      </w:r>
      <w:r w:rsidRPr="009204D8">
        <w:t>following the Section 60 decisio</w:t>
      </w:r>
      <w:r>
        <w:t xml:space="preserve">n to register </w:t>
      </w:r>
      <w:proofErr w:type="spellStart"/>
      <w:r>
        <w:t>Spravato</w:t>
      </w:r>
      <w:proofErr w:type="spellEnd"/>
      <w:r>
        <w:t>, the sponsor was notified by the RMP area that the sponsor was not required</w:t>
      </w:r>
      <w:r w:rsidRPr="009204D8">
        <w:t xml:space="preserve"> to address</w:t>
      </w:r>
      <w:r>
        <w:t xml:space="preserve"> the recommendation for patient monitoring protocols to specify a minimum 2 </w:t>
      </w:r>
      <w:r w:rsidRPr="001402A2">
        <w:t>hour duration of monitoring at the treatment site</w:t>
      </w:r>
      <w:r>
        <w:t xml:space="preserve"> and </w:t>
      </w:r>
      <w:r w:rsidRPr="001402A2">
        <w:t>that every patient must be discharged to the care of a</w:t>
      </w:r>
      <w:r>
        <w:t>n accompanying support person or carer to help ensure compliance with patient’s discharge instructions. This was not implemented in the final ASA at the discretion of the sponsor.</w:t>
      </w:r>
    </w:p>
  </w:footnote>
  <w:footnote w:id="35">
    <w:p w14:paraId="3D57DFF3" w14:textId="77777777" w:rsidR="00D42A0C" w:rsidRDefault="00D42A0C"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F3735BB" w14:textId="77777777" w:rsidR="00D42A0C" w:rsidRPr="00456765" w:rsidRDefault="00D42A0C"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36">
    <w:p w14:paraId="1BAC123A" w14:textId="07DB69FB" w:rsidR="00D42A0C" w:rsidRPr="005E7689" w:rsidRDefault="00D42A0C">
      <w:pPr>
        <w:pStyle w:val="FootnoteText"/>
        <w:rPr>
          <w:lang w:val="en-US"/>
        </w:rPr>
      </w:pPr>
      <w:r>
        <w:rPr>
          <w:rStyle w:val="FootnoteReference"/>
        </w:rPr>
        <w:footnoteRef/>
      </w:r>
      <w:r>
        <w:t xml:space="preserve"> </w:t>
      </w:r>
      <w:r w:rsidRPr="005E7689">
        <w:rPr>
          <w:b/>
        </w:rPr>
        <w:t>Schedule 8 Controlled drug</w:t>
      </w:r>
      <w:r>
        <w:t xml:space="preserve">: </w:t>
      </w:r>
      <w:r w:rsidRPr="004E719E">
        <w:t>Medicines or chemicals which have special rules for producing, supplying, distributing, owning and using them. These medicines may only be prescribed by an authorised healthcare professional who may need a special prescribing permit.</w:t>
      </w:r>
    </w:p>
  </w:footnote>
  <w:footnote w:id="37">
    <w:p w14:paraId="7BFD2FC5" w14:textId="54ADC924" w:rsidR="00D42A0C" w:rsidRDefault="00D42A0C" w:rsidP="00DE5463">
      <w:pPr>
        <w:pStyle w:val="FootnoteText"/>
      </w:pPr>
      <w:r>
        <w:rPr>
          <w:rStyle w:val="FootnoteReference"/>
        </w:rPr>
        <w:footnoteRef/>
      </w:r>
      <w:r>
        <w:t xml:space="preserve"> Study TRD3008 is a Phase III, long-term open-label extension study that enrolled subjects who had previously participated in one of the Phase III TRD studies (Studies TRD3001, TRD3002, TRD3003, TRD3004, TRD3005, and TRD3006 (US sites only for Study TRD3006)).</w:t>
      </w:r>
    </w:p>
  </w:footnote>
  <w:footnote w:id="38">
    <w:p w14:paraId="6142DEFD" w14:textId="3EF3482E" w:rsidR="00D42A0C" w:rsidRDefault="00D42A0C">
      <w:pPr>
        <w:pStyle w:val="FootnoteText"/>
      </w:pPr>
      <w:r>
        <w:rPr>
          <w:rStyle w:val="FootnoteReference"/>
        </w:rPr>
        <w:footnoteRef/>
      </w:r>
      <w:r>
        <w:t xml:space="preserve"> </w:t>
      </w:r>
      <w:proofErr w:type="spellStart"/>
      <w:r w:rsidRPr="00462DE4">
        <w:t>Citrome</w:t>
      </w:r>
      <w:proofErr w:type="spellEnd"/>
      <w:r w:rsidRPr="00462DE4">
        <w:t xml:space="preserve"> L, </w:t>
      </w:r>
      <w:proofErr w:type="spellStart"/>
      <w:r w:rsidRPr="00462DE4">
        <w:t>DiBernardo</w:t>
      </w:r>
      <w:proofErr w:type="spellEnd"/>
      <w:r w:rsidRPr="00462DE4">
        <w:t xml:space="preserve"> A, Singh J. Appraising </w:t>
      </w:r>
      <w:proofErr w:type="spellStart"/>
      <w:r w:rsidRPr="00462DE4">
        <w:t>esketamine</w:t>
      </w:r>
      <w:proofErr w:type="spellEnd"/>
      <w:r w:rsidRPr="00462DE4">
        <w:t xml:space="preserve"> nasal spray for the management of treatment-resistant depression in adults: Number needed to treat, number needed to harm, and likelihood to be helped or harmed. </w:t>
      </w:r>
      <w:r w:rsidRPr="00462DE4">
        <w:rPr>
          <w:i/>
        </w:rPr>
        <w:t xml:space="preserve">J Affect </w:t>
      </w:r>
      <w:proofErr w:type="spellStart"/>
      <w:r w:rsidRPr="00462DE4">
        <w:rPr>
          <w:i/>
        </w:rPr>
        <w:t>Disord</w:t>
      </w:r>
      <w:proofErr w:type="spellEnd"/>
      <w:r>
        <w:t xml:space="preserve">. 2020; </w:t>
      </w:r>
      <w:r w:rsidRPr="00462DE4">
        <w:t>271:</w:t>
      </w:r>
      <w:r>
        <w:t xml:space="preserve"> </w:t>
      </w:r>
      <w:r w:rsidRPr="00462DE4">
        <w:t>228-238.</w:t>
      </w:r>
    </w:p>
  </w:footnote>
  <w:footnote w:id="39">
    <w:p w14:paraId="50CFB3B7" w14:textId="77777777" w:rsidR="00D42A0C" w:rsidRDefault="00D42A0C" w:rsidP="00C54E03">
      <w:pPr>
        <w:pStyle w:val="FootnoteText"/>
      </w:pPr>
      <w:r>
        <w:rPr>
          <w:rStyle w:val="FootnoteReference"/>
        </w:rPr>
        <w:footnoteRef/>
      </w:r>
      <w:r>
        <w:t xml:space="preserve"> </w:t>
      </w:r>
      <w:proofErr w:type="spellStart"/>
      <w:r>
        <w:t>Dold</w:t>
      </w:r>
      <w:proofErr w:type="spellEnd"/>
      <w:r>
        <w:t xml:space="preserve">, M, </w:t>
      </w:r>
      <w:proofErr w:type="spellStart"/>
      <w:r>
        <w:t>Bartova</w:t>
      </w:r>
      <w:proofErr w:type="spellEnd"/>
      <w:r>
        <w:t>, L and Kasper, S.</w:t>
      </w:r>
      <w:r w:rsidRPr="00CB0379">
        <w:t xml:space="preserve"> Treatment Response of Add-On </w:t>
      </w:r>
      <w:proofErr w:type="spellStart"/>
      <w:r w:rsidRPr="00CB0379">
        <w:t>Esketamine</w:t>
      </w:r>
      <w:proofErr w:type="spellEnd"/>
      <w:r w:rsidRPr="00CB0379">
        <w:t xml:space="preserve"> Nasal Spray in Resistant Major Depression in Relation to Add-On Second-Generation Antipsychotic Treatment, </w:t>
      </w:r>
      <w:r w:rsidRPr="00CB0379">
        <w:rPr>
          <w:i/>
        </w:rPr>
        <w:t xml:space="preserve">International Journal of </w:t>
      </w:r>
      <w:proofErr w:type="spellStart"/>
      <w:r w:rsidRPr="00CB0379">
        <w:rPr>
          <w:i/>
        </w:rPr>
        <w:t>Neuropsychopharmacology</w:t>
      </w:r>
      <w:proofErr w:type="spellEnd"/>
      <w:r w:rsidRPr="00CB0379">
        <w:t xml:space="preserve">, </w:t>
      </w:r>
      <w:r>
        <w:t>2020;</w:t>
      </w:r>
      <w:r w:rsidRPr="00CB0379">
        <w:t xml:space="preserve"> </w:t>
      </w:r>
      <w:r>
        <w:t xml:space="preserve">23 (7): </w:t>
      </w:r>
      <w:r w:rsidRPr="00CB0379">
        <w:t>440–445</w:t>
      </w:r>
    </w:p>
  </w:footnote>
  <w:footnote w:id="40">
    <w:p w14:paraId="0E5C3996" w14:textId="4D601459" w:rsidR="00D42A0C" w:rsidRDefault="00D42A0C">
      <w:pPr>
        <w:pStyle w:val="FootnoteText"/>
      </w:pPr>
      <w:r>
        <w:rPr>
          <w:rStyle w:val="FootnoteReference"/>
        </w:rPr>
        <w:footnoteRef/>
      </w:r>
      <w:r>
        <w:t xml:space="preserve"> Inclusion of the complete data/response is beyond the scope of this AusPAR.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53E7" w14:textId="77777777" w:rsidR="00D42A0C" w:rsidRDefault="00D42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A8EF" w14:textId="77777777" w:rsidR="00D42A0C" w:rsidRDefault="00D42A0C"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C711" w14:textId="77777777" w:rsidR="00D42A0C" w:rsidRDefault="00D42A0C">
    <w:pPr>
      <w:rPr>
        <w:noProof/>
        <w:lang w:eastAsia="en-AU"/>
      </w:rPr>
    </w:pPr>
    <w:r w:rsidRPr="00347824">
      <w:rPr>
        <w:noProof/>
        <w:lang w:eastAsia="en-AU"/>
      </w:rPr>
      <w:drawing>
        <wp:anchor distT="0" distB="0" distL="114300" distR="114300" simplePos="0" relativeHeight="251657216" behindDoc="1" locked="0" layoutInCell="1" allowOverlap="1" wp14:anchorId="55129A54" wp14:editId="45B77829">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A04A7F3" w14:textId="77777777" w:rsidR="00D42A0C" w:rsidRDefault="00D42A0C" w:rsidP="00593AD1">
    <w:pPr>
      <w:pStyle w:val="HeaderNoLine"/>
    </w:pPr>
    <w:r>
      <w:rPr>
        <w:noProof/>
        <w:lang w:eastAsia="en-AU"/>
      </w:rPr>
      <w:drawing>
        <wp:inline distT="0" distB="0" distL="0" distR="0" wp14:anchorId="2A898919" wp14:editId="795D5381">
          <wp:extent cx="5400675" cy="7639050"/>
          <wp:effectExtent l="0" t="0" r="9525" b="0"/>
          <wp:docPr id="5" name="Picture 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703F" w14:textId="77777777" w:rsidR="00D42A0C" w:rsidRDefault="00D42A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A351" w14:textId="77777777" w:rsidR="00D42A0C" w:rsidRDefault="00D42A0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BEF3" w14:textId="77777777" w:rsidR="00D42A0C" w:rsidRDefault="00D42A0C">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00A8" w14:textId="77777777" w:rsidR="00D42A0C" w:rsidRDefault="00D42A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6999" w14:textId="77777777" w:rsidR="00D42A0C" w:rsidRDefault="00D42A0C"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EF05" w14:textId="77777777" w:rsidR="00D42A0C" w:rsidRDefault="00D42A0C" w:rsidP="006E08B3">
    <w:r>
      <w:t>Therapeutic Goods Administration</w:t>
    </w:r>
  </w:p>
  <w:p w14:paraId="3935567A" w14:textId="77777777" w:rsidR="00D42A0C" w:rsidRDefault="00D42A0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5C8"/>
    <w:multiLevelType w:val="hybridMultilevel"/>
    <w:tmpl w:val="02BE8F6C"/>
    <w:lvl w:ilvl="0" w:tplc="7B1C7300">
      <w:start w:val="1"/>
      <w:numFmt w:val="bullet"/>
      <w:lvlText w:val="-"/>
      <w:lvlJc w:val="left"/>
      <w:pPr>
        <w:ind w:left="1763" w:hanging="360"/>
      </w:pPr>
      <w:rPr>
        <w:rFonts w:ascii="Verdana" w:hAnsi="Verdana" w:hint="default"/>
      </w:rPr>
    </w:lvl>
    <w:lvl w:ilvl="1" w:tplc="0C090003" w:tentative="1">
      <w:start w:val="1"/>
      <w:numFmt w:val="bullet"/>
      <w:lvlText w:val="o"/>
      <w:lvlJc w:val="left"/>
      <w:pPr>
        <w:ind w:left="2483" w:hanging="360"/>
      </w:pPr>
      <w:rPr>
        <w:rFonts w:ascii="Courier New" w:hAnsi="Courier New" w:cs="Courier New" w:hint="default"/>
      </w:rPr>
    </w:lvl>
    <w:lvl w:ilvl="2" w:tplc="0C090005" w:tentative="1">
      <w:start w:val="1"/>
      <w:numFmt w:val="bullet"/>
      <w:lvlText w:val=""/>
      <w:lvlJc w:val="left"/>
      <w:pPr>
        <w:ind w:left="3203" w:hanging="360"/>
      </w:pPr>
      <w:rPr>
        <w:rFonts w:ascii="Wingdings" w:hAnsi="Wingdings" w:hint="default"/>
      </w:rPr>
    </w:lvl>
    <w:lvl w:ilvl="3" w:tplc="0C090001" w:tentative="1">
      <w:start w:val="1"/>
      <w:numFmt w:val="bullet"/>
      <w:lvlText w:val=""/>
      <w:lvlJc w:val="left"/>
      <w:pPr>
        <w:ind w:left="3923" w:hanging="360"/>
      </w:pPr>
      <w:rPr>
        <w:rFonts w:ascii="Symbol" w:hAnsi="Symbol" w:hint="default"/>
      </w:rPr>
    </w:lvl>
    <w:lvl w:ilvl="4" w:tplc="0C090003" w:tentative="1">
      <w:start w:val="1"/>
      <w:numFmt w:val="bullet"/>
      <w:lvlText w:val="o"/>
      <w:lvlJc w:val="left"/>
      <w:pPr>
        <w:ind w:left="4643" w:hanging="360"/>
      </w:pPr>
      <w:rPr>
        <w:rFonts w:ascii="Courier New" w:hAnsi="Courier New" w:cs="Courier New" w:hint="default"/>
      </w:rPr>
    </w:lvl>
    <w:lvl w:ilvl="5" w:tplc="0C090005" w:tentative="1">
      <w:start w:val="1"/>
      <w:numFmt w:val="bullet"/>
      <w:lvlText w:val=""/>
      <w:lvlJc w:val="left"/>
      <w:pPr>
        <w:ind w:left="5363" w:hanging="360"/>
      </w:pPr>
      <w:rPr>
        <w:rFonts w:ascii="Wingdings" w:hAnsi="Wingdings" w:hint="default"/>
      </w:rPr>
    </w:lvl>
    <w:lvl w:ilvl="6" w:tplc="0C090001" w:tentative="1">
      <w:start w:val="1"/>
      <w:numFmt w:val="bullet"/>
      <w:lvlText w:val=""/>
      <w:lvlJc w:val="left"/>
      <w:pPr>
        <w:ind w:left="6083" w:hanging="360"/>
      </w:pPr>
      <w:rPr>
        <w:rFonts w:ascii="Symbol" w:hAnsi="Symbol" w:hint="default"/>
      </w:rPr>
    </w:lvl>
    <w:lvl w:ilvl="7" w:tplc="0C090003" w:tentative="1">
      <w:start w:val="1"/>
      <w:numFmt w:val="bullet"/>
      <w:lvlText w:val="o"/>
      <w:lvlJc w:val="left"/>
      <w:pPr>
        <w:ind w:left="6803" w:hanging="360"/>
      </w:pPr>
      <w:rPr>
        <w:rFonts w:ascii="Courier New" w:hAnsi="Courier New" w:cs="Courier New" w:hint="default"/>
      </w:rPr>
    </w:lvl>
    <w:lvl w:ilvl="8" w:tplc="0C090005" w:tentative="1">
      <w:start w:val="1"/>
      <w:numFmt w:val="bullet"/>
      <w:lvlText w:val=""/>
      <w:lvlJc w:val="left"/>
      <w:pPr>
        <w:ind w:left="7523" w:hanging="360"/>
      </w:pPr>
      <w:rPr>
        <w:rFonts w:ascii="Wingdings" w:hAnsi="Wingdings" w:hint="default"/>
      </w:rPr>
    </w:lvl>
  </w:abstractNum>
  <w:abstractNum w:abstractNumId="1" w15:restartNumberingAfterBreak="0">
    <w:nsid w:val="01902BC8"/>
    <w:multiLevelType w:val="hybridMultilevel"/>
    <w:tmpl w:val="80220E3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711CF3"/>
    <w:multiLevelType w:val="hybridMultilevel"/>
    <w:tmpl w:val="1842E982"/>
    <w:lvl w:ilvl="0" w:tplc="7B1C730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E434C"/>
    <w:multiLevelType w:val="hybridMultilevel"/>
    <w:tmpl w:val="9380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C65F8"/>
    <w:multiLevelType w:val="hybridMultilevel"/>
    <w:tmpl w:val="FF6696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6147A"/>
    <w:multiLevelType w:val="hybridMultilevel"/>
    <w:tmpl w:val="BD24B244"/>
    <w:lvl w:ilvl="0" w:tplc="D1AE935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44EC2"/>
    <w:multiLevelType w:val="hybridMultilevel"/>
    <w:tmpl w:val="DB747812"/>
    <w:lvl w:ilvl="0" w:tplc="6CEAB6C2">
      <w:start w:val="1"/>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9F6E24"/>
    <w:multiLevelType w:val="hybridMultilevel"/>
    <w:tmpl w:val="BD2E0E4E"/>
    <w:lvl w:ilvl="0" w:tplc="29948106">
      <w:start w:val="1"/>
      <w:numFmt w:val="bullet"/>
      <w:lvlText w:val="►"/>
      <w:lvlJc w:val="left"/>
      <w:pPr>
        <w:ind w:left="1070" w:hanging="360"/>
      </w:pPr>
      <w:rPr>
        <w:rFonts w:ascii="Arial" w:eastAsia="Arial" w:hAnsi="Arial" w:hint="default"/>
        <w:color w:val="auto"/>
        <w:w w:val="105"/>
        <w:sz w:val="22"/>
        <w:szCs w:val="22"/>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9"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15:restartNumberingAfterBreak="0">
    <w:nsid w:val="168F13E9"/>
    <w:multiLevelType w:val="multilevel"/>
    <w:tmpl w:val="4A56331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E5F76"/>
    <w:multiLevelType w:val="hybridMultilevel"/>
    <w:tmpl w:val="D542C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7D1825"/>
    <w:multiLevelType w:val="hybridMultilevel"/>
    <w:tmpl w:val="AD042618"/>
    <w:lvl w:ilvl="0" w:tplc="D4B26E6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F584B"/>
    <w:multiLevelType w:val="hybridMultilevel"/>
    <w:tmpl w:val="A500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A059C"/>
    <w:multiLevelType w:val="hybridMultilevel"/>
    <w:tmpl w:val="D86EA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024547"/>
    <w:multiLevelType w:val="hybridMultilevel"/>
    <w:tmpl w:val="E2B00C5C"/>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6" w15:restartNumberingAfterBreak="0">
    <w:nsid w:val="230114A9"/>
    <w:multiLevelType w:val="hybridMultilevel"/>
    <w:tmpl w:val="0AAA88BC"/>
    <w:lvl w:ilvl="0" w:tplc="2362F0B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767B0"/>
    <w:multiLevelType w:val="hybridMultilevel"/>
    <w:tmpl w:val="8A9ACB86"/>
    <w:lvl w:ilvl="0" w:tplc="770C783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7B3F80"/>
    <w:multiLevelType w:val="hybridMultilevel"/>
    <w:tmpl w:val="EB224028"/>
    <w:lvl w:ilvl="0" w:tplc="B0183E3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910F7A"/>
    <w:multiLevelType w:val="hybridMultilevel"/>
    <w:tmpl w:val="68D8C004"/>
    <w:lvl w:ilvl="0" w:tplc="7B1C7300">
      <w:start w:val="1"/>
      <w:numFmt w:val="bullet"/>
      <w:lvlText w:val="-"/>
      <w:lvlJc w:val="left"/>
      <w:pPr>
        <w:ind w:left="1080" w:hanging="360"/>
      </w:pPr>
      <w:rPr>
        <w:rFonts w:ascii="Verdana" w:hAnsi="Verdan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03E6B41"/>
    <w:multiLevelType w:val="hybridMultilevel"/>
    <w:tmpl w:val="BF3CDE3E"/>
    <w:lvl w:ilvl="0" w:tplc="7B1C7300">
      <w:start w:val="1"/>
      <w:numFmt w:val="bullet"/>
      <w:lvlText w:val="-"/>
      <w:lvlJc w:val="left"/>
      <w:pPr>
        <w:ind w:left="1440" w:hanging="360"/>
      </w:pPr>
      <w:rPr>
        <w:rFonts w:ascii="Verdana" w:hAnsi="Verdana"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43638DE"/>
    <w:multiLevelType w:val="hybridMultilevel"/>
    <w:tmpl w:val="460818C4"/>
    <w:lvl w:ilvl="0" w:tplc="7832A7B8">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366B6ED7"/>
    <w:multiLevelType w:val="hybridMultilevel"/>
    <w:tmpl w:val="713200BA"/>
    <w:lvl w:ilvl="0" w:tplc="52A88B90">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552564"/>
    <w:multiLevelType w:val="hybridMultilevel"/>
    <w:tmpl w:val="97F2B19C"/>
    <w:lvl w:ilvl="0" w:tplc="F5543A56">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6F7F48"/>
    <w:multiLevelType w:val="hybridMultilevel"/>
    <w:tmpl w:val="628C07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7072B5"/>
    <w:multiLevelType w:val="hybridMultilevel"/>
    <w:tmpl w:val="CC4AB940"/>
    <w:lvl w:ilvl="0" w:tplc="0C090003">
      <w:start w:val="1"/>
      <w:numFmt w:val="bullet"/>
      <w:lvlText w:val="o"/>
      <w:lvlJc w:val="left"/>
      <w:pPr>
        <w:ind w:left="1790" w:hanging="360"/>
      </w:pPr>
      <w:rPr>
        <w:rFonts w:ascii="Courier New" w:hAnsi="Courier New" w:cs="Courier New"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27" w15:restartNumberingAfterBreak="0">
    <w:nsid w:val="3CCD3FC8"/>
    <w:multiLevelType w:val="hybridMultilevel"/>
    <w:tmpl w:val="BE4A9C34"/>
    <w:lvl w:ilvl="0" w:tplc="7B1C7300">
      <w:start w:val="1"/>
      <w:numFmt w:val="bullet"/>
      <w:lvlText w:val="-"/>
      <w:lvlJc w:val="left"/>
      <w:pPr>
        <w:ind w:left="765" w:hanging="360"/>
      </w:pPr>
      <w:rPr>
        <w:rFonts w:ascii="Verdana" w:hAnsi="Verdana"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3E520F50"/>
    <w:multiLevelType w:val="hybridMultilevel"/>
    <w:tmpl w:val="837C9794"/>
    <w:lvl w:ilvl="0" w:tplc="E6F87B8E">
      <w:start w:val="1"/>
      <w:numFmt w:val="bullet"/>
      <w:lvlText w:val="-"/>
      <w:lvlJc w:val="left"/>
      <w:pPr>
        <w:ind w:left="2192" w:hanging="360"/>
      </w:pPr>
      <w:rPr>
        <w:rFonts w:ascii="Symbol" w:hAnsi="Symbol" w:hint="default"/>
      </w:rPr>
    </w:lvl>
    <w:lvl w:ilvl="1" w:tplc="0C090003" w:tentative="1">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3632" w:hanging="360"/>
      </w:pPr>
      <w:rPr>
        <w:rFonts w:ascii="Wingdings" w:hAnsi="Wingdings" w:hint="default"/>
      </w:rPr>
    </w:lvl>
    <w:lvl w:ilvl="3" w:tplc="0C090001" w:tentative="1">
      <w:start w:val="1"/>
      <w:numFmt w:val="bullet"/>
      <w:lvlText w:val=""/>
      <w:lvlJc w:val="left"/>
      <w:pPr>
        <w:ind w:left="4352" w:hanging="360"/>
      </w:pPr>
      <w:rPr>
        <w:rFonts w:ascii="Symbol" w:hAnsi="Symbol" w:hint="default"/>
      </w:rPr>
    </w:lvl>
    <w:lvl w:ilvl="4" w:tplc="0C090003" w:tentative="1">
      <w:start w:val="1"/>
      <w:numFmt w:val="bullet"/>
      <w:lvlText w:val="o"/>
      <w:lvlJc w:val="left"/>
      <w:pPr>
        <w:ind w:left="5072" w:hanging="360"/>
      </w:pPr>
      <w:rPr>
        <w:rFonts w:ascii="Courier New" w:hAnsi="Courier New" w:cs="Courier New" w:hint="default"/>
      </w:rPr>
    </w:lvl>
    <w:lvl w:ilvl="5" w:tplc="0C090005" w:tentative="1">
      <w:start w:val="1"/>
      <w:numFmt w:val="bullet"/>
      <w:lvlText w:val=""/>
      <w:lvlJc w:val="left"/>
      <w:pPr>
        <w:ind w:left="5792" w:hanging="360"/>
      </w:pPr>
      <w:rPr>
        <w:rFonts w:ascii="Wingdings" w:hAnsi="Wingdings" w:hint="default"/>
      </w:rPr>
    </w:lvl>
    <w:lvl w:ilvl="6" w:tplc="0C090001" w:tentative="1">
      <w:start w:val="1"/>
      <w:numFmt w:val="bullet"/>
      <w:lvlText w:val=""/>
      <w:lvlJc w:val="left"/>
      <w:pPr>
        <w:ind w:left="6512" w:hanging="360"/>
      </w:pPr>
      <w:rPr>
        <w:rFonts w:ascii="Symbol" w:hAnsi="Symbol" w:hint="default"/>
      </w:rPr>
    </w:lvl>
    <w:lvl w:ilvl="7" w:tplc="0C090003" w:tentative="1">
      <w:start w:val="1"/>
      <w:numFmt w:val="bullet"/>
      <w:lvlText w:val="o"/>
      <w:lvlJc w:val="left"/>
      <w:pPr>
        <w:ind w:left="7232" w:hanging="360"/>
      </w:pPr>
      <w:rPr>
        <w:rFonts w:ascii="Courier New" w:hAnsi="Courier New" w:cs="Courier New" w:hint="default"/>
      </w:rPr>
    </w:lvl>
    <w:lvl w:ilvl="8" w:tplc="0C090005" w:tentative="1">
      <w:start w:val="1"/>
      <w:numFmt w:val="bullet"/>
      <w:lvlText w:val=""/>
      <w:lvlJc w:val="left"/>
      <w:pPr>
        <w:ind w:left="7952" w:hanging="360"/>
      </w:pPr>
      <w:rPr>
        <w:rFonts w:ascii="Wingdings" w:hAnsi="Wingdings" w:hint="default"/>
      </w:rPr>
    </w:lvl>
  </w:abstractNum>
  <w:abstractNum w:abstractNumId="29" w15:restartNumberingAfterBreak="0">
    <w:nsid w:val="409B462B"/>
    <w:multiLevelType w:val="hybridMultilevel"/>
    <w:tmpl w:val="85822AC2"/>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43106EAF"/>
    <w:multiLevelType w:val="hybridMultilevel"/>
    <w:tmpl w:val="D0A60D84"/>
    <w:lvl w:ilvl="0" w:tplc="ECDC3DBE">
      <w:start w:val="1"/>
      <w:numFmt w:val="bullet"/>
      <w:lvlText w:val="►"/>
      <w:lvlJc w:val="left"/>
      <w:pPr>
        <w:ind w:left="2753" w:hanging="360"/>
      </w:pPr>
      <w:rPr>
        <w:rFonts w:ascii="Arial" w:eastAsia="Arial" w:hAnsi="Arial" w:hint="default"/>
        <w:color w:val="auto"/>
        <w:w w:val="105"/>
        <w:sz w:val="22"/>
        <w:szCs w:val="22"/>
      </w:rPr>
    </w:lvl>
    <w:lvl w:ilvl="1" w:tplc="0C090003" w:tentative="1">
      <w:start w:val="1"/>
      <w:numFmt w:val="bullet"/>
      <w:lvlText w:val="o"/>
      <w:lvlJc w:val="left"/>
      <w:pPr>
        <w:ind w:left="3473" w:hanging="360"/>
      </w:pPr>
      <w:rPr>
        <w:rFonts w:ascii="Courier New" w:hAnsi="Courier New" w:cs="Courier New" w:hint="default"/>
      </w:rPr>
    </w:lvl>
    <w:lvl w:ilvl="2" w:tplc="0C090005" w:tentative="1">
      <w:start w:val="1"/>
      <w:numFmt w:val="bullet"/>
      <w:lvlText w:val=""/>
      <w:lvlJc w:val="left"/>
      <w:pPr>
        <w:ind w:left="4193" w:hanging="360"/>
      </w:pPr>
      <w:rPr>
        <w:rFonts w:ascii="Wingdings" w:hAnsi="Wingdings" w:hint="default"/>
      </w:rPr>
    </w:lvl>
    <w:lvl w:ilvl="3" w:tplc="0C090001" w:tentative="1">
      <w:start w:val="1"/>
      <w:numFmt w:val="bullet"/>
      <w:lvlText w:val=""/>
      <w:lvlJc w:val="left"/>
      <w:pPr>
        <w:ind w:left="4913" w:hanging="360"/>
      </w:pPr>
      <w:rPr>
        <w:rFonts w:ascii="Symbol" w:hAnsi="Symbol" w:hint="default"/>
      </w:rPr>
    </w:lvl>
    <w:lvl w:ilvl="4" w:tplc="0C090003" w:tentative="1">
      <w:start w:val="1"/>
      <w:numFmt w:val="bullet"/>
      <w:lvlText w:val="o"/>
      <w:lvlJc w:val="left"/>
      <w:pPr>
        <w:ind w:left="5633" w:hanging="360"/>
      </w:pPr>
      <w:rPr>
        <w:rFonts w:ascii="Courier New" w:hAnsi="Courier New" w:cs="Courier New" w:hint="default"/>
      </w:rPr>
    </w:lvl>
    <w:lvl w:ilvl="5" w:tplc="0C090005" w:tentative="1">
      <w:start w:val="1"/>
      <w:numFmt w:val="bullet"/>
      <w:lvlText w:val=""/>
      <w:lvlJc w:val="left"/>
      <w:pPr>
        <w:ind w:left="6353" w:hanging="360"/>
      </w:pPr>
      <w:rPr>
        <w:rFonts w:ascii="Wingdings" w:hAnsi="Wingdings" w:hint="default"/>
      </w:rPr>
    </w:lvl>
    <w:lvl w:ilvl="6" w:tplc="0C090001" w:tentative="1">
      <w:start w:val="1"/>
      <w:numFmt w:val="bullet"/>
      <w:lvlText w:val=""/>
      <w:lvlJc w:val="left"/>
      <w:pPr>
        <w:ind w:left="7073" w:hanging="360"/>
      </w:pPr>
      <w:rPr>
        <w:rFonts w:ascii="Symbol" w:hAnsi="Symbol" w:hint="default"/>
      </w:rPr>
    </w:lvl>
    <w:lvl w:ilvl="7" w:tplc="0C090003" w:tentative="1">
      <w:start w:val="1"/>
      <w:numFmt w:val="bullet"/>
      <w:lvlText w:val="o"/>
      <w:lvlJc w:val="left"/>
      <w:pPr>
        <w:ind w:left="7793" w:hanging="360"/>
      </w:pPr>
      <w:rPr>
        <w:rFonts w:ascii="Courier New" w:hAnsi="Courier New" w:cs="Courier New" w:hint="default"/>
      </w:rPr>
    </w:lvl>
    <w:lvl w:ilvl="8" w:tplc="0C090005" w:tentative="1">
      <w:start w:val="1"/>
      <w:numFmt w:val="bullet"/>
      <w:lvlText w:val=""/>
      <w:lvlJc w:val="left"/>
      <w:pPr>
        <w:ind w:left="8513" w:hanging="360"/>
      </w:pPr>
      <w:rPr>
        <w:rFonts w:ascii="Wingdings" w:hAnsi="Wingdings" w:hint="default"/>
      </w:rPr>
    </w:lvl>
  </w:abstractNum>
  <w:abstractNum w:abstractNumId="31" w15:restartNumberingAfterBreak="0">
    <w:nsid w:val="43460914"/>
    <w:multiLevelType w:val="hybridMultilevel"/>
    <w:tmpl w:val="AACCC4F0"/>
    <w:lvl w:ilvl="0" w:tplc="C6DA1410">
      <w:start w:val="1"/>
      <w:numFmt w:val="bullet"/>
      <w:lvlText w:val=""/>
      <w:lvlJc w:val="left"/>
      <w:pPr>
        <w:ind w:left="720" w:hanging="360"/>
      </w:pPr>
      <w:rPr>
        <w:rFonts w:ascii="Webdings" w:hAnsi="Web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856488"/>
    <w:multiLevelType w:val="hybridMultilevel"/>
    <w:tmpl w:val="E9A86028"/>
    <w:lvl w:ilvl="0" w:tplc="E6F87B8E">
      <w:start w:val="1"/>
      <w:numFmt w:val="bullet"/>
      <w:lvlText w:val="-"/>
      <w:lvlJc w:val="left"/>
      <w:pPr>
        <w:ind w:left="3522" w:hanging="360"/>
      </w:pPr>
      <w:rPr>
        <w:rFonts w:ascii="Symbol" w:hAnsi="Symbol" w:hint="default"/>
      </w:rPr>
    </w:lvl>
    <w:lvl w:ilvl="1" w:tplc="0C090003" w:tentative="1">
      <w:start w:val="1"/>
      <w:numFmt w:val="bullet"/>
      <w:lvlText w:val="o"/>
      <w:lvlJc w:val="left"/>
      <w:pPr>
        <w:ind w:left="4242" w:hanging="360"/>
      </w:pPr>
      <w:rPr>
        <w:rFonts w:ascii="Courier New" w:hAnsi="Courier New" w:cs="Courier New" w:hint="default"/>
      </w:rPr>
    </w:lvl>
    <w:lvl w:ilvl="2" w:tplc="0C090005" w:tentative="1">
      <w:start w:val="1"/>
      <w:numFmt w:val="bullet"/>
      <w:lvlText w:val=""/>
      <w:lvlJc w:val="left"/>
      <w:pPr>
        <w:ind w:left="4962" w:hanging="360"/>
      </w:pPr>
      <w:rPr>
        <w:rFonts w:ascii="Wingdings" w:hAnsi="Wingdings" w:hint="default"/>
      </w:rPr>
    </w:lvl>
    <w:lvl w:ilvl="3" w:tplc="0C090001" w:tentative="1">
      <w:start w:val="1"/>
      <w:numFmt w:val="bullet"/>
      <w:lvlText w:val=""/>
      <w:lvlJc w:val="left"/>
      <w:pPr>
        <w:ind w:left="5682" w:hanging="360"/>
      </w:pPr>
      <w:rPr>
        <w:rFonts w:ascii="Symbol" w:hAnsi="Symbol" w:hint="default"/>
      </w:rPr>
    </w:lvl>
    <w:lvl w:ilvl="4" w:tplc="0C090003" w:tentative="1">
      <w:start w:val="1"/>
      <w:numFmt w:val="bullet"/>
      <w:lvlText w:val="o"/>
      <w:lvlJc w:val="left"/>
      <w:pPr>
        <w:ind w:left="6402" w:hanging="360"/>
      </w:pPr>
      <w:rPr>
        <w:rFonts w:ascii="Courier New" w:hAnsi="Courier New" w:cs="Courier New" w:hint="default"/>
      </w:rPr>
    </w:lvl>
    <w:lvl w:ilvl="5" w:tplc="0C090005" w:tentative="1">
      <w:start w:val="1"/>
      <w:numFmt w:val="bullet"/>
      <w:lvlText w:val=""/>
      <w:lvlJc w:val="left"/>
      <w:pPr>
        <w:ind w:left="7122" w:hanging="360"/>
      </w:pPr>
      <w:rPr>
        <w:rFonts w:ascii="Wingdings" w:hAnsi="Wingdings" w:hint="default"/>
      </w:rPr>
    </w:lvl>
    <w:lvl w:ilvl="6" w:tplc="0C090001" w:tentative="1">
      <w:start w:val="1"/>
      <w:numFmt w:val="bullet"/>
      <w:lvlText w:val=""/>
      <w:lvlJc w:val="left"/>
      <w:pPr>
        <w:ind w:left="7842" w:hanging="360"/>
      </w:pPr>
      <w:rPr>
        <w:rFonts w:ascii="Symbol" w:hAnsi="Symbol" w:hint="default"/>
      </w:rPr>
    </w:lvl>
    <w:lvl w:ilvl="7" w:tplc="0C090003" w:tentative="1">
      <w:start w:val="1"/>
      <w:numFmt w:val="bullet"/>
      <w:lvlText w:val="o"/>
      <w:lvlJc w:val="left"/>
      <w:pPr>
        <w:ind w:left="8562" w:hanging="360"/>
      </w:pPr>
      <w:rPr>
        <w:rFonts w:ascii="Courier New" w:hAnsi="Courier New" w:cs="Courier New" w:hint="default"/>
      </w:rPr>
    </w:lvl>
    <w:lvl w:ilvl="8" w:tplc="0C090005" w:tentative="1">
      <w:start w:val="1"/>
      <w:numFmt w:val="bullet"/>
      <w:lvlText w:val=""/>
      <w:lvlJc w:val="left"/>
      <w:pPr>
        <w:ind w:left="9282" w:hanging="360"/>
      </w:pPr>
      <w:rPr>
        <w:rFonts w:ascii="Wingdings" w:hAnsi="Wingdings" w:hint="default"/>
      </w:rPr>
    </w:lvl>
  </w:abstractNum>
  <w:abstractNum w:abstractNumId="33" w15:restartNumberingAfterBreak="0">
    <w:nsid w:val="45701197"/>
    <w:multiLevelType w:val="hybridMultilevel"/>
    <w:tmpl w:val="900A3B10"/>
    <w:lvl w:ilvl="0" w:tplc="0C09000B">
      <w:start w:val="1"/>
      <w:numFmt w:val="bullet"/>
      <w:lvlText w:val=""/>
      <w:lvlJc w:val="left"/>
      <w:pPr>
        <w:ind w:left="1633" w:hanging="360"/>
      </w:pPr>
      <w:rPr>
        <w:rFonts w:ascii="Wingdings" w:hAnsi="Wingdings" w:hint="default"/>
      </w:rPr>
    </w:lvl>
    <w:lvl w:ilvl="1" w:tplc="0C090003" w:tentative="1">
      <w:start w:val="1"/>
      <w:numFmt w:val="bullet"/>
      <w:lvlText w:val="o"/>
      <w:lvlJc w:val="left"/>
      <w:pPr>
        <w:ind w:left="2353" w:hanging="360"/>
      </w:pPr>
      <w:rPr>
        <w:rFonts w:ascii="Courier New" w:hAnsi="Courier New" w:cs="Courier New" w:hint="default"/>
      </w:rPr>
    </w:lvl>
    <w:lvl w:ilvl="2" w:tplc="0C090005" w:tentative="1">
      <w:start w:val="1"/>
      <w:numFmt w:val="bullet"/>
      <w:lvlText w:val=""/>
      <w:lvlJc w:val="left"/>
      <w:pPr>
        <w:ind w:left="3073" w:hanging="360"/>
      </w:pPr>
      <w:rPr>
        <w:rFonts w:ascii="Wingdings" w:hAnsi="Wingdings" w:hint="default"/>
      </w:rPr>
    </w:lvl>
    <w:lvl w:ilvl="3" w:tplc="0C090001" w:tentative="1">
      <w:start w:val="1"/>
      <w:numFmt w:val="bullet"/>
      <w:lvlText w:val=""/>
      <w:lvlJc w:val="left"/>
      <w:pPr>
        <w:ind w:left="3793" w:hanging="360"/>
      </w:pPr>
      <w:rPr>
        <w:rFonts w:ascii="Symbol" w:hAnsi="Symbol" w:hint="default"/>
      </w:rPr>
    </w:lvl>
    <w:lvl w:ilvl="4" w:tplc="0C090003" w:tentative="1">
      <w:start w:val="1"/>
      <w:numFmt w:val="bullet"/>
      <w:lvlText w:val="o"/>
      <w:lvlJc w:val="left"/>
      <w:pPr>
        <w:ind w:left="4513" w:hanging="360"/>
      </w:pPr>
      <w:rPr>
        <w:rFonts w:ascii="Courier New" w:hAnsi="Courier New" w:cs="Courier New" w:hint="default"/>
      </w:rPr>
    </w:lvl>
    <w:lvl w:ilvl="5" w:tplc="0C090005" w:tentative="1">
      <w:start w:val="1"/>
      <w:numFmt w:val="bullet"/>
      <w:lvlText w:val=""/>
      <w:lvlJc w:val="left"/>
      <w:pPr>
        <w:ind w:left="5233" w:hanging="360"/>
      </w:pPr>
      <w:rPr>
        <w:rFonts w:ascii="Wingdings" w:hAnsi="Wingdings" w:hint="default"/>
      </w:rPr>
    </w:lvl>
    <w:lvl w:ilvl="6" w:tplc="0C090001" w:tentative="1">
      <w:start w:val="1"/>
      <w:numFmt w:val="bullet"/>
      <w:lvlText w:val=""/>
      <w:lvlJc w:val="left"/>
      <w:pPr>
        <w:ind w:left="5953" w:hanging="360"/>
      </w:pPr>
      <w:rPr>
        <w:rFonts w:ascii="Symbol" w:hAnsi="Symbol" w:hint="default"/>
      </w:rPr>
    </w:lvl>
    <w:lvl w:ilvl="7" w:tplc="0C090003" w:tentative="1">
      <w:start w:val="1"/>
      <w:numFmt w:val="bullet"/>
      <w:lvlText w:val="o"/>
      <w:lvlJc w:val="left"/>
      <w:pPr>
        <w:ind w:left="6673" w:hanging="360"/>
      </w:pPr>
      <w:rPr>
        <w:rFonts w:ascii="Courier New" w:hAnsi="Courier New" w:cs="Courier New" w:hint="default"/>
      </w:rPr>
    </w:lvl>
    <w:lvl w:ilvl="8" w:tplc="0C090005" w:tentative="1">
      <w:start w:val="1"/>
      <w:numFmt w:val="bullet"/>
      <w:lvlText w:val=""/>
      <w:lvlJc w:val="left"/>
      <w:pPr>
        <w:ind w:left="7393" w:hanging="360"/>
      </w:pPr>
      <w:rPr>
        <w:rFonts w:ascii="Wingdings" w:hAnsi="Wingdings" w:hint="default"/>
      </w:rPr>
    </w:lvl>
  </w:abstractNum>
  <w:abstractNum w:abstractNumId="34" w15:restartNumberingAfterBreak="0">
    <w:nsid w:val="489B15D7"/>
    <w:multiLevelType w:val="hybridMultilevel"/>
    <w:tmpl w:val="3D2E60CC"/>
    <w:lvl w:ilvl="0" w:tplc="04CEB5FC">
      <w:start w:val="1"/>
      <w:numFmt w:val="bullet"/>
      <w:pStyle w:val="Bulletpoint"/>
      <w:lvlText w:val=""/>
      <w:lvlJc w:val="left"/>
      <w:pPr>
        <w:tabs>
          <w:tab w:val="num" w:pos="653"/>
        </w:tabs>
        <w:ind w:left="653" w:hanging="227"/>
      </w:pPr>
      <w:rPr>
        <w:rFonts w:ascii="Symbol" w:hAnsi="Symbol" w:hint="default"/>
        <w:position w:val="0"/>
        <w:sz w:val="22"/>
        <w:szCs w:val="22"/>
      </w:rPr>
    </w:lvl>
    <w:lvl w:ilvl="1" w:tplc="0C090003" w:tentative="1">
      <w:start w:val="1"/>
      <w:numFmt w:val="bullet"/>
      <w:lvlText w:val="o"/>
      <w:lvlJc w:val="left"/>
      <w:pPr>
        <w:tabs>
          <w:tab w:val="num" w:pos="1724"/>
        </w:tabs>
        <w:ind w:left="1724" w:hanging="360"/>
      </w:pPr>
      <w:rPr>
        <w:rFonts w:ascii="Courier New" w:hAnsi="Courier New" w:cs="Symbol"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Symbol"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Symbol"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4C970252"/>
    <w:multiLevelType w:val="hybridMultilevel"/>
    <w:tmpl w:val="B22CDA80"/>
    <w:lvl w:ilvl="0" w:tplc="017AF016">
      <w:start w:val="5"/>
      <w:numFmt w:val="bullet"/>
      <w:lvlText w:val="•"/>
      <w:lvlJc w:val="left"/>
      <w:pPr>
        <w:ind w:left="720" w:hanging="360"/>
      </w:pPr>
      <w:rPr>
        <w:rFonts w:ascii="Cambria" w:eastAsia="Times New Roman" w:hAnsi="Cambria" w:cs="Times New Roman" w:hint="default"/>
      </w:rPr>
    </w:lvl>
    <w:lvl w:ilvl="1" w:tplc="1C8ED898">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4AF03E5"/>
    <w:multiLevelType w:val="hybridMultilevel"/>
    <w:tmpl w:val="4914EB6E"/>
    <w:lvl w:ilvl="0" w:tplc="7832A7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D938DA"/>
    <w:multiLevelType w:val="hybridMultilevel"/>
    <w:tmpl w:val="05ACD92C"/>
    <w:lvl w:ilvl="0" w:tplc="7B1C7300">
      <w:start w:val="1"/>
      <w:numFmt w:val="bullet"/>
      <w:lvlText w:val="-"/>
      <w:lvlJc w:val="left"/>
      <w:pPr>
        <w:ind w:left="1440" w:hanging="360"/>
      </w:pPr>
      <w:rPr>
        <w:rFonts w:ascii="Verdana" w:hAnsi="Verdana"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5F0C1EB4"/>
    <w:multiLevelType w:val="hybridMultilevel"/>
    <w:tmpl w:val="19E8362C"/>
    <w:lvl w:ilvl="0" w:tplc="7832A7B8">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0" w15:restartNumberingAfterBreak="0">
    <w:nsid w:val="6252367F"/>
    <w:multiLevelType w:val="hybridMultilevel"/>
    <w:tmpl w:val="2DCA0CA4"/>
    <w:lvl w:ilvl="0" w:tplc="64C40E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802C6E"/>
    <w:multiLevelType w:val="hybridMultilevel"/>
    <w:tmpl w:val="43B4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B179B3"/>
    <w:multiLevelType w:val="hybridMultilevel"/>
    <w:tmpl w:val="4732C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7DD4A98"/>
    <w:multiLevelType w:val="hybridMultilevel"/>
    <w:tmpl w:val="762CFF94"/>
    <w:lvl w:ilvl="0" w:tplc="7B1C7300">
      <w:start w:val="1"/>
      <w:numFmt w:val="bullet"/>
      <w:lvlText w:val="-"/>
      <w:lvlJc w:val="left"/>
      <w:pPr>
        <w:ind w:left="1429" w:hanging="360"/>
      </w:pPr>
      <w:rPr>
        <w:rFonts w:ascii="Verdana" w:hAnsi="Verdana"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4" w15:restartNumberingAfterBreak="0">
    <w:nsid w:val="69541696"/>
    <w:multiLevelType w:val="hybridMultilevel"/>
    <w:tmpl w:val="60D44348"/>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78C61B84"/>
    <w:multiLevelType w:val="hybridMultilevel"/>
    <w:tmpl w:val="CE2866E8"/>
    <w:lvl w:ilvl="0" w:tplc="7B1C7300">
      <w:start w:val="1"/>
      <w:numFmt w:val="bullet"/>
      <w:lvlText w:val="-"/>
      <w:lvlJc w:val="left"/>
      <w:pPr>
        <w:ind w:left="1440" w:hanging="360"/>
      </w:pPr>
      <w:rPr>
        <w:rFonts w:ascii="Verdana" w:hAnsi="Verdana"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9B903F0"/>
    <w:multiLevelType w:val="hybridMultilevel"/>
    <w:tmpl w:val="60E4982A"/>
    <w:lvl w:ilvl="0" w:tplc="F5543A56">
      <w:start w:val="1"/>
      <w:numFmt w:val="bullet"/>
      <w:lvlText w:val=""/>
      <w:lvlJc w:val="left"/>
      <w:pPr>
        <w:ind w:left="1070" w:hanging="360"/>
      </w:pPr>
      <w:rPr>
        <w:rFonts w:ascii="Webdings" w:hAnsi="Webding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7" w15:restartNumberingAfterBreak="0">
    <w:nsid w:val="7BA12037"/>
    <w:multiLevelType w:val="hybridMultilevel"/>
    <w:tmpl w:val="F2EA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0"/>
  </w:num>
  <w:num w:numId="4">
    <w:abstractNumId w:val="9"/>
  </w:num>
  <w:num w:numId="5">
    <w:abstractNumId w:val="36"/>
  </w:num>
  <w:num w:numId="6">
    <w:abstractNumId w:val="21"/>
  </w:num>
  <w:num w:numId="7">
    <w:abstractNumId w:val="34"/>
  </w:num>
  <w:num w:numId="8">
    <w:abstractNumId w:val="6"/>
  </w:num>
  <w:num w:numId="9">
    <w:abstractNumId w:val="16"/>
  </w:num>
  <w:num w:numId="10">
    <w:abstractNumId w:val="15"/>
  </w:num>
  <w:num w:numId="11">
    <w:abstractNumId w:val="30"/>
  </w:num>
  <w:num w:numId="12">
    <w:abstractNumId w:val="27"/>
  </w:num>
  <w:num w:numId="13">
    <w:abstractNumId w:val="13"/>
  </w:num>
  <w:num w:numId="14">
    <w:abstractNumId w:val="32"/>
  </w:num>
  <w:num w:numId="15">
    <w:abstractNumId w:val="4"/>
  </w:num>
  <w:num w:numId="16">
    <w:abstractNumId w:val="44"/>
  </w:num>
  <w:num w:numId="17">
    <w:abstractNumId w:val="12"/>
  </w:num>
  <w:num w:numId="18">
    <w:abstractNumId w:val="2"/>
  </w:num>
  <w:num w:numId="19">
    <w:abstractNumId w:val="20"/>
  </w:num>
  <w:num w:numId="20">
    <w:abstractNumId w:val="38"/>
  </w:num>
  <w:num w:numId="21">
    <w:abstractNumId w:val="19"/>
  </w:num>
  <w:num w:numId="22">
    <w:abstractNumId w:val="46"/>
  </w:num>
  <w:num w:numId="23">
    <w:abstractNumId w:val="26"/>
  </w:num>
  <w:num w:numId="24">
    <w:abstractNumId w:val="24"/>
  </w:num>
  <w:num w:numId="25">
    <w:abstractNumId w:val="1"/>
  </w:num>
  <w:num w:numId="26">
    <w:abstractNumId w:val="18"/>
  </w:num>
  <w:num w:numId="27">
    <w:abstractNumId w:val="43"/>
  </w:num>
  <w:num w:numId="28">
    <w:abstractNumId w:val="40"/>
  </w:num>
  <w:num w:numId="29">
    <w:abstractNumId w:val="28"/>
  </w:num>
  <w:num w:numId="30">
    <w:abstractNumId w:val="17"/>
  </w:num>
  <w:num w:numId="31">
    <w:abstractNumId w:val="23"/>
  </w:num>
  <w:num w:numId="32">
    <w:abstractNumId w:val="25"/>
  </w:num>
  <w:num w:numId="33">
    <w:abstractNumId w:val="3"/>
  </w:num>
  <w:num w:numId="34">
    <w:abstractNumId w:val="0"/>
  </w:num>
  <w:num w:numId="35">
    <w:abstractNumId w:val="31"/>
  </w:num>
  <w:num w:numId="36">
    <w:abstractNumId w:val="14"/>
  </w:num>
  <w:num w:numId="37">
    <w:abstractNumId w:val="35"/>
  </w:num>
  <w:num w:numId="38">
    <w:abstractNumId w:val="39"/>
  </w:num>
  <w:num w:numId="39">
    <w:abstractNumId w:val="22"/>
  </w:num>
  <w:num w:numId="40">
    <w:abstractNumId w:val="37"/>
  </w:num>
  <w:num w:numId="41">
    <w:abstractNumId w:val="8"/>
  </w:num>
  <w:num w:numId="42">
    <w:abstractNumId w:val="47"/>
  </w:num>
  <w:num w:numId="43">
    <w:abstractNumId w:val="7"/>
  </w:num>
  <w:num w:numId="44">
    <w:abstractNumId w:val="45"/>
  </w:num>
  <w:num w:numId="45">
    <w:abstractNumId w:val="11"/>
  </w:num>
  <w:num w:numId="46">
    <w:abstractNumId w:val="33"/>
  </w:num>
  <w:num w:numId="47">
    <w:abstractNumId w:val="29"/>
  </w:num>
  <w:num w:numId="48">
    <w:abstractNumId w:val="42"/>
  </w:num>
  <w:num w:numId="49">
    <w:abstractNumId w:val="41"/>
  </w:num>
  <w:num w:numId="5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s-ES" w:vendorID="64" w:dllVersion="0" w:nlCheck="1" w:checkStyle="0"/>
  <w:activeWritingStyle w:appName="MSWord" w:lang="en-AU"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BD"/>
    <w:rsid w:val="00002031"/>
    <w:rsid w:val="00004734"/>
    <w:rsid w:val="00006B22"/>
    <w:rsid w:val="00006FAB"/>
    <w:rsid w:val="00012754"/>
    <w:rsid w:val="0001276A"/>
    <w:rsid w:val="000246AE"/>
    <w:rsid w:val="00025C67"/>
    <w:rsid w:val="000416DE"/>
    <w:rsid w:val="00044772"/>
    <w:rsid w:val="0004541C"/>
    <w:rsid w:val="00047015"/>
    <w:rsid w:val="0005559E"/>
    <w:rsid w:val="00055827"/>
    <w:rsid w:val="000604D6"/>
    <w:rsid w:val="00061CF1"/>
    <w:rsid w:val="000734D8"/>
    <w:rsid w:val="00077775"/>
    <w:rsid w:val="00086DC5"/>
    <w:rsid w:val="00090471"/>
    <w:rsid w:val="00096AA7"/>
    <w:rsid w:val="000A3AED"/>
    <w:rsid w:val="000A4F36"/>
    <w:rsid w:val="000A67BD"/>
    <w:rsid w:val="000B3532"/>
    <w:rsid w:val="000B3A75"/>
    <w:rsid w:val="000B5BD7"/>
    <w:rsid w:val="000C00C2"/>
    <w:rsid w:val="000C690F"/>
    <w:rsid w:val="000D1295"/>
    <w:rsid w:val="000D391B"/>
    <w:rsid w:val="000D3D6D"/>
    <w:rsid w:val="000D4FC7"/>
    <w:rsid w:val="000E6196"/>
    <w:rsid w:val="000E689D"/>
    <w:rsid w:val="000F4869"/>
    <w:rsid w:val="000F5B42"/>
    <w:rsid w:val="000F6E6F"/>
    <w:rsid w:val="0010601F"/>
    <w:rsid w:val="0010788A"/>
    <w:rsid w:val="00107A31"/>
    <w:rsid w:val="001107DD"/>
    <w:rsid w:val="00110EA5"/>
    <w:rsid w:val="00112F56"/>
    <w:rsid w:val="00116F84"/>
    <w:rsid w:val="00122C2E"/>
    <w:rsid w:val="00124ACD"/>
    <w:rsid w:val="00125318"/>
    <w:rsid w:val="001305A2"/>
    <w:rsid w:val="00133238"/>
    <w:rsid w:val="00133A1B"/>
    <w:rsid w:val="0014197B"/>
    <w:rsid w:val="001447CD"/>
    <w:rsid w:val="001516B1"/>
    <w:rsid w:val="00151766"/>
    <w:rsid w:val="00154EBB"/>
    <w:rsid w:val="00156316"/>
    <w:rsid w:val="00161181"/>
    <w:rsid w:val="00162D14"/>
    <w:rsid w:val="00163780"/>
    <w:rsid w:val="00165389"/>
    <w:rsid w:val="0017693F"/>
    <w:rsid w:val="0018110E"/>
    <w:rsid w:val="00181684"/>
    <w:rsid w:val="001843C6"/>
    <w:rsid w:val="001850E0"/>
    <w:rsid w:val="001A03AF"/>
    <w:rsid w:val="001A1009"/>
    <w:rsid w:val="001A2158"/>
    <w:rsid w:val="001A525F"/>
    <w:rsid w:val="001B09F9"/>
    <w:rsid w:val="001B5C90"/>
    <w:rsid w:val="001B6448"/>
    <w:rsid w:val="001C2F99"/>
    <w:rsid w:val="001C32CD"/>
    <w:rsid w:val="001D2984"/>
    <w:rsid w:val="001D76CC"/>
    <w:rsid w:val="001E07CF"/>
    <w:rsid w:val="001E59F1"/>
    <w:rsid w:val="001F12E5"/>
    <w:rsid w:val="001F2CEE"/>
    <w:rsid w:val="001F49EB"/>
    <w:rsid w:val="001F6CBA"/>
    <w:rsid w:val="00201D4E"/>
    <w:rsid w:val="002076C9"/>
    <w:rsid w:val="00216B2A"/>
    <w:rsid w:val="00220B8A"/>
    <w:rsid w:val="002257F3"/>
    <w:rsid w:val="00233456"/>
    <w:rsid w:val="002339A5"/>
    <w:rsid w:val="00243193"/>
    <w:rsid w:val="00247DDF"/>
    <w:rsid w:val="00250271"/>
    <w:rsid w:val="00257848"/>
    <w:rsid w:val="002578E8"/>
    <w:rsid w:val="0027084A"/>
    <w:rsid w:val="00280265"/>
    <w:rsid w:val="00286434"/>
    <w:rsid w:val="00286C59"/>
    <w:rsid w:val="00291957"/>
    <w:rsid w:val="00291CE5"/>
    <w:rsid w:val="002942D1"/>
    <w:rsid w:val="0029501A"/>
    <w:rsid w:val="002A3721"/>
    <w:rsid w:val="002B1638"/>
    <w:rsid w:val="002B3624"/>
    <w:rsid w:val="002D0952"/>
    <w:rsid w:val="002D403D"/>
    <w:rsid w:val="002D6680"/>
    <w:rsid w:val="002E40B3"/>
    <w:rsid w:val="002E4C9A"/>
    <w:rsid w:val="002F11F8"/>
    <w:rsid w:val="002F3F56"/>
    <w:rsid w:val="002F44B5"/>
    <w:rsid w:val="002F5122"/>
    <w:rsid w:val="003070BD"/>
    <w:rsid w:val="00311AC0"/>
    <w:rsid w:val="003176FC"/>
    <w:rsid w:val="00324E45"/>
    <w:rsid w:val="0032583B"/>
    <w:rsid w:val="00327883"/>
    <w:rsid w:val="00330DF4"/>
    <w:rsid w:val="00335504"/>
    <w:rsid w:val="00340C18"/>
    <w:rsid w:val="00342B0E"/>
    <w:rsid w:val="003442FD"/>
    <w:rsid w:val="00347824"/>
    <w:rsid w:val="00350567"/>
    <w:rsid w:val="003521E8"/>
    <w:rsid w:val="00363E87"/>
    <w:rsid w:val="00370CE3"/>
    <w:rsid w:val="003728F3"/>
    <w:rsid w:val="003735BC"/>
    <w:rsid w:val="0037496E"/>
    <w:rsid w:val="00374C35"/>
    <w:rsid w:val="00383221"/>
    <w:rsid w:val="00386150"/>
    <w:rsid w:val="003874CE"/>
    <w:rsid w:val="00390900"/>
    <w:rsid w:val="003938C9"/>
    <w:rsid w:val="003A7F6C"/>
    <w:rsid w:val="003B4D60"/>
    <w:rsid w:val="003B7E39"/>
    <w:rsid w:val="003C58DC"/>
    <w:rsid w:val="003D09FB"/>
    <w:rsid w:val="003D1E62"/>
    <w:rsid w:val="003D56DD"/>
    <w:rsid w:val="003E0B99"/>
    <w:rsid w:val="003E2486"/>
    <w:rsid w:val="003E3208"/>
    <w:rsid w:val="003F0B04"/>
    <w:rsid w:val="003F22F7"/>
    <w:rsid w:val="00400FF2"/>
    <w:rsid w:val="0040134E"/>
    <w:rsid w:val="0040147C"/>
    <w:rsid w:val="004233BD"/>
    <w:rsid w:val="004334C7"/>
    <w:rsid w:val="00440A2D"/>
    <w:rsid w:val="00441C3F"/>
    <w:rsid w:val="004444B5"/>
    <w:rsid w:val="00444D1A"/>
    <w:rsid w:val="004460D3"/>
    <w:rsid w:val="0045186A"/>
    <w:rsid w:val="004564A7"/>
    <w:rsid w:val="00456765"/>
    <w:rsid w:val="00460036"/>
    <w:rsid w:val="004617BF"/>
    <w:rsid w:val="00462DE4"/>
    <w:rsid w:val="00463658"/>
    <w:rsid w:val="004637A0"/>
    <w:rsid w:val="004722CC"/>
    <w:rsid w:val="004724B9"/>
    <w:rsid w:val="00485D18"/>
    <w:rsid w:val="00490483"/>
    <w:rsid w:val="004936E4"/>
    <w:rsid w:val="00494E60"/>
    <w:rsid w:val="00497487"/>
    <w:rsid w:val="004A2771"/>
    <w:rsid w:val="004A4DE7"/>
    <w:rsid w:val="004A6189"/>
    <w:rsid w:val="004A7390"/>
    <w:rsid w:val="004B7B76"/>
    <w:rsid w:val="004C1D4F"/>
    <w:rsid w:val="004C239D"/>
    <w:rsid w:val="004C2DCA"/>
    <w:rsid w:val="004C4FBE"/>
    <w:rsid w:val="004C61D2"/>
    <w:rsid w:val="004C7805"/>
    <w:rsid w:val="004D2A06"/>
    <w:rsid w:val="004E3568"/>
    <w:rsid w:val="004E719E"/>
    <w:rsid w:val="004F0C4A"/>
    <w:rsid w:val="004F0F38"/>
    <w:rsid w:val="004F47D6"/>
    <w:rsid w:val="00500337"/>
    <w:rsid w:val="00501921"/>
    <w:rsid w:val="00511FD6"/>
    <w:rsid w:val="00530354"/>
    <w:rsid w:val="0053625B"/>
    <w:rsid w:val="005434C6"/>
    <w:rsid w:val="00543B39"/>
    <w:rsid w:val="00546154"/>
    <w:rsid w:val="00550096"/>
    <w:rsid w:val="005550A8"/>
    <w:rsid w:val="00555280"/>
    <w:rsid w:val="00557FF9"/>
    <w:rsid w:val="00562327"/>
    <w:rsid w:val="005633A3"/>
    <w:rsid w:val="005711D5"/>
    <w:rsid w:val="00576378"/>
    <w:rsid w:val="00577130"/>
    <w:rsid w:val="00577945"/>
    <w:rsid w:val="00577E38"/>
    <w:rsid w:val="00585322"/>
    <w:rsid w:val="005857C6"/>
    <w:rsid w:val="00587393"/>
    <w:rsid w:val="00592F6E"/>
    <w:rsid w:val="00593AD1"/>
    <w:rsid w:val="005A5324"/>
    <w:rsid w:val="005A68B6"/>
    <w:rsid w:val="005B7DC7"/>
    <w:rsid w:val="005C5570"/>
    <w:rsid w:val="005C5B66"/>
    <w:rsid w:val="005C660B"/>
    <w:rsid w:val="005C79A4"/>
    <w:rsid w:val="005D5442"/>
    <w:rsid w:val="005E7689"/>
    <w:rsid w:val="00603F32"/>
    <w:rsid w:val="00604F2B"/>
    <w:rsid w:val="00605AD4"/>
    <w:rsid w:val="006136D7"/>
    <w:rsid w:val="00616924"/>
    <w:rsid w:val="00621E4D"/>
    <w:rsid w:val="00624A81"/>
    <w:rsid w:val="00625A6E"/>
    <w:rsid w:val="00630749"/>
    <w:rsid w:val="00632398"/>
    <w:rsid w:val="00640FC3"/>
    <w:rsid w:val="00642020"/>
    <w:rsid w:val="006430EE"/>
    <w:rsid w:val="00652508"/>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0C09"/>
    <w:rsid w:val="006D5D3E"/>
    <w:rsid w:val="006E08B3"/>
    <w:rsid w:val="006F17AC"/>
    <w:rsid w:val="006F25B8"/>
    <w:rsid w:val="006F26BD"/>
    <w:rsid w:val="006F572E"/>
    <w:rsid w:val="007046D6"/>
    <w:rsid w:val="00705DB0"/>
    <w:rsid w:val="00722B57"/>
    <w:rsid w:val="00730F8A"/>
    <w:rsid w:val="00735A8C"/>
    <w:rsid w:val="0074253D"/>
    <w:rsid w:val="00744121"/>
    <w:rsid w:val="0074429B"/>
    <w:rsid w:val="007615BC"/>
    <w:rsid w:val="00762F05"/>
    <w:rsid w:val="007652FF"/>
    <w:rsid w:val="00770CAC"/>
    <w:rsid w:val="00770EF1"/>
    <w:rsid w:val="00773EF7"/>
    <w:rsid w:val="00774800"/>
    <w:rsid w:val="00774E1D"/>
    <w:rsid w:val="00775E2E"/>
    <w:rsid w:val="007765D8"/>
    <w:rsid w:val="0077675A"/>
    <w:rsid w:val="007771B1"/>
    <w:rsid w:val="00780355"/>
    <w:rsid w:val="007819FD"/>
    <w:rsid w:val="00785717"/>
    <w:rsid w:val="00785721"/>
    <w:rsid w:val="00793A59"/>
    <w:rsid w:val="007A46F5"/>
    <w:rsid w:val="007A6505"/>
    <w:rsid w:val="007B6132"/>
    <w:rsid w:val="007B6E9F"/>
    <w:rsid w:val="007C1216"/>
    <w:rsid w:val="007C1AF7"/>
    <w:rsid w:val="007C6B9B"/>
    <w:rsid w:val="007D3B23"/>
    <w:rsid w:val="007D53B6"/>
    <w:rsid w:val="007D5C56"/>
    <w:rsid w:val="00803125"/>
    <w:rsid w:val="00805D27"/>
    <w:rsid w:val="00806DCB"/>
    <w:rsid w:val="00821776"/>
    <w:rsid w:val="00824C4C"/>
    <w:rsid w:val="00831D59"/>
    <w:rsid w:val="008321F5"/>
    <w:rsid w:val="00832369"/>
    <w:rsid w:val="00834660"/>
    <w:rsid w:val="00836BC2"/>
    <w:rsid w:val="0085156D"/>
    <w:rsid w:val="00852B28"/>
    <w:rsid w:val="0085641B"/>
    <w:rsid w:val="00857136"/>
    <w:rsid w:val="00861A14"/>
    <w:rsid w:val="0086400B"/>
    <w:rsid w:val="00875A6B"/>
    <w:rsid w:val="008768D7"/>
    <w:rsid w:val="00885B11"/>
    <w:rsid w:val="00886D15"/>
    <w:rsid w:val="00887DD8"/>
    <w:rsid w:val="00891BA9"/>
    <w:rsid w:val="00892EFD"/>
    <w:rsid w:val="00896018"/>
    <w:rsid w:val="008960DD"/>
    <w:rsid w:val="0089635C"/>
    <w:rsid w:val="008A2797"/>
    <w:rsid w:val="008A2B9D"/>
    <w:rsid w:val="008A3D9F"/>
    <w:rsid w:val="008A54ED"/>
    <w:rsid w:val="008A5E0B"/>
    <w:rsid w:val="008A6D59"/>
    <w:rsid w:val="008B1FD0"/>
    <w:rsid w:val="008B4B03"/>
    <w:rsid w:val="008B596F"/>
    <w:rsid w:val="008C159F"/>
    <w:rsid w:val="008C1623"/>
    <w:rsid w:val="008C1850"/>
    <w:rsid w:val="008C477A"/>
    <w:rsid w:val="008C51A9"/>
    <w:rsid w:val="008D162C"/>
    <w:rsid w:val="008E1890"/>
    <w:rsid w:val="008E7846"/>
    <w:rsid w:val="008F02E5"/>
    <w:rsid w:val="008F1CCC"/>
    <w:rsid w:val="008F1E1E"/>
    <w:rsid w:val="008F2967"/>
    <w:rsid w:val="008F6943"/>
    <w:rsid w:val="00902A21"/>
    <w:rsid w:val="0091523F"/>
    <w:rsid w:val="00920330"/>
    <w:rsid w:val="009204D8"/>
    <w:rsid w:val="009219D7"/>
    <w:rsid w:val="00922D53"/>
    <w:rsid w:val="00923B70"/>
    <w:rsid w:val="00924482"/>
    <w:rsid w:val="00930237"/>
    <w:rsid w:val="009303A4"/>
    <w:rsid w:val="00937C17"/>
    <w:rsid w:val="00940A89"/>
    <w:rsid w:val="00941F77"/>
    <w:rsid w:val="00946EA5"/>
    <w:rsid w:val="00952D4E"/>
    <w:rsid w:val="00953EB4"/>
    <w:rsid w:val="00960520"/>
    <w:rsid w:val="00963C08"/>
    <w:rsid w:val="009752A5"/>
    <w:rsid w:val="0098041D"/>
    <w:rsid w:val="00981AF0"/>
    <w:rsid w:val="0098585A"/>
    <w:rsid w:val="00996B5F"/>
    <w:rsid w:val="009A4597"/>
    <w:rsid w:val="009A4CED"/>
    <w:rsid w:val="009A690D"/>
    <w:rsid w:val="009B06F8"/>
    <w:rsid w:val="009B1D12"/>
    <w:rsid w:val="009B416B"/>
    <w:rsid w:val="009C4BD5"/>
    <w:rsid w:val="009D7B77"/>
    <w:rsid w:val="009E0BB0"/>
    <w:rsid w:val="009E3FBB"/>
    <w:rsid w:val="009F3624"/>
    <w:rsid w:val="009F5F17"/>
    <w:rsid w:val="009F7353"/>
    <w:rsid w:val="00A04F85"/>
    <w:rsid w:val="00A05FA4"/>
    <w:rsid w:val="00A102E4"/>
    <w:rsid w:val="00A1219C"/>
    <w:rsid w:val="00A12C42"/>
    <w:rsid w:val="00A14DF7"/>
    <w:rsid w:val="00A22D57"/>
    <w:rsid w:val="00A2403C"/>
    <w:rsid w:val="00A3246D"/>
    <w:rsid w:val="00A36BC1"/>
    <w:rsid w:val="00A36FA7"/>
    <w:rsid w:val="00A44DDB"/>
    <w:rsid w:val="00A460EE"/>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3935"/>
    <w:rsid w:val="00AE65EB"/>
    <w:rsid w:val="00AE67A7"/>
    <w:rsid w:val="00AF1D94"/>
    <w:rsid w:val="00AF58E6"/>
    <w:rsid w:val="00AF60C5"/>
    <w:rsid w:val="00B009C6"/>
    <w:rsid w:val="00B01548"/>
    <w:rsid w:val="00B130C5"/>
    <w:rsid w:val="00B13EBD"/>
    <w:rsid w:val="00B142A7"/>
    <w:rsid w:val="00B21D29"/>
    <w:rsid w:val="00B25034"/>
    <w:rsid w:val="00B33588"/>
    <w:rsid w:val="00B33863"/>
    <w:rsid w:val="00B37D17"/>
    <w:rsid w:val="00B4175E"/>
    <w:rsid w:val="00B41C85"/>
    <w:rsid w:val="00B452CE"/>
    <w:rsid w:val="00B5491A"/>
    <w:rsid w:val="00B54C25"/>
    <w:rsid w:val="00B61A08"/>
    <w:rsid w:val="00B6248C"/>
    <w:rsid w:val="00B62B98"/>
    <w:rsid w:val="00B76B91"/>
    <w:rsid w:val="00B77EB1"/>
    <w:rsid w:val="00B811C6"/>
    <w:rsid w:val="00B855B0"/>
    <w:rsid w:val="00B92E08"/>
    <w:rsid w:val="00BA7E5E"/>
    <w:rsid w:val="00BC622A"/>
    <w:rsid w:val="00BE0A78"/>
    <w:rsid w:val="00BE7404"/>
    <w:rsid w:val="00BE79F0"/>
    <w:rsid w:val="00BF046D"/>
    <w:rsid w:val="00BF1190"/>
    <w:rsid w:val="00BF3774"/>
    <w:rsid w:val="00BF4A51"/>
    <w:rsid w:val="00BF5D04"/>
    <w:rsid w:val="00C009AA"/>
    <w:rsid w:val="00C1164D"/>
    <w:rsid w:val="00C16861"/>
    <w:rsid w:val="00C346AB"/>
    <w:rsid w:val="00C404A6"/>
    <w:rsid w:val="00C40A36"/>
    <w:rsid w:val="00C44419"/>
    <w:rsid w:val="00C45E7B"/>
    <w:rsid w:val="00C471B1"/>
    <w:rsid w:val="00C525A2"/>
    <w:rsid w:val="00C52E24"/>
    <w:rsid w:val="00C54E03"/>
    <w:rsid w:val="00C6316B"/>
    <w:rsid w:val="00C634A9"/>
    <w:rsid w:val="00C64586"/>
    <w:rsid w:val="00C70A36"/>
    <w:rsid w:val="00C70D53"/>
    <w:rsid w:val="00C73D0B"/>
    <w:rsid w:val="00C74F5C"/>
    <w:rsid w:val="00C772FF"/>
    <w:rsid w:val="00C80137"/>
    <w:rsid w:val="00C801AF"/>
    <w:rsid w:val="00C80256"/>
    <w:rsid w:val="00C802B0"/>
    <w:rsid w:val="00C94CD4"/>
    <w:rsid w:val="00C9747E"/>
    <w:rsid w:val="00CA2D90"/>
    <w:rsid w:val="00CB0379"/>
    <w:rsid w:val="00CB1D15"/>
    <w:rsid w:val="00CB683C"/>
    <w:rsid w:val="00CB6BC0"/>
    <w:rsid w:val="00CC1B7C"/>
    <w:rsid w:val="00CC727F"/>
    <w:rsid w:val="00CF15C3"/>
    <w:rsid w:val="00CF18E7"/>
    <w:rsid w:val="00CF2B6F"/>
    <w:rsid w:val="00CF2F3E"/>
    <w:rsid w:val="00CF53AD"/>
    <w:rsid w:val="00CF58B6"/>
    <w:rsid w:val="00CF5D2A"/>
    <w:rsid w:val="00CF5DAD"/>
    <w:rsid w:val="00D0062D"/>
    <w:rsid w:val="00D017ED"/>
    <w:rsid w:val="00D040D3"/>
    <w:rsid w:val="00D04C65"/>
    <w:rsid w:val="00D153D8"/>
    <w:rsid w:val="00D16B00"/>
    <w:rsid w:val="00D201D2"/>
    <w:rsid w:val="00D224FE"/>
    <w:rsid w:val="00D23139"/>
    <w:rsid w:val="00D30DEB"/>
    <w:rsid w:val="00D425BB"/>
    <w:rsid w:val="00D42A0C"/>
    <w:rsid w:val="00D453FA"/>
    <w:rsid w:val="00D6493E"/>
    <w:rsid w:val="00D65167"/>
    <w:rsid w:val="00D7195D"/>
    <w:rsid w:val="00D7301E"/>
    <w:rsid w:val="00D83AE1"/>
    <w:rsid w:val="00D855D4"/>
    <w:rsid w:val="00D902C9"/>
    <w:rsid w:val="00D93466"/>
    <w:rsid w:val="00DA1124"/>
    <w:rsid w:val="00DA64CB"/>
    <w:rsid w:val="00DB06B8"/>
    <w:rsid w:val="00DB6124"/>
    <w:rsid w:val="00DB750B"/>
    <w:rsid w:val="00DB75B7"/>
    <w:rsid w:val="00DC0A2F"/>
    <w:rsid w:val="00DC1199"/>
    <w:rsid w:val="00DC1948"/>
    <w:rsid w:val="00DC6E02"/>
    <w:rsid w:val="00DD28CD"/>
    <w:rsid w:val="00DD452B"/>
    <w:rsid w:val="00DE02AE"/>
    <w:rsid w:val="00DE39D1"/>
    <w:rsid w:val="00DE5463"/>
    <w:rsid w:val="00DF1D7F"/>
    <w:rsid w:val="00DF2587"/>
    <w:rsid w:val="00DF4BE4"/>
    <w:rsid w:val="00E02382"/>
    <w:rsid w:val="00E02FB4"/>
    <w:rsid w:val="00E13FC7"/>
    <w:rsid w:val="00E20571"/>
    <w:rsid w:val="00E235F7"/>
    <w:rsid w:val="00E23659"/>
    <w:rsid w:val="00E239D4"/>
    <w:rsid w:val="00E26130"/>
    <w:rsid w:val="00E27F64"/>
    <w:rsid w:val="00E33D42"/>
    <w:rsid w:val="00E343A5"/>
    <w:rsid w:val="00E40B22"/>
    <w:rsid w:val="00E44ED1"/>
    <w:rsid w:val="00E45619"/>
    <w:rsid w:val="00E4588F"/>
    <w:rsid w:val="00E46DA3"/>
    <w:rsid w:val="00E51BB1"/>
    <w:rsid w:val="00E53051"/>
    <w:rsid w:val="00E55CB0"/>
    <w:rsid w:val="00E61A31"/>
    <w:rsid w:val="00E624A5"/>
    <w:rsid w:val="00E64BA4"/>
    <w:rsid w:val="00E668C3"/>
    <w:rsid w:val="00E7344E"/>
    <w:rsid w:val="00E82665"/>
    <w:rsid w:val="00E97AAD"/>
    <w:rsid w:val="00EB0798"/>
    <w:rsid w:val="00EB40AD"/>
    <w:rsid w:val="00EB586E"/>
    <w:rsid w:val="00EB5FC8"/>
    <w:rsid w:val="00EC463D"/>
    <w:rsid w:val="00EC7A85"/>
    <w:rsid w:val="00ED2922"/>
    <w:rsid w:val="00ED3CAD"/>
    <w:rsid w:val="00ED5A41"/>
    <w:rsid w:val="00EE1DE8"/>
    <w:rsid w:val="00EE27C2"/>
    <w:rsid w:val="00EE453C"/>
    <w:rsid w:val="00EF4BAD"/>
    <w:rsid w:val="00EF59DC"/>
    <w:rsid w:val="00F033EC"/>
    <w:rsid w:val="00F04F68"/>
    <w:rsid w:val="00F12670"/>
    <w:rsid w:val="00F14B27"/>
    <w:rsid w:val="00F3148D"/>
    <w:rsid w:val="00F325C5"/>
    <w:rsid w:val="00F32FE0"/>
    <w:rsid w:val="00F33853"/>
    <w:rsid w:val="00F35298"/>
    <w:rsid w:val="00F47333"/>
    <w:rsid w:val="00F47E37"/>
    <w:rsid w:val="00F53C07"/>
    <w:rsid w:val="00F54B65"/>
    <w:rsid w:val="00F63DBF"/>
    <w:rsid w:val="00F640B6"/>
    <w:rsid w:val="00F66DF2"/>
    <w:rsid w:val="00F80E40"/>
    <w:rsid w:val="00F848D9"/>
    <w:rsid w:val="00FA5069"/>
    <w:rsid w:val="00FA5B82"/>
    <w:rsid w:val="00FA639E"/>
    <w:rsid w:val="00FC1FCA"/>
    <w:rsid w:val="00FC25E4"/>
    <w:rsid w:val="00FC4EF7"/>
    <w:rsid w:val="00FD0824"/>
    <w:rsid w:val="00FD119B"/>
    <w:rsid w:val="00FD18A6"/>
    <w:rsid w:val="00FD1EDC"/>
    <w:rsid w:val="00FD5944"/>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A0B684"/>
  <w15:docId w15:val="{584F778C-4E5E-49D8-A38B-78834B34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61A1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652508"/>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363E87"/>
    <w:pPr>
      <w:adjustRightInd w:val="0"/>
      <w:snapToGrid w:val="0"/>
      <w:spacing w:before="180" w:after="180"/>
      <w:ind w:left="720"/>
      <w:contextualSpacing/>
    </w:pPr>
    <w:rPr>
      <w:rFonts w:eastAsia="MS Mincho"/>
      <w:szCs w:val="20"/>
      <w:lang w:eastAsia="ja-JP"/>
    </w:rPr>
  </w:style>
  <w:style w:type="paragraph" w:customStyle="1" w:styleId="Bullet1">
    <w:name w:val="Bullet 1"/>
    <w:basedOn w:val="Normal"/>
    <w:rsid w:val="00363E87"/>
    <w:pPr>
      <w:numPr>
        <w:numId w:val="6"/>
      </w:numPr>
      <w:spacing w:after="0" w:line="240" w:lineRule="auto"/>
    </w:pPr>
    <w:rPr>
      <w:rFonts w:eastAsia="Times New Roman"/>
      <w:kern w:val="24"/>
      <w:szCs w:val="24"/>
      <w:lang w:eastAsia="en-AU"/>
    </w:rPr>
  </w:style>
  <w:style w:type="paragraph" w:customStyle="1" w:styleId="BodyCopy">
    <w:name w:val="Body Copy"/>
    <w:basedOn w:val="Normal"/>
    <w:qFormat/>
    <w:rsid w:val="00775E2E"/>
    <w:pPr>
      <w:adjustRightInd w:val="0"/>
      <w:snapToGrid w:val="0"/>
      <w:spacing w:before="180" w:after="180"/>
    </w:pPr>
    <w:rPr>
      <w:rFonts w:eastAsia="MS Mincho"/>
      <w:szCs w:val="20"/>
      <w:lang w:eastAsia="ja-JP"/>
    </w:rPr>
  </w:style>
  <w:style w:type="paragraph" w:customStyle="1" w:styleId="Bulletpoint">
    <w:name w:val="Bullet point"/>
    <w:basedOn w:val="Normal"/>
    <w:rsid w:val="00624A81"/>
    <w:pPr>
      <w:numPr>
        <w:numId w:val="7"/>
      </w:numPr>
      <w:tabs>
        <w:tab w:val="left" w:pos="397"/>
        <w:tab w:val="num" w:pos="511"/>
      </w:tabs>
      <w:spacing w:before="0" w:after="180" w:line="252" w:lineRule="auto"/>
      <w:ind w:left="0" w:firstLine="0"/>
    </w:pPr>
    <w:rPr>
      <w:rFonts w:eastAsia="Times New Roman"/>
      <w:snapToGrid w:val="0"/>
      <w:kern w:val="16"/>
      <w:szCs w:val="24"/>
    </w:rPr>
  </w:style>
  <w:style w:type="paragraph" w:styleId="BodyText">
    <w:name w:val="Body Text"/>
    <w:basedOn w:val="Normal"/>
    <w:link w:val="BodyTextChar"/>
    <w:uiPriority w:val="1"/>
    <w:qFormat/>
    <w:rsid w:val="005C660B"/>
    <w:pPr>
      <w:widowControl w:val="0"/>
      <w:autoSpaceDE w:val="0"/>
      <w:autoSpaceDN w:val="0"/>
      <w:spacing w:before="0" w:after="0" w:line="240" w:lineRule="auto"/>
    </w:pPr>
    <w:rPr>
      <w:rFonts w:cs="Cambria"/>
      <w:lang w:eastAsia="en-AU" w:bidi="en-AU"/>
    </w:rPr>
  </w:style>
  <w:style w:type="character" w:customStyle="1" w:styleId="BodyTextChar">
    <w:name w:val="Body Text Char"/>
    <w:basedOn w:val="DefaultParagraphFont"/>
    <w:link w:val="BodyText"/>
    <w:uiPriority w:val="1"/>
    <w:rsid w:val="005C660B"/>
    <w:rPr>
      <w:rFonts w:ascii="Cambria" w:eastAsia="Cambria" w:hAnsi="Cambria" w:cs="Cambria"/>
      <w:lang w:eastAsia="en-AU" w:bidi="en-AU"/>
    </w:rPr>
  </w:style>
  <w:style w:type="paragraph" w:customStyle="1" w:styleId="Default">
    <w:name w:val="Default"/>
    <w:rsid w:val="00630749"/>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basedOn w:val="Normal"/>
    <w:link w:val="StandardChar"/>
    <w:qFormat/>
    <w:rsid w:val="00E27F64"/>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27F64"/>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E27F64"/>
    <w:pPr>
      <w:numPr>
        <w:numId w:val="43"/>
      </w:numPr>
      <w:spacing w:after="180"/>
    </w:pPr>
    <w:rPr>
      <w:kern w:val="2"/>
    </w:rPr>
  </w:style>
  <w:style w:type="character" w:customStyle="1" w:styleId="TabletextChar">
    <w:name w:val="Table text Char"/>
    <w:basedOn w:val="StandardChar"/>
    <w:link w:val="Tabletext"/>
    <w:rsid w:val="00E27F64"/>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E27F64"/>
    <w:rPr>
      <w:rFonts w:ascii="Cambria" w:eastAsia="Times New Roman" w:hAnsi="Cambria" w:cs="Times New Roman"/>
      <w:snapToGrid w:val="0"/>
      <w:kern w:val="2"/>
      <w:sz w:val="23"/>
      <w:szCs w:val="24"/>
    </w:rPr>
  </w:style>
  <w:style w:type="paragraph" w:customStyle="1" w:styleId="Summaryofsafetyconcerns">
    <w:name w:val="Summary of safety concerns"/>
    <w:basedOn w:val="Tabletext"/>
    <w:link w:val="SummaryofsafetyconcernsChar"/>
    <w:qFormat/>
    <w:rsid w:val="00E27F64"/>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E27F64"/>
    <w:rPr>
      <w:rFonts w:ascii="Cambria" w:eastAsia="Times New Roman" w:hAnsi="Cambria" w:cs="Times New Roman"/>
      <w:b/>
      <w:snapToGrid w:val="0"/>
      <w:kern w:val="1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3647">
      <w:bodyDiv w:val="1"/>
      <w:marLeft w:val="0"/>
      <w:marRight w:val="0"/>
      <w:marTop w:val="0"/>
      <w:marBottom w:val="0"/>
      <w:divBdr>
        <w:top w:val="none" w:sz="0" w:space="0" w:color="auto"/>
        <w:left w:val="none" w:sz="0" w:space="0" w:color="auto"/>
        <w:bottom w:val="none" w:sz="0" w:space="0" w:color="auto"/>
        <w:right w:val="none" w:sz="0" w:space="0" w:color="auto"/>
      </w:divBdr>
    </w:div>
    <w:div w:id="448818893">
      <w:bodyDiv w:val="1"/>
      <w:marLeft w:val="0"/>
      <w:marRight w:val="0"/>
      <w:marTop w:val="0"/>
      <w:marBottom w:val="0"/>
      <w:divBdr>
        <w:top w:val="none" w:sz="0" w:space="0" w:color="auto"/>
        <w:left w:val="none" w:sz="0" w:space="0" w:color="auto"/>
        <w:bottom w:val="none" w:sz="0" w:space="0" w:color="auto"/>
        <w:right w:val="none" w:sz="0" w:space="0" w:color="auto"/>
      </w:divBdr>
    </w:div>
    <w:div w:id="482628587">
      <w:bodyDiv w:val="1"/>
      <w:marLeft w:val="0"/>
      <w:marRight w:val="0"/>
      <w:marTop w:val="0"/>
      <w:marBottom w:val="0"/>
      <w:divBdr>
        <w:top w:val="none" w:sz="0" w:space="0" w:color="auto"/>
        <w:left w:val="none" w:sz="0" w:space="0" w:color="auto"/>
        <w:bottom w:val="none" w:sz="0" w:space="0" w:color="auto"/>
        <w:right w:val="none" w:sz="0" w:space="0" w:color="auto"/>
      </w:divBdr>
    </w:div>
    <w:div w:id="543837224">
      <w:bodyDiv w:val="1"/>
      <w:marLeft w:val="0"/>
      <w:marRight w:val="0"/>
      <w:marTop w:val="0"/>
      <w:marBottom w:val="0"/>
      <w:divBdr>
        <w:top w:val="none" w:sz="0" w:space="0" w:color="auto"/>
        <w:left w:val="none" w:sz="0" w:space="0" w:color="auto"/>
        <w:bottom w:val="none" w:sz="0" w:space="0" w:color="auto"/>
        <w:right w:val="none" w:sz="0" w:space="0" w:color="auto"/>
      </w:divBdr>
    </w:div>
    <w:div w:id="627587184">
      <w:bodyDiv w:val="1"/>
      <w:marLeft w:val="0"/>
      <w:marRight w:val="0"/>
      <w:marTop w:val="0"/>
      <w:marBottom w:val="0"/>
      <w:divBdr>
        <w:top w:val="none" w:sz="0" w:space="0" w:color="auto"/>
        <w:left w:val="none" w:sz="0" w:space="0" w:color="auto"/>
        <w:bottom w:val="none" w:sz="0" w:space="0" w:color="auto"/>
        <w:right w:val="none" w:sz="0" w:space="0" w:color="auto"/>
      </w:divBdr>
    </w:div>
    <w:div w:id="666444792">
      <w:bodyDiv w:val="1"/>
      <w:marLeft w:val="0"/>
      <w:marRight w:val="0"/>
      <w:marTop w:val="0"/>
      <w:marBottom w:val="0"/>
      <w:divBdr>
        <w:top w:val="none" w:sz="0" w:space="0" w:color="auto"/>
        <w:left w:val="none" w:sz="0" w:space="0" w:color="auto"/>
        <w:bottom w:val="none" w:sz="0" w:space="0" w:color="auto"/>
        <w:right w:val="none" w:sz="0" w:space="0" w:color="auto"/>
      </w:divBdr>
    </w:div>
    <w:div w:id="989359514">
      <w:bodyDiv w:val="1"/>
      <w:marLeft w:val="0"/>
      <w:marRight w:val="0"/>
      <w:marTop w:val="0"/>
      <w:marBottom w:val="0"/>
      <w:divBdr>
        <w:top w:val="none" w:sz="0" w:space="0" w:color="auto"/>
        <w:left w:val="none" w:sz="0" w:space="0" w:color="auto"/>
        <w:bottom w:val="none" w:sz="0" w:space="0" w:color="auto"/>
        <w:right w:val="none" w:sz="0" w:space="0" w:color="auto"/>
      </w:divBdr>
      <w:divsChild>
        <w:div w:id="779032615">
          <w:marLeft w:val="0"/>
          <w:marRight w:val="0"/>
          <w:marTop w:val="0"/>
          <w:marBottom w:val="0"/>
          <w:divBdr>
            <w:top w:val="none" w:sz="0" w:space="0" w:color="auto"/>
            <w:left w:val="none" w:sz="0" w:space="0" w:color="auto"/>
            <w:bottom w:val="none" w:sz="0" w:space="0" w:color="auto"/>
            <w:right w:val="none" w:sz="0" w:space="0" w:color="auto"/>
          </w:divBdr>
        </w:div>
        <w:div w:id="512455860">
          <w:marLeft w:val="0"/>
          <w:marRight w:val="0"/>
          <w:marTop w:val="0"/>
          <w:marBottom w:val="0"/>
          <w:divBdr>
            <w:top w:val="none" w:sz="0" w:space="0" w:color="auto"/>
            <w:left w:val="none" w:sz="0" w:space="0" w:color="auto"/>
            <w:bottom w:val="none" w:sz="0" w:space="0" w:color="auto"/>
            <w:right w:val="none" w:sz="0" w:space="0" w:color="auto"/>
          </w:divBdr>
        </w:div>
      </w:divsChild>
    </w:div>
    <w:div w:id="1151366620">
      <w:bodyDiv w:val="1"/>
      <w:marLeft w:val="0"/>
      <w:marRight w:val="0"/>
      <w:marTop w:val="0"/>
      <w:marBottom w:val="0"/>
      <w:divBdr>
        <w:top w:val="none" w:sz="0" w:space="0" w:color="auto"/>
        <w:left w:val="none" w:sz="0" w:space="0" w:color="auto"/>
        <w:bottom w:val="none" w:sz="0" w:space="0" w:color="auto"/>
        <w:right w:val="none" w:sz="0" w:space="0" w:color="auto"/>
      </w:divBdr>
    </w:div>
    <w:div w:id="1179932680">
      <w:bodyDiv w:val="1"/>
      <w:marLeft w:val="0"/>
      <w:marRight w:val="0"/>
      <w:marTop w:val="0"/>
      <w:marBottom w:val="0"/>
      <w:divBdr>
        <w:top w:val="none" w:sz="0" w:space="0" w:color="auto"/>
        <w:left w:val="none" w:sz="0" w:space="0" w:color="auto"/>
        <w:bottom w:val="none" w:sz="0" w:space="0" w:color="auto"/>
        <w:right w:val="none" w:sz="0" w:space="0" w:color="auto"/>
      </w:divBdr>
    </w:div>
    <w:div w:id="1241594355">
      <w:bodyDiv w:val="1"/>
      <w:marLeft w:val="0"/>
      <w:marRight w:val="0"/>
      <w:marTop w:val="0"/>
      <w:marBottom w:val="0"/>
      <w:divBdr>
        <w:top w:val="none" w:sz="0" w:space="0" w:color="auto"/>
        <w:left w:val="none" w:sz="0" w:space="0" w:color="auto"/>
        <w:bottom w:val="none" w:sz="0" w:space="0" w:color="auto"/>
        <w:right w:val="none" w:sz="0" w:space="0" w:color="auto"/>
      </w:divBdr>
    </w:div>
    <w:div w:id="1278172504">
      <w:bodyDiv w:val="1"/>
      <w:marLeft w:val="0"/>
      <w:marRight w:val="0"/>
      <w:marTop w:val="0"/>
      <w:marBottom w:val="0"/>
      <w:divBdr>
        <w:top w:val="none" w:sz="0" w:space="0" w:color="auto"/>
        <w:left w:val="none" w:sz="0" w:space="0" w:color="auto"/>
        <w:bottom w:val="none" w:sz="0" w:space="0" w:color="auto"/>
        <w:right w:val="none" w:sz="0" w:space="0" w:color="auto"/>
      </w:divBdr>
    </w:div>
    <w:div w:id="1455977590">
      <w:bodyDiv w:val="1"/>
      <w:marLeft w:val="0"/>
      <w:marRight w:val="0"/>
      <w:marTop w:val="0"/>
      <w:marBottom w:val="0"/>
      <w:divBdr>
        <w:top w:val="none" w:sz="0" w:space="0" w:color="auto"/>
        <w:left w:val="none" w:sz="0" w:space="0" w:color="auto"/>
        <w:bottom w:val="none" w:sz="0" w:space="0" w:color="auto"/>
        <w:right w:val="none" w:sz="0" w:space="0" w:color="auto"/>
      </w:divBdr>
    </w:div>
    <w:div w:id="1543444436">
      <w:bodyDiv w:val="1"/>
      <w:marLeft w:val="0"/>
      <w:marRight w:val="0"/>
      <w:marTop w:val="0"/>
      <w:marBottom w:val="0"/>
      <w:divBdr>
        <w:top w:val="none" w:sz="0" w:space="0" w:color="auto"/>
        <w:left w:val="none" w:sz="0" w:space="0" w:color="auto"/>
        <w:bottom w:val="none" w:sz="0" w:space="0" w:color="auto"/>
        <w:right w:val="none" w:sz="0" w:space="0" w:color="auto"/>
      </w:divBdr>
    </w:div>
    <w:div w:id="16595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en.wikipedia.org/wiki/Binding_selectivity" TargetMode="External"/><Relationship Id="rId26" Type="http://schemas.openxmlformats.org/officeDocument/2006/relationships/header" Target="header4.xm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en.wikipedia.org/wiki/Dizocilpine"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ga.gov.au/product-information-pi"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yperlink" Target="https://en.wikipedia.org/wiki/Ionotropic_glutamate_recepto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7.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Stereoisomer" TargetMode="External"/><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en.wikipedia.org/wiki/Receptor_antagonist" TargetMode="External"/><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en.wikipedia.org/wiki/Uncompetitive_antagonist" TargetMode="External"/><Relationship Id="rId27" Type="http://schemas.openxmlformats.org/officeDocument/2006/relationships/header" Target="header5.xml"/><Relationship Id="rId30" Type="http://schemas.openxmlformats.org/officeDocument/2006/relationships/hyperlink" Target="mailto:info@tga.gov.au" TargetMode="Externa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ebs.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91892\t0RA1CDI.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DF9A-BA2B-4152-A79A-61170108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t0RA1CDI.DOTX</Template>
  <TotalTime>8</TotalTime>
  <Pages>46</Pages>
  <Words>17624</Words>
  <Characters>100458</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Australian public assessment report for Esketamine hydrochloride</vt:lpstr>
    </vt:vector>
  </TitlesOfParts>
  <Company>Department of Health Therapeutic Goods Administration</Company>
  <LinksUpToDate>false</LinksUpToDate>
  <CharactersWithSpaces>117847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Esketamine hydrochloride</dc:title>
  <dc:subject>prescription medicines</dc:subject>
  <dc:creator> Therapeutic Goods Administration</dc:creator>
  <cp:keywords/>
  <cp:lastPrinted>2019-08-14T04:30:00Z</cp:lastPrinted>
  <dcterms:created xsi:type="dcterms:W3CDTF">2021-05-24T00:12:00Z</dcterms:created>
  <dcterms:modified xsi:type="dcterms:W3CDTF">2021-05-24T00:20:00Z</dcterms:modified>
  <cp:category/>
</cp:coreProperties>
</file>