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5"/>
      </w:tblGrid>
      <w:tr w:rsidR="008E7846" w:rsidRPr="00487162" w:rsidTr="00B37C25">
        <w:trPr>
          <w:trHeight w:val="1952"/>
        </w:trPr>
        <w:tc>
          <w:tcPr>
            <w:tcW w:w="8525" w:type="dxa"/>
            <w:tcBorders>
              <w:top w:val="nil"/>
              <w:left w:val="nil"/>
              <w:bottom w:val="nil"/>
              <w:right w:val="nil"/>
            </w:tcBorders>
          </w:tcPr>
          <w:p w:rsidR="008E7846" w:rsidRDefault="00B37C25" w:rsidP="0017078F">
            <w:pPr>
              <w:rPr>
                <w:rFonts w:ascii="Arial" w:hAnsi="Arial" w:cs="Arial"/>
                <w:b/>
                <w:color w:val="002C47"/>
                <w:sz w:val="36"/>
                <w:szCs w:val="36"/>
              </w:rPr>
            </w:pPr>
            <w:r w:rsidRPr="00B37C25">
              <w:rPr>
                <w:rFonts w:ascii="Arial" w:hAnsi="Arial" w:cs="Arial"/>
                <w:b/>
                <w:color w:val="002C47"/>
                <w:sz w:val="36"/>
                <w:szCs w:val="36"/>
              </w:rPr>
              <w:t>Date of first round report: 18 October 2017</w:t>
            </w:r>
          </w:p>
          <w:p w:rsidR="00B37C25" w:rsidRPr="0017078F" w:rsidRDefault="00B37C25" w:rsidP="00B37C25">
            <w:pPr>
              <w:rPr>
                <w:rFonts w:ascii="Arial" w:hAnsi="Arial" w:cs="Arial"/>
                <w:b/>
                <w:color w:val="002C47"/>
                <w:sz w:val="36"/>
                <w:szCs w:val="36"/>
              </w:rPr>
            </w:pPr>
            <w:r w:rsidRPr="00B37C25">
              <w:rPr>
                <w:rFonts w:ascii="Arial" w:hAnsi="Arial" w:cs="Arial"/>
                <w:b/>
                <w:color w:val="002C47"/>
                <w:sz w:val="36"/>
                <w:szCs w:val="36"/>
              </w:rPr>
              <w:t>Date of second round report: 18 January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B37C2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B37C25" w:rsidRPr="00B37C25">
              <w:rPr>
                <w:color w:val="FFFFFF" w:themeColor="background1"/>
              </w:rPr>
              <w:t>Ertuglif</w:t>
            </w:r>
            <w:r w:rsidR="004B0649">
              <w:rPr>
                <w:color w:val="FFFFFF" w:themeColor="background1"/>
              </w:rPr>
              <w:t>l</w:t>
            </w:r>
            <w:r w:rsidR="00B37C25" w:rsidRPr="00B37C25">
              <w:rPr>
                <w:color w:val="FFFFFF" w:themeColor="background1"/>
              </w:rPr>
              <w:t>ozin/</w:t>
            </w:r>
            <w:r w:rsidR="00B37C25">
              <w:rPr>
                <w:color w:val="FFFFFF" w:themeColor="background1"/>
              </w:rPr>
              <w:t>Sitagliptin</w:t>
            </w:r>
          </w:p>
        </w:tc>
      </w:tr>
      <w:tr w:rsidR="00E07F15" w:rsidRPr="00B64760" w:rsidTr="00E07F15">
        <w:tc>
          <w:tcPr>
            <w:tcW w:w="9079" w:type="dxa"/>
          </w:tcPr>
          <w:p w:rsidR="00E07F15" w:rsidRPr="008E7846" w:rsidRDefault="00E07F15" w:rsidP="00B37C25">
            <w:pPr>
              <w:pStyle w:val="Subtitle"/>
              <w:rPr>
                <w:color w:val="FFFFFF" w:themeColor="background1"/>
              </w:rPr>
            </w:pPr>
            <w:r w:rsidRPr="008E7846">
              <w:rPr>
                <w:color w:val="FFFFFF" w:themeColor="background1"/>
              </w:rPr>
              <w:t xml:space="preserve">Proprietary Product Name: </w:t>
            </w:r>
            <w:r w:rsidR="00B37C25">
              <w:rPr>
                <w:color w:val="FFFFFF" w:themeColor="background1"/>
              </w:rPr>
              <w:t>Steglujan</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B37C25" w:rsidRPr="00B37C25">
              <w:rPr>
                <w:color w:val="FFFFFF" w:themeColor="background1"/>
              </w:rPr>
              <w:t>Merck Sharpe and Dohme (Australia)</w:t>
            </w:r>
            <w:r w:rsidR="00B37C25">
              <w:rPr>
                <w:color w:val="FFFFFF" w:themeColor="background1"/>
              </w:rPr>
              <w:t xml:space="preserve"> </w:t>
            </w:r>
            <w:r w:rsidR="00B37C25" w:rsidRPr="00B37C25">
              <w:rPr>
                <w:color w:val="FFFFFF" w:themeColor="background1"/>
              </w:rPr>
              <w:t>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F7529C">
        <w:t xml:space="preserve">&gt; </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884A9A">
        <w:t>(</w:t>
      </w:r>
      <w:r w:rsidRPr="003D0A3B">
        <w:t>Information redacted</w:t>
      </w:r>
      <w:r w:rsidR="00884A9A">
        <w:t>)</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F7529C">
        <w:t xml:space="preserve">&gt; </w:t>
      </w:r>
      <w:r w:rsidR="0017078F">
        <w:t>.</w:t>
      </w:r>
    </w:p>
    <w:p w:rsidR="00924482" w:rsidRPr="00DF1D7F" w:rsidRDefault="00924482" w:rsidP="00E957A2">
      <w:pPr>
        <w:pStyle w:val="LegalSubheading"/>
        <w:spacing w:before="384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884A9A">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00F7529C">
        <w:rPr>
          <w:rFonts w:cs="Arial"/>
        </w:rPr>
        <w:t xml:space="preserve">&gt; </w:t>
      </w:r>
      <w:r w:rsidRPr="00191B3B">
        <w:rPr>
          <w:rFonts w:cs="Arial"/>
        </w:rPr>
        <w: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Conten</w:t>
          </w:r>
          <w:bookmarkStart w:id="2" w:name="_GoBack"/>
          <w:bookmarkEnd w:id="2"/>
          <w:r w:rsidRPr="0010788A">
            <w:t>ts</w:t>
          </w:r>
        </w:p>
        <w:p w:rsidR="004A75C1"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73550" w:history="1">
            <w:r w:rsidR="004A75C1" w:rsidRPr="00C0019E">
              <w:rPr>
                <w:rStyle w:val="Hyperlink"/>
                <w:noProof/>
              </w:rPr>
              <w:t>List of common abbreviations</w:t>
            </w:r>
            <w:r w:rsidR="004A75C1">
              <w:rPr>
                <w:noProof/>
                <w:webHidden/>
              </w:rPr>
              <w:tab/>
            </w:r>
            <w:r w:rsidR="004A75C1">
              <w:rPr>
                <w:noProof/>
                <w:webHidden/>
              </w:rPr>
              <w:fldChar w:fldCharType="begin"/>
            </w:r>
            <w:r w:rsidR="004A75C1">
              <w:rPr>
                <w:noProof/>
                <w:webHidden/>
              </w:rPr>
              <w:instrText xml:space="preserve"> PAGEREF _Toc4573550 \h </w:instrText>
            </w:r>
            <w:r w:rsidR="004A75C1">
              <w:rPr>
                <w:noProof/>
                <w:webHidden/>
              </w:rPr>
            </w:r>
            <w:r w:rsidR="004A75C1">
              <w:rPr>
                <w:noProof/>
                <w:webHidden/>
              </w:rPr>
              <w:fldChar w:fldCharType="separate"/>
            </w:r>
            <w:r w:rsidR="004A75C1">
              <w:rPr>
                <w:noProof/>
                <w:webHidden/>
              </w:rPr>
              <w:t>5</w:t>
            </w:r>
            <w:r w:rsidR="004A75C1">
              <w:rPr>
                <w:noProof/>
                <w:webHidden/>
              </w:rPr>
              <w:fldChar w:fldCharType="end"/>
            </w:r>
          </w:hyperlink>
        </w:p>
        <w:p w:rsidR="004A75C1" w:rsidRDefault="004A75C1">
          <w:pPr>
            <w:pStyle w:val="TOC2"/>
            <w:tabs>
              <w:tab w:val="left" w:pos="1100"/>
            </w:tabs>
            <w:rPr>
              <w:rFonts w:asciiTheme="minorHAnsi" w:eastAsiaTheme="minorEastAsia" w:hAnsiTheme="minorHAnsi" w:cstheme="minorBidi"/>
              <w:b w:val="0"/>
              <w:noProof/>
              <w:sz w:val="22"/>
              <w:lang w:eastAsia="en-AU"/>
            </w:rPr>
          </w:pPr>
          <w:hyperlink w:anchor="_Toc4573551" w:history="1">
            <w:r w:rsidRPr="00C0019E">
              <w:rPr>
                <w:rStyle w:val="Hyperlink"/>
                <w:noProof/>
              </w:rPr>
              <w:t>1.</w:t>
            </w:r>
            <w:r>
              <w:rPr>
                <w:rFonts w:asciiTheme="minorHAnsi" w:eastAsiaTheme="minorEastAsia" w:hAnsiTheme="minorHAnsi" w:cstheme="minorBidi"/>
                <w:b w:val="0"/>
                <w:noProof/>
                <w:sz w:val="22"/>
                <w:lang w:eastAsia="en-AU"/>
              </w:rPr>
              <w:tab/>
            </w:r>
            <w:r w:rsidRPr="00C0019E">
              <w:rPr>
                <w:rStyle w:val="Hyperlink"/>
                <w:noProof/>
              </w:rPr>
              <w:t>Submission details</w:t>
            </w:r>
            <w:r>
              <w:rPr>
                <w:noProof/>
                <w:webHidden/>
              </w:rPr>
              <w:tab/>
            </w:r>
            <w:r>
              <w:rPr>
                <w:noProof/>
                <w:webHidden/>
              </w:rPr>
              <w:fldChar w:fldCharType="begin"/>
            </w:r>
            <w:r>
              <w:rPr>
                <w:noProof/>
                <w:webHidden/>
              </w:rPr>
              <w:instrText xml:space="preserve"> PAGEREF _Toc4573551 \h </w:instrText>
            </w:r>
            <w:r>
              <w:rPr>
                <w:noProof/>
                <w:webHidden/>
              </w:rPr>
            </w:r>
            <w:r>
              <w:rPr>
                <w:noProof/>
                <w:webHidden/>
              </w:rPr>
              <w:fldChar w:fldCharType="separate"/>
            </w:r>
            <w:r>
              <w:rPr>
                <w:noProof/>
                <w:webHidden/>
              </w:rPr>
              <w:t>12</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52" w:history="1">
            <w:r w:rsidRPr="00C0019E">
              <w:rPr>
                <w:rStyle w:val="Hyperlink"/>
                <w:noProof/>
              </w:rPr>
              <w:t>1.1.</w:t>
            </w:r>
            <w:r>
              <w:rPr>
                <w:rFonts w:asciiTheme="minorHAnsi" w:eastAsiaTheme="minorEastAsia" w:hAnsiTheme="minorHAnsi" w:cstheme="minorBidi"/>
                <w:noProof/>
                <w:lang w:eastAsia="en-AU"/>
              </w:rPr>
              <w:tab/>
            </w:r>
            <w:r w:rsidRPr="00C0019E">
              <w:rPr>
                <w:rStyle w:val="Hyperlink"/>
                <w:noProof/>
              </w:rPr>
              <w:t>Identifying information</w:t>
            </w:r>
            <w:r>
              <w:rPr>
                <w:noProof/>
                <w:webHidden/>
              </w:rPr>
              <w:tab/>
            </w:r>
            <w:r>
              <w:rPr>
                <w:noProof/>
                <w:webHidden/>
              </w:rPr>
              <w:fldChar w:fldCharType="begin"/>
            </w:r>
            <w:r>
              <w:rPr>
                <w:noProof/>
                <w:webHidden/>
              </w:rPr>
              <w:instrText xml:space="preserve"> PAGEREF _Toc4573552 \h </w:instrText>
            </w:r>
            <w:r>
              <w:rPr>
                <w:noProof/>
                <w:webHidden/>
              </w:rPr>
            </w:r>
            <w:r>
              <w:rPr>
                <w:noProof/>
                <w:webHidden/>
              </w:rPr>
              <w:fldChar w:fldCharType="separate"/>
            </w:r>
            <w:r>
              <w:rPr>
                <w:noProof/>
                <w:webHidden/>
              </w:rPr>
              <w:t>12</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53" w:history="1">
            <w:r w:rsidRPr="00C0019E">
              <w:rPr>
                <w:rStyle w:val="Hyperlink"/>
                <w:noProof/>
              </w:rPr>
              <w:t>1.2.</w:t>
            </w:r>
            <w:r>
              <w:rPr>
                <w:rFonts w:asciiTheme="minorHAnsi" w:eastAsiaTheme="minorEastAsia" w:hAnsiTheme="minorHAnsi" w:cstheme="minorBidi"/>
                <w:noProof/>
                <w:lang w:eastAsia="en-AU"/>
              </w:rPr>
              <w:tab/>
            </w:r>
            <w:r w:rsidRPr="00C0019E">
              <w:rPr>
                <w:rStyle w:val="Hyperlink"/>
                <w:noProof/>
              </w:rPr>
              <w:t>Submission Type</w:t>
            </w:r>
            <w:r>
              <w:rPr>
                <w:noProof/>
                <w:webHidden/>
              </w:rPr>
              <w:tab/>
            </w:r>
            <w:r>
              <w:rPr>
                <w:noProof/>
                <w:webHidden/>
              </w:rPr>
              <w:fldChar w:fldCharType="begin"/>
            </w:r>
            <w:r>
              <w:rPr>
                <w:noProof/>
                <w:webHidden/>
              </w:rPr>
              <w:instrText xml:space="preserve"> PAGEREF _Toc4573553 \h </w:instrText>
            </w:r>
            <w:r>
              <w:rPr>
                <w:noProof/>
                <w:webHidden/>
              </w:rPr>
            </w:r>
            <w:r>
              <w:rPr>
                <w:noProof/>
                <w:webHidden/>
              </w:rPr>
              <w:fldChar w:fldCharType="separate"/>
            </w:r>
            <w:r>
              <w:rPr>
                <w:noProof/>
                <w:webHidden/>
              </w:rPr>
              <w:t>12</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54" w:history="1">
            <w:r w:rsidRPr="00C0019E">
              <w:rPr>
                <w:rStyle w:val="Hyperlink"/>
                <w:noProof/>
              </w:rPr>
              <w:t>1.3.</w:t>
            </w:r>
            <w:r>
              <w:rPr>
                <w:rFonts w:asciiTheme="minorHAnsi" w:eastAsiaTheme="minorEastAsia" w:hAnsiTheme="minorHAnsi" w:cstheme="minorBidi"/>
                <w:noProof/>
                <w:lang w:eastAsia="en-AU"/>
              </w:rPr>
              <w:tab/>
            </w:r>
            <w:r w:rsidRPr="00C0019E">
              <w:rPr>
                <w:rStyle w:val="Hyperlink"/>
                <w:noProof/>
              </w:rPr>
              <w:t>Drug class and therapeutic indication</w:t>
            </w:r>
            <w:r>
              <w:rPr>
                <w:noProof/>
                <w:webHidden/>
              </w:rPr>
              <w:tab/>
            </w:r>
            <w:r>
              <w:rPr>
                <w:noProof/>
                <w:webHidden/>
              </w:rPr>
              <w:fldChar w:fldCharType="begin"/>
            </w:r>
            <w:r>
              <w:rPr>
                <w:noProof/>
                <w:webHidden/>
              </w:rPr>
              <w:instrText xml:space="preserve"> PAGEREF _Toc4573554 \h </w:instrText>
            </w:r>
            <w:r>
              <w:rPr>
                <w:noProof/>
                <w:webHidden/>
              </w:rPr>
            </w:r>
            <w:r>
              <w:rPr>
                <w:noProof/>
                <w:webHidden/>
              </w:rPr>
              <w:fldChar w:fldCharType="separate"/>
            </w:r>
            <w:r>
              <w:rPr>
                <w:noProof/>
                <w:webHidden/>
              </w:rPr>
              <w:t>12</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55" w:history="1">
            <w:r w:rsidRPr="00C0019E">
              <w:rPr>
                <w:rStyle w:val="Hyperlink"/>
                <w:noProof/>
              </w:rPr>
              <w:t>1.4.</w:t>
            </w:r>
            <w:r>
              <w:rPr>
                <w:rFonts w:asciiTheme="minorHAnsi" w:eastAsiaTheme="minorEastAsia" w:hAnsiTheme="minorHAnsi" w:cstheme="minorBidi"/>
                <w:noProof/>
                <w:lang w:eastAsia="en-AU"/>
              </w:rPr>
              <w:tab/>
            </w:r>
            <w:r w:rsidRPr="00C0019E">
              <w:rPr>
                <w:rStyle w:val="Hyperlink"/>
                <w:noProof/>
              </w:rPr>
              <w:t>Dosage forms and strengths</w:t>
            </w:r>
            <w:r>
              <w:rPr>
                <w:noProof/>
                <w:webHidden/>
              </w:rPr>
              <w:tab/>
            </w:r>
            <w:r>
              <w:rPr>
                <w:noProof/>
                <w:webHidden/>
              </w:rPr>
              <w:fldChar w:fldCharType="begin"/>
            </w:r>
            <w:r>
              <w:rPr>
                <w:noProof/>
                <w:webHidden/>
              </w:rPr>
              <w:instrText xml:space="preserve"> PAGEREF _Toc4573555 \h </w:instrText>
            </w:r>
            <w:r>
              <w:rPr>
                <w:noProof/>
                <w:webHidden/>
              </w:rPr>
            </w:r>
            <w:r>
              <w:rPr>
                <w:noProof/>
                <w:webHidden/>
              </w:rPr>
              <w:fldChar w:fldCharType="separate"/>
            </w:r>
            <w:r>
              <w:rPr>
                <w:noProof/>
                <w:webHidden/>
              </w:rPr>
              <w:t>12</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56" w:history="1">
            <w:r w:rsidRPr="00C0019E">
              <w:rPr>
                <w:rStyle w:val="Hyperlink"/>
                <w:noProof/>
              </w:rPr>
              <w:t>1.5.</w:t>
            </w:r>
            <w:r>
              <w:rPr>
                <w:rFonts w:asciiTheme="minorHAnsi" w:eastAsiaTheme="minorEastAsia" w:hAnsiTheme="minorHAnsi" w:cstheme="minorBidi"/>
                <w:noProof/>
                <w:lang w:eastAsia="en-AU"/>
              </w:rPr>
              <w:tab/>
            </w:r>
            <w:r w:rsidRPr="00C0019E">
              <w:rPr>
                <w:rStyle w:val="Hyperlink"/>
                <w:noProof/>
              </w:rPr>
              <w:t>Dosage and administration</w:t>
            </w:r>
            <w:r>
              <w:rPr>
                <w:noProof/>
                <w:webHidden/>
              </w:rPr>
              <w:tab/>
            </w:r>
            <w:r>
              <w:rPr>
                <w:noProof/>
                <w:webHidden/>
              </w:rPr>
              <w:fldChar w:fldCharType="begin"/>
            </w:r>
            <w:r>
              <w:rPr>
                <w:noProof/>
                <w:webHidden/>
              </w:rPr>
              <w:instrText xml:space="preserve"> PAGEREF _Toc4573556 \h </w:instrText>
            </w:r>
            <w:r>
              <w:rPr>
                <w:noProof/>
                <w:webHidden/>
              </w:rPr>
            </w:r>
            <w:r>
              <w:rPr>
                <w:noProof/>
                <w:webHidden/>
              </w:rPr>
              <w:fldChar w:fldCharType="separate"/>
            </w:r>
            <w:r>
              <w:rPr>
                <w:noProof/>
                <w:webHidden/>
              </w:rPr>
              <w:t>13</w:t>
            </w:r>
            <w:r>
              <w:rPr>
                <w:noProof/>
                <w:webHidden/>
              </w:rPr>
              <w:fldChar w:fldCharType="end"/>
            </w:r>
          </w:hyperlink>
        </w:p>
        <w:p w:rsidR="004A75C1" w:rsidRDefault="004A75C1">
          <w:pPr>
            <w:pStyle w:val="TOC2"/>
            <w:tabs>
              <w:tab w:val="left" w:pos="1100"/>
            </w:tabs>
            <w:rPr>
              <w:rFonts w:asciiTheme="minorHAnsi" w:eastAsiaTheme="minorEastAsia" w:hAnsiTheme="minorHAnsi" w:cstheme="minorBidi"/>
              <w:b w:val="0"/>
              <w:noProof/>
              <w:sz w:val="22"/>
              <w:lang w:eastAsia="en-AU"/>
            </w:rPr>
          </w:pPr>
          <w:hyperlink w:anchor="_Toc4573557" w:history="1">
            <w:r w:rsidRPr="00C0019E">
              <w:rPr>
                <w:rStyle w:val="Hyperlink"/>
                <w:noProof/>
              </w:rPr>
              <w:t>2.</w:t>
            </w:r>
            <w:r>
              <w:rPr>
                <w:rFonts w:asciiTheme="minorHAnsi" w:eastAsiaTheme="minorEastAsia" w:hAnsiTheme="minorHAnsi" w:cstheme="minorBidi"/>
                <w:b w:val="0"/>
                <w:noProof/>
                <w:sz w:val="22"/>
                <w:lang w:eastAsia="en-AU"/>
              </w:rPr>
              <w:tab/>
            </w:r>
            <w:r w:rsidRPr="00C0019E">
              <w:rPr>
                <w:rStyle w:val="Hyperlink"/>
                <w:noProof/>
              </w:rPr>
              <w:t>Background</w:t>
            </w:r>
            <w:r>
              <w:rPr>
                <w:noProof/>
                <w:webHidden/>
              </w:rPr>
              <w:tab/>
            </w:r>
            <w:r>
              <w:rPr>
                <w:noProof/>
                <w:webHidden/>
              </w:rPr>
              <w:fldChar w:fldCharType="begin"/>
            </w:r>
            <w:r>
              <w:rPr>
                <w:noProof/>
                <w:webHidden/>
              </w:rPr>
              <w:instrText xml:space="preserve"> PAGEREF _Toc4573557 \h </w:instrText>
            </w:r>
            <w:r>
              <w:rPr>
                <w:noProof/>
                <w:webHidden/>
              </w:rPr>
            </w:r>
            <w:r>
              <w:rPr>
                <w:noProof/>
                <w:webHidden/>
              </w:rPr>
              <w:fldChar w:fldCharType="separate"/>
            </w:r>
            <w:r>
              <w:rPr>
                <w:noProof/>
                <w:webHidden/>
              </w:rPr>
              <w:t>14</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58" w:history="1">
            <w:r w:rsidRPr="00C0019E">
              <w:rPr>
                <w:rStyle w:val="Hyperlink"/>
                <w:noProof/>
              </w:rPr>
              <w:t>2.1.</w:t>
            </w:r>
            <w:r>
              <w:rPr>
                <w:rFonts w:asciiTheme="minorHAnsi" w:eastAsiaTheme="minorEastAsia" w:hAnsiTheme="minorHAnsi" w:cstheme="minorBidi"/>
                <w:noProof/>
                <w:lang w:eastAsia="en-AU"/>
              </w:rPr>
              <w:tab/>
            </w:r>
            <w:r w:rsidRPr="00C0019E">
              <w:rPr>
                <w:rStyle w:val="Hyperlink"/>
                <w:noProof/>
              </w:rPr>
              <w:t>Information on the condition being treated</w:t>
            </w:r>
            <w:r>
              <w:rPr>
                <w:noProof/>
                <w:webHidden/>
              </w:rPr>
              <w:tab/>
            </w:r>
            <w:r>
              <w:rPr>
                <w:noProof/>
                <w:webHidden/>
              </w:rPr>
              <w:fldChar w:fldCharType="begin"/>
            </w:r>
            <w:r>
              <w:rPr>
                <w:noProof/>
                <w:webHidden/>
              </w:rPr>
              <w:instrText xml:space="preserve"> PAGEREF _Toc4573558 \h </w:instrText>
            </w:r>
            <w:r>
              <w:rPr>
                <w:noProof/>
                <w:webHidden/>
              </w:rPr>
            </w:r>
            <w:r>
              <w:rPr>
                <w:noProof/>
                <w:webHidden/>
              </w:rPr>
              <w:fldChar w:fldCharType="separate"/>
            </w:r>
            <w:r>
              <w:rPr>
                <w:noProof/>
                <w:webHidden/>
              </w:rPr>
              <w:t>14</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59" w:history="1">
            <w:r w:rsidRPr="00C0019E">
              <w:rPr>
                <w:rStyle w:val="Hyperlink"/>
                <w:noProof/>
              </w:rPr>
              <w:t>2.2.</w:t>
            </w:r>
            <w:r>
              <w:rPr>
                <w:rFonts w:asciiTheme="minorHAnsi" w:eastAsiaTheme="minorEastAsia" w:hAnsiTheme="minorHAnsi" w:cstheme="minorBidi"/>
                <w:noProof/>
                <w:lang w:eastAsia="en-AU"/>
              </w:rPr>
              <w:tab/>
            </w:r>
            <w:r w:rsidRPr="00C0019E">
              <w:rPr>
                <w:rStyle w:val="Hyperlink"/>
                <w:noProof/>
              </w:rPr>
              <w:t>Current treatment options</w:t>
            </w:r>
            <w:r>
              <w:rPr>
                <w:noProof/>
                <w:webHidden/>
              </w:rPr>
              <w:tab/>
            </w:r>
            <w:r>
              <w:rPr>
                <w:noProof/>
                <w:webHidden/>
              </w:rPr>
              <w:fldChar w:fldCharType="begin"/>
            </w:r>
            <w:r>
              <w:rPr>
                <w:noProof/>
                <w:webHidden/>
              </w:rPr>
              <w:instrText xml:space="preserve"> PAGEREF _Toc4573559 \h </w:instrText>
            </w:r>
            <w:r>
              <w:rPr>
                <w:noProof/>
                <w:webHidden/>
              </w:rPr>
            </w:r>
            <w:r>
              <w:rPr>
                <w:noProof/>
                <w:webHidden/>
              </w:rPr>
              <w:fldChar w:fldCharType="separate"/>
            </w:r>
            <w:r>
              <w:rPr>
                <w:noProof/>
                <w:webHidden/>
              </w:rPr>
              <w:t>14</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60" w:history="1">
            <w:r w:rsidRPr="00C0019E">
              <w:rPr>
                <w:rStyle w:val="Hyperlink"/>
                <w:noProof/>
              </w:rPr>
              <w:t>2.3.</w:t>
            </w:r>
            <w:r>
              <w:rPr>
                <w:rFonts w:asciiTheme="minorHAnsi" w:eastAsiaTheme="minorEastAsia" w:hAnsiTheme="minorHAnsi" w:cstheme="minorBidi"/>
                <w:noProof/>
                <w:lang w:eastAsia="en-AU"/>
              </w:rPr>
              <w:tab/>
            </w:r>
            <w:r w:rsidRPr="00C0019E">
              <w:rPr>
                <w:rStyle w:val="Hyperlink"/>
                <w:noProof/>
              </w:rPr>
              <w:t>Clinical rationale</w:t>
            </w:r>
            <w:r>
              <w:rPr>
                <w:noProof/>
                <w:webHidden/>
              </w:rPr>
              <w:tab/>
            </w:r>
            <w:r>
              <w:rPr>
                <w:noProof/>
                <w:webHidden/>
              </w:rPr>
              <w:fldChar w:fldCharType="begin"/>
            </w:r>
            <w:r>
              <w:rPr>
                <w:noProof/>
                <w:webHidden/>
              </w:rPr>
              <w:instrText xml:space="preserve"> PAGEREF _Toc4573560 \h </w:instrText>
            </w:r>
            <w:r>
              <w:rPr>
                <w:noProof/>
                <w:webHidden/>
              </w:rPr>
            </w:r>
            <w:r>
              <w:rPr>
                <w:noProof/>
                <w:webHidden/>
              </w:rPr>
              <w:fldChar w:fldCharType="separate"/>
            </w:r>
            <w:r>
              <w:rPr>
                <w:noProof/>
                <w:webHidden/>
              </w:rPr>
              <w:t>15</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61" w:history="1">
            <w:r w:rsidRPr="00C0019E">
              <w:rPr>
                <w:rStyle w:val="Hyperlink"/>
                <w:noProof/>
              </w:rPr>
              <w:t>2.4.</w:t>
            </w:r>
            <w:r>
              <w:rPr>
                <w:rFonts w:asciiTheme="minorHAnsi" w:eastAsiaTheme="minorEastAsia" w:hAnsiTheme="minorHAnsi" w:cstheme="minorBidi"/>
                <w:noProof/>
                <w:lang w:eastAsia="en-AU"/>
              </w:rPr>
              <w:tab/>
            </w:r>
            <w:r w:rsidRPr="00C0019E">
              <w:rPr>
                <w:rStyle w:val="Hyperlink"/>
                <w:noProof/>
              </w:rPr>
              <w:t>Formulation</w:t>
            </w:r>
            <w:r>
              <w:rPr>
                <w:noProof/>
                <w:webHidden/>
              </w:rPr>
              <w:tab/>
            </w:r>
            <w:r>
              <w:rPr>
                <w:noProof/>
                <w:webHidden/>
              </w:rPr>
              <w:fldChar w:fldCharType="begin"/>
            </w:r>
            <w:r>
              <w:rPr>
                <w:noProof/>
                <w:webHidden/>
              </w:rPr>
              <w:instrText xml:space="preserve"> PAGEREF _Toc4573561 \h </w:instrText>
            </w:r>
            <w:r>
              <w:rPr>
                <w:noProof/>
                <w:webHidden/>
              </w:rPr>
            </w:r>
            <w:r>
              <w:rPr>
                <w:noProof/>
                <w:webHidden/>
              </w:rPr>
              <w:fldChar w:fldCharType="separate"/>
            </w:r>
            <w:r>
              <w:rPr>
                <w:noProof/>
                <w:webHidden/>
              </w:rPr>
              <w:t>16</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62" w:history="1">
            <w:r w:rsidRPr="00C0019E">
              <w:rPr>
                <w:rStyle w:val="Hyperlink"/>
                <w:noProof/>
              </w:rPr>
              <w:t>2.5.</w:t>
            </w:r>
            <w:r>
              <w:rPr>
                <w:rFonts w:asciiTheme="minorHAnsi" w:eastAsiaTheme="minorEastAsia" w:hAnsiTheme="minorHAnsi" w:cstheme="minorBidi"/>
                <w:noProof/>
                <w:lang w:eastAsia="en-AU"/>
              </w:rPr>
              <w:tab/>
            </w:r>
            <w:r w:rsidRPr="00C0019E">
              <w:rPr>
                <w:rStyle w:val="Hyperlink"/>
                <w:noProof/>
              </w:rPr>
              <w:t>Related submissions</w:t>
            </w:r>
            <w:r>
              <w:rPr>
                <w:noProof/>
                <w:webHidden/>
              </w:rPr>
              <w:tab/>
            </w:r>
            <w:r>
              <w:rPr>
                <w:noProof/>
                <w:webHidden/>
              </w:rPr>
              <w:fldChar w:fldCharType="begin"/>
            </w:r>
            <w:r>
              <w:rPr>
                <w:noProof/>
                <w:webHidden/>
              </w:rPr>
              <w:instrText xml:space="preserve"> PAGEREF _Toc4573562 \h </w:instrText>
            </w:r>
            <w:r>
              <w:rPr>
                <w:noProof/>
                <w:webHidden/>
              </w:rPr>
            </w:r>
            <w:r>
              <w:rPr>
                <w:noProof/>
                <w:webHidden/>
              </w:rPr>
              <w:fldChar w:fldCharType="separate"/>
            </w:r>
            <w:r>
              <w:rPr>
                <w:noProof/>
                <w:webHidden/>
              </w:rPr>
              <w:t>16</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63" w:history="1">
            <w:r w:rsidRPr="00C0019E">
              <w:rPr>
                <w:rStyle w:val="Hyperlink"/>
                <w:noProof/>
              </w:rPr>
              <w:t>2.6.</w:t>
            </w:r>
            <w:r>
              <w:rPr>
                <w:rFonts w:asciiTheme="minorHAnsi" w:eastAsiaTheme="minorEastAsia" w:hAnsiTheme="minorHAnsi" w:cstheme="minorBidi"/>
                <w:noProof/>
                <w:lang w:eastAsia="en-AU"/>
              </w:rPr>
              <w:tab/>
            </w:r>
            <w:r w:rsidRPr="00C0019E">
              <w:rPr>
                <w:rStyle w:val="Hyperlink"/>
                <w:noProof/>
              </w:rPr>
              <w:t>Guidance</w:t>
            </w:r>
            <w:r>
              <w:rPr>
                <w:noProof/>
                <w:webHidden/>
              </w:rPr>
              <w:tab/>
            </w:r>
            <w:r>
              <w:rPr>
                <w:noProof/>
                <w:webHidden/>
              </w:rPr>
              <w:fldChar w:fldCharType="begin"/>
            </w:r>
            <w:r>
              <w:rPr>
                <w:noProof/>
                <w:webHidden/>
              </w:rPr>
              <w:instrText xml:space="preserve"> PAGEREF _Toc4573563 \h </w:instrText>
            </w:r>
            <w:r>
              <w:rPr>
                <w:noProof/>
                <w:webHidden/>
              </w:rPr>
            </w:r>
            <w:r>
              <w:rPr>
                <w:noProof/>
                <w:webHidden/>
              </w:rPr>
              <w:fldChar w:fldCharType="separate"/>
            </w:r>
            <w:r>
              <w:rPr>
                <w:noProof/>
                <w:webHidden/>
              </w:rPr>
              <w:t>16</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64" w:history="1">
            <w:r w:rsidRPr="00C0019E">
              <w:rPr>
                <w:rStyle w:val="Hyperlink"/>
                <w:noProof/>
              </w:rPr>
              <w:t>2.7.</w:t>
            </w:r>
            <w:r>
              <w:rPr>
                <w:rFonts w:asciiTheme="minorHAnsi" w:eastAsiaTheme="minorEastAsia" w:hAnsiTheme="minorHAnsi" w:cstheme="minorBidi"/>
                <w:noProof/>
                <w:lang w:eastAsia="en-AU"/>
              </w:rPr>
              <w:tab/>
            </w:r>
            <w:r w:rsidRPr="00C0019E">
              <w:rPr>
                <w:rStyle w:val="Hyperlink"/>
                <w:noProof/>
              </w:rPr>
              <w:t>Evaluator’s commentary on the background information</w:t>
            </w:r>
            <w:r>
              <w:rPr>
                <w:noProof/>
                <w:webHidden/>
              </w:rPr>
              <w:tab/>
            </w:r>
            <w:r>
              <w:rPr>
                <w:noProof/>
                <w:webHidden/>
              </w:rPr>
              <w:fldChar w:fldCharType="begin"/>
            </w:r>
            <w:r>
              <w:rPr>
                <w:noProof/>
                <w:webHidden/>
              </w:rPr>
              <w:instrText xml:space="preserve"> PAGEREF _Toc4573564 \h </w:instrText>
            </w:r>
            <w:r>
              <w:rPr>
                <w:noProof/>
                <w:webHidden/>
              </w:rPr>
            </w:r>
            <w:r>
              <w:rPr>
                <w:noProof/>
                <w:webHidden/>
              </w:rPr>
              <w:fldChar w:fldCharType="separate"/>
            </w:r>
            <w:r>
              <w:rPr>
                <w:noProof/>
                <w:webHidden/>
              </w:rPr>
              <w:t>16</w:t>
            </w:r>
            <w:r>
              <w:rPr>
                <w:noProof/>
                <w:webHidden/>
              </w:rPr>
              <w:fldChar w:fldCharType="end"/>
            </w:r>
          </w:hyperlink>
        </w:p>
        <w:p w:rsidR="004A75C1" w:rsidRDefault="004A75C1">
          <w:pPr>
            <w:pStyle w:val="TOC2"/>
            <w:tabs>
              <w:tab w:val="left" w:pos="1100"/>
            </w:tabs>
            <w:rPr>
              <w:rFonts w:asciiTheme="minorHAnsi" w:eastAsiaTheme="minorEastAsia" w:hAnsiTheme="minorHAnsi" w:cstheme="minorBidi"/>
              <w:b w:val="0"/>
              <w:noProof/>
              <w:sz w:val="22"/>
              <w:lang w:eastAsia="en-AU"/>
            </w:rPr>
          </w:pPr>
          <w:hyperlink w:anchor="_Toc4573565" w:history="1">
            <w:r w:rsidRPr="00C0019E">
              <w:rPr>
                <w:rStyle w:val="Hyperlink"/>
                <w:noProof/>
              </w:rPr>
              <w:t>3.</w:t>
            </w:r>
            <w:r>
              <w:rPr>
                <w:rFonts w:asciiTheme="minorHAnsi" w:eastAsiaTheme="minorEastAsia" w:hAnsiTheme="minorHAnsi" w:cstheme="minorBidi"/>
                <w:b w:val="0"/>
                <w:noProof/>
                <w:sz w:val="22"/>
                <w:lang w:eastAsia="en-AU"/>
              </w:rPr>
              <w:tab/>
            </w:r>
            <w:r w:rsidRPr="00C0019E">
              <w:rPr>
                <w:rStyle w:val="Hyperlink"/>
                <w:noProof/>
              </w:rPr>
              <w:t>Contents of the clinical dossier</w:t>
            </w:r>
            <w:r>
              <w:rPr>
                <w:noProof/>
                <w:webHidden/>
              </w:rPr>
              <w:tab/>
            </w:r>
            <w:r>
              <w:rPr>
                <w:noProof/>
                <w:webHidden/>
              </w:rPr>
              <w:fldChar w:fldCharType="begin"/>
            </w:r>
            <w:r>
              <w:rPr>
                <w:noProof/>
                <w:webHidden/>
              </w:rPr>
              <w:instrText xml:space="preserve"> PAGEREF _Toc4573565 \h </w:instrText>
            </w:r>
            <w:r>
              <w:rPr>
                <w:noProof/>
                <w:webHidden/>
              </w:rPr>
            </w:r>
            <w:r>
              <w:rPr>
                <w:noProof/>
                <w:webHidden/>
              </w:rPr>
              <w:fldChar w:fldCharType="separate"/>
            </w:r>
            <w:r>
              <w:rPr>
                <w:noProof/>
                <w:webHidden/>
              </w:rPr>
              <w:t>17</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66" w:history="1">
            <w:r w:rsidRPr="00C0019E">
              <w:rPr>
                <w:rStyle w:val="Hyperlink"/>
                <w:noProof/>
              </w:rPr>
              <w:t>3.1.</w:t>
            </w:r>
            <w:r>
              <w:rPr>
                <w:rFonts w:asciiTheme="minorHAnsi" w:eastAsiaTheme="minorEastAsia" w:hAnsiTheme="minorHAnsi" w:cstheme="minorBidi"/>
                <w:noProof/>
                <w:lang w:eastAsia="en-AU"/>
              </w:rPr>
              <w:tab/>
            </w:r>
            <w:r w:rsidRPr="00C0019E">
              <w:rPr>
                <w:rStyle w:val="Hyperlink"/>
                <w:noProof/>
              </w:rPr>
              <w:t>Scope of the clinical dossier</w:t>
            </w:r>
            <w:r>
              <w:rPr>
                <w:noProof/>
                <w:webHidden/>
              </w:rPr>
              <w:tab/>
            </w:r>
            <w:r>
              <w:rPr>
                <w:noProof/>
                <w:webHidden/>
              </w:rPr>
              <w:fldChar w:fldCharType="begin"/>
            </w:r>
            <w:r>
              <w:rPr>
                <w:noProof/>
                <w:webHidden/>
              </w:rPr>
              <w:instrText xml:space="preserve"> PAGEREF _Toc4573566 \h </w:instrText>
            </w:r>
            <w:r>
              <w:rPr>
                <w:noProof/>
                <w:webHidden/>
              </w:rPr>
            </w:r>
            <w:r>
              <w:rPr>
                <w:noProof/>
                <w:webHidden/>
              </w:rPr>
              <w:fldChar w:fldCharType="separate"/>
            </w:r>
            <w:r>
              <w:rPr>
                <w:noProof/>
                <w:webHidden/>
              </w:rPr>
              <w:t>17</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67" w:history="1">
            <w:r w:rsidRPr="00C0019E">
              <w:rPr>
                <w:rStyle w:val="Hyperlink"/>
                <w:noProof/>
              </w:rPr>
              <w:t>3.2.</w:t>
            </w:r>
            <w:r>
              <w:rPr>
                <w:rFonts w:asciiTheme="minorHAnsi" w:eastAsiaTheme="minorEastAsia" w:hAnsiTheme="minorHAnsi" w:cstheme="minorBidi"/>
                <w:noProof/>
                <w:lang w:eastAsia="en-AU"/>
              </w:rPr>
              <w:tab/>
            </w:r>
            <w:r w:rsidRPr="00C0019E">
              <w:rPr>
                <w:rStyle w:val="Hyperlink"/>
                <w:noProof/>
              </w:rPr>
              <w:t>Paediatric data</w:t>
            </w:r>
            <w:r>
              <w:rPr>
                <w:noProof/>
                <w:webHidden/>
              </w:rPr>
              <w:tab/>
            </w:r>
            <w:r>
              <w:rPr>
                <w:noProof/>
                <w:webHidden/>
              </w:rPr>
              <w:fldChar w:fldCharType="begin"/>
            </w:r>
            <w:r>
              <w:rPr>
                <w:noProof/>
                <w:webHidden/>
              </w:rPr>
              <w:instrText xml:space="preserve"> PAGEREF _Toc4573567 \h </w:instrText>
            </w:r>
            <w:r>
              <w:rPr>
                <w:noProof/>
                <w:webHidden/>
              </w:rPr>
            </w:r>
            <w:r>
              <w:rPr>
                <w:noProof/>
                <w:webHidden/>
              </w:rPr>
              <w:fldChar w:fldCharType="separate"/>
            </w:r>
            <w:r>
              <w:rPr>
                <w:noProof/>
                <w:webHidden/>
              </w:rPr>
              <w:t>17</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68" w:history="1">
            <w:r w:rsidRPr="00C0019E">
              <w:rPr>
                <w:rStyle w:val="Hyperlink"/>
                <w:noProof/>
              </w:rPr>
              <w:t>3.3.</w:t>
            </w:r>
            <w:r>
              <w:rPr>
                <w:rFonts w:asciiTheme="minorHAnsi" w:eastAsiaTheme="minorEastAsia" w:hAnsiTheme="minorHAnsi" w:cstheme="minorBidi"/>
                <w:noProof/>
                <w:lang w:eastAsia="en-AU"/>
              </w:rPr>
              <w:tab/>
            </w:r>
            <w:r w:rsidRPr="00C0019E">
              <w:rPr>
                <w:rStyle w:val="Hyperlink"/>
                <w:noProof/>
              </w:rPr>
              <w:t>Good clinical practice</w:t>
            </w:r>
            <w:r>
              <w:rPr>
                <w:noProof/>
                <w:webHidden/>
              </w:rPr>
              <w:tab/>
            </w:r>
            <w:r>
              <w:rPr>
                <w:noProof/>
                <w:webHidden/>
              </w:rPr>
              <w:fldChar w:fldCharType="begin"/>
            </w:r>
            <w:r>
              <w:rPr>
                <w:noProof/>
                <w:webHidden/>
              </w:rPr>
              <w:instrText xml:space="preserve"> PAGEREF _Toc4573568 \h </w:instrText>
            </w:r>
            <w:r>
              <w:rPr>
                <w:noProof/>
                <w:webHidden/>
              </w:rPr>
            </w:r>
            <w:r>
              <w:rPr>
                <w:noProof/>
                <w:webHidden/>
              </w:rPr>
              <w:fldChar w:fldCharType="separate"/>
            </w:r>
            <w:r>
              <w:rPr>
                <w:noProof/>
                <w:webHidden/>
              </w:rPr>
              <w:t>17</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69" w:history="1">
            <w:r w:rsidRPr="00C0019E">
              <w:rPr>
                <w:rStyle w:val="Hyperlink"/>
                <w:noProof/>
              </w:rPr>
              <w:t>3.4.</w:t>
            </w:r>
            <w:r>
              <w:rPr>
                <w:rFonts w:asciiTheme="minorHAnsi" w:eastAsiaTheme="minorEastAsia" w:hAnsiTheme="minorHAnsi" w:cstheme="minorBidi"/>
                <w:noProof/>
                <w:lang w:eastAsia="en-AU"/>
              </w:rPr>
              <w:tab/>
            </w:r>
            <w:r w:rsidRPr="00C0019E">
              <w:rPr>
                <w:rStyle w:val="Hyperlink"/>
                <w:noProof/>
              </w:rPr>
              <w:t>Evaluator’s commentary on the clinical dossier</w:t>
            </w:r>
            <w:r>
              <w:rPr>
                <w:noProof/>
                <w:webHidden/>
              </w:rPr>
              <w:tab/>
            </w:r>
            <w:r>
              <w:rPr>
                <w:noProof/>
                <w:webHidden/>
              </w:rPr>
              <w:fldChar w:fldCharType="begin"/>
            </w:r>
            <w:r>
              <w:rPr>
                <w:noProof/>
                <w:webHidden/>
              </w:rPr>
              <w:instrText xml:space="preserve"> PAGEREF _Toc4573569 \h </w:instrText>
            </w:r>
            <w:r>
              <w:rPr>
                <w:noProof/>
                <w:webHidden/>
              </w:rPr>
            </w:r>
            <w:r>
              <w:rPr>
                <w:noProof/>
                <w:webHidden/>
              </w:rPr>
              <w:fldChar w:fldCharType="separate"/>
            </w:r>
            <w:r>
              <w:rPr>
                <w:noProof/>
                <w:webHidden/>
              </w:rPr>
              <w:t>17</w:t>
            </w:r>
            <w:r>
              <w:rPr>
                <w:noProof/>
                <w:webHidden/>
              </w:rPr>
              <w:fldChar w:fldCharType="end"/>
            </w:r>
          </w:hyperlink>
        </w:p>
        <w:p w:rsidR="004A75C1" w:rsidRDefault="004A75C1">
          <w:pPr>
            <w:pStyle w:val="TOC2"/>
            <w:tabs>
              <w:tab w:val="left" w:pos="1100"/>
            </w:tabs>
            <w:rPr>
              <w:rFonts w:asciiTheme="minorHAnsi" w:eastAsiaTheme="minorEastAsia" w:hAnsiTheme="minorHAnsi" w:cstheme="minorBidi"/>
              <w:b w:val="0"/>
              <w:noProof/>
              <w:sz w:val="22"/>
              <w:lang w:eastAsia="en-AU"/>
            </w:rPr>
          </w:pPr>
          <w:hyperlink w:anchor="_Toc4573570" w:history="1">
            <w:r w:rsidRPr="00C0019E">
              <w:rPr>
                <w:rStyle w:val="Hyperlink"/>
                <w:noProof/>
              </w:rPr>
              <w:t>4.</w:t>
            </w:r>
            <w:r>
              <w:rPr>
                <w:rFonts w:asciiTheme="minorHAnsi" w:eastAsiaTheme="minorEastAsia" w:hAnsiTheme="minorHAnsi" w:cstheme="minorBidi"/>
                <w:b w:val="0"/>
                <w:noProof/>
                <w:sz w:val="22"/>
                <w:lang w:eastAsia="en-AU"/>
              </w:rPr>
              <w:tab/>
            </w:r>
            <w:r w:rsidRPr="00C0019E">
              <w:rPr>
                <w:rStyle w:val="Hyperlink"/>
                <w:noProof/>
              </w:rPr>
              <w:t>Pharmacokinetics</w:t>
            </w:r>
            <w:r>
              <w:rPr>
                <w:noProof/>
                <w:webHidden/>
              </w:rPr>
              <w:tab/>
            </w:r>
            <w:r>
              <w:rPr>
                <w:noProof/>
                <w:webHidden/>
              </w:rPr>
              <w:fldChar w:fldCharType="begin"/>
            </w:r>
            <w:r>
              <w:rPr>
                <w:noProof/>
                <w:webHidden/>
              </w:rPr>
              <w:instrText xml:space="preserve"> PAGEREF _Toc4573570 \h </w:instrText>
            </w:r>
            <w:r>
              <w:rPr>
                <w:noProof/>
                <w:webHidden/>
              </w:rPr>
            </w:r>
            <w:r>
              <w:rPr>
                <w:noProof/>
                <w:webHidden/>
              </w:rPr>
              <w:fldChar w:fldCharType="separate"/>
            </w:r>
            <w:r>
              <w:rPr>
                <w:noProof/>
                <w:webHidden/>
              </w:rPr>
              <w:t>18</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71" w:history="1">
            <w:r w:rsidRPr="00C0019E">
              <w:rPr>
                <w:rStyle w:val="Hyperlink"/>
                <w:noProof/>
              </w:rPr>
              <w:t>4.1.</w:t>
            </w:r>
            <w:r>
              <w:rPr>
                <w:rFonts w:asciiTheme="minorHAnsi" w:eastAsiaTheme="minorEastAsia" w:hAnsiTheme="minorHAnsi" w:cstheme="minorBidi"/>
                <w:noProof/>
                <w:lang w:eastAsia="en-AU"/>
              </w:rPr>
              <w:tab/>
            </w:r>
            <w:r w:rsidRPr="00C0019E">
              <w:rPr>
                <w:rStyle w:val="Hyperlink"/>
                <w:noProof/>
              </w:rPr>
              <w:t>Studies providing pharmacokinetic information</w:t>
            </w:r>
            <w:r>
              <w:rPr>
                <w:noProof/>
                <w:webHidden/>
              </w:rPr>
              <w:tab/>
            </w:r>
            <w:r>
              <w:rPr>
                <w:noProof/>
                <w:webHidden/>
              </w:rPr>
              <w:fldChar w:fldCharType="begin"/>
            </w:r>
            <w:r>
              <w:rPr>
                <w:noProof/>
                <w:webHidden/>
              </w:rPr>
              <w:instrText xml:space="preserve"> PAGEREF _Toc4573571 \h </w:instrText>
            </w:r>
            <w:r>
              <w:rPr>
                <w:noProof/>
                <w:webHidden/>
              </w:rPr>
            </w:r>
            <w:r>
              <w:rPr>
                <w:noProof/>
                <w:webHidden/>
              </w:rPr>
              <w:fldChar w:fldCharType="separate"/>
            </w:r>
            <w:r>
              <w:rPr>
                <w:noProof/>
                <w:webHidden/>
              </w:rPr>
              <w:t>18</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72" w:history="1">
            <w:r w:rsidRPr="00C0019E">
              <w:rPr>
                <w:rStyle w:val="Hyperlink"/>
                <w:noProof/>
              </w:rPr>
              <w:t>4.2.</w:t>
            </w:r>
            <w:r>
              <w:rPr>
                <w:rFonts w:asciiTheme="minorHAnsi" w:eastAsiaTheme="minorEastAsia" w:hAnsiTheme="minorHAnsi" w:cstheme="minorBidi"/>
                <w:noProof/>
                <w:lang w:eastAsia="en-AU"/>
              </w:rPr>
              <w:tab/>
            </w:r>
            <w:r w:rsidRPr="00C0019E">
              <w:rPr>
                <w:rStyle w:val="Hyperlink"/>
                <w:noProof/>
              </w:rPr>
              <w:t>Summary of pharmacokinetics</w:t>
            </w:r>
            <w:r>
              <w:rPr>
                <w:noProof/>
                <w:webHidden/>
              </w:rPr>
              <w:tab/>
            </w:r>
            <w:r>
              <w:rPr>
                <w:noProof/>
                <w:webHidden/>
              </w:rPr>
              <w:fldChar w:fldCharType="begin"/>
            </w:r>
            <w:r>
              <w:rPr>
                <w:noProof/>
                <w:webHidden/>
              </w:rPr>
              <w:instrText xml:space="preserve"> PAGEREF _Toc4573572 \h </w:instrText>
            </w:r>
            <w:r>
              <w:rPr>
                <w:noProof/>
                <w:webHidden/>
              </w:rPr>
            </w:r>
            <w:r>
              <w:rPr>
                <w:noProof/>
                <w:webHidden/>
              </w:rPr>
              <w:fldChar w:fldCharType="separate"/>
            </w:r>
            <w:r>
              <w:rPr>
                <w:noProof/>
                <w:webHidden/>
              </w:rPr>
              <w:t>18</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73" w:history="1">
            <w:r w:rsidRPr="00C0019E">
              <w:rPr>
                <w:rStyle w:val="Hyperlink"/>
                <w:noProof/>
              </w:rPr>
              <w:t>4.3.</w:t>
            </w:r>
            <w:r>
              <w:rPr>
                <w:rFonts w:asciiTheme="minorHAnsi" w:eastAsiaTheme="minorEastAsia" w:hAnsiTheme="minorHAnsi" w:cstheme="minorBidi"/>
                <w:noProof/>
                <w:lang w:eastAsia="en-AU"/>
              </w:rPr>
              <w:tab/>
            </w:r>
            <w:r w:rsidRPr="00C0019E">
              <w:rPr>
                <w:rStyle w:val="Hyperlink"/>
                <w:noProof/>
              </w:rPr>
              <w:t>Evaluator’s overall conclusions on pharmacokinetics</w:t>
            </w:r>
            <w:r>
              <w:rPr>
                <w:noProof/>
                <w:webHidden/>
              </w:rPr>
              <w:tab/>
            </w:r>
            <w:r>
              <w:rPr>
                <w:noProof/>
                <w:webHidden/>
              </w:rPr>
              <w:fldChar w:fldCharType="begin"/>
            </w:r>
            <w:r>
              <w:rPr>
                <w:noProof/>
                <w:webHidden/>
              </w:rPr>
              <w:instrText xml:space="preserve"> PAGEREF _Toc4573573 \h </w:instrText>
            </w:r>
            <w:r>
              <w:rPr>
                <w:noProof/>
                <w:webHidden/>
              </w:rPr>
            </w:r>
            <w:r>
              <w:rPr>
                <w:noProof/>
                <w:webHidden/>
              </w:rPr>
              <w:fldChar w:fldCharType="separate"/>
            </w:r>
            <w:r>
              <w:rPr>
                <w:noProof/>
                <w:webHidden/>
              </w:rPr>
              <w:t>22</w:t>
            </w:r>
            <w:r>
              <w:rPr>
                <w:noProof/>
                <w:webHidden/>
              </w:rPr>
              <w:fldChar w:fldCharType="end"/>
            </w:r>
          </w:hyperlink>
        </w:p>
        <w:p w:rsidR="004A75C1" w:rsidRDefault="004A75C1">
          <w:pPr>
            <w:pStyle w:val="TOC2"/>
            <w:tabs>
              <w:tab w:val="left" w:pos="1100"/>
            </w:tabs>
            <w:rPr>
              <w:rFonts w:asciiTheme="minorHAnsi" w:eastAsiaTheme="minorEastAsia" w:hAnsiTheme="minorHAnsi" w:cstheme="minorBidi"/>
              <w:b w:val="0"/>
              <w:noProof/>
              <w:sz w:val="22"/>
              <w:lang w:eastAsia="en-AU"/>
            </w:rPr>
          </w:pPr>
          <w:hyperlink w:anchor="_Toc4573574" w:history="1">
            <w:r w:rsidRPr="00C0019E">
              <w:rPr>
                <w:rStyle w:val="Hyperlink"/>
                <w:noProof/>
              </w:rPr>
              <w:t>5.</w:t>
            </w:r>
            <w:r>
              <w:rPr>
                <w:rFonts w:asciiTheme="minorHAnsi" w:eastAsiaTheme="minorEastAsia" w:hAnsiTheme="minorHAnsi" w:cstheme="minorBidi"/>
                <w:b w:val="0"/>
                <w:noProof/>
                <w:sz w:val="22"/>
                <w:lang w:eastAsia="en-AU"/>
              </w:rPr>
              <w:tab/>
            </w:r>
            <w:r w:rsidRPr="00C0019E">
              <w:rPr>
                <w:rStyle w:val="Hyperlink"/>
                <w:noProof/>
              </w:rPr>
              <w:t>Pharmacodynamics</w:t>
            </w:r>
            <w:r>
              <w:rPr>
                <w:noProof/>
                <w:webHidden/>
              </w:rPr>
              <w:tab/>
            </w:r>
            <w:r>
              <w:rPr>
                <w:noProof/>
                <w:webHidden/>
              </w:rPr>
              <w:fldChar w:fldCharType="begin"/>
            </w:r>
            <w:r>
              <w:rPr>
                <w:noProof/>
                <w:webHidden/>
              </w:rPr>
              <w:instrText xml:space="preserve"> PAGEREF _Toc4573574 \h </w:instrText>
            </w:r>
            <w:r>
              <w:rPr>
                <w:noProof/>
                <w:webHidden/>
              </w:rPr>
            </w:r>
            <w:r>
              <w:rPr>
                <w:noProof/>
                <w:webHidden/>
              </w:rPr>
              <w:fldChar w:fldCharType="separate"/>
            </w:r>
            <w:r>
              <w:rPr>
                <w:noProof/>
                <w:webHidden/>
              </w:rPr>
              <w:t>22</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75" w:history="1">
            <w:r w:rsidRPr="00C0019E">
              <w:rPr>
                <w:rStyle w:val="Hyperlink"/>
                <w:noProof/>
              </w:rPr>
              <w:t>5.1.</w:t>
            </w:r>
            <w:r>
              <w:rPr>
                <w:rFonts w:asciiTheme="minorHAnsi" w:eastAsiaTheme="minorEastAsia" w:hAnsiTheme="minorHAnsi" w:cstheme="minorBidi"/>
                <w:noProof/>
                <w:lang w:eastAsia="en-AU"/>
              </w:rPr>
              <w:tab/>
            </w:r>
            <w:r w:rsidRPr="00C0019E">
              <w:rPr>
                <w:rStyle w:val="Hyperlink"/>
                <w:noProof/>
              </w:rPr>
              <w:t>Studies providing pharmacodynamic information</w:t>
            </w:r>
            <w:r>
              <w:rPr>
                <w:noProof/>
                <w:webHidden/>
              </w:rPr>
              <w:tab/>
            </w:r>
            <w:r>
              <w:rPr>
                <w:noProof/>
                <w:webHidden/>
              </w:rPr>
              <w:fldChar w:fldCharType="begin"/>
            </w:r>
            <w:r>
              <w:rPr>
                <w:noProof/>
                <w:webHidden/>
              </w:rPr>
              <w:instrText xml:space="preserve"> PAGEREF _Toc4573575 \h </w:instrText>
            </w:r>
            <w:r>
              <w:rPr>
                <w:noProof/>
                <w:webHidden/>
              </w:rPr>
            </w:r>
            <w:r>
              <w:rPr>
                <w:noProof/>
                <w:webHidden/>
              </w:rPr>
              <w:fldChar w:fldCharType="separate"/>
            </w:r>
            <w:r>
              <w:rPr>
                <w:noProof/>
                <w:webHidden/>
              </w:rPr>
              <w:t>22</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76" w:history="1">
            <w:r w:rsidRPr="00C0019E">
              <w:rPr>
                <w:rStyle w:val="Hyperlink"/>
                <w:noProof/>
              </w:rPr>
              <w:t>5.2.</w:t>
            </w:r>
            <w:r>
              <w:rPr>
                <w:rFonts w:asciiTheme="minorHAnsi" w:eastAsiaTheme="minorEastAsia" w:hAnsiTheme="minorHAnsi" w:cstheme="minorBidi"/>
                <w:noProof/>
                <w:lang w:eastAsia="en-AU"/>
              </w:rPr>
              <w:tab/>
            </w:r>
            <w:r w:rsidRPr="00C0019E">
              <w:rPr>
                <w:rStyle w:val="Hyperlink"/>
                <w:noProof/>
              </w:rPr>
              <w:t>Summary of pharmacodynamics</w:t>
            </w:r>
            <w:r>
              <w:rPr>
                <w:noProof/>
                <w:webHidden/>
              </w:rPr>
              <w:tab/>
            </w:r>
            <w:r>
              <w:rPr>
                <w:noProof/>
                <w:webHidden/>
              </w:rPr>
              <w:fldChar w:fldCharType="begin"/>
            </w:r>
            <w:r>
              <w:rPr>
                <w:noProof/>
                <w:webHidden/>
              </w:rPr>
              <w:instrText xml:space="preserve"> PAGEREF _Toc4573576 \h </w:instrText>
            </w:r>
            <w:r>
              <w:rPr>
                <w:noProof/>
                <w:webHidden/>
              </w:rPr>
            </w:r>
            <w:r>
              <w:rPr>
                <w:noProof/>
                <w:webHidden/>
              </w:rPr>
              <w:fldChar w:fldCharType="separate"/>
            </w:r>
            <w:r>
              <w:rPr>
                <w:noProof/>
                <w:webHidden/>
              </w:rPr>
              <w:t>23</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77" w:history="1">
            <w:r w:rsidRPr="00C0019E">
              <w:rPr>
                <w:rStyle w:val="Hyperlink"/>
                <w:noProof/>
              </w:rPr>
              <w:t>5.3.</w:t>
            </w:r>
            <w:r>
              <w:rPr>
                <w:rFonts w:asciiTheme="minorHAnsi" w:eastAsiaTheme="minorEastAsia" w:hAnsiTheme="minorHAnsi" w:cstheme="minorBidi"/>
                <w:noProof/>
                <w:lang w:eastAsia="en-AU"/>
              </w:rPr>
              <w:tab/>
            </w:r>
            <w:r w:rsidRPr="00C0019E">
              <w:rPr>
                <w:rStyle w:val="Hyperlink"/>
                <w:noProof/>
              </w:rPr>
              <w:t>Evaluator’s overall conclusions on pharmacodynamics</w:t>
            </w:r>
            <w:r>
              <w:rPr>
                <w:noProof/>
                <w:webHidden/>
              </w:rPr>
              <w:tab/>
            </w:r>
            <w:r>
              <w:rPr>
                <w:noProof/>
                <w:webHidden/>
              </w:rPr>
              <w:fldChar w:fldCharType="begin"/>
            </w:r>
            <w:r>
              <w:rPr>
                <w:noProof/>
                <w:webHidden/>
              </w:rPr>
              <w:instrText xml:space="preserve"> PAGEREF _Toc4573577 \h </w:instrText>
            </w:r>
            <w:r>
              <w:rPr>
                <w:noProof/>
                <w:webHidden/>
              </w:rPr>
            </w:r>
            <w:r>
              <w:rPr>
                <w:noProof/>
                <w:webHidden/>
              </w:rPr>
              <w:fldChar w:fldCharType="separate"/>
            </w:r>
            <w:r>
              <w:rPr>
                <w:noProof/>
                <w:webHidden/>
              </w:rPr>
              <w:t>23</w:t>
            </w:r>
            <w:r>
              <w:rPr>
                <w:noProof/>
                <w:webHidden/>
              </w:rPr>
              <w:fldChar w:fldCharType="end"/>
            </w:r>
          </w:hyperlink>
        </w:p>
        <w:p w:rsidR="004A75C1" w:rsidRDefault="004A75C1">
          <w:pPr>
            <w:pStyle w:val="TOC2"/>
            <w:tabs>
              <w:tab w:val="left" w:pos="1100"/>
            </w:tabs>
            <w:rPr>
              <w:rFonts w:asciiTheme="minorHAnsi" w:eastAsiaTheme="minorEastAsia" w:hAnsiTheme="minorHAnsi" w:cstheme="minorBidi"/>
              <w:b w:val="0"/>
              <w:noProof/>
              <w:sz w:val="22"/>
              <w:lang w:eastAsia="en-AU"/>
            </w:rPr>
          </w:pPr>
          <w:hyperlink w:anchor="_Toc4573578" w:history="1">
            <w:r w:rsidRPr="00C0019E">
              <w:rPr>
                <w:rStyle w:val="Hyperlink"/>
                <w:noProof/>
              </w:rPr>
              <w:t>6.</w:t>
            </w:r>
            <w:r>
              <w:rPr>
                <w:rFonts w:asciiTheme="minorHAnsi" w:eastAsiaTheme="minorEastAsia" w:hAnsiTheme="minorHAnsi" w:cstheme="minorBidi"/>
                <w:b w:val="0"/>
                <w:noProof/>
                <w:sz w:val="22"/>
                <w:lang w:eastAsia="en-AU"/>
              </w:rPr>
              <w:tab/>
            </w:r>
            <w:r w:rsidRPr="00C0019E">
              <w:rPr>
                <w:rStyle w:val="Hyperlink"/>
                <w:noProof/>
              </w:rPr>
              <w:t>Dosage selection for the pivotal studies</w:t>
            </w:r>
            <w:r>
              <w:rPr>
                <w:noProof/>
                <w:webHidden/>
              </w:rPr>
              <w:tab/>
            </w:r>
            <w:r>
              <w:rPr>
                <w:noProof/>
                <w:webHidden/>
              </w:rPr>
              <w:fldChar w:fldCharType="begin"/>
            </w:r>
            <w:r>
              <w:rPr>
                <w:noProof/>
                <w:webHidden/>
              </w:rPr>
              <w:instrText xml:space="preserve"> PAGEREF _Toc4573578 \h </w:instrText>
            </w:r>
            <w:r>
              <w:rPr>
                <w:noProof/>
                <w:webHidden/>
              </w:rPr>
            </w:r>
            <w:r>
              <w:rPr>
                <w:noProof/>
                <w:webHidden/>
              </w:rPr>
              <w:fldChar w:fldCharType="separate"/>
            </w:r>
            <w:r>
              <w:rPr>
                <w:noProof/>
                <w:webHidden/>
              </w:rPr>
              <w:t>23</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79" w:history="1">
            <w:r w:rsidRPr="00C0019E">
              <w:rPr>
                <w:rStyle w:val="Hyperlink"/>
                <w:noProof/>
              </w:rPr>
              <w:t>6.2.</w:t>
            </w:r>
            <w:r>
              <w:rPr>
                <w:rFonts w:asciiTheme="minorHAnsi" w:eastAsiaTheme="minorEastAsia" w:hAnsiTheme="minorHAnsi" w:cstheme="minorBidi"/>
                <w:noProof/>
                <w:lang w:eastAsia="en-AU"/>
              </w:rPr>
              <w:tab/>
            </w:r>
            <w:r w:rsidRPr="00C0019E">
              <w:rPr>
                <w:rStyle w:val="Hyperlink"/>
                <w:noProof/>
              </w:rPr>
              <w:t>Phase II dose finding studies</w:t>
            </w:r>
            <w:r>
              <w:rPr>
                <w:noProof/>
                <w:webHidden/>
              </w:rPr>
              <w:tab/>
            </w:r>
            <w:r>
              <w:rPr>
                <w:noProof/>
                <w:webHidden/>
              </w:rPr>
              <w:fldChar w:fldCharType="begin"/>
            </w:r>
            <w:r>
              <w:rPr>
                <w:noProof/>
                <w:webHidden/>
              </w:rPr>
              <w:instrText xml:space="preserve"> PAGEREF _Toc4573579 \h </w:instrText>
            </w:r>
            <w:r>
              <w:rPr>
                <w:noProof/>
                <w:webHidden/>
              </w:rPr>
            </w:r>
            <w:r>
              <w:rPr>
                <w:noProof/>
                <w:webHidden/>
              </w:rPr>
              <w:fldChar w:fldCharType="separate"/>
            </w:r>
            <w:r>
              <w:rPr>
                <w:noProof/>
                <w:webHidden/>
              </w:rPr>
              <w:t>24</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80" w:history="1">
            <w:r w:rsidRPr="00C0019E">
              <w:rPr>
                <w:rStyle w:val="Hyperlink"/>
                <w:noProof/>
              </w:rPr>
              <w:t>6.3.</w:t>
            </w:r>
            <w:r>
              <w:rPr>
                <w:rFonts w:asciiTheme="minorHAnsi" w:eastAsiaTheme="minorEastAsia" w:hAnsiTheme="minorHAnsi" w:cstheme="minorBidi"/>
                <w:noProof/>
                <w:lang w:eastAsia="en-AU"/>
              </w:rPr>
              <w:tab/>
            </w:r>
            <w:r w:rsidRPr="00C0019E">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_Toc4573580 \h </w:instrText>
            </w:r>
            <w:r>
              <w:rPr>
                <w:noProof/>
                <w:webHidden/>
              </w:rPr>
            </w:r>
            <w:r>
              <w:rPr>
                <w:noProof/>
                <w:webHidden/>
              </w:rPr>
              <w:fldChar w:fldCharType="separate"/>
            </w:r>
            <w:r>
              <w:rPr>
                <w:noProof/>
                <w:webHidden/>
              </w:rPr>
              <w:t>24</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81" w:history="1">
            <w:r w:rsidRPr="00C0019E">
              <w:rPr>
                <w:rStyle w:val="Hyperlink"/>
                <w:noProof/>
              </w:rPr>
              <w:t>6.4.</w:t>
            </w:r>
            <w:r>
              <w:rPr>
                <w:rFonts w:asciiTheme="minorHAnsi" w:eastAsiaTheme="minorEastAsia" w:hAnsiTheme="minorHAnsi" w:cstheme="minorBidi"/>
                <w:noProof/>
                <w:lang w:eastAsia="en-AU"/>
              </w:rPr>
              <w:tab/>
            </w:r>
            <w:r w:rsidRPr="00C0019E">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_Toc4573581 \h </w:instrText>
            </w:r>
            <w:r>
              <w:rPr>
                <w:noProof/>
                <w:webHidden/>
              </w:rPr>
            </w:r>
            <w:r>
              <w:rPr>
                <w:noProof/>
                <w:webHidden/>
              </w:rPr>
              <w:fldChar w:fldCharType="separate"/>
            </w:r>
            <w:r>
              <w:rPr>
                <w:noProof/>
                <w:webHidden/>
              </w:rPr>
              <w:t>24</w:t>
            </w:r>
            <w:r>
              <w:rPr>
                <w:noProof/>
                <w:webHidden/>
              </w:rPr>
              <w:fldChar w:fldCharType="end"/>
            </w:r>
          </w:hyperlink>
        </w:p>
        <w:p w:rsidR="004A75C1" w:rsidRDefault="004A75C1">
          <w:pPr>
            <w:pStyle w:val="TOC2"/>
            <w:tabs>
              <w:tab w:val="left" w:pos="1100"/>
            </w:tabs>
            <w:rPr>
              <w:rFonts w:asciiTheme="minorHAnsi" w:eastAsiaTheme="minorEastAsia" w:hAnsiTheme="minorHAnsi" w:cstheme="minorBidi"/>
              <w:b w:val="0"/>
              <w:noProof/>
              <w:sz w:val="22"/>
              <w:lang w:eastAsia="en-AU"/>
            </w:rPr>
          </w:pPr>
          <w:hyperlink w:anchor="_Toc4573582" w:history="1">
            <w:r w:rsidRPr="00C0019E">
              <w:rPr>
                <w:rStyle w:val="Hyperlink"/>
                <w:noProof/>
              </w:rPr>
              <w:t>7.</w:t>
            </w:r>
            <w:r>
              <w:rPr>
                <w:rFonts w:asciiTheme="minorHAnsi" w:eastAsiaTheme="minorEastAsia" w:hAnsiTheme="minorHAnsi" w:cstheme="minorBidi"/>
                <w:b w:val="0"/>
                <w:noProof/>
                <w:sz w:val="22"/>
                <w:lang w:eastAsia="en-AU"/>
              </w:rPr>
              <w:tab/>
            </w:r>
            <w:r w:rsidRPr="00C0019E">
              <w:rPr>
                <w:rStyle w:val="Hyperlink"/>
                <w:noProof/>
              </w:rPr>
              <w:t>Clinical efficacy</w:t>
            </w:r>
            <w:r>
              <w:rPr>
                <w:noProof/>
                <w:webHidden/>
              </w:rPr>
              <w:tab/>
            </w:r>
            <w:r>
              <w:rPr>
                <w:noProof/>
                <w:webHidden/>
              </w:rPr>
              <w:fldChar w:fldCharType="begin"/>
            </w:r>
            <w:r>
              <w:rPr>
                <w:noProof/>
                <w:webHidden/>
              </w:rPr>
              <w:instrText xml:space="preserve"> PAGEREF _Toc4573582 \h </w:instrText>
            </w:r>
            <w:r>
              <w:rPr>
                <w:noProof/>
                <w:webHidden/>
              </w:rPr>
            </w:r>
            <w:r>
              <w:rPr>
                <w:noProof/>
                <w:webHidden/>
              </w:rPr>
              <w:fldChar w:fldCharType="separate"/>
            </w:r>
            <w:r>
              <w:rPr>
                <w:noProof/>
                <w:webHidden/>
              </w:rPr>
              <w:t>24</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83" w:history="1">
            <w:r w:rsidRPr="00C0019E">
              <w:rPr>
                <w:rStyle w:val="Hyperlink"/>
                <w:noProof/>
              </w:rPr>
              <w:t>7.1.</w:t>
            </w:r>
            <w:r>
              <w:rPr>
                <w:rFonts w:asciiTheme="minorHAnsi" w:eastAsiaTheme="minorEastAsia" w:hAnsiTheme="minorHAnsi" w:cstheme="minorBidi"/>
                <w:noProof/>
                <w:lang w:eastAsia="en-AU"/>
              </w:rPr>
              <w:tab/>
            </w:r>
            <w:r w:rsidRPr="00C0019E">
              <w:rPr>
                <w:rStyle w:val="Hyperlink"/>
                <w:noProof/>
              </w:rPr>
              <w:t>Studies providing evaluable efficacy data</w:t>
            </w:r>
            <w:r>
              <w:rPr>
                <w:noProof/>
                <w:webHidden/>
              </w:rPr>
              <w:tab/>
            </w:r>
            <w:r>
              <w:rPr>
                <w:noProof/>
                <w:webHidden/>
              </w:rPr>
              <w:fldChar w:fldCharType="begin"/>
            </w:r>
            <w:r>
              <w:rPr>
                <w:noProof/>
                <w:webHidden/>
              </w:rPr>
              <w:instrText xml:space="preserve"> PAGEREF _Toc4573583 \h </w:instrText>
            </w:r>
            <w:r>
              <w:rPr>
                <w:noProof/>
                <w:webHidden/>
              </w:rPr>
            </w:r>
            <w:r>
              <w:rPr>
                <w:noProof/>
                <w:webHidden/>
              </w:rPr>
              <w:fldChar w:fldCharType="separate"/>
            </w:r>
            <w:r>
              <w:rPr>
                <w:noProof/>
                <w:webHidden/>
              </w:rPr>
              <w:t>24</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84" w:history="1">
            <w:r w:rsidRPr="00C0019E">
              <w:rPr>
                <w:rStyle w:val="Hyperlink"/>
                <w:noProof/>
              </w:rPr>
              <w:t>7.2.</w:t>
            </w:r>
            <w:r>
              <w:rPr>
                <w:rFonts w:asciiTheme="minorHAnsi" w:eastAsiaTheme="minorEastAsia" w:hAnsiTheme="minorHAnsi" w:cstheme="minorBidi"/>
                <w:noProof/>
                <w:lang w:eastAsia="en-AU"/>
              </w:rPr>
              <w:tab/>
            </w:r>
            <w:r w:rsidRPr="00C0019E">
              <w:rPr>
                <w:rStyle w:val="Hyperlink"/>
                <w:noProof/>
              </w:rPr>
              <w:t>Pivotal or main efficacy studies</w:t>
            </w:r>
            <w:r>
              <w:rPr>
                <w:noProof/>
                <w:webHidden/>
              </w:rPr>
              <w:tab/>
            </w:r>
            <w:r>
              <w:rPr>
                <w:noProof/>
                <w:webHidden/>
              </w:rPr>
              <w:fldChar w:fldCharType="begin"/>
            </w:r>
            <w:r>
              <w:rPr>
                <w:noProof/>
                <w:webHidden/>
              </w:rPr>
              <w:instrText xml:space="preserve"> PAGEREF _Toc4573584 \h </w:instrText>
            </w:r>
            <w:r>
              <w:rPr>
                <w:noProof/>
                <w:webHidden/>
              </w:rPr>
            </w:r>
            <w:r>
              <w:rPr>
                <w:noProof/>
                <w:webHidden/>
              </w:rPr>
              <w:fldChar w:fldCharType="separate"/>
            </w:r>
            <w:r>
              <w:rPr>
                <w:noProof/>
                <w:webHidden/>
              </w:rPr>
              <w:t>25</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85" w:history="1">
            <w:r w:rsidRPr="00C0019E">
              <w:rPr>
                <w:rStyle w:val="Hyperlink"/>
                <w:noProof/>
              </w:rPr>
              <w:t>7.3.</w:t>
            </w:r>
            <w:r>
              <w:rPr>
                <w:rFonts w:asciiTheme="minorHAnsi" w:eastAsiaTheme="minorEastAsia" w:hAnsiTheme="minorHAnsi" w:cstheme="minorBidi"/>
                <w:noProof/>
                <w:lang w:eastAsia="en-AU"/>
              </w:rPr>
              <w:tab/>
            </w:r>
            <w:r w:rsidRPr="00C0019E">
              <w:rPr>
                <w:rStyle w:val="Hyperlink"/>
                <w:noProof/>
              </w:rPr>
              <w:t>Other efficacy studies</w:t>
            </w:r>
            <w:r>
              <w:rPr>
                <w:noProof/>
                <w:webHidden/>
              </w:rPr>
              <w:tab/>
            </w:r>
            <w:r>
              <w:rPr>
                <w:noProof/>
                <w:webHidden/>
              </w:rPr>
              <w:fldChar w:fldCharType="begin"/>
            </w:r>
            <w:r>
              <w:rPr>
                <w:noProof/>
                <w:webHidden/>
              </w:rPr>
              <w:instrText xml:space="preserve"> PAGEREF _Toc4573585 \h </w:instrText>
            </w:r>
            <w:r>
              <w:rPr>
                <w:noProof/>
                <w:webHidden/>
              </w:rPr>
            </w:r>
            <w:r>
              <w:rPr>
                <w:noProof/>
                <w:webHidden/>
              </w:rPr>
              <w:fldChar w:fldCharType="separate"/>
            </w:r>
            <w:r>
              <w:rPr>
                <w:noProof/>
                <w:webHidden/>
              </w:rPr>
              <w:t>33</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86" w:history="1">
            <w:r w:rsidRPr="00C0019E">
              <w:rPr>
                <w:rStyle w:val="Hyperlink"/>
                <w:noProof/>
              </w:rPr>
              <w:t>7.4.</w:t>
            </w:r>
            <w:r>
              <w:rPr>
                <w:rFonts w:asciiTheme="minorHAnsi" w:eastAsiaTheme="minorEastAsia" w:hAnsiTheme="minorHAnsi" w:cstheme="minorBidi"/>
                <w:noProof/>
                <w:lang w:eastAsia="en-AU"/>
              </w:rPr>
              <w:tab/>
            </w:r>
            <w:r w:rsidRPr="00C0019E">
              <w:rPr>
                <w:rStyle w:val="Hyperlink"/>
                <w:noProof/>
              </w:rPr>
              <w:t>Analyses performed across trials pooled and meta-analyses</w:t>
            </w:r>
            <w:r>
              <w:rPr>
                <w:noProof/>
                <w:webHidden/>
              </w:rPr>
              <w:tab/>
            </w:r>
            <w:r>
              <w:rPr>
                <w:noProof/>
                <w:webHidden/>
              </w:rPr>
              <w:fldChar w:fldCharType="begin"/>
            </w:r>
            <w:r>
              <w:rPr>
                <w:noProof/>
                <w:webHidden/>
              </w:rPr>
              <w:instrText xml:space="preserve"> PAGEREF _Toc4573586 \h </w:instrText>
            </w:r>
            <w:r>
              <w:rPr>
                <w:noProof/>
                <w:webHidden/>
              </w:rPr>
            </w:r>
            <w:r>
              <w:rPr>
                <w:noProof/>
                <w:webHidden/>
              </w:rPr>
              <w:fldChar w:fldCharType="separate"/>
            </w:r>
            <w:r>
              <w:rPr>
                <w:noProof/>
                <w:webHidden/>
              </w:rPr>
              <w:t>33</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87" w:history="1">
            <w:r w:rsidRPr="00C0019E">
              <w:rPr>
                <w:rStyle w:val="Hyperlink"/>
                <w:noProof/>
              </w:rPr>
              <w:t>7.5.</w:t>
            </w:r>
            <w:r>
              <w:rPr>
                <w:rFonts w:asciiTheme="minorHAnsi" w:eastAsiaTheme="minorEastAsia" w:hAnsiTheme="minorHAnsi" w:cstheme="minorBidi"/>
                <w:noProof/>
                <w:lang w:eastAsia="en-AU"/>
              </w:rPr>
              <w:tab/>
            </w:r>
            <w:r w:rsidRPr="00C0019E">
              <w:rPr>
                <w:rStyle w:val="Hyperlink"/>
                <w:noProof/>
              </w:rPr>
              <w:t>Evaluator’s conclusions on clinical efficacy</w:t>
            </w:r>
            <w:r>
              <w:rPr>
                <w:noProof/>
                <w:webHidden/>
              </w:rPr>
              <w:tab/>
            </w:r>
            <w:r>
              <w:rPr>
                <w:noProof/>
                <w:webHidden/>
              </w:rPr>
              <w:fldChar w:fldCharType="begin"/>
            </w:r>
            <w:r>
              <w:rPr>
                <w:noProof/>
                <w:webHidden/>
              </w:rPr>
              <w:instrText xml:space="preserve"> PAGEREF _Toc4573587 \h </w:instrText>
            </w:r>
            <w:r>
              <w:rPr>
                <w:noProof/>
                <w:webHidden/>
              </w:rPr>
            </w:r>
            <w:r>
              <w:rPr>
                <w:noProof/>
                <w:webHidden/>
              </w:rPr>
              <w:fldChar w:fldCharType="separate"/>
            </w:r>
            <w:r>
              <w:rPr>
                <w:noProof/>
                <w:webHidden/>
              </w:rPr>
              <w:t>33</w:t>
            </w:r>
            <w:r>
              <w:rPr>
                <w:noProof/>
                <w:webHidden/>
              </w:rPr>
              <w:fldChar w:fldCharType="end"/>
            </w:r>
          </w:hyperlink>
        </w:p>
        <w:p w:rsidR="004A75C1" w:rsidRDefault="004A75C1">
          <w:pPr>
            <w:pStyle w:val="TOC2"/>
            <w:tabs>
              <w:tab w:val="left" w:pos="1100"/>
            </w:tabs>
            <w:rPr>
              <w:rFonts w:asciiTheme="minorHAnsi" w:eastAsiaTheme="minorEastAsia" w:hAnsiTheme="minorHAnsi" w:cstheme="minorBidi"/>
              <w:b w:val="0"/>
              <w:noProof/>
              <w:sz w:val="22"/>
              <w:lang w:eastAsia="en-AU"/>
            </w:rPr>
          </w:pPr>
          <w:hyperlink w:anchor="_Toc4573588" w:history="1">
            <w:r w:rsidRPr="00C0019E">
              <w:rPr>
                <w:rStyle w:val="Hyperlink"/>
                <w:noProof/>
              </w:rPr>
              <w:t>8.</w:t>
            </w:r>
            <w:r>
              <w:rPr>
                <w:rFonts w:asciiTheme="minorHAnsi" w:eastAsiaTheme="minorEastAsia" w:hAnsiTheme="minorHAnsi" w:cstheme="minorBidi"/>
                <w:b w:val="0"/>
                <w:noProof/>
                <w:sz w:val="22"/>
                <w:lang w:eastAsia="en-AU"/>
              </w:rPr>
              <w:tab/>
            </w:r>
            <w:r w:rsidRPr="00C0019E">
              <w:rPr>
                <w:rStyle w:val="Hyperlink"/>
                <w:noProof/>
              </w:rPr>
              <w:t>Clinical safety</w:t>
            </w:r>
            <w:r>
              <w:rPr>
                <w:noProof/>
                <w:webHidden/>
              </w:rPr>
              <w:tab/>
            </w:r>
            <w:r>
              <w:rPr>
                <w:noProof/>
                <w:webHidden/>
              </w:rPr>
              <w:fldChar w:fldCharType="begin"/>
            </w:r>
            <w:r>
              <w:rPr>
                <w:noProof/>
                <w:webHidden/>
              </w:rPr>
              <w:instrText xml:space="preserve"> PAGEREF _Toc4573588 \h </w:instrText>
            </w:r>
            <w:r>
              <w:rPr>
                <w:noProof/>
                <w:webHidden/>
              </w:rPr>
            </w:r>
            <w:r>
              <w:rPr>
                <w:noProof/>
                <w:webHidden/>
              </w:rPr>
              <w:fldChar w:fldCharType="separate"/>
            </w:r>
            <w:r>
              <w:rPr>
                <w:noProof/>
                <w:webHidden/>
              </w:rPr>
              <w:t>35</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89" w:history="1">
            <w:r w:rsidRPr="00C0019E">
              <w:rPr>
                <w:rStyle w:val="Hyperlink"/>
                <w:noProof/>
              </w:rPr>
              <w:t>8.1.</w:t>
            </w:r>
            <w:r>
              <w:rPr>
                <w:rFonts w:asciiTheme="minorHAnsi" w:eastAsiaTheme="minorEastAsia" w:hAnsiTheme="minorHAnsi" w:cstheme="minorBidi"/>
                <w:noProof/>
                <w:lang w:eastAsia="en-AU"/>
              </w:rPr>
              <w:tab/>
            </w:r>
            <w:r w:rsidRPr="00C0019E">
              <w:rPr>
                <w:rStyle w:val="Hyperlink"/>
                <w:noProof/>
              </w:rPr>
              <w:t>Studies providing evaluable safety data</w:t>
            </w:r>
            <w:r>
              <w:rPr>
                <w:noProof/>
                <w:webHidden/>
              </w:rPr>
              <w:tab/>
            </w:r>
            <w:r>
              <w:rPr>
                <w:noProof/>
                <w:webHidden/>
              </w:rPr>
              <w:fldChar w:fldCharType="begin"/>
            </w:r>
            <w:r>
              <w:rPr>
                <w:noProof/>
                <w:webHidden/>
              </w:rPr>
              <w:instrText xml:space="preserve"> PAGEREF _Toc4573589 \h </w:instrText>
            </w:r>
            <w:r>
              <w:rPr>
                <w:noProof/>
                <w:webHidden/>
              </w:rPr>
            </w:r>
            <w:r>
              <w:rPr>
                <w:noProof/>
                <w:webHidden/>
              </w:rPr>
              <w:fldChar w:fldCharType="separate"/>
            </w:r>
            <w:r>
              <w:rPr>
                <w:noProof/>
                <w:webHidden/>
              </w:rPr>
              <w:t>35</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0" w:history="1">
            <w:r w:rsidRPr="00C0019E">
              <w:rPr>
                <w:rStyle w:val="Hyperlink"/>
                <w:noProof/>
              </w:rPr>
              <w:t>8.2.</w:t>
            </w:r>
            <w:r>
              <w:rPr>
                <w:rFonts w:asciiTheme="minorHAnsi" w:eastAsiaTheme="minorEastAsia" w:hAnsiTheme="minorHAnsi" w:cstheme="minorBidi"/>
                <w:noProof/>
                <w:lang w:eastAsia="en-AU"/>
              </w:rPr>
              <w:tab/>
            </w:r>
            <w:r w:rsidRPr="00C0019E">
              <w:rPr>
                <w:rStyle w:val="Hyperlink"/>
                <w:noProof/>
              </w:rPr>
              <w:t>Pivotal studies that assessed safety as the sole primary outcome</w:t>
            </w:r>
            <w:r>
              <w:rPr>
                <w:noProof/>
                <w:webHidden/>
              </w:rPr>
              <w:tab/>
            </w:r>
            <w:r>
              <w:rPr>
                <w:noProof/>
                <w:webHidden/>
              </w:rPr>
              <w:fldChar w:fldCharType="begin"/>
            </w:r>
            <w:r>
              <w:rPr>
                <w:noProof/>
                <w:webHidden/>
              </w:rPr>
              <w:instrText xml:space="preserve"> PAGEREF _Toc4573590 \h </w:instrText>
            </w:r>
            <w:r>
              <w:rPr>
                <w:noProof/>
                <w:webHidden/>
              </w:rPr>
            </w:r>
            <w:r>
              <w:rPr>
                <w:noProof/>
                <w:webHidden/>
              </w:rPr>
              <w:fldChar w:fldCharType="separate"/>
            </w:r>
            <w:r>
              <w:rPr>
                <w:noProof/>
                <w:webHidden/>
              </w:rPr>
              <w:t>35</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1" w:history="1">
            <w:r w:rsidRPr="00C0019E">
              <w:rPr>
                <w:rStyle w:val="Hyperlink"/>
                <w:noProof/>
              </w:rPr>
              <w:t>8.3.</w:t>
            </w:r>
            <w:r>
              <w:rPr>
                <w:rFonts w:asciiTheme="minorHAnsi" w:eastAsiaTheme="minorEastAsia" w:hAnsiTheme="minorHAnsi" w:cstheme="minorBidi"/>
                <w:noProof/>
                <w:lang w:eastAsia="en-AU"/>
              </w:rPr>
              <w:tab/>
            </w:r>
            <w:r w:rsidRPr="00C0019E">
              <w:rPr>
                <w:rStyle w:val="Hyperlink"/>
                <w:noProof/>
              </w:rPr>
              <w:t>Pivotal and/or main efficacy studies</w:t>
            </w:r>
            <w:r>
              <w:rPr>
                <w:noProof/>
                <w:webHidden/>
              </w:rPr>
              <w:tab/>
            </w:r>
            <w:r>
              <w:rPr>
                <w:noProof/>
                <w:webHidden/>
              </w:rPr>
              <w:fldChar w:fldCharType="begin"/>
            </w:r>
            <w:r>
              <w:rPr>
                <w:noProof/>
                <w:webHidden/>
              </w:rPr>
              <w:instrText xml:space="preserve"> PAGEREF _Toc4573591 \h </w:instrText>
            </w:r>
            <w:r>
              <w:rPr>
                <w:noProof/>
                <w:webHidden/>
              </w:rPr>
            </w:r>
            <w:r>
              <w:rPr>
                <w:noProof/>
                <w:webHidden/>
              </w:rPr>
              <w:fldChar w:fldCharType="separate"/>
            </w:r>
            <w:r>
              <w:rPr>
                <w:noProof/>
                <w:webHidden/>
              </w:rPr>
              <w:t>35</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2" w:history="1">
            <w:r w:rsidRPr="00C0019E">
              <w:rPr>
                <w:rStyle w:val="Hyperlink"/>
                <w:noProof/>
              </w:rPr>
              <w:t>8.4.</w:t>
            </w:r>
            <w:r>
              <w:rPr>
                <w:rFonts w:asciiTheme="minorHAnsi" w:eastAsiaTheme="minorEastAsia" w:hAnsiTheme="minorHAnsi" w:cstheme="minorBidi"/>
                <w:noProof/>
                <w:lang w:eastAsia="en-AU"/>
              </w:rPr>
              <w:tab/>
            </w:r>
            <w:r w:rsidRPr="00C0019E">
              <w:rPr>
                <w:rStyle w:val="Hyperlink"/>
                <w:noProof/>
              </w:rPr>
              <w:t>Other studies</w:t>
            </w:r>
            <w:r>
              <w:rPr>
                <w:noProof/>
                <w:webHidden/>
              </w:rPr>
              <w:tab/>
            </w:r>
            <w:r>
              <w:rPr>
                <w:noProof/>
                <w:webHidden/>
              </w:rPr>
              <w:fldChar w:fldCharType="begin"/>
            </w:r>
            <w:r>
              <w:rPr>
                <w:noProof/>
                <w:webHidden/>
              </w:rPr>
              <w:instrText xml:space="preserve"> PAGEREF _Toc4573592 \h </w:instrText>
            </w:r>
            <w:r>
              <w:rPr>
                <w:noProof/>
                <w:webHidden/>
              </w:rPr>
            </w:r>
            <w:r>
              <w:rPr>
                <w:noProof/>
                <w:webHidden/>
              </w:rPr>
              <w:fldChar w:fldCharType="separate"/>
            </w:r>
            <w:r>
              <w:rPr>
                <w:noProof/>
                <w:webHidden/>
              </w:rPr>
              <w:t>36</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3" w:history="1">
            <w:r w:rsidRPr="00C0019E">
              <w:rPr>
                <w:rStyle w:val="Hyperlink"/>
                <w:noProof/>
              </w:rPr>
              <w:t>8.5.</w:t>
            </w:r>
            <w:r>
              <w:rPr>
                <w:rFonts w:asciiTheme="minorHAnsi" w:eastAsiaTheme="minorEastAsia" w:hAnsiTheme="minorHAnsi" w:cstheme="minorBidi"/>
                <w:noProof/>
                <w:lang w:eastAsia="en-AU"/>
              </w:rPr>
              <w:tab/>
            </w:r>
            <w:r w:rsidRPr="00C0019E">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_Toc4573593 \h </w:instrText>
            </w:r>
            <w:r>
              <w:rPr>
                <w:noProof/>
                <w:webHidden/>
              </w:rPr>
            </w:r>
            <w:r>
              <w:rPr>
                <w:noProof/>
                <w:webHidden/>
              </w:rPr>
              <w:fldChar w:fldCharType="separate"/>
            </w:r>
            <w:r>
              <w:rPr>
                <w:noProof/>
                <w:webHidden/>
              </w:rPr>
              <w:t>36</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4" w:history="1">
            <w:r w:rsidRPr="00C0019E">
              <w:rPr>
                <w:rStyle w:val="Hyperlink"/>
                <w:noProof/>
              </w:rPr>
              <w:t>8.6.</w:t>
            </w:r>
            <w:r>
              <w:rPr>
                <w:rFonts w:asciiTheme="minorHAnsi" w:eastAsiaTheme="minorEastAsia" w:hAnsiTheme="minorHAnsi" w:cstheme="minorBidi"/>
                <w:noProof/>
                <w:lang w:eastAsia="en-AU"/>
              </w:rPr>
              <w:tab/>
            </w:r>
            <w:r w:rsidRPr="00C0019E">
              <w:rPr>
                <w:rStyle w:val="Hyperlink"/>
                <w:noProof/>
              </w:rPr>
              <w:t>Patient exposure</w:t>
            </w:r>
            <w:r>
              <w:rPr>
                <w:noProof/>
                <w:webHidden/>
              </w:rPr>
              <w:tab/>
            </w:r>
            <w:r>
              <w:rPr>
                <w:noProof/>
                <w:webHidden/>
              </w:rPr>
              <w:fldChar w:fldCharType="begin"/>
            </w:r>
            <w:r>
              <w:rPr>
                <w:noProof/>
                <w:webHidden/>
              </w:rPr>
              <w:instrText xml:space="preserve"> PAGEREF _Toc4573594 \h </w:instrText>
            </w:r>
            <w:r>
              <w:rPr>
                <w:noProof/>
                <w:webHidden/>
              </w:rPr>
            </w:r>
            <w:r>
              <w:rPr>
                <w:noProof/>
                <w:webHidden/>
              </w:rPr>
              <w:fldChar w:fldCharType="separate"/>
            </w:r>
            <w:r>
              <w:rPr>
                <w:noProof/>
                <w:webHidden/>
              </w:rPr>
              <w:t>37</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5" w:history="1">
            <w:r w:rsidRPr="00C0019E">
              <w:rPr>
                <w:rStyle w:val="Hyperlink"/>
                <w:noProof/>
              </w:rPr>
              <w:t>8.7.</w:t>
            </w:r>
            <w:r>
              <w:rPr>
                <w:rFonts w:asciiTheme="minorHAnsi" w:eastAsiaTheme="minorEastAsia" w:hAnsiTheme="minorHAnsi" w:cstheme="minorBidi"/>
                <w:noProof/>
                <w:lang w:eastAsia="en-AU"/>
              </w:rPr>
              <w:tab/>
            </w:r>
            <w:r w:rsidRPr="00C0019E">
              <w:rPr>
                <w:rStyle w:val="Hyperlink"/>
                <w:noProof/>
              </w:rPr>
              <w:t>Adverse events</w:t>
            </w:r>
            <w:r>
              <w:rPr>
                <w:noProof/>
                <w:webHidden/>
              </w:rPr>
              <w:tab/>
            </w:r>
            <w:r>
              <w:rPr>
                <w:noProof/>
                <w:webHidden/>
              </w:rPr>
              <w:fldChar w:fldCharType="begin"/>
            </w:r>
            <w:r>
              <w:rPr>
                <w:noProof/>
                <w:webHidden/>
              </w:rPr>
              <w:instrText xml:space="preserve"> PAGEREF _Toc4573595 \h </w:instrText>
            </w:r>
            <w:r>
              <w:rPr>
                <w:noProof/>
                <w:webHidden/>
              </w:rPr>
            </w:r>
            <w:r>
              <w:rPr>
                <w:noProof/>
                <w:webHidden/>
              </w:rPr>
              <w:fldChar w:fldCharType="separate"/>
            </w:r>
            <w:r>
              <w:rPr>
                <w:noProof/>
                <w:webHidden/>
              </w:rPr>
              <w:t>38</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6" w:history="1">
            <w:r w:rsidRPr="00C0019E">
              <w:rPr>
                <w:rStyle w:val="Hyperlink"/>
                <w:noProof/>
              </w:rPr>
              <w:t>8.8.</w:t>
            </w:r>
            <w:r>
              <w:rPr>
                <w:rFonts w:asciiTheme="minorHAnsi" w:eastAsiaTheme="minorEastAsia" w:hAnsiTheme="minorHAnsi" w:cstheme="minorBidi"/>
                <w:noProof/>
                <w:lang w:eastAsia="en-AU"/>
              </w:rPr>
              <w:tab/>
            </w:r>
            <w:r w:rsidRPr="00C0019E">
              <w:rPr>
                <w:rStyle w:val="Hyperlink"/>
                <w:noProof/>
              </w:rPr>
              <w:t>Evaluation of issues with possible regulatory impact</w:t>
            </w:r>
            <w:r>
              <w:rPr>
                <w:noProof/>
                <w:webHidden/>
              </w:rPr>
              <w:tab/>
            </w:r>
            <w:r>
              <w:rPr>
                <w:noProof/>
                <w:webHidden/>
              </w:rPr>
              <w:fldChar w:fldCharType="begin"/>
            </w:r>
            <w:r>
              <w:rPr>
                <w:noProof/>
                <w:webHidden/>
              </w:rPr>
              <w:instrText xml:space="preserve"> PAGEREF _Toc4573596 \h </w:instrText>
            </w:r>
            <w:r>
              <w:rPr>
                <w:noProof/>
                <w:webHidden/>
              </w:rPr>
            </w:r>
            <w:r>
              <w:rPr>
                <w:noProof/>
                <w:webHidden/>
              </w:rPr>
              <w:fldChar w:fldCharType="separate"/>
            </w:r>
            <w:r>
              <w:rPr>
                <w:noProof/>
                <w:webHidden/>
              </w:rPr>
              <w:t>46</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7" w:history="1">
            <w:r w:rsidRPr="00C0019E">
              <w:rPr>
                <w:rStyle w:val="Hyperlink"/>
                <w:noProof/>
              </w:rPr>
              <w:t>8.9.</w:t>
            </w:r>
            <w:r>
              <w:rPr>
                <w:rFonts w:asciiTheme="minorHAnsi" w:eastAsiaTheme="minorEastAsia" w:hAnsiTheme="minorHAnsi" w:cstheme="minorBidi"/>
                <w:noProof/>
                <w:lang w:eastAsia="en-AU"/>
              </w:rPr>
              <w:tab/>
            </w:r>
            <w:r w:rsidRPr="00C0019E">
              <w:rPr>
                <w:rStyle w:val="Hyperlink"/>
                <w:noProof/>
              </w:rPr>
              <w:t>Special safety topics for FDC of ertugliflozin-sitagliptin</w:t>
            </w:r>
            <w:r>
              <w:rPr>
                <w:noProof/>
                <w:webHidden/>
              </w:rPr>
              <w:tab/>
            </w:r>
            <w:r>
              <w:rPr>
                <w:noProof/>
                <w:webHidden/>
              </w:rPr>
              <w:fldChar w:fldCharType="begin"/>
            </w:r>
            <w:r>
              <w:rPr>
                <w:noProof/>
                <w:webHidden/>
              </w:rPr>
              <w:instrText xml:space="preserve"> PAGEREF _Toc4573597 \h </w:instrText>
            </w:r>
            <w:r>
              <w:rPr>
                <w:noProof/>
                <w:webHidden/>
              </w:rPr>
            </w:r>
            <w:r>
              <w:rPr>
                <w:noProof/>
                <w:webHidden/>
              </w:rPr>
              <w:fldChar w:fldCharType="separate"/>
            </w:r>
            <w:r>
              <w:rPr>
                <w:noProof/>
                <w:webHidden/>
              </w:rPr>
              <w:t>51</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8" w:history="1">
            <w:r w:rsidRPr="00C0019E">
              <w:rPr>
                <w:rStyle w:val="Hyperlink"/>
                <w:noProof/>
              </w:rPr>
              <w:t>8.10.</w:t>
            </w:r>
            <w:r>
              <w:rPr>
                <w:rFonts w:asciiTheme="minorHAnsi" w:eastAsiaTheme="minorEastAsia" w:hAnsiTheme="minorHAnsi" w:cstheme="minorBidi"/>
                <w:noProof/>
                <w:lang w:eastAsia="en-AU"/>
              </w:rPr>
              <w:tab/>
            </w:r>
            <w:r w:rsidRPr="00C0019E">
              <w:rPr>
                <w:rStyle w:val="Hyperlink"/>
                <w:noProof/>
              </w:rPr>
              <w:t>Other safety issues</w:t>
            </w:r>
            <w:r>
              <w:rPr>
                <w:noProof/>
                <w:webHidden/>
              </w:rPr>
              <w:tab/>
            </w:r>
            <w:r>
              <w:rPr>
                <w:noProof/>
                <w:webHidden/>
              </w:rPr>
              <w:fldChar w:fldCharType="begin"/>
            </w:r>
            <w:r>
              <w:rPr>
                <w:noProof/>
                <w:webHidden/>
              </w:rPr>
              <w:instrText xml:space="preserve"> PAGEREF _Toc4573598 \h </w:instrText>
            </w:r>
            <w:r>
              <w:rPr>
                <w:noProof/>
                <w:webHidden/>
              </w:rPr>
            </w:r>
            <w:r>
              <w:rPr>
                <w:noProof/>
                <w:webHidden/>
              </w:rPr>
              <w:fldChar w:fldCharType="separate"/>
            </w:r>
            <w:r>
              <w:rPr>
                <w:noProof/>
                <w:webHidden/>
              </w:rPr>
              <w:t>54</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599" w:history="1">
            <w:r w:rsidRPr="00C0019E">
              <w:rPr>
                <w:rStyle w:val="Hyperlink"/>
                <w:noProof/>
              </w:rPr>
              <w:t>8.11.</w:t>
            </w:r>
            <w:r>
              <w:rPr>
                <w:rFonts w:asciiTheme="minorHAnsi" w:eastAsiaTheme="minorEastAsia" w:hAnsiTheme="minorHAnsi" w:cstheme="minorBidi"/>
                <w:noProof/>
                <w:lang w:eastAsia="en-AU"/>
              </w:rPr>
              <w:tab/>
            </w:r>
            <w:r w:rsidRPr="00C0019E">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_Toc4573599 \h </w:instrText>
            </w:r>
            <w:r>
              <w:rPr>
                <w:noProof/>
                <w:webHidden/>
              </w:rPr>
            </w:r>
            <w:r>
              <w:rPr>
                <w:noProof/>
                <w:webHidden/>
              </w:rPr>
              <w:fldChar w:fldCharType="separate"/>
            </w:r>
            <w:r>
              <w:rPr>
                <w:noProof/>
                <w:webHidden/>
              </w:rPr>
              <w:t>55</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00" w:history="1">
            <w:r w:rsidRPr="00C0019E">
              <w:rPr>
                <w:rStyle w:val="Hyperlink"/>
                <w:noProof/>
              </w:rPr>
              <w:t>8.12.</w:t>
            </w:r>
            <w:r>
              <w:rPr>
                <w:rFonts w:asciiTheme="minorHAnsi" w:eastAsiaTheme="minorEastAsia" w:hAnsiTheme="minorHAnsi" w:cstheme="minorBidi"/>
                <w:noProof/>
                <w:lang w:eastAsia="en-AU"/>
              </w:rPr>
              <w:tab/>
            </w:r>
            <w:r w:rsidRPr="00C0019E">
              <w:rPr>
                <w:rStyle w:val="Hyperlink"/>
                <w:noProof/>
              </w:rPr>
              <w:t>Post marketing experience</w:t>
            </w:r>
            <w:r>
              <w:rPr>
                <w:noProof/>
                <w:webHidden/>
              </w:rPr>
              <w:tab/>
            </w:r>
            <w:r>
              <w:rPr>
                <w:noProof/>
                <w:webHidden/>
              </w:rPr>
              <w:fldChar w:fldCharType="begin"/>
            </w:r>
            <w:r>
              <w:rPr>
                <w:noProof/>
                <w:webHidden/>
              </w:rPr>
              <w:instrText xml:space="preserve"> PAGEREF _Toc4573600 \h </w:instrText>
            </w:r>
            <w:r>
              <w:rPr>
                <w:noProof/>
                <w:webHidden/>
              </w:rPr>
            </w:r>
            <w:r>
              <w:rPr>
                <w:noProof/>
                <w:webHidden/>
              </w:rPr>
              <w:fldChar w:fldCharType="separate"/>
            </w:r>
            <w:r>
              <w:rPr>
                <w:noProof/>
                <w:webHidden/>
              </w:rPr>
              <w:t>55</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01" w:history="1">
            <w:r w:rsidRPr="00C0019E">
              <w:rPr>
                <w:rStyle w:val="Hyperlink"/>
                <w:noProof/>
              </w:rPr>
              <w:t>8.13.</w:t>
            </w:r>
            <w:r>
              <w:rPr>
                <w:rFonts w:asciiTheme="minorHAnsi" w:eastAsiaTheme="minorEastAsia" w:hAnsiTheme="minorHAnsi" w:cstheme="minorBidi"/>
                <w:noProof/>
                <w:lang w:eastAsia="en-AU"/>
              </w:rPr>
              <w:tab/>
            </w:r>
            <w:r w:rsidRPr="00C0019E">
              <w:rPr>
                <w:rStyle w:val="Hyperlink"/>
                <w:noProof/>
              </w:rPr>
              <w:t>Evaluator’s overall conclusions on clinical safety</w:t>
            </w:r>
            <w:r>
              <w:rPr>
                <w:noProof/>
                <w:webHidden/>
              </w:rPr>
              <w:tab/>
            </w:r>
            <w:r>
              <w:rPr>
                <w:noProof/>
                <w:webHidden/>
              </w:rPr>
              <w:fldChar w:fldCharType="begin"/>
            </w:r>
            <w:r>
              <w:rPr>
                <w:noProof/>
                <w:webHidden/>
              </w:rPr>
              <w:instrText xml:space="preserve"> PAGEREF _Toc4573601 \h </w:instrText>
            </w:r>
            <w:r>
              <w:rPr>
                <w:noProof/>
                <w:webHidden/>
              </w:rPr>
            </w:r>
            <w:r>
              <w:rPr>
                <w:noProof/>
                <w:webHidden/>
              </w:rPr>
              <w:fldChar w:fldCharType="separate"/>
            </w:r>
            <w:r>
              <w:rPr>
                <w:noProof/>
                <w:webHidden/>
              </w:rPr>
              <w:t>56</w:t>
            </w:r>
            <w:r>
              <w:rPr>
                <w:noProof/>
                <w:webHidden/>
              </w:rPr>
              <w:fldChar w:fldCharType="end"/>
            </w:r>
          </w:hyperlink>
        </w:p>
        <w:p w:rsidR="004A75C1" w:rsidRDefault="004A75C1">
          <w:pPr>
            <w:pStyle w:val="TOC2"/>
            <w:tabs>
              <w:tab w:val="left" w:pos="1100"/>
            </w:tabs>
            <w:rPr>
              <w:rFonts w:asciiTheme="minorHAnsi" w:eastAsiaTheme="minorEastAsia" w:hAnsiTheme="minorHAnsi" w:cstheme="minorBidi"/>
              <w:b w:val="0"/>
              <w:noProof/>
              <w:sz w:val="22"/>
              <w:lang w:eastAsia="en-AU"/>
            </w:rPr>
          </w:pPr>
          <w:hyperlink w:anchor="_Toc4573602" w:history="1">
            <w:r w:rsidRPr="00C0019E">
              <w:rPr>
                <w:rStyle w:val="Hyperlink"/>
                <w:noProof/>
              </w:rPr>
              <w:t>9.</w:t>
            </w:r>
            <w:r>
              <w:rPr>
                <w:rFonts w:asciiTheme="minorHAnsi" w:eastAsiaTheme="minorEastAsia" w:hAnsiTheme="minorHAnsi" w:cstheme="minorBidi"/>
                <w:b w:val="0"/>
                <w:noProof/>
                <w:sz w:val="22"/>
                <w:lang w:eastAsia="en-AU"/>
              </w:rPr>
              <w:tab/>
            </w:r>
            <w:r w:rsidRPr="00C0019E">
              <w:rPr>
                <w:rStyle w:val="Hyperlink"/>
                <w:noProof/>
              </w:rPr>
              <w:t>First round benefit-risk assessment</w:t>
            </w:r>
            <w:r>
              <w:rPr>
                <w:noProof/>
                <w:webHidden/>
              </w:rPr>
              <w:tab/>
            </w:r>
            <w:r>
              <w:rPr>
                <w:noProof/>
                <w:webHidden/>
              </w:rPr>
              <w:fldChar w:fldCharType="begin"/>
            </w:r>
            <w:r>
              <w:rPr>
                <w:noProof/>
                <w:webHidden/>
              </w:rPr>
              <w:instrText xml:space="preserve"> PAGEREF _Toc4573602 \h </w:instrText>
            </w:r>
            <w:r>
              <w:rPr>
                <w:noProof/>
                <w:webHidden/>
              </w:rPr>
            </w:r>
            <w:r>
              <w:rPr>
                <w:noProof/>
                <w:webHidden/>
              </w:rPr>
              <w:fldChar w:fldCharType="separate"/>
            </w:r>
            <w:r>
              <w:rPr>
                <w:noProof/>
                <w:webHidden/>
              </w:rPr>
              <w:t>57</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03" w:history="1">
            <w:r w:rsidRPr="00C0019E">
              <w:rPr>
                <w:rStyle w:val="Hyperlink"/>
                <w:noProof/>
              </w:rPr>
              <w:t>9.1.</w:t>
            </w:r>
            <w:r>
              <w:rPr>
                <w:rFonts w:asciiTheme="minorHAnsi" w:eastAsiaTheme="minorEastAsia" w:hAnsiTheme="minorHAnsi" w:cstheme="minorBidi"/>
                <w:noProof/>
                <w:lang w:eastAsia="en-AU"/>
              </w:rPr>
              <w:tab/>
            </w:r>
            <w:r w:rsidRPr="00C0019E">
              <w:rPr>
                <w:rStyle w:val="Hyperlink"/>
                <w:noProof/>
              </w:rPr>
              <w:t>First round assessment of benefits</w:t>
            </w:r>
            <w:r>
              <w:rPr>
                <w:noProof/>
                <w:webHidden/>
              </w:rPr>
              <w:tab/>
            </w:r>
            <w:r>
              <w:rPr>
                <w:noProof/>
                <w:webHidden/>
              </w:rPr>
              <w:fldChar w:fldCharType="begin"/>
            </w:r>
            <w:r>
              <w:rPr>
                <w:noProof/>
                <w:webHidden/>
              </w:rPr>
              <w:instrText xml:space="preserve"> PAGEREF _Toc4573603 \h </w:instrText>
            </w:r>
            <w:r>
              <w:rPr>
                <w:noProof/>
                <w:webHidden/>
              </w:rPr>
            </w:r>
            <w:r>
              <w:rPr>
                <w:noProof/>
                <w:webHidden/>
              </w:rPr>
              <w:fldChar w:fldCharType="separate"/>
            </w:r>
            <w:r>
              <w:rPr>
                <w:noProof/>
                <w:webHidden/>
              </w:rPr>
              <w:t>57</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04" w:history="1">
            <w:r w:rsidRPr="00C0019E">
              <w:rPr>
                <w:rStyle w:val="Hyperlink"/>
                <w:noProof/>
              </w:rPr>
              <w:t>9.2.</w:t>
            </w:r>
            <w:r>
              <w:rPr>
                <w:rFonts w:asciiTheme="minorHAnsi" w:eastAsiaTheme="minorEastAsia" w:hAnsiTheme="minorHAnsi" w:cstheme="minorBidi"/>
                <w:noProof/>
                <w:lang w:eastAsia="en-AU"/>
              </w:rPr>
              <w:tab/>
            </w:r>
            <w:r w:rsidRPr="00C0019E">
              <w:rPr>
                <w:rStyle w:val="Hyperlink"/>
                <w:noProof/>
              </w:rPr>
              <w:t>First round assessment of risks</w:t>
            </w:r>
            <w:r>
              <w:rPr>
                <w:noProof/>
                <w:webHidden/>
              </w:rPr>
              <w:tab/>
            </w:r>
            <w:r>
              <w:rPr>
                <w:noProof/>
                <w:webHidden/>
              </w:rPr>
              <w:fldChar w:fldCharType="begin"/>
            </w:r>
            <w:r>
              <w:rPr>
                <w:noProof/>
                <w:webHidden/>
              </w:rPr>
              <w:instrText xml:space="preserve"> PAGEREF _Toc4573604 \h </w:instrText>
            </w:r>
            <w:r>
              <w:rPr>
                <w:noProof/>
                <w:webHidden/>
              </w:rPr>
            </w:r>
            <w:r>
              <w:rPr>
                <w:noProof/>
                <w:webHidden/>
              </w:rPr>
              <w:fldChar w:fldCharType="separate"/>
            </w:r>
            <w:r>
              <w:rPr>
                <w:noProof/>
                <w:webHidden/>
              </w:rPr>
              <w:t>58</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05" w:history="1">
            <w:r w:rsidRPr="00C0019E">
              <w:rPr>
                <w:rStyle w:val="Hyperlink"/>
                <w:noProof/>
              </w:rPr>
              <w:t>9.3.</w:t>
            </w:r>
            <w:r>
              <w:rPr>
                <w:rFonts w:asciiTheme="minorHAnsi" w:eastAsiaTheme="minorEastAsia" w:hAnsiTheme="minorHAnsi" w:cstheme="minorBidi"/>
                <w:noProof/>
                <w:lang w:eastAsia="en-AU"/>
              </w:rPr>
              <w:tab/>
            </w:r>
            <w:r w:rsidRPr="00C0019E">
              <w:rPr>
                <w:rStyle w:val="Hyperlink"/>
                <w:noProof/>
              </w:rPr>
              <w:t>First round assessment of benefit-risk balance</w:t>
            </w:r>
            <w:r>
              <w:rPr>
                <w:noProof/>
                <w:webHidden/>
              </w:rPr>
              <w:tab/>
            </w:r>
            <w:r>
              <w:rPr>
                <w:noProof/>
                <w:webHidden/>
              </w:rPr>
              <w:fldChar w:fldCharType="begin"/>
            </w:r>
            <w:r>
              <w:rPr>
                <w:noProof/>
                <w:webHidden/>
              </w:rPr>
              <w:instrText xml:space="preserve"> PAGEREF _Toc4573605 \h </w:instrText>
            </w:r>
            <w:r>
              <w:rPr>
                <w:noProof/>
                <w:webHidden/>
              </w:rPr>
            </w:r>
            <w:r>
              <w:rPr>
                <w:noProof/>
                <w:webHidden/>
              </w:rPr>
              <w:fldChar w:fldCharType="separate"/>
            </w:r>
            <w:r>
              <w:rPr>
                <w:noProof/>
                <w:webHidden/>
              </w:rPr>
              <w:t>59</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06" w:history="1">
            <w:r w:rsidRPr="00C0019E">
              <w:rPr>
                <w:rStyle w:val="Hyperlink"/>
                <w:noProof/>
              </w:rPr>
              <w:t>9.4.</w:t>
            </w:r>
            <w:r>
              <w:rPr>
                <w:rFonts w:asciiTheme="minorHAnsi" w:eastAsiaTheme="minorEastAsia" w:hAnsiTheme="minorHAnsi" w:cstheme="minorBidi"/>
                <w:noProof/>
                <w:lang w:eastAsia="en-AU"/>
              </w:rPr>
              <w:tab/>
            </w:r>
            <w:r w:rsidRPr="00C0019E">
              <w:rPr>
                <w:rStyle w:val="Hyperlink"/>
                <w:noProof/>
              </w:rPr>
              <w:t>First round recommendation regarding authorisation</w:t>
            </w:r>
            <w:r>
              <w:rPr>
                <w:noProof/>
                <w:webHidden/>
              </w:rPr>
              <w:tab/>
            </w:r>
            <w:r>
              <w:rPr>
                <w:noProof/>
                <w:webHidden/>
              </w:rPr>
              <w:fldChar w:fldCharType="begin"/>
            </w:r>
            <w:r>
              <w:rPr>
                <w:noProof/>
                <w:webHidden/>
              </w:rPr>
              <w:instrText xml:space="preserve"> PAGEREF _Toc4573606 \h </w:instrText>
            </w:r>
            <w:r>
              <w:rPr>
                <w:noProof/>
                <w:webHidden/>
              </w:rPr>
            </w:r>
            <w:r>
              <w:rPr>
                <w:noProof/>
                <w:webHidden/>
              </w:rPr>
              <w:fldChar w:fldCharType="separate"/>
            </w:r>
            <w:r>
              <w:rPr>
                <w:noProof/>
                <w:webHidden/>
              </w:rPr>
              <w:t>60</w:t>
            </w:r>
            <w:r>
              <w:rPr>
                <w:noProof/>
                <w:webHidden/>
              </w:rPr>
              <w:fldChar w:fldCharType="end"/>
            </w:r>
          </w:hyperlink>
        </w:p>
        <w:p w:rsidR="004A75C1" w:rsidRDefault="004A75C1">
          <w:pPr>
            <w:pStyle w:val="TOC2"/>
            <w:tabs>
              <w:tab w:val="left" w:pos="1320"/>
            </w:tabs>
            <w:rPr>
              <w:rFonts w:asciiTheme="minorHAnsi" w:eastAsiaTheme="minorEastAsia" w:hAnsiTheme="minorHAnsi" w:cstheme="minorBidi"/>
              <w:b w:val="0"/>
              <w:noProof/>
              <w:sz w:val="22"/>
              <w:lang w:eastAsia="en-AU"/>
            </w:rPr>
          </w:pPr>
          <w:hyperlink w:anchor="_Toc4573607" w:history="1">
            <w:r w:rsidRPr="00C0019E">
              <w:rPr>
                <w:rStyle w:val="Hyperlink"/>
                <w:noProof/>
              </w:rPr>
              <w:t>10.</w:t>
            </w:r>
            <w:r>
              <w:rPr>
                <w:rFonts w:asciiTheme="minorHAnsi" w:eastAsiaTheme="minorEastAsia" w:hAnsiTheme="minorHAnsi" w:cstheme="minorBidi"/>
                <w:b w:val="0"/>
                <w:noProof/>
                <w:sz w:val="22"/>
                <w:lang w:eastAsia="en-AU"/>
              </w:rPr>
              <w:tab/>
            </w:r>
            <w:r w:rsidRPr="00C0019E">
              <w:rPr>
                <w:rStyle w:val="Hyperlink"/>
                <w:noProof/>
              </w:rPr>
              <w:t>Clinical questions</w:t>
            </w:r>
            <w:r>
              <w:rPr>
                <w:noProof/>
                <w:webHidden/>
              </w:rPr>
              <w:tab/>
            </w:r>
            <w:r>
              <w:rPr>
                <w:noProof/>
                <w:webHidden/>
              </w:rPr>
              <w:fldChar w:fldCharType="begin"/>
            </w:r>
            <w:r>
              <w:rPr>
                <w:noProof/>
                <w:webHidden/>
              </w:rPr>
              <w:instrText xml:space="preserve"> PAGEREF _Toc4573607 \h </w:instrText>
            </w:r>
            <w:r>
              <w:rPr>
                <w:noProof/>
                <w:webHidden/>
              </w:rPr>
            </w:r>
            <w:r>
              <w:rPr>
                <w:noProof/>
                <w:webHidden/>
              </w:rPr>
              <w:fldChar w:fldCharType="separate"/>
            </w:r>
            <w:r>
              <w:rPr>
                <w:noProof/>
                <w:webHidden/>
              </w:rPr>
              <w:t>60</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08" w:history="1">
            <w:r w:rsidRPr="00C0019E">
              <w:rPr>
                <w:rStyle w:val="Hyperlink"/>
                <w:noProof/>
              </w:rPr>
              <w:t>10.1.</w:t>
            </w:r>
            <w:r>
              <w:rPr>
                <w:rFonts w:asciiTheme="minorHAnsi" w:eastAsiaTheme="minorEastAsia" w:hAnsiTheme="minorHAnsi" w:cstheme="minorBidi"/>
                <w:noProof/>
                <w:lang w:eastAsia="en-AU"/>
              </w:rPr>
              <w:tab/>
            </w:r>
            <w:r w:rsidRPr="00C0019E">
              <w:rPr>
                <w:rStyle w:val="Hyperlink"/>
                <w:noProof/>
              </w:rPr>
              <w:t>Pharmacokinetics</w:t>
            </w:r>
            <w:r>
              <w:rPr>
                <w:noProof/>
                <w:webHidden/>
              </w:rPr>
              <w:tab/>
            </w:r>
            <w:r>
              <w:rPr>
                <w:noProof/>
                <w:webHidden/>
              </w:rPr>
              <w:fldChar w:fldCharType="begin"/>
            </w:r>
            <w:r>
              <w:rPr>
                <w:noProof/>
                <w:webHidden/>
              </w:rPr>
              <w:instrText xml:space="preserve"> PAGEREF _Toc4573608 \h </w:instrText>
            </w:r>
            <w:r>
              <w:rPr>
                <w:noProof/>
                <w:webHidden/>
              </w:rPr>
            </w:r>
            <w:r>
              <w:rPr>
                <w:noProof/>
                <w:webHidden/>
              </w:rPr>
              <w:fldChar w:fldCharType="separate"/>
            </w:r>
            <w:r>
              <w:rPr>
                <w:noProof/>
                <w:webHidden/>
              </w:rPr>
              <w:t>60</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09" w:history="1">
            <w:r w:rsidRPr="00C0019E">
              <w:rPr>
                <w:rStyle w:val="Hyperlink"/>
                <w:noProof/>
              </w:rPr>
              <w:t>10.2.</w:t>
            </w:r>
            <w:r>
              <w:rPr>
                <w:rFonts w:asciiTheme="minorHAnsi" w:eastAsiaTheme="minorEastAsia" w:hAnsiTheme="minorHAnsi" w:cstheme="minorBidi"/>
                <w:noProof/>
                <w:lang w:eastAsia="en-AU"/>
              </w:rPr>
              <w:tab/>
            </w:r>
            <w:r w:rsidRPr="00C0019E">
              <w:rPr>
                <w:rStyle w:val="Hyperlink"/>
                <w:noProof/>
              </w:rPr>
              <w:t>Pharmacodynamics</w:t>
            </w:r>
            <w:r>
              <w:rPr>
                <w:noProof/>
                <w:webHidden/>
              </w:rPr>
              <w:tab/>
            </w:r>
            <w:r>
              <w:rPr>
                <w:noProof/>
                <w:webHidden/>
              </w:rPr>
              <w:fldChar w:fldCharType="begin"/>
            </w:r>
            <w:r>
              <w:rPr>
                <w:noProof/>
                <w:webHidden/>
              </w:rPr>
              <w:instrText xml:space="preserve"> PAGEREF _Toc4573609 \h </w:instrText>
            </w:r>
            <w:r>
              <w:rPr>
                <w:noProof/>
                <w:webHidden/>
              </w:rPr>
            </w:r>
            <w:r>
              <w:rPr>
                <w:noProof/>
                <w:webHidden/>
              </w:rPr>
              <w:fldChar w:fldCharType="separate"/>
            </w:r>
            <w:r>
              <w:rPr>
                <w:noProof/>
                <w:webHidden/>
              </w:rPr>
              <w:t>60</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10" w:history="1">
            <w:r w:rsidRPr="00C0019E">
              <w:rPr>
                <w:rStyle w:val="Hyperlink"/>
                <w:noProof/>
              </w:rPr>
              <w:t>10.3.</w:t>
            </w:r>
            <w:r>
              <w:rPr>
                <w:rFonts w:asciiTheme="minorHAnsi" w:eastAsiaTheme="minorEastAsia" w:hAnsiTheme="minorHAnsi" w:cstheme="minorBidi"/>
                <w:noProof/>
                <w:lang w:eastAsia="en-AU"/>
              </w:rPr>
              <w:tab/>
            </w:r>
            <w:r w:rsidRPr="00C0019E">
              <w:rPr>
                <w:rStyle w:val="Hyperlink"/>
                <w:noProof/>
              </w:rPr>
              <w:t>Efficacy</w:t>
            </w:r>
            <w:r>
              <w:rPr>
                <w:noProof/>
                <w:webHidden/>
              </w:rPr>
              <w:tab/>
            </w:r>
            <w:r>
              <w:rPr>
                <w:noProof/>
                <w:webHidden/>
              </w:rPr>
              <w:fldChar w:fldCharType="begin"/>
            </w:r>
            <w:r>
              <w:rPr>
                <w:noProof/>
                <w:webHidden/>
              </w:rPr>
              <w:instrText xml:space="preserve"> PAGEREF _Toc4573610 \h </w:instrText>
            </w:r>
            <w:r>
              <w:rPr>
                <w:noProof/>
                <w:webHidden/>
              </w:rPr>
            </w:r>
            <w:r>
              <w:rPr>
                <w:noProof/>
                <w:webHidden/>
              </w:rPr>
              <w:fldChar w:fldCharType="separate"/>
            </w:r>
            <w:r>
              <w:rPr>
                <w:noProof/>
                <w:webHidden/>
              </w:rPr>
              <w:t>61</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11" w:history="1">
            <w:r w:rsidRPr="00C0019E">
              <w:rPr>
                <w:rStyle w:val="Hyperlink"/>
                <w:noProof/>
              </w:rPr>
              <w:t>10.4.</w:t>
            </w:r>
            <w:r>
              <w:rPr>
                <w:rFonts w:asciiTheme="minorHAnsi" w:eastAsiaTheme="minorEastAsia" w:hAnsiTheme="minorHAnsi" w:cstheme="minorBidi"/>
                <w:noProof/>
                <w:lang w:eastAsia="en-AU"/>
              </w:rPr>
              <w:tab/>
            </w:r>
            <w:r w:rsidRPr="00C0019E">
              <w:rPr>
                <w:rStyle w:val="Hyperlink"/>
                <w:noProof/>
              </w:rPr>
              <w:t>Safety</w:t>
            </w:r>
            <w:r>
              <w:rPr>
                <w:noProof/>
                <w:webHidden/>
              </w:rPr>
              <w:tab/>
            </w:r>
            <w:r>
              <w:rPr>
                <w:noProof/>
                <w:webHidden/>
              </w:rPr>
              <w:fldChar w:fldCharType="begin"/>
            </w:r>
            <w:r>
              <w:rPr>
                <w:noProof/>
                <w:webHidden/>
              </w:rPr>
              <w:instrText xml:space="preserve"> PAGEREF _Toc4573611 \h </w:instrText>
            </w:r>
            <w:r>
              <w:rPr>
                <w:noProof/>
                <w:webHidden/>
              </w:rPr>
            </w:r>
            <w:r>
              <w:rPr>
                <w:noProof/>
                <w:webHidden/>
              </w:rPr>
              <w:fldChar w:fldCharType="separate"/>
            </w:r>
            <w:r>
              <w:rPr>
                <w:noProof/>
                <w:webHidden/>
              </w:rPr>
              <w:t>61</w:t>
            </w:r>
            <w:r>
              <w:rPr>
                <w:noProof/>
                <w:webHidden/>
              </w:rPr>
              <w:fldChar w:fldCharType="end"/>
            </w:r>
          </w:hyperlink>
        </w:p>
        <w:p w:rsidR="004A75C1" w:rsidRDefault="004A75C1">
          <w:pPr>
            <w:pStyle w:val="TOC2"/>
            <w:tabs>
              <w:tab w:val="left" w:pos="1320"/>
            </w:tabs>
            <w:rPr>
              <w:rFonts w:asciiTheme="minorHAnsi" w:eastAsiaTheme="minorEastAsia" w:hAnsiTheme="minorHAnsi" w:cstheme="minorBidi"/>
              <w:b w:val="0"/>
              <w:noProof/>
              <w:sz w:val="22"/>
              <w:lang w:eastAsia="en-AU"/>
            </w:rPr>
          </w:pPr>
          <w:hyperlink w:anchor="_Toc4573612" w:history="1">
            <w:r w:rsidRPr="00C0019E">
              <w:rPr>
                <w:rStyle w:val="Hyperlink"/>
                <w:noProof/>
              </w:rPr>
              <w:t>11.</w:t>
            </w:r>
            <w:r>
              <w:rPr>
                <w:rFonts w:asciiTheme="minorHAnsi" w:eastAsiaTheme="minorEastAsia" w:hAnsiTheme="minorHAnsi" w:cstheme="minorBidi"/>
                <w:b w:val="0"/>
                <w:noProof/>
                <w:sz w:val="22"/>
                <w:lang w:eastAsia="en-AU"/>
              </w:rPr>
              <w:tab/>
            </w:r>
            <w:r w:rsidRPr="00C0019E">
              <w:rPr>
                <w:rStyle w:val="Hyperlink"/>
                <w:noProof/>
              </w:rPr>
              <w:t>Second round evaluation</w:t>
            </w:r>
            <w:r>
              <w:rPr>
                <w:noProof/>
                <w:webHidden/>
              </w:rPr>
              <w:tab/>
            </w:r>
            <w:r>
              <w:rPr>
                <w:noProof/>
                <w:webHidden/>
              </w:rPr>
              <w:fldChar w:fldCharType="begin"/>
            </w:r>
            <w:r>
              <w:rPr>
                <w:noProof/>
                <w:webHidden/>
              </w:rPr>
              <w:instrText xml:space="preserve"> PAGEREF _Toc4573612 \h </w:instrText>
            </w:r>
            <w:r>
              <w:rPr>
                <w:noProof/>
                <w:webHidden/>
              </w:rPr>
            </w:r>
            <w:r>
              <w:rPr>
                <w:noProof/>
                <w:webHidden/>
              </w:rPr>
              <w:fldChar w:fldCharType="separate"/>
            </w:r>
            <w:r>
              <w:rPr>
                <w:noProof/>
                <w:webHidden/>
              </w:rPr>
              <w:t>61</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13" w:history="1">
            <w:r w:rsidRPr="00C0019E">
              <w:rPr>
                <w:rStyle w:val="Hyperlink"/>
                <w:noProof/>
              </w:rPr>
              <w:t>11.1.</w:t>
            </w:r>
            <w:r>
              <w:rPr>
                <w:rFonts w:asciiTheme="minorHAnsi" w:eastAsiaTheme="minorEastAsia" w:hAnsiTheme="minorHAnsi" w:cstheme="minorBidi"/>
                <w:noProof/>
                <w:lang w:eastAsia="en-AU"/>
              </w:rPr>
              <w:tab/>
            </w:r>
            <w:r w:rsidRPr="00C0019E">
              <w:rPr>
                <w:rStyle w:val="Hyperlink"/>
                <w:noProof/>
              </w:rPr>
              <w:t>Clinical Questions</w:t>
            </w:r>
            <w:r>
              <w:rPr>
                <w:noProof/>
                <w:webHidden/>
              </w:rPr>
              <w:tab/>
            </w:r>
            <w:r>
              <w:rPr>
                <w:noProof/>
                <w:webHidden/>
              </w:rPr>
              <w:fldChar w:fldCharType="begin"/>
            </w:r>
            <w:r>
              <w:rPr>
                <w:noProof/>
                <w:webHidden/>
              </w:rPr>
              <w:instrText xml:space="preserve"> PAGEREF _Toc4573613 \h </w:instrText>
            </w:r>
            <w:r>
              <w:rPr>
                <w:noProof/>
                <w:webHidden/>
              </w:rPr>
            </w:r>
            <w:r>
              <w:rPr>
                <w:noProof/>
                <w:webHidden/>
              </w:rPr>
              <w:fldChar w:fldCharType="separate"/>
            </w:r>
            <w:r>
              <w:rPr>
                <w:noProof/>
                <w:webHidden/>
              </w:rPr>
              <w:t>61</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14" w:history="1">
            <w:r w:rsidRPr="00C0019E">
              <w:rPr>
                <w:rStyle w:val="Hyperlink"/>
                <w:noProof/>
              </w:rPr>
              <w:t>11.2.</w:t>
            </w:r>
            <w:r>
              <w:rPr>
                <w:rFonts w:asciiTheme="minorHAnsi" w:eastAsiaTheme="minorEastAsia" w:hAnsiTheme="minorHAnsi" w:cstheme="minorBidi"/>
                <w:noProof/>
                <w:lang w:eastAsia="en-AU"/>
              </w:rPr>
              <w:tab/>
            </w:r>
            <w:r w:rsidRPr="00C0019E">
              <w:rPr>
                <w:rStyle w:val="Hyperlink"/>
                <w:noProof/>
              </w:rPr>
              <w:t>Second round benefit-risk assessment</w:t>
            </w:r>
            <w:r>
              <w:rPr>
                <w:noProof/>
                <w:webHidden/>
              </w:rPr>
              <w:tab/>
            </w:r>
            <w:r>
              <w:rPr>
                <w:noProof/>
                <w:webHidden/>
              </w:rPr>
              <w:fldChar w:fldCharType="begin"/>
            </w:r>
            <w:r>
              <w:rPr>
                <w:noProof/>
                <w:webHidden/>
              </w:rPr>
              <w:instrText xml:space="preserve"> PAGEREF _Toc4573614 \h </w:instrText>
            </w:r>
            <w:r>
              <w:rPr>
                <w:noProof/>
                <w:webHidden/>
              </w:rPr>
            </w:r>
            <w:r>
              <w:rPr>
                <w:noProof/>
                <w:webHidden/>
              </w:rPr>
              <w:fldChar w:fldCharType="separate"/>
            </w:r>
            <w:r>
              <w:rPr>
                <w:noProof/>
                <w:webHidden/>
              </w:rPr>
              <w:t>62</w:t>
            </w:r>
            <w:r>
              <w:rPr>
                <w:noProof/>
                <w:webHidden/>
              </w:rPr>
              <w:fldChar w:fldCharType="end"/>
            </w:r>
          </w:hyperlink>
        </w:p>
        <w:p w:rsidR="004A75C1" w:rsidRDefault="004A75C1">
          <w:pPr>
            <w:pStyle w:val="TOC3"/>
            <w:tabs>
              <w:tab w:val="left" w:pos="1760"/>
            </w:tabs>
            <w:rPr>
              <w:rFonts w:asciiTheme="minorHAnsi" w:eastAsiaTheme="minorEastAsia" w:hAnsiTheme="minorHAnsi" w:cstheme="minorBidi"/>
              <w:noProof/>
              <w:lang w:eastAsia="en-AU"/>
            </w:rPr>
          </w:pPr>
          <w:hyperlink w:anchor="_Toc4573615" w:history="1">
            <w:r w:rsidRPr="00C0019E">
              <w:rPr>
                <w:rStyle w:val="Hyperlink"/>
                <w:noProof/>
              </w:rPr>
              <w:t>11.3.</w:t>
            </w:r>
            <w:r>
              <w:rPr>
                <w:rFonts w:asciiTheme="minorHAnsi" w:eastAsiaTheme="minorEastAsia" w:hAnsiTheme="minorHAnsi" w:cstheme="minorBidi"/>
                <w:noProof/>
                <w:lang w:eastAsia="en-AU"/>
              </w:rPr>
              <w:tab/>
            </w:r>
            <w:r w:rsidRPr="00C0019E">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_Toc4573615 \h </w:instrText>
            </w:r>
            <w:r>
              <w:rPr>
                <w:noProof/>
                <w:webHidden/>
              </w:rPr>
            </w:r>
            <w:r>
              <w:rPr>
                <w:noProof/>
                <w:webHidden/>
              </w:rPr>
              <w:fldChar w:fldCharType="separate"/>
            </w:r>
            <w:r>
              <w:rPr>
                <w:noProof/>
                <w:webHidden/>
              </w:rPr>
              <w:t>62</w:t>
            </w:r>
            <w:r>
              <w:rPr>
                <w:noProof/>
                <w:webHidden/>
              </w:rPr>
              <w:fldChar w:fldCharType="end"/>
            </w:r>
          </w:hyperlink>
        </w:p>
        <w:p w:rsidR="004A75C1" w:rsidRDefault="004A75C1">
          <w:pPr>
            <w:pStyle w:val="TOC2"/>
            <w:tabs>
              <w:tab w:val="left" w:pos="1320"/>
            </w:tabs>
            <w:rPr>
              <w:rFonts w:asciiTheme="minorHAnsi" w:eastAsiaTheme="minorEastAsia" w:hAnsiTheme="minorHAnsi" w:cstheme="minorBidi"/>
              <w:b w:val="0"/>
              <w:noProof/>
              <w:sz w:val="22"/>
              <w:lang w:eastAsia="en-AU"/>
            </w:rPr>
          </w:pPr>
          <w:hyperlink w:anchor="_Toc4573616" w:history="1">
            <w:r w:rsidRPr="00C0019E">
              <w:rPr>
                <w:rStyle w:val="Hyperlink"/>
                <w:noProof/>
              </w:rPr>
              <w:t>12.</w:t>
            </w:r>
            <w:r>
              <w:rPr>
                <w:rFonts w:asciiTheme="minorHAnsi" w:eastAsiaTheme="minorEastAsia" w:hAnsiTheme="minorHAnsi" w:cstheme="minorBidi"/>
                <w:b w:val="0"/>
                <w:noProof/>
                <w:sz w:val="22"/>
                <w:lang w:eastAsia="en-AU"/>
              </w:rPr>
              <w:tab/>
            </w:r>
            <w:r w:rsidRPr="00C0019E">
              <w:rPr>
                <w:rStyle w:val="Hyperlink"/>
                <w:noProof/>
              </w:rPr>
              <w:t>References</w:t>
            </w:r>
            <w:r>
              <w:rPr>
                <w:noProof/>
                <w:webHidden/>
              </w:rPr>
              <w:tab/>
            </w:r>
            <w:r>
              <w:rPr>
                <w:noProof/>
                <w:webHidden/>
              </w:rPr>
              <w:fldChar w:fldCharType="begin"/>
            </w:r>
            <w:r>
              <w:rPr>
                <w:noProof/>
                <w:webHidden/>
              </w:rPr>
              <w:instrText xml:space="preserve"> PAGEREF _Toc4573616 \h </w:instrText>
            </w:r>
            <w:r>
              <w:rPr>
                <w:noProof/>
                <w:webHidden/>
              </w:rPr>
            </w:r>
            <w:r>
              <w:rPr>
                <w:noProof/>
                <w:webHidden/>
              </w:rPr>
              <w:fldChar w:fldCharType="separate"/>
            </w:r>
            <w:r>
              <w:rPr>
                <w:noProof/>
                <w:webHidden/>
              </w:rPr>
              <w:t>62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B37C25" w:rsidRDefault="00B37C2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B37C25" w:rsidRDefault="00586F98" w:rsidP="00B37C25">
      <w:pPr>
        <w:pStyle w:val="Heading2"/>
        <w:numPr>
          <w:ilvl w:val="0"/>
          <w:numId w:val="0"/>
        </w:numPr>
      </w:pPr>
      <w:bookmarkStart w:id="7" w:name="_Toc4573550"/>
      <w:r>
        <w:lastRenderedPageBreak/>
        <w:t xml:space="preserve">List of </w:t>
      </w:r>
      <w:r w:rsidR="00B37C25">
        <w:t xml:space="preserve">common </w:t>
      </w:r>
      <w:r>
        <w:t>abbreviations</w:t>
      </w:r>
      <w:bookmarkEnd w:id="4"/>
      <w:bookmarkEnd w:id="5"/>
      <w:bookmarkEnd w:id="6"/>
      <w:bookmarkEnd w:id="3"/>
      <w:bookmarkEnd w:id="1"/>
      <w:bookmarkEnd w:id="0"/>
      <w:bookmarkEnd w:id="7"/>
    </w:p>
    <w:tbl>
      <w:tblPr>
        <w:tblStyle w:val="TableTGAblue"/>
        <w:tblW w:w="0" w:type="auto"/>
        <w:tblLook w:val="04A0" w:firstRow="1" w:lastRow="0" w:firstColumn="1" w:lastColumn="0" w:noHBand="0" w:noVBand="1"/>
      </w:tblPr>
      <w:tblGrid>
        <w:gridCol w:w="1951"/>
        <w:gridCol w:w="6850"/>
      </w:tblGrid>
      <w:tr w:rsidR="00B37C25" w:rsidRPr="00B37C25" w:rsidTr="00B37C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Abbreviation</w:t>
            </w:r>
          </w:p>
        </w:tc>
        <w:tc>
          <w:tcPr>
            <w:tcW w:w="6850" w:type="dxa"/>
          </w:tcPr>
          <w:p w:rsidR="00B37C25" w:rsidRPr="00B37C25" w:rsidRDefault="00B37C25" w:rsidP="00B37C25">
            <w:pPr>
              <w:cnfStyle w:val="100000000000" w:firstRow="1" w:lastRow="0" w:firstColumn="0" w:lastColumn="0" w:oddVBand="0" w:evenVBand="0" w:oddHBand="0" w:evenHBand="0" w:firstRowFirstColumn="0" w:firstRowLastColumn="0" w:lastRowFirstColumn="0" w:lastRowLastColumn="0"/>
              <w:rPr>
                <w:sz w:val="20"/>
                <w:szCs w:val="20"/>
              </w:rPr>
            </w:pPr>
            <w:r w:rsidRPr="00B37C25">
              <w:rPr>
                <w:sz w:val="20"/>
                <w:szCs w:val="20"/>
              </w:rPr>
              <w:t>Meaning</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330A13">
            <w:pPr>
              <w:rPr>
                <w:sz w:val="20"/>
                <w:szCs w:val="20"/>
              </w:rPr>
            </w:pPr>
            <w:r w:rsidRPr="00B37C25">
              <w:rPr>
                <w:sz w:val="20"/>
                <w:szCs w:val="20"/>
                <w:vertAlign w:val="superscript"/>
              </w:rPr>
              <w:t>14</w:t>
            </w:r>
            <w:r w:rsidRPr="00B37C25">
              <w:rPr>
                <w:sz w:val="20"/>
                <w:szCs w:val="20"/>
              </w:rPr>
              <w:t>C</w:t>
            </w:r>
            <w:r w:rsidR="00330A13">
              <w:rPr>
                <w:sz w:val="20"/>
                <w:szCs w:val="20"/>
              </w:rPr>
              <w:t>-</w:t>
            </w:r>
            <w:r w:rsidRPr="00B37C25">
              <w:rPr>
                <w:sz w:val="20"/>
                <w:szCs w:val="20"/>
              </w:rPr>
              <w:t>Total</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color w:val="000000"/>
                <w:sz w:val="20"/>
                <w:szCs w:val="20"/>
              </w:rPr>
              <w:t xml:space="preserve">Total </w:t>
            </w:r>
            <w:r w:rsidR="00B37C25" w:rsidRPr="00B37C25">
              <w:rPr>
                <w:rFonts w:eastAsia="TimesNewRoman"/>
                <w:color w:val="000000"/>
                <w:sz w:val="20"/>
                <w:szCs w:val="20"/>
              </w:rPr>
              <w:t xml:space="preserve">amount of </w:t>
            </w:r>
            <w:r w:rsidR="00B37C25" w:rsidRPr="00B37C25">
              <w:rPr>
                <w:rFonts w:eastAsia="TimesNewRoman"/>
                <w:color w:val="000000"/>
                <w:sz w:val="20"/>
                <w:szCs w:val="20"/>
                <w:vertAlign w:val="superscript"/>
              </w:rPr>
              <w:t>14</w:t>
            </w:r>
            <w:r w:rsidR="00B37C25" w:rsidRPr="00B37C25">
              <w:rPr>
                <w:rFonts w:eastAsia="TimesNewRoman"/>
                <w:color w:val="000000"/>
                <w:sz w:val="20"/>
                <w:szCs w:val="20"/>
              </w:rPr>
              <w:t>C radioactivity recovered in urine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25-OH</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25-hydroxy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A1</w:t>
            </w:r>
            <w:r w:rsidR="000131F6">
              <w:rPr>
                <w:sz w:val="20"/>
                <w:szCs w:val="20"/>
              </w:rPr>
              <w:t>c</w:t>
            </w:r>
          </w:p>
        </w:tc>
        <w:tc>
          <w:tcPr>
            <w:tcW w:w="6850" w:type="dxa"/>
          </w:tcPr>
          <w:p w:rsidR="00B37C25" w:rsidRPr="00B37C25" w:rsidRDefault="00330A13" w:rsidP="000131F6">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heme="minorHAnsi"/>
                <w:sz w:val="20"/>
                <w:szCs w:val="20"/>
              </w:rPr>
              <w:t xml:space="preserve">Glycosylated </w:t>
            </w:r>
            <w:r w:rsidR="00B37C25" w:rsidRPr="00B37C25">
              <w:rPr>
                <w:rFonts w:eastAsiaTheme="minorHAnsi"/>
                <w:sz w:val="20"/>
                <w:szCs w:val="20"/>
              </w:rPr>
              <w:t>haemoglobin (</w:t>
            </w:r>
            <w:r w:rsidR="004B0649" w:rsidRPr="00B37C25">
              <w:rPr>
                <w:rFonts w:eastAsiaTheme="minorHAnsi"/>
                <w:sz w:val="20"/>
                <w:szCs w:val="20"/>
              </w:rPr>
              <w:t>haemoglobin</w:t>
            </w:r>
            <w:r w:rsidR="00B37C25" w:rsidRPr="00B37C25">
              <w:rPr>
                <w:rFonts w:eastAsiaTheme="minorHAnsi"/>
                <w:sz w:val="20"/>
                <w:szCs w:val="20"/>
              </w:rPr>
              <w:t xml:space="preserve"> </w:t>
            </w:r>
            <w:r w:rsidR="000131F6">
              <w:rPr>
                <w:rFonts w:eastAsiaTheme="minorHAnsi"/>
                <w:sz w:val="20"/>
                <w:szCs w:val="20"/>
              </w:rPr>
              <w:t>A</w:t>
            </w:r>
            <w:r w:rsidR="000131F6" w:rsidRPr="00B37C25">
              <w:rPr>
                <w:rFonts w:eastAsiaTheme="minorHAnsi"/>
                <w:sz w:val="20"/>
                <w:szCs w:val="20"/>
              </w:rPr>
              <w:t>1c</w:t>
            </w:r>
            <w:r w:rsidR="000131F6">
              <w:rPr>
                <w:rFonts w:eastAsiaTheme="minorHAnsi"/>
                <w:sz w:val="20"/>
                <w:szCs w:val="20"/>
              </w:rPr>
              <w:t>; HbA1c</w:t>
            </w:r>
            <w:r w:rsidR="00B37C25" w:rsidRPr="00B37C25">
              <w:rPr>
                <w:rFonts w:eastAsiaTheme="minorHAnsi"/>
                <w:sz w:val="20"/>
                <w:szCs w:val="20"/>
              </w:rPr>
              <w: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AACE</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American Association of Clinical Endocrinologists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ABPM</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ambulatory blood pressure monitoring</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ADA</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American Diabetes Association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ADME</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Absorption, distribution, metabolism and elimination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AE</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Adverse event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Ae72%</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Percent of dose recovered unchanged in urine from 0 to 72 hours post-dose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Ae96%</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Percent of dose recovered unchanged in urine from 0 to 96 hours post-dose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AHA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Anti-hyperglycaemic agent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ALAG1</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sz w:val="20"/>
                <w:szCs w:val="20"/>
              </w:rPr>
              <w:t>Absorption lag time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ALP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Alkaline phosphate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ALT</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color w:val="000000"/>
                <w:sz w:val="20"/>
                <w:szCs w:val="20"/>
              </w:rPr>
            </w:pPr>
            <w:r w:rsidRPr="00B37C25">
              <w:rPr>
                <w:rFonts w:eastAsia="TimesNewRoman"/>
                <w:sz w:val="20"/>
                <w:szCs w:val="20"/>
              </w:rPr>
              <w:t>Alanine aminotransferase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ALT (SGPT)</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Alanine aminotransferase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AMP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Adenosine monophosphate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ANOVA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color w:val="000000"/>
                <w:sz w:val="20"/>
                <w:szCs w:val="20"/>
              </w:rPr>
              <w:t>Analysis of variance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AST (SGOT)</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Aspartate aminotransferase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AUC</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Area under the concentration-time curve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6F48AD" w:rsidP="00B37C25">
            <w:pPr>
              <w:rPr>
                <w:sz w:val="20"/>
                <w:szCs w:val="20"/>
              </w:rPr>
            </w:pPr>
            <w:r w:rsidRPr="003650F0">
              <w:rPr>
                <w:rFonts w:asciiTheme="minorHAnsi" w:eastAsia="TimesNewRoman" w:hAnsiTheme="minorHAnsi" w:cs="TimesNewRoman"/>
                <w:color w:val="000000"/>
              </w:rPr>
              <w:t>AUC</w:t>
            </w:r>
            <w:r w:rsidRPr="006F48AD">
              <w:rPr>
                <w:rFonts w:asciiTheme="minorHAnsi" w:eastAsia="TimesNewRoman" w:hAnsiTheme="minorHAnsi" w:cs="TimesNewRoman"/>
                <w:color w:val="000000"/>
                <w:vertAlign w:val="subscript"/>
              </w:rPr>
              <w:t>inf</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Area under the plasma concentration-time profile from time 0 extrapolated to infinite time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6F48AD" w:rsidP="00B37C25">
            <w:pPr>
              <w:rPr>
                <w:rFonts w:eastAsia="TimesNewRoman"/>
                <w:sz w:val="20"/>
                <w:szCs w:val="20"/>
              </w:rPr>
            </w:pPr>
            <w:r w:rsidRPr="003650F0">
              <w:rPr>
                <w:rFonts w:asciiTheme="minorHAnsi" w:eastAsia="TimesNewRoman" w:hAnsiTheme="minorHAnsi" w:cs="TimesNewRoman"/>
                <w:color w:val="000000"/>
              </w:rPr>
              <w:t>AUC</w:t>
            </w:r>
            <w:r w:rsidRPr="006F48AD">
              <w:rPr>
                <w:rFonts w:asciiTheme="minorHAnsi" w:eastAsia="TimesNewRoman" w:hAnsiTheme="minorHAnsi" w:cs="TimesNewRoman"/>
                <w:color w:val="000000"/>
                <w:vertAlign w:val="subscript"/>
              </w:rPr>
              <w:t>inf</w:t>
            </w:r>
            <w:r w:rsidR="00B37C25" w:rsidRPr="00B37C25">
              <w:rPr>
                <w:rFonts w:eastAsia="TimesNewRoman"/>
                <w:sz w:val="20"/>
                <w:szCs w:val="20"/>
                <w:vertAlign w:val="subscript"/>
              </w:rPr>
              <w:t>(dn)</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 xml:space="preserve">Dose </w:t>
            </w:r>
            <w:r w:rsidR="00B37C25" w:rsidRPr="00B37C25">
              <w:rPr>
                <w:rFonts w:eastAsia="TimesNewRoman"/>
                <w:sz w:val="20"/>
                <w:szCs w:val="20"/>
              </w:rPr>
              <w:t xml:space="preserve">normalized (to 1 mg)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rFonts w:eastAsia="TimesNewRoman"/>
                <w:sz w:val="20"/>
                <w:szCs w:val="20"/>
              </w:rPr>
              <w:t>AUClast</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 xml:space="preserve">Area </w:t>
            </w:r>
            <w:r w:rsidR="00B37C25" w:rsidRPr="00B37C25">
              <w:rPr>
                <w:rFonts w:eastAsia="TimesNewRoman"/>
                <w:sz w:val="20"/>
                <w:szCs w:val="20"/>
              </w:rPr>
              <w:t>under the plasma concentration-time profile from time 0 to the time of the last quantifiable concentration (Clast)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AV</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Atrioventricular</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lastRenderedPageBreak/>
              <w:t>BA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Bioavailability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BE</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Bioequivalence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BID</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Twice-daily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BMI</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Body mass index</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BP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Blood pressure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BSAP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Bone-specific alkaline phosphatase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rFonts w:eastAsia="TimesNewRoman"/>
                <w:sz w:val="20"/>
                <w:szCs w:val="20"/>
              </w:rPr>
              <w:t>Cav</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Average concentration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CFB</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Change</w:t>
            </w:r>
            <w:r w:rsidR="00B37C25" w:rsidRPr="00B37C25">
              <w:rPr>
                <w:rFonts w:eastAsia="TimesNewRoman"/>
                <w:sz w:val="20"/>
                <w:szCs w:val="20"/>
              </w:rPr>
              <w:t xml:space="preserve"> from baseline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CI</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Confidence interval</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CKD</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Chronic kidney disease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rFonts w:eastAsia="TimesNewRoman"/>
                <w:sz w:val="20"/>
                <w:szCs w:val="20"/>
              </w:rPr>
              <w:t>CL (IV)</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CL; systemic clearance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rFonts w:eastAsia="TimesNewRoman"/>
                <w:sz w:val="20"/>
                <w:szCs w:val="20"/>
              </w:rPr>
              <w:t>CL/F (oral)</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 xml:space="preserve">Apparent </w:t>
            </w:r>
            <w:r w:rsidR="00B37C25" w:rsidRPr="00B37C25">
              <w:rPr>
                <w:rFonts w:eastAsia="TimesNewRoman"/>
                <w:sz w:val="20"/>
                <w:szCs w:val="20"/>
              </w:rPr>
              <w:t>clearance; CL/F</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cLDA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Constrained longitudinal data analysis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CLr</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color w:val="000000"/>
                <w:sz w:val="20"/>
                <w:szCs w:val="20"/>
              </w:rPr>
              <w:t>Renal clearance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A46791" w:rsidP="00B37C25">
            <w:pPr>
              <w:rPr>
                <w:rFonts w:eastAsiaTheme="minorHAnsi"/>
                <w:sz w:val="20"/>
                <w:szCs w:val="20"/>
              </w:rPr>
            </w:pPr>
            <w:r w:rsidRPr="00B46F76">
              <w:rPr>
                <w:rFonts w:eastAsia="TimesNewRoman" w:cstheme="minorHAnsi"/>
                <w:color w:val="000000"/>
              </w:rPr>
              <w:t>C</w:t>
            </w:r>
            <w:r w:rsidRPr="00A46791">
              <w:rPr>
                <w:rFonts w:eastAsia="TimesNewRoman" w:cstheme="minorHAnsi"/>
                <w:color w:val="000000"/>
                <w:vertAlign w:val="subscript"/>
              </w:rPr>
              <w:t>max</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Maximum observed plasma concentration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A46791" w:rsidP="00B37C25">
            <w:pPr>
              <w:rPr>
                <w:sz w:val="20"/>
                <w:szCs w:val="20"/>
              </w:rPr>
            </w:pPr>
            <w:r w:rsidRPr="00B46F76">
              <w:rPr>
                <w:rFonts w:eastAsia="TimesNewRoman" w:cstheme="minorHAnsi"/>
                <w:color w:val="000000"/>
              </w:rPr>
              <w:t>C</w:t>
            </w:r>
            <w:r w:rsidRPr="00A46791">
              <w:rPr>
                <w:rFonts w:eastAsia="TimesNewRoman" w:cstheme="minorHAnsi"/>
                <w:color w:val="000000"/>
                <w:vertAlign w:val="subscript"/>
              </w:rPr>
              <w:t>max</w:t>
            </w:r>
            <w:r w:rsidR="00B37C25" w:rsidRPr="00B37C25">
              <w:rPr>
                <w:rFonts w:eastAsia="TimesNewRoman"/>
                <w:sz w:val="20"/>
                <w:szCs w:val="20"/>
              </w:rPr>
              <w:t>(dn)</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 xml:space="preserve">Dose </w:t>
            </w:r>
            <w:r w:rsidR="00B37C25" w:rsidRPr="00B37C25">
              <w:rPr>
                <w:rFonts w:eastAsia="TimesNewRoman"/>
                <w:sz w:val="20"/>
                <w:szCs w:val="20"/>
              </w:rPr>
              <w:t xml:space="preserve">normalized (to 1 mg) </w:t>
            </w:r>
            <w:r w:rsidR="00A46791" w:rsidRPr="00B46F76">
              <w:rPr>
                <w:rFonts w:eastAsia="TimesNewRoman" w:cstheme="minorHAnsi"/>
                <w:color w:val="000000"/>
              </w:rPr>
              <w:t>C</w:t>
            </w:r>
            <w:r w:rsidR="00A46791" w:rsidRPr="00A46791">
              <w:rPr>
                <w:rFonts w:eastAsia="TimesNewRoman" w:cstheme="minorHAnsi"/>
                <w:color w:val="000000"/>
                <w:vertAlign w:val="subscript"/>
              </w:rPr>
              <w:t>max</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C</w:t>
            </w:r>
            <w:r w:rsidRPr="00E957A2">
              <w:rPr>
                <w:sz w:val="20"/>
                <w:szCs w:val="20"/>
                <w:vertAlign w:val="subscript"/>
              </w:rPr>
              <w:t>min</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Lowest concentration observed during the dosing interval</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CRU</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Clinical research unit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CSR</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Clinical study report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CT</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Computed tomography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CTX1</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C-terminal telopeptides of type-1 collagen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CV</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Coefficient of variation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CV</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Cardiovascular</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CVOT</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Cardiovascular outcome trial</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CYP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 xml:space="preserve">Cytochrome </w:t>
            </w:r>
            <w:r w:rsidR="00B37C25" w:rsidRPr="00B37C25">
              <w:rPr>
                <w:rFonts w:eastAsiaTheme="minorHAnsi"/>
                <w:sz w:val="20"/>
                <w:szCs w:val="20"/>
              </w:rPr>
              <w:t>P450</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DBP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Diastolic blood pressure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lastRenderedPageBreak/>
              <w:t>DDI</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Drug-drug interaction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4B0649">
            <w:pPr>
              <w:rPr>
                <w:sz w:val="20"/>
                <w:szCs w:val="20"/>
              </w:rPr>
            </w:pPr>
            <w:r w:rsidRPr="00B37C25">
              <w:rPr>
                <w:sz w:val="20"/>
                <w:szCs w:val="20"/>
              </w:rPr>
              <w:t>D</w:t>
            </w:r>
            <w:r w:rsidR="004B0649">
              <w:rPr>
                <w:sz w:val="20"/>
                <w:szCs w:val="20"/>
              </w:rPr>
              <w:t>PM</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Disintegrations per minute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DPP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Dipeptidyl peptidase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EASD</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European Association for the Study of Diabetes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ECG</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Elec</w:t>
            </w:r>
            <w:r w:rsidR="00B37C25" w:rsidRPr="00B37C25">
              <w:rPr>
                <w:sz w:val="20"/>
                <w:szCs w:val="20"/>
              </w:rPr>
              <w:t>trocardiograph</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ED50</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color w:val="000000"/>
                <w:sz w:val="20"/>
                <w:szCs w:val="20"/>
              </w:rPr>
              <w:t>Dose at half maximum effect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eGFR</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Estimated glomerular filtration rate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EMA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European medicines agency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Emax</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color w:val="000000"/>
                <w:sz w:val="20"/>
                <w:szCs w:val="20"/>
              </w:rPr>
              <w:t>Maximum effect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ER</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Excluding rescue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ESRD</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End stage renal disease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EU</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European union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F</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Bioavailability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F1</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sz w:val="20"/>
                <w:szCs w:val="20"/>
              </w:rPr>
              <w:t>Relative bioava</w:t>
            </w:r>
            <w:r w:rsidR="00B37C25" w:rsidRPr="00B37C25">
              <w:rPr>
                <w:sz w:val="20"/>
                <w:szCs w:val="20"/>
              </w:rPr>
              <w:t>ilability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Fa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Fraction of dose absorbed</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FAS</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Full analysis set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 xml:space="preserve">FDA </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Food and Drug Administration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FDC</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Fixed-dose combination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FME</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Full model estimation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FOCE-I</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First order conditional estimation method with interaction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FPG</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Fasting plasma glucose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FPG</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F</w:t>
            </w:r>
            <w:r w:rsidR="00B37C25" w:rsidRPr="00B37C25">
              <w:rPr>
                <w:rFonts w:eastAsiaTheme="minorHAnsi"/>
                <w:sz w:val="20"/>
                <w:szCs w:val="20"/>
              </w:rPr>
              <w:t>asting plasma glucose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GCP</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Good Clinical Practice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GIP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Glucose-dependent insulinotropic polypeptide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GLP-1</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Glucagon-like peptide-1</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GMR</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Geometric mean ratio</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lastRenderedPageBreak/>
              <w:t>h</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Hour/s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HbA1c</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Haemoglobin a1c</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HCTZ</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Hydrochlorothiazide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HDL-C</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High-density lipoprotein-cho</w:t>
            </w:r>
            <w:r w:rsidR="00B37C25" w:rsidRPr="00B37C25">
              <w:rPr>
                <w:rFonts w:eastAsiaTheme="minorHAnsi"/>
                <w:sz w:val="20"/>
                <w:szCs w:val="20"/>
              </w:rPr>
              <w:t>lesterol</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hOAT-3</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Human organic anion transporter-3</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HPLC-MS/MS</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High-performance liquid chromatography tandem mass spectrometric</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HTCZ</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Hydrochlorothiazide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IPTH</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Intact parathyroid hormone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IR</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color w:val="000000"/>
                <w:sz w:val="20"/>
                <w:szCs w:val="20"/>
              </w:rPr>
              <w:t>Immediate-release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IV</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Intravenous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ka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First-order absorption ra</w:t>
            </w:r>
            <w:r w:rsidR="00B37C25" w:rsidRPr="00B37C25">
              <w:rPr>
                <w:sz w:val="20"/>
                <w:szCs w:val="20"/>
              </w:rPr>
              <w:t>te constant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LDA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Longitudinal data analysis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LDL</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Low-density lipoprotein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LDL-C</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Low-density lipoprotein-cholesterol</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LLOQ</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color w:val="000000"/>
                <w:sz w:val="20"/>
                <w:szCs w:val="20"/>
              </w:rPr>
              <w:t>Lower limit of quantitation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L-PGA</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L-pyroglutamic acid</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LS</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Least-squares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MACE</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Major adverse cardiovascular event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 xml:space="preserve">MAR </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Missing at</w:t>
            </w:r>
            <w:r w:rsidR="00B37C25" w:rsidRPr="00B37C25">
              <w:rPr>
                <w:rFonts w:eastAsiaTheme="minorHAnsi"/>
                <w:sz w:val="20"/>
                <w:szCs w:val="20"/>
              </w:rPr>
              <w:t xml:space="preserve"> random</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MBMA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Model-based meta-analysis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MCAR</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Missing completely at random</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MedDRA</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Medical Dictionary for Regulatory activities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min</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Minute/s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MK-8335</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Ertugliflozin</w:t>
            </w:r>
            <w:r w:rsidR="00B37C25" w:rsidRPr="00B37C25">
              <w:rPr>
                <w:sz w:val="20"/>
                <w:szCs w:val="20"/>
              </w:rPr>
              <w:t>/PF-04971729</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MR</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Modified-release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MRI</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Magnetic Resonance Imaging</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lastRenderedPageBreak/>
              <w:t>nCi</w:t>
            </w:r>
          </w:p>
        </w:tc>
        <w:tc>
          <w:tcPr>
            <w:tcW w:w="6850" w:type="dxa"/>
          </w:tcPr>
          <w:p w:rsidR="00B37C25" w:rsidRPr="00B37C25" w:rsidRDefault="004B0649" w:rsidP="00B37C2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Nano C</w:t>
            </w:r>
            <w:r w:rsidR="00330A13" w:rsidRPr="00B37C25">
              <w:rPr>
                <w:sz w:val="20"/>
                <w:szCs w:val="20"/>
              </w:rPr>
              <w:t>urie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NDA</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New Drug Application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NONMEM</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sz w:val="20"/>
                <w:szCs w:val="20"/>
              </w:rPr>
              <w:t>Non</w:t>
            </w:r>
            <w:r w:rsidR="00B37C25" w:rsidRPr="00B37C25">
              <w:rPr>
                <w:sz w:val="20"/>
                <w:szCs w:val="20"/>
              </w:rPr>
              <w:t>-linear mixed effects modelling</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NTX-1</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N-terminal telopeptide-1</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OAD</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Oral anti-diabetic</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OC</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Osteocalcin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P1NP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Procollagen type 1 amino-terminal propeptide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PD</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Pharmacodynamics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PDLC</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Pre-defined limit of change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P-gp</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P-glycoprotein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PK</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Pharmacokinetic</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PO</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Per os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popPK</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Population pharmacokinetic</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PPAS</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Per protocol analysis set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PPG</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Post-prandial glucose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Q/F</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sz w:val="20"/>
                <w:szCs w:val="20"/>
              </w:rPr>
              <w:t>Apparent inter-compartmental clearance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QD</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Once daily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QT</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 xml:space="preserve">Time </w:t>
            </w:r>
            <w:r w:rsidR="00B37C25" w:rsidRPr="00B37C25">
              <w:rPr>
                <w:rFonts w:eastAsiaTheme="minorHAnsi"/>
                <w:sz w:val="20"/>
                <w:szCs w:val="20"/>
              </w:rPr>
              <w:t>from the start of the Q wave to the end of the T wave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QTc</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QT interval corrected for heart rate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RAAS</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Renin-angiotensin-aldosterone system</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rFonts w:eastAsia="TimesNewRoman"/>
                <w:sz w:val="20"/>
                <w:szCs w:val="20"/>
              </w:rPr>
              <w:t>Rac</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Observed accumulation ratio</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RNA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Ribonucleic acid</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RSE</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color w:val="000000"/>
                <w:sz w:val="20"/>
                <w:szCs w:val="20"/>
              </w:rPr>
            </w:pPr>
            <w:r w:rsidRPr="00B37C25">
              <w:rPr>
                <w:sz w:val="20"/>
                <w:szCs w:val="20"/>
              </w:rPr>
              <w:t>Relative standard error</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RTG</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Renal threshold for glucose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SA</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color w:val="000000"/>
                <w:sz w:val="20"/>
                <w:szCs w:val="20"/>
              </w:rPr>
              <w:t>Specific activity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SAE</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Serious adve</w:t>
            </w:r>
            <w:r w:rsidR="00B37C25" w:rsidRPr="00B37C25">
              <w:rPr>
                <w:sz w:val="20"/>
                <w:szCs w:val="20"/>
              </w:rPr>
              <w:t>rse event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lastRenderedPageBreak/>
              <w:t>SBP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Systolic blood pressure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SCE</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Summary of Clinical Efficacy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SCS</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Summary of Clinical Safety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SD</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Standard deviation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SGLT1</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Sodium-glucose co-transporter 1</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rFonts w:eastAsia="TimesNewRoman"/>
                <w:sz w:val="20"/>
                <w:szCs w:val="20"/>
              </w:rPr>
              <w:t>SGLT2</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Sodium glucose co-transporter 2</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SMQ</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 xml:space="preserve">Standardized </w:t>
            </w:r>
            <w:r w:rsidR="004B0649" w:rsidRPr="00B37C25">
              <w:rPr>
                <w:rFonts w:eastAsiaTheme="minorHAnsi"/>
                <w:sz w:val="20"/>
                <w:szCs w:val="20"/>
              </w:rPr>
              <w:t>MedDRA</w:t>
            </w:r>
            <w:r w:rsidRPr="00B37C25">
              <w:rPr>
                <w:rFonts w:eastAsiaTheme="minorHAnsi"/>
                <w:sz w:val="20"/>
                <w:szCs w:val="20"/>
              </w:rPr>
              <w:t xml:space="preserve"> </w:t>
            </w:r>
            <w:r w:rsidR="00B37C25" w:rsidRPr="00B37C25">
              <w:rPr>
                <w:rFonts w:eastAsiaTheme="minorHAnsi"/>
                <w:sz w:val="20"/>
                <w:szCs w:val="20"/>
              </w:rPr>
              <w:t>query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SOC</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System orga</w:t>
            </w:r>
            <w:r w:rsidR="00B37C25" w:rsidRPr="00B37C25">
              <w:rPr>
                <w:sz w:val="20"/>
                <w:szCs w:val="20"/>
              </w:rPr>
              <w:t>n class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SOP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Standard operating procedures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t</w:t>
            </w:r>
            <w:r w:rsidRPr="00B37C25">
              <w:rPr>
                <w:sz w:val="20"/>
                <w:szCs w:val="20"/>
                <w:vertAlign w:val="subscript"/>
              </w:rPr>
              <w:t>1/2</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Terminal half-life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T2DM</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Type 2 diabetes mellitus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TdP</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rFonts w:eastAsia="TimesNewRoman"/>
                <w:sz w:val="20"/>
                <w:szCs w:val="20"/>
              </w:rPr>
              <w:t>Torsades de pointes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TEAE</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Treatment-emergent adverse event</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TECOS</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Trial Evaluating Cardiovascular Outcomes with Sitagliptin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A46791" w:rsidP="00B37C25">
            <w:pPr>
              <w:rPr>
                <w:sz w:val="20"/>
                <w:szCs w:val="20"/>
              </w:rPr>
            </w:pPr>
            <w:r w:rsidRPr="00B46F76">
              <w:rPr>
                <w:rFonts w:eastAsia="TimesNewRoman" w:cstheme="minorHAnsi"/>
              </w:rPr>
              <w:t>T</w:t>
            </w:r>
            <w:r w:rsidRPr="00A46791">
              <w:rPr>
                <w:rFonts w:eastAsia="TimesNewRoman" w:cstheme="minorHAnsi"/>
                <w:vertAlign w:val="subscript"/>
              </w:rPr>
              <w:t>max</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 xml:space="preserve">Time </w:t>
            </w:r>
            <w:r w:rsidR="00B37C25" w:rsidRPr="00B37C25">
              <w:rPr>
                <w:rFonts w:eastAsia="TimesNewRoman"/>
                <w:sz w:val="20"/>
                <w:szCs w:val="20"/>
              </w:rPr>
              <w:t xml:space="preserve">for </w:t>
            </w:r>
            <w:r w:rsidR="00A46791" w:rsidRPr="00B46F76">
              <w:rPr>
                <w:rFonts w:eastAsia="TimesNewRoman" w:cstheme="minorHAnsi"/>
                <w:color w:val="000000"/>
              </w:rPr>
              <w:t>C</w:t>
            </w:r>
            <w:r w:rsidR="00A46791" w:rsidRPr="00A46791">
              <w:rPr>
                <w:rFonts w:eastAsia="TimesNewRoman" w:cstheme="minorHAnsi"/>
                <w:color w:val="000000"/>
                <w:vertAlign w:val="subscript"/>
              </w:rPr>
              <w:t>max</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TRAP5</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Tartrate-resistant acid phosphatase isoform 5</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sz w:val="20"/>
                <w:szCs w:val="20"/>
              </w:rPr>
              <w:t>UGE</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Urinary glucose excretion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UGE0-24</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sz w:val="20"/>
                <w:szCs w:val="20"/>
              </w:rPr>
              <w:t xml:space="preserve">Cumulative </w:t>
            </w:r>
            <w:r w:rsidR="00B37C25" w:rsidRPr="00B37C25">
              <w:rPr>
                <w:rFonts w:eastAsia="TimesNewRoman"/>
                <w:sz w:val="20"/>
                <w:szCs w:val="20"/>
              </w:rPr>
              <w:t>urinary glucose excretion over 24 hours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UGT</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Uridine 5’-diphospho-glucuronosyltransferase</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UK</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United Kingdom</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UKPDS</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United Kingdom Prospective Diabetes Study</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ULN</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Upper limit of normal</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heme="minorHAnsi"/>
                <w:sz w:val="20"/>
                <w:szCs w:val="20"/>
              </w:rPr>
            </w:pPr>
            <w:r w:rsidRPr="00B37C25">
              <w:rPr>
                <w:rFonts w:eastAsiaTheme="minorHAnsi"/>
                <w:sz w:val="20"/>
                <w:szCs w:val="20"/>
              </w:rPr>
              <w:t>US</w:t>
            </w:r>
          </w:p>
        </w:tc>
        <w:tc>
          <w:tcPr>
            <w:tcW w:w="6850" w:type="dxa"/>
          </w:tcPr>
          <w:p w:rsidR="00B37C25" w:rsidRPr="00B37C25" w:rsidRDefault="00330A13" w:rsidP="00330A13">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B37C25">
              <w:rPr>
                <w:rFonts w:eastAsiaTheme="minorHAnsi"/>
                <w:sz w:val="20"/>
                <w:szCs w:val="20"/>
              </w:rPr>
              <w:t xml:space="preserve">United </w:t>
            </w:r>
            <w:r>
              <w:rPr>
                <w:rFonts w:eastAsiaTheme="minorHAnsi"/>
                <w:sz w:val="20"/>
                <w:szCs w:val="20"/>
              </w:rPr>
              <w:t>S</w:t>
            </w:r>
            <w:r w:rsidRPr="00B37C25">
              <w:rPr>
                <w:rFonts w:eastAsiaTheme="minorHAnsi"/>
                <w:sz w:val="20"/>
                <w:szCs w:val="20"/>
              </w:rPr>
              <w:t>tates</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Vc/F</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sz w:val="20"/>
                <w:szCs w:val="20"/>
              </w:rPr>
              <w:t>Apparent central volume of distribution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rFonts w:eastAsia="TimesNewRoman"/>
                <w:sz w:val="20"/>
                <w:szCs w:val="20"/>
              </w:rPr>
            </w:pPr>
            <w:r w:rsidRPr="00B37C25">
              <w:rPr>
                <w:rFonts w:eastAsia="TimesNewRoman"/>
                <w:sz w:val="20"/>
                <w:szCs w:val="20"/>
              </w:rPr>
              <w:t>Vp/F</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B37C25">
              <w:rPr>
                <w:sz w:val="20"/>
                <w:szCs w:val="20"/>
              </w:rPr>
              <w:t>Apparent peripheral volume of distribution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rFonts w:eastAsia="TimesNewRoman"/>
                <w:sz w:val="20"/>
                <w:szCs w:val="20"/>
              </w:rPr>
              <w:t>Vss</w:t>
            </w:r>
          </w:p>
        </w:tc>
        <w:tc>
          <w:tcPr>
            <w:tcW w:w="6850" w:type="dxa"/>
          </w:tcPr>
          <w:p w:rsidR="00B37C25" w:rsidRPr="00B37C25" w:rsidRDefault="00330A13" w:rsidP="00B37C25">
            <w:pPr>
              <w:cnfStyle w:val="000000000000" w:firstRow="0" w:lastRow="0" w:firstColumn="0" w:lastColumn="0" w:oddVBand="0" w:evenVBand="0" w:oddHBand="0" w:evenHBand="0" w:firstRowFirstColumn="0" w:firstRowLastColumn="0" w:lastRowFirstColumn="0" w:lastRowLastColumn="0"/>
              <w:rPr>
                <w:sz w:val="20"/>
                <w:szCs w:val="20"/>
              </w:rPr>
            </w:pPr>
            <w:r>
              <w:rPr>
                <w:rFonts w:eastAsia="TimesNewRoman"/>
                <w:sz w:val="20"/>
                <w:szCs w:val="20"/>
              </w:rPr>
              <w:t>S</w:t>
            </w:r>
            <w:r w:rsidR="00B37C25" w:rsidRPr="00B37C25">
              <w:rPr>
                <w:rFonts w:eastAsia="TimesNewRoman"/>
                <w:sz w:val="20"/>
                <w:szCs w:val="20"/>
              </w:rPr>
              <w:t>teady-state volume of distribution</w:t>
            </w:r>
          </w:p>
        </w:tc>
      </w:tr>
      <w:tr w:rsidR="00B37C25" w:rsidRPr="00B37C25" w:rsidTr="00B37C25">
        <w:tc>
          <w:tcPr>
            <w:cnfStyle w:val="001000000000" w:firstRow="0" w:lastRow="0" w:firstColumn="1" w:lastColumn="0" w:oddVBand="0" w:evenVBand="0" w:oddHBand="0" w:evenHBand="0" w:firstRowFirstColumn="0" w:firstRowLastColumn="0" w:lastRowFirstColumn="0" w:lastRowLastColumn="0"/>
            <w:tcW w:w="1951" w:type="dxa"/>
          </w:tcPr>
          <w:p w:rsidR="00B37C25" w:rsidRPr="00B37C25" w:rsidRDefault="00B37C25" w:rsidP="00B37C25">
            <w:pPr>
              <w:rPr>
                <w:sz w:val="20"/>
                <w:szCs w:val="20"/>
              </w:rPr>
            </w:pPr>
            <w:r w:rsidRPr="00B37C25">
              <w:rPr>
                <w:rFonts w:eastAsia="TimesNewRoman"/>
                <w:sz w:val="20"/>
                <w:szCs w:val="20"/>
              </w:rPr>
              <w:lastRenderedPageBreak/>
              <w:t>Vz/F (oral)</w:t>
            </w:r>
          </w:p>
        </w:tc>
        <w:tc>
          <w:tcPr>
            <w:tcW w:w="6850" w:type="dxa"/>
          </w:tcPr>
          <w:p w:rsidR="00B37C25" w:rsidRPr="00B37C25" w:rsidRDefault="00B37C25" w:rsidP="00B37C25">
            <w:pPr>
              <w:cnfStyle w:val="000000000000" w:firstRow="0" w:lastRow="0" w:firstColumn="0" w:lastColumn="0" w:oddVBand="0" w:evenVBand="0" w:oddHBand="0" w:evenHBand="0" w:firstRowFirstColumn="0" w:firstRowLastColumn="0" w:lastRowFirstColumn="0" w:lastRowLastColumn="0"/>
              <w:rPr>
                <w:sz w:val="20"/>
                <w:szCs w:val="20"/>
              </w:rPr>
            </w:pPr>
            <w:r w:rsidRPr="00B37C25">
              <w:rPr>
                <w:rFonts w:eastAsia="TimesNewRoman"/>
                <w:sz w:val="20"/>
                <w:szCs w:val="20"/>
              </w:rPr>
              <w:t>Vz/F: apparent volume of distribution following oral administration</w:t>
            </w:r>
          </w:p>
        </w:tc>
      </w:tr>
    </w:tbl>
    <w:p w:rsidR="00B37C25" w:rsidRDefault="00B37C25" w:rsidP="00B37C25">
      <w:pPr>
        <w:rPr>
          <w:lang w:eastAsia="ja-JP"/>
        </w:rPr>
      </w:pPr>
      <w:bookmarkStart w:id="8" w:name="_Toc351718900"/>
      <w:bookmarkStart w:id="9" w:name="_Toc355338635"/>
      <w:r>
        <w:br w:type="page"/>
      </w:r>
    </w:p>
    <w:p w:rsidR="00B37C25" w:rsidRPr="002E2E9A" w:rsidRDefault="00B37C25" w:rsidP="00330A13">
      <w:pPr>
        <w:pStyle w:val="Heading2"/>
      </w:pPr>
      <w:bookmarkStart w:id="10" w:name="_Toc504036080"/>
      <w:bookmarkStart w:id="11" w:name="_Toc4573551"/>
      <w:r w:rsidRPr="002E2E9A">
        <w:lastRenderedPageBreak/>
        <w:t>Submission details</w:t>
      </w:r>
      <w:bookmarkEnd w:id="10"/>
      <w:bookmarkEnd w:id="11"/>
    </w:p>
    <w:p w:rsidR="00B37C25" w:rsidRPr="002E2E9A" w:rsidRDefault="00B37C25" w:rsidP="00330A13">
      <w:pPr>
        <w:pStyle w:val="Heading3"/>
      </w:pPr>
      <w:bookmarkStart w:id="12" w:name="_Toc504036081"/>
      <w:bookmarkStart w:id="13" w:name="_Toc4573552"/>
      <w:r w:rsidRPr="002E2E9A">
        <w:t>Identifying information</w:t>
      </w:r>
      <w:bookmarkEnd w:id="12"/>
      <w:bookmarkEnd w:id="13"/>
    </w:p>
    <w:tbl>
      <w:tblPr>
        <w:tblStyle w:val="TableGrid"/>
        <w:tblW w:w="0" w:type="auto"/>
        <w:tblLook w:val="04A0" w:firstRow="1" w:lastRow="0" w:firstColumn="1" w:lastColumn="0" w:noHBand="0" w:noVBand="1"/>
      </w:tblPr>
      <w:tblGrid>
        <w:gridCol w:w="2802"/>
        <w:gridCol w:w="6440"/>
      </w:tblGrid>
      <w:tr w:rsidR="00B37C25" w:rsidRPr="00216A4C" w:rsidTr="00330A13">
        <w:tc>
          <w:tcPr>
            <w:tcW w:w="2802" w:type="dxa"/>
            <w:shd w:val="clear" w:color="auto" w:fill="0070C0"/>
          </w:tcPr>
          <w:p w:rsidR="00B37C25" w:rsidRPr="00330A13" w:rsidRDefault="00B37C25" w:rsidP="00330A13">
            <w:pPr>
              <w:rPr>
                <w:b/>
                <w:color w:val="FFFFFF" w:themeColor="background1"/>
              </w:rPr>
            </w:pPr>
            <w:r w:rsidRPr="00330A13">
              <w:rPr>
                <w:b/>
                <w:color w:val="FFFFFF" w:themeColor="background1"/>
              </w:rPr>
              <w:t>Submission number</w:t>
            </w:r>
          </w:p>
        </w:tc>
        <w:tc>
          <w:tcPr>
            <w:tcW w:w="6440" w:type="dxa"/>
          </w:tcPr>
          <w:p w:rsidR="00B37C25" w:rsidRPr="00216A4C" w:rsidRDefault="00B37C25" w:rsidP="00330A13">
            <w:r w:rsidRPr="00216A4C">
              <w:rPr>
                <w:rFonts w:cstheme="minorHAnsi"/>
              </w:rPr>
              <w:t>PM-2017-0132</w:t>
            </w:r>
            <w:r>
              <w:rPr>
                <w:rFonts w:cstheme="minorHAnsi"/>
              </w:rPr>
              <w:t>9</w:t>
            </w:r>
            <w:r w:rsidRPr="00216A4C">
              <w:rPr>
                <w:rFonts w:cstheme="minorHAnsi"/>
              </w:rPr>
              <w:t>-1-5</w:t>
            </w:r>
          </w:p>
        </w:tc>
      </w:tr>
      <w:tr w:rsidR="00B37C25" w:rsidRPr="00216A4C" w:rsidTr="00330A13">
        <w:tc>
          <w:tcPr>
            <w:tcW w:w="2802" w:type="dxa"/>
            <w:shd w:val="clear" w:color="auto" w:fill="0070C0"/>
          </w:tcPr>
          <w:p w:rsidR="00B37C25" w:rsidRPr="00330A13" w:rsidRDefault="00B37C25" w:rsidP="00330A13">
            <w:pPr>
              <w:rPr>
                <w:b/>
                <w:color w:val="FFFFFF" w:themeColor="background1"/>
              </w:rPr>
            </w:pPr>
            <w:r w:rsidRPr="00330A13">
              <w:rPr>
                <w:b/>
                <w:color w:val="FFFFFF" w:themeColor="background1"/>
              </w:rPr>
              <w:t>Sponsor</w:t>
            </w:r>
          </w:p>
        </w:tc>
        <w:tc>
          <w:tcPr>
            <w:tcW w:w="6440" w:type="dxa"/>
          </w:tcPr>
          <w:p w:rsidR="00B37C25" w:rsidRPr="00216A4C" w:rsidRDefault="00B37C25" w:rsidP="00330A13">
            <w:r w:rsidRPr="00216A4C">
              <w:t>Merck Sharpe and Dohme (Australia) Pty Ltd.</w:t>
            </w:r>
          </w:p>
        </w:tc>
      </w:tr>
      <w:tr w:rsidR="00B37C25" w:rsidRPr="00216A4C" w:rsidTr="00330A13">
        <w:tc>
          <w:tcPr>
            <w:tcW w:w="2802" w:type="dxa"/>
            <w:shd w:val="clear" w:color="auto" w:fill="0070C0"/>
          </w:tcPr>
          <w:p w:rsidR="00B37C25" w:rsidRPr="00330A13" w:rsidRDefault="00B37C25" w:rsidP="00330A13">
            <w:pPr>
              <w:rPr>
                <w:b/>
                <w:color w:val="FFFFFF" w:themeColor="background1"/>
              </w:rPr>
            </w:pPr>
            <w:r w:rsidRPr="00330A13">
              <w:rPr>
                <w:b/>
                <w:color w:val="FFFFFF" w:themeColor="background1"/>
              </w:rPr>
              <w:t>Trade name</w:t>
            </w:r>
          </w:p>
        </w:tc>
        <w:tc>
          <w:tcPr>
            <w:tcW w:w="6440" w:type="dxa"/>
          </w:tcPr>
          <w:p w:rsidR="00B37C25" w:rsidRPr="00216A4C" w:rsidRDefault="00B37C25" w:rsidP="00330A13">
            <w:r w:rsidRPr="00216A4C">
              <w:t>S</w:t>
            </w:r>
            <w:r w:rsidR="00330A13">
              <w:t>teglujan</w:t>
            </w:r>
          </w:p>
        </w:tc>
      </w:tr>
      <w:tr w:rsidR="00B37C25" w:rsidRPr="00216A4C" w:rsidTr="00330A13">
        <w:tc>
          <w:tcPr>
            <w:tcW w:w="2802" w:type="dxa"/>
            <w:shd w:val="clear" w:color="auto" w:fill="0070C0"/>
          </w:tcPr>
          <w:p w:rsidR="00B37C25" w:rsidRPr="00330A13" w:rsidRDefault="00B37C25" w:rsidP="00330A13">
            <w:pPr>
              <w:rPr>
                <w:b/>
                <w:color w:val="FFFFFF" w:themeColor="background1"/>
              </w:rPr>
            </w:pPr>
            <w:r w:rsidRPr="00330A13">
              <w:rPr>
                <w:b/>
                <w:color w:val="FFFFFF" w:themeColor="background1"/>
              </w:rPr>
              <w:t>Active substance</w:t>
            </w:r>
          </w:p>
        </w:tc>
        <w:tc>
          <w:tcPr>
            <w:tcW w:w="6440" w:type="dxa"/>
          </w:tcPr>
          <w:p w:rsidR="00B37C25" w:rsidRPr="00216A4C" w:rsidRDefault="00B37C25" w:rsidP="00330A13">
            <w:r>
              <w:t xml:space="preserve">FDC tablets containing </w:t>
            </w:r>
            <w:r w:rsidRPr="00216A4C">
              <w:t>Ertugliflozin</w:t>
            </w:r>
            <w:r>
              <w:t>/ sitagliptin 5/5</w:t>
            </w:r>
            <w:r w:rsidR="006F48AD">
              <w:t>0 mg</w:t>
            </w:r>
            <w:r>
              <w:t>, 15/5</w:t>
            </w:r>
            <w:r w:rsidR="006F48AD">
              <w:t>0 mg</w:t>
            </w:r>
            <w:r>
              <w:t>, 5/10</w:t>
            </w:r>
            <w:r w:rsidR="006F48AD">
              <w:t>0 mg</w:t>
            </w:r>
            <w:r>
              <w:t xml:space="preserve"> and 15/10</w:t>
            </w:r>
            <w:r w:rsidR="006F48AD">
              <w:t>0 mg</w:t>
            </w:r>
            <w:r w:rsidR="004A75C1">
              <w:t>.</w:t>
            </w:r>
          </w:p>
        </w:tc>
      </w:tr>
    </w:tbl>
    <w:p w:rsidR="00B37C25" w:rsidRPr="00216A4C" w:rsidRDefault="00B37C25" w:rsidP="00330A13">
      <w:pPr>
        <w:pStyle w:val="Heading3"/>
      </w:pPr>
      <w:bookmarkStart w:id="14" w:name="_Toc504036082"/>
      <w:bookmarkStart w:id="15" w:name="_Toc4573553"/>
      <w:r w:rsidRPr="00216A4C">
        <w:t>Submission Type</w:t>
      </w:r>
      <w:bookmarkEnd w:id="14"/>
      <w:bookmarkEnd w:id="15"/>
    </w:p>
    <w:p w:rsidR="00B37C25" w:rsidRPr="00216A4C" w:rsidRDefault="00330A13" w:rsidP="00330A13">
      <w:r>
        <w:t xml:space="preserve">This is an </w:t>
      </w:r>
      <w:r w:rsidR="00B37C25" w:rsidRPr="00216A4C">
        <w:t>application to register ertugliflozin tablets (</w:t>
      </w:r>
      <w:r w:rsidR="006F48AD">
        <w:t>5 mg</w:t>
      </w:r>
      <w:r w:rsidR="00B37C25" w:rsidRPr="00216A4C">
        <w:t xml:space="preserve"> and 1</w:t>
      </w:r>
      <w:r w:rsidR="006F48AD">
        <w:t>5 mg</w:t>
      </w:r>
      <w:r w:rsidR="00B37C25" w:rsidRPr="00216A4C">
        <w:t xml:space="preserve">) for the treatment of </w:t>
      </w:r>
      <w:r w:rsidR="000131F6">
        <w:t xml:space="preserve">type </w:t>
      </w:r>
      <w:r>
        <w:t xml:space="preserve">2 </w:t>
      </w:r>
      <w:r w:rsidR="000131F6">
        <w:t xml:space="preserve">diabetes mellitus </w:t>
      </w:r>
      <w:r>
        <w:t>(T2DM).</w:t>
      </w:r>
    </w:p>
    <w:p w:rsidR="00B37C25" w:rsidRDefault="00B37C25" w:rsidP="00330A13">
      <w:pPr>
        <w:pStyle w:val="Heading3"/>
      </w:pPr>
      <w:bookmarkStart w:id="16" w:name="_Toc504036083"/>
      <w:bookmarkStart w:id="17" w:name="_Toc4573554"/>
      <w:r>
        <w:t>Drug class and therapeutic indication</w:t>
      </w:r>
      <w:bookmarkEnd w:id="16"/>
      <w:bookmarkEnd w:id="17"/>
    </w:p>
    <w:p w:rsidR="00B37C25" w:rsidRPr="000F0157" w:rsidRDefault="00B37C25" w:rsidP="00330A13">
      <w:r w:rsidRPr="000F0157">
        <w:t>MSD</w:t>
      </w:r>
      <w:r w:rsidR="000131F6">
        <w:t xml:space="preserve"> </w:t>
      </w:r>
      <w:r w:rsidRPr="000F0157">
        <w:t>ertugliflozin-sitagliptin contains ertugliflozin pyroglutamic acid, a sodium-glucose co</w:t>
      </w:r>
      <w:r w:rsidR="000131F6">
        <w:noBreakHyphen/>
      </w:r>
      <w:r w:rsidRPr="000F0157">
        <w:t>transporter</w:t>
      </w:r>
      <w:r>
        <w:t xml:space="preserve"> </w:t>
      </w:r>
      <w:r w:rsidRPr="000F0157">
        <w:t>2 (SGLT2) inhibitor and sitagliptin phosphate, a dipeptidyl peptidase 4 (DPP-4)</w:t>
      </w:r>
      <w:r>
        <w:t xml:space="preserve"> </w:t>
      </w:r>
      <w:r w:rsidRPr="000F0157">
        <w:t>inhibitor.</w:t>
      </w:r>
    </w:p>
    <w:p w:rsidR="000131F6" w:rsidRDefault="00B37C25" w:rsidP="00330A13">
      <w:r w:rsidRPr="000F0157">
        <w:t>The proposed indication is:</w:t>
      </w:r>
    </w:p>
    <w:p w:rsidR="00B37C25" w:rsidRPr="00E957A2" w:rsidRDefault="00B37C25" w:rsidP="00E957A2">
      <w:pPr>
        <w:ind w:left="907"/>
        <w:rPr>
          <w:i/>
          <w:lang w:eastAsia="ja-JP"/>
        </w:rPr>
      </w:pPr>
      <w:r w:rsidRPr="00E957A2">
        <w:rPr>
          <w:i/>
        </w:rPr>
        <w:t>MSD-ertugliflozin-sitagliptin (ertugliflozin and sitagliptin phosphate monohydrate) is indicated as an adjunct to diet and exercise to improve glycaemic control in adults with type 2 diabetes mellitus when treatment with both ertugliflozin and sitagliptin is appropriate.</w:t>
      </w:r>
    </w:p>
    <w:p w:rsidR="00B37C25" w:rsidRPr="000F0157" w:rsidRDefault="00B37C25" w:rsidP="00330A13">
      <w:pPr>
        <w:pStyle w:val="Heading3"/>
      </w:pPr>
      <w:bookmarkStart w:id="18" w:name="_Toc504036084"/>
      <w:bookmarkStart w:id="19" w:name="_Toc4573555"/>
      <w:r w:rsidRPr="000F0157">
        <w:t>Dosage forms and strengths</w:t>
      </w:r>
      <w:bookmarkEnd w:id="18"/>
      <w:bookmarkEnd w:id="19"/>
    </w:p>
    <w:p w:rsidR="00B37C25" w:rsidRPr="000F0157" w:rsidRDefault="00B37C25" w:rsidP="00B37C25">
      <w:pPr>
        <w:autoSpaceDE w:val="0"/>
        <w:autoSpaceDN w:val="0"/>
        <w:adjustRightInd w:val="0"/>
        <w:spacing w:before="0" w:line="240" w:lineRule="auto"/>
        <w:rPr>
          <w:rFonts w:asciiTheme="minorHAnsi" w:eastAsiaTheme="minorHAnsi" w:hAnsiTheme="minorHAnsi" w:cs="ArialMT"/>
        </w:rPr>
      </w:pPr>
      <w:r w:rsidRPr="000F0157">
        <w:rPr>
          <w:rFonts w:asciiTheme="minorHAnsi" w:eastAsiaTheme="minorHAnsi" w:hAnsiTheme="minorHAnsi" w:cs="ArialMT"/>
        </w:rPr>
        <w:t>MSD-ertugliflozin-sitagliptin is available for oral use as film-coated tablets containing:</w:t>
      </w:r>
    </w:p>
    <w:p w:rsidR="00B37C25" w:rsidRPr="00001023" w:rsidRDefault="00B37C25" w:rsidP="00330A13">
      <w:pPr>
        <w:pStyle w:val="ListBullet"/>
      </w:pPr>
      <w:r w:rsidRPr="00001023">
        <w:t>6.48 mg ertugliflozin pyroglutamic acid equivalent to 5 mg of ertugliflozin and 64.25 mg sitagliptin phosphate monohydrate equivalent to 50 mg of sitagliptin (MSD-ertugliflozin-sitagliptin 5 mg / 50 mg)</w:t>
      </w:r>
    </w:p>
    <w:p w:rsidR="00B37C25" w:rsidRDefault="00330A13" w:rsidP="00330A13">
      <w:pPr>
        <w:pStyle w:val="ListBullet"/>
      </w:pPr>
      <w:r>
        <w:t>1</w:t>
      </w:r>
      <w:r w:rsidR="00B37C25" w:rsidRPr="000F0157">
        <w:t>9.43 mg ertugliflozin pyroglutamic acid equivalent to 15 mg of ertugliflozin and</w:t>
      </w:r>
      <w:r w:rsidR="00B37C25">
        <w:t xml:space="preserve"> </w:t>
      </w:r>
      <w:r w:rsidR="00B37C25" w:rsidRPr="000F0157">
        <w:t>64.25 mg sitagliptin phosphate monohydrate equivalent to 50 mg of sitagliptin (MSD</w:t>
      </w:r>
      <w:r w:rsidR="00B37C25">
        <w:t xml:space="preserve"> </w:t>
      </w:r>
      <w:r w:rsidR="00B37C25" w:rsidRPr="000F0157">
        <w:t>ertugliflozin-sitagliptin 15 mg / 50 mg)</w:t>
      </w:r>
    </w:p>
    <w:p w:rsidR="00B37C25" w:rsidRPr="000F0157" w:rsidRDefault="00B37C25" w:rsidP="00330A13">
      <w:pPr>
        <w:pStyle w:val="ListBullet"/>
      </w:pPr>
      <w:r w:rsidRPr="000F0157">
        <w:t>6.48 mg ertugliflozin pyroglutamic acid equivalent to 5 mg of ertugliflozin and 128.5 mg</w:t>
      </w:r>
      <w:r>
        <w:t xml:space="preserve"> </w:t>
      </w:r>
      <w:r w:rsidRPr="000F0157">
        <w:t>sitagliptin phosphate monohydrate equivalent to 100 mg of sitagliptin (MSD-ertugliflozin</w:t>
      </w:r>
      <w:r>
        <w:t>-</w:t>
      </w:r>
      <w:r w:rsidRPr="000F0157">
        <w:t>sitagliptin</w:t>
      </w:r>
      <w:r>
        <w:t xml:space="preserve"> </w:t>
      </w:r>
      <w:r w:rsidRPr="000F0157">
        <w:t>5 mg / 100 mg)</w:t>
      </w:r>
    </w:p>
    <w:p w:rsidR="00B37C25" w:rsidRPr="00001023" w:rsidRDefault="00B37C25" w:rsidP="00330A13">
      <w:pPr>
        <w:pStyle w:val="ListBullet"/>
        <w:rPr>
          <w:lang w:eastAsia="ja-JP"/>
        </w:rPr>
      </w:pPr>
      <w:r w:rsidRPr="00001023">
        <w:t>19.43 mg ertugliflozin pyroglutamic acid equivalent to 15 mg of ertugliflozin and 128.5 mg sitagliptin phosphate monohydrate equivalent to 100 mg of sitagliptin (MSD ertugliflozin-sitagliptin 15 mg / 100 mg)</w:t>
      </w:r>
    </w:p>
    <w:p w:rsidR="00B37C25" w:rsidRPr="000F0157" w:rsidRDefault="00B37C25" w:rsidP="00330A13">
      <w:pPr>
        <w:pStyle w:val="Heading3"/>
      </w:pPr>
      <w:bookmarkStart w:id="20" w:name="_Toc504036085"/>
      <w:bookmarkStart w:id="21" w:name="_Toc4573556"/>
      <w:r w:rsidRPr="000F0157">
        <w:lastRenderedPageBreak/>
        <w:t>Dosage and administration</w:t>
      </w:r>
      <w:bookmarkEnd w:id="20"/>
      <w:bookmarkEnd w:id="21"/>
    </w:p>
    <w:p w:rsidR="00B37C25" w:rsidRPr="00351677" w:rsidRDefault="00B37C25" w:rsidP="00B37C25">
      <w:pPr>
        <w:spacing w:before="0" w:line="240" w:lineRule="auto"/>
        <w:rPr>
          <w:rFonts w:asciiTheme="minorHAnsi" w:hAnsiTheme="minorHAnsi"/>
        </w:rPr>
      </w:pPr>
      <w:r w:rsidRPr="000F0157">
        <w:rPr>
          <w:rFonts w:asciiTheme="minorHAnsi" w:hAnsiTheme="minorHAnsi"/>
        </w:rPr>
        <w:t>The following information was provided in the ‘</w:t>
      </w:r>
      <w:r w:rsidR="00330A13">
        <w:rPr>
          <w:rFonts w:asciiTheme="minorHAnsi" w:hAnsiTheme="minorHAnsi"/>
        </w:rPr>
        <w:t>D</w:t>
      </w:r>
      <w:r w:rsidRPr="000F0157">
        <w:rPr>
          <w:rFonts w:asciiTheme="minorHAnsi" w:hAnsiTheme="minorHAnsi"/>
        </w:rPr>
        <w:t xml:space="preserve">osage and administration’ section of the </w:t>
      </w:r>
      <w:r w:rsidRPr="00351677">
        <w:rPr>
          <w:rFonts w:asciiTheme="minorHAnsi" w:hAnsiTheme="minorHAnsi"/>
        </w:rPr>
        <w:t>proposed PI</w:t>
      </w:r>
      <w:r>
        <w:rPr>
          <w:rFonts w:asciiTheme="minorHAnsi" w:hAnsiTheme="minorHAnsi"/>
        </w:rPr>
        <w:t>:</w:t>
      </w:r>
    </w:p>
    <w:p w:rsidR="00B37C25" w:rsidRPr="00330A13" w:rsidRDefault="00330A13" w:rsidP="00330A13">
      <w:pPr>
        <w:autoSpaceDE w:val="0"/>
        <w:autoSpaceDN w:val="0"/>
        <w:adjustRightInd w:val="0"/>
        <w:spacing w:before="0" w:line="240" w:lineRule="auto"/>
        <w:ind w:left="720"/>
        <w:rPr>
          <w:rFonts w:asciiTheme="minorHAnsi" w:eastAsiaTheme="minorHAnsi" w:hAnsiTheme="minorHAnsi" w:cs="Arial-BoldItalicMT"/>
          <w:b/>
          <w:bCs/>
          <w:i/>
          <w:iCs/>
        </w:rPr>
      </w:pPr>
      <w:r w:rsidRPr="00330A13">
        <w:rPr>
          <w:rFonts w:asciiTheme="minorHAnsi" w:hAnsiTheme="minorHAnsi"/>
          <w:i/>
        </w:rPr>
        <w:t>‘</w:t>
      </w:r>
      <w:r w:rsidR="00B37C25" w:rsidRPr="00E957A2">
        <w:rPr>
          <w:rFonts w:asciiTheme="minorHAnsi" w:eastAsiaTheme="minorHAnsi" w:hAnsiTheme="minorHAnsi" w:cs="Arial-BoldItalicMT"/>
          <w:bCs/>
          <w:i/>
          <w:iCs/>
        </w:rPr>
        <w:t>General</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The recommended starting dose of MSD-ertugliflozin-sitagliptin is 5 mg ertugliflozin/100 mg sitagliptin once daily, taken in the morning, with or without food. In patients tolerating MSD ertugliflozin-sitagliptin, the dose may be increased to 15 mg ertugliflozin/100 mg sitagliptin once daily if additional glycaemic control is needed.</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For patients treated with ertugliflozin who are being switched to MSD-ertugliflozin-sitagliptin, the dose of ertugliflozin can be maintained.</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 xml:space="preserve">In patients with volume depletion, correcting this condition prior to initiation of MSD ertugliflozin- sitagliptin is recommended </w:t>
      </w:r>
      <w:r w:rsidR="00884A9A">
        <w:rPr>
          <w:rFonts w:asciiTheme="minorHAnsi" w:eastAsiaTheme="minorHAnsi" w:hAnsiTheme="minorHAnsi" w:cs="ArialMT"/>
          <w:i/>
        </w:rPr>
        <w:t>(</w:t>
      </w:r>
      <w:r w:rsidRPr="00330A13">
        <w:rPr>
          <w:rFonts w:asciiTheme="minorHAnsi" w:eastAsiaTheme="minorHAnsi" w:hAnsiTheme="minorHAnsi" w:cs="ArialMT"/>
          <w:i/>
        </w:rPr>
        <w:t>see PRECAUTIONS</w:t>
      </w:r>
      <w:r w:rsidR="00884A9A">
        <w:rPr>
          <w:rFonts w:asciiTheme="minorHAnsi" w:eastAsiaTheme="minorHAnsi" w:hAnsiTheme="minorHAnsi" w:cs="ArialMT"/>
          <w:i/>
        </w:rPr>
        <w:t>)</w:t>
      </w:r>
      <w:r w:rsidRPr="00330A13">
        <w:rPr>
          <w:rFonts w:asciiTheme="minorHAnsi" w:eastAsiaTheme="minorHAnsi" w:hAnsiTheme="minorHAnsi" w:cs="ArialMT"/>
          <w:i/>
        </w:rPr>
        <w:t>.</w:t>
      </w:r>
    </w:p>
    <w:p w:rsidR="00B37C25" w:rsidRPr="00E957A2" w:rsidRDefault="00B37C25" w:rsidP="00330A13">
      <w:pPr>
        <w:autoSpaceDE w:val="0"/>
        <w:autoSpaceDN w:val="0"/>
        <w:adjustRightInd w:val="0"/>
        <w:spacing w:before="0" w:line="240" w:lineRule="auto"/>
        <w:ind w:left="720"/>
        <w:rPr>
          <w:rFonts w:asciiTheme="minorHAnsi" w:eastAsiaTheme="minorHAnsi" w:hAnsiTheme="minorHAnsi" w:cs="Arial-BoldItalicMT"/>
          <w:bCs/>
          <w:i/>
          <w:iCs/>
        </w:rPr>
      </w:pPr>
      <w:r w:rsidRPr="00E957A2">
        <w:rPr>
          <w:rFonts w:asciiTheme="minorHAnsi" w:eastAsiaTheme="minorHAnsi" w:hAnsiTheme="minorHAnsi" w:cs="Arial-BoldItalicMT"/>
          <w:bCs/>
          <w:i/>
          <w:iCs/>
        </w:rPr>
        <w:t>Renal Impairment</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 xml:space="preserve">Assessment of renal function is recommended prior to initiation of MSD-ertugliflozin-sitagliptin and periodically thereafter </w:t>
      </w:r>
      <w:r w:rsidR="00884A9A">
        <w:rPr>
          <w:rFonts w:asciiTheme="minorHAnsi" w:eastAsiaTheme="minorHAnsi" w:hAnsiTheme="minorHAnsi" w:cs="ArialMT"/>
          <w:i/>
        </w:rPr>
        <w:t>(</w:t>
      </w:r>
      <w:r w:rsidRPr="00330A13">
        <w:rPr>
          <w:rFonts w:asciiTheme="minorHAnsi" w:eastAsiaTheme="minorHAnsi" w:hAnsiTheme="minorHAnsi" w:cs="ArialMT"/>
          <w:i/>
        </w:rPr>
        <w:t>see PRECAUTIONS</w:t>
      </w:r>
      <w:r w:rsidR="00884A9A">
        <w:rPr>
          <w:rFonts w:asciiTheme="minorHAnsi" w:eastAsiaTheme="minorHAnsi" w:hAnsiTheme="minorHAnsi" w:cs="ArialMT"/>
          <w:i/>
        </w:rPr>
        <w:t>)</w:t>
      </w:r>
      <w:r w:rsidRPr="00330A13">
        <w:rPr>
          <w:rFonts w:asciiTheme="minorHAnsi" w:eastAsiaTheme="minorHAnsi" w:hAnsiTheme="minorHAnsi" w:cs="ArialMT"/>
          <w:i/>
        </w:rPr>
        <w:t>.</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Initiation of MSD-ertugliflozin-sitagliptin is not recommended in patients with an eGFR less than 45 mL/min/1.73 m</w:t>
      </w:r>
      <w:r w:rsidRPr="00330A13">
        <w:rPr>
          <w:rFonts w:asciiTheme="minorHAnsi" w:eastAsiaTheme="minorHAnsi" w:hAnsiTheme="minorHAnsi" w:cs="ArialMT"/>
          <w:i/>
          <w:vertAlign w:val="superscript"/>
        </w:rPr>
        <w:t xml:space="preserve">2 </w:t>
      </w:r>
      <w:r w:rsidR="00884A9A">
        <w:rPr>
          <w:rFonts w:asciiTheme="minorHAnsi" w:eastAsiaTheme="minorHAnsi" w:hAnsiTheme="minorHAnsi" w:cs="ArialMT"/>
          <w:i/>
        </w:rPr>
        <w:t>(</w:t>
      </w:r>
      <w:r w:rsidRPr="00330A13">
        <w:rPr>
          <w:rFonts w:asciiTheme="minorHAnsi" w:eastAsiaTheme="minorHAnsi" w:hAnsiTheme="minorHAnsi" w:cs="ArialMT"/>
          <w:i/>
        </w:rPr>
        <w:t>see PRECAUTIONS</w:t>
      </w:r>
      <w:r w:rsidR="00884A9A">
        <w:rPr>
          <w:rFonts w:asciiTheme="minorHAnsi" w:eastAsiaTheme="minorHAnsi" w:hAnsiTheme="minorHAnsi" w:cs="ArialMT"/>
          <w:i/>
        </w:rPr>
        <w:t>)</w:t>
      </w:r>
      <w:r w:rsidRPr="00330A13">
        <w:rPr>
          <w:rFonts w:asciiTheme="minorHAnsi" w:eastAsiaTheme="minorHAnsi" w:hAnsiTheme="minorHAnsi" w:cs="ArialMT"/>
          <w:i/>
        </w:rPr>
        <w:t>.</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In patients with an eGFR of 45 to less than 60 mL/min/1.73 m</w:t>
      </w:r>
      <w:r w:rsidRPr="00330A13">
        <w:rPr>
          <w:rFonts w:asciiTheme="minorHAnsi" w:eastAsiaTheme="minorHAnsi" w:hAnsiTheme="minorHAnsi" w:cs="ArialMT"/>
          <w:i/>
          <w:vertAlign w:val="superscript"/>
        </w:rPr>
        <w:t>2</w:t>
      </w:r>
      <w:r w:rsidRPr="00330A13">
        <w:rPr>
          <w:rFonts w:asciiTheme="minorHAnsi" w:eastAsiaTheme="minorHAnsi" w:hAnsiTheme="minorHAnsi" w:cs="ArialMT"/>
          <w:i/>
        </w:rPr>
        <w:t xml:space="preserve"> and tolerating MSD ertugliflozin-sitagliptin 5 mg, titrate to MSD-ertugliflozin-sitagliptin 15 mg once daily as 15 mg provided clinically meaningful reductions in HbA1c.</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In patients with an eGFR less than 50 mL/min/1.73 m</w:t>
      </w:r>
      <w:r w:rsidRPr="00330A13">
        <w:rPr>
          <w:rFonts w:asciiTheme="minorHAnsi" w:eastAsiaTheme="minorHAnsi" w:hAnsiTheme="minorHAnsi" w:cs="ArialMT"/>
          <w:i/>
          <w:vertAlign w:val="superscript"/>
        </w:rPr>
        <w:t>2</w:t>
      </w:r>
      <w:r w:rsidRPr="00330A13">
        <w:rPr>
          <w:rFonts w:asciiTheme="minorHAnsi" w:eastAsiaTheme="minorHAnsi" w:hAnsiTheme="minorHAnsi" w:cs="ArialMT"/>
          <w:i/>
        </w:rPr>
        <w:t>, MSD-ertugliflozin-sitagliptin containing 50 mg sitagliptin should be used.</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Use of MSD-ertugliflozin-sitagliptin is not recommended in patients with eGFR persistently less than 45 mL/min/1.73 m</w:t>
      </w:r>
      <w:r w:rsidRPr="00330A13">
        <w:rPr>
          <w:rFonts w:asciiTheme="minorHAnsi" w:eastAsiaTheme="minorHAnsi" w:hAnsiTheme="minorHAnsi" w:cs="ArialMT"/>
          <w:i/>
          <w:vertAlign w:val="superscript"/>
        </w:rPr>
        <w:t>2</w:t>
      </w:r>
      <w:r w:rsidRPr="00330A13">
        <w:rPr>
          <w:rFonts w:asciiTheme="minorHAnsi" w:eastAsiaTheme="minorHAnsi" w:hAnsiTheme="minorHAnsi" w:cs="ArialMT"/>
          <w:i/>
        </w:rPr>
        <w:t>.</w:t>
      </w:r>
    </w:p>
    <w:p w:rsidR="00B37C25" w:rsidRPr="00E957A2" w:rsidRDefault="00B37C25" w:rsidP="00330A13">
      <w:pPr>
        <w:autoSpaceDE w:val="0"/>
        <w:autoSpaceDN w:val="0"/>
        <w:adjustRightInd w:val="0"/>
        <w:spacing w:before="0" w:line="240" w:lineRule="auto"/>
        <w:ind w:left="720"/>
        <w:rPr>
          <w:rFonts w:asciiTheme="minorHAnsi" w:eastAsiaTheme="minorHAnsi" w:hAnsiTheme="minorHAnsi" w:cs="Arial-BoldItalicMT"/>
          <w:bCs/>
          <w:i/>
          <w:iCs/>
        </w:rPr>
      </w:pPr>
      <w:r w:rsidRPr="00E957A2">
        <w:rPr>
          <w:rFonts w:asciiTheme="minorHAnsi" w:eastAsiaTheme="minorHAnsi" w:hAnsiTheme="minorHAnsi" w:cs="Arial-BoldItalicMT"/>
          <w:bCs/>
          <w:i/>
          <w:iCs/>
        </w:rPr>
        <w:t>Hepatic Impairment</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No dosage adjustment of MSD-ertugliflozin-sitagliptin is necessary in patients with mild or moderate hepatic impairment. Benefit-risk for the use of MSD-ertugliflozin-sitagliptin in patients with severe hepatic impairment should be individually assessed since ertugliflozin has not been specifically studied in this population.</w:t>
      </w:r>
    </w:p>
    <w:p w:rsidR="00B37C25" w:rsidRPr="00E957A2" w:rsidRDefault="00B37C25" w:rsidP="00330A13">
      <w:pPr>
        <w:autoSpaceDE w:val="0"/>
        <w:autoSpaceDN w:val="0"/>
        <w:adjustRightInd w:val="0"/>
        <w:spacing w:before="0" w:line="240" w:lineRule="auto"/>
        <w:ind w:left="720"/>
        <w:rPr>
          <w:rFonts w:asciiTheme="minorHAnsi" w:eastAsiaTheme="minorHAnsi" w:hAnsiTheme="minorHAnsi" w:cs="Arial-BoldMT"/>
          <w:bCs/>
          <w:i/>
        </w:rPr>
      </w:pPr>
      <w:r w:rsidRPr="00E957A2">
        <w:rPr>
          <w:rFonts w:asciiTheme="minorHAnsi" w:eastAsiaTheme="minorHAnsi" w:hAnsiTheme="minorHAnsi" w:cs="Arial-BoldMT"/>
          <w:bCs/>
          <w:i/>
        </w:rPr>
        <w:t>Paediatric Population</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Safety and effectiveness of MSD-ertugliflozin-sitagliptin in paediatric patients under 18 years of age have not been established.</w:t>
      </w:r>
    </w:p>
    <w:p w:rsidR="00B37C25" w:rsidRPr="00E957A2" w:rsidRDefault="00B37C25" w:rsidP="00330A13">
      <w:pPr>
        <w:autoSpaceDE w:val="0"/>
        <w:autoSpaceDN w:val="0"/>
        <w:adjustRightInd w:val="0"/>
        <w:spacing w:before="0" w:line="240" w:lineRule="auto"/>
        <w:ind w:left="720"/>
        <w:rPr>
          <w:rFonts w:asciiTheme="minorHAnsi" w:eastAsiaTheme="minorHAnsi" w:hAnsiTheme="minorHAnsi" w:cs="Arial-BoldMT"/>
          <w:bCs/>
          <w:i/>
        </w:rPr>
      </w:pPr>
      <w:r w:rsidRPr="00E957A2">
        <w:rPr>
          <w:rFonts w:asciiTheme="minorHAnsi" w:eastAsiaTheme="minorHAnsi" w:hAnsiTheme="minorHAnsi" w:cs="Arial-BoldMT"/>
          <w:bCs/>
          <w:i/>
        </w:rPr>
        <w:t>Elderly</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 xml:space="preserve">No dosage adjustment is required based on age. Elderly patients are more likely to have decreased renal function. Because renal function abnormalities can occur after initiating ertugliflozin, and sitagliptin is known to be substantially excreted by the kidneys, care should be taken in dose selection in the elderly. </w:t>
      </w:r>
      <w:r w:rsidR="00884A9A">
        <w:rPr>
          <w:rFonts w:asciiTheme="minorHAnsi" w:eastAsiaTheme="minorHAnsi" w:hAnsiTheme="minorHAnsi" w:cs="ArialMT"/>
          <w:i/>
        </w:rPr>
        <w:t>(</w:t>
      </w:r>
      <w:r w:rsidRPr="00330A13">
        <w:rPr>
          <w:rFonts w:asciiTheme="minorHAnsi" w:eastAsiaTheme="minorHAnsi" w:hAnsiTheme="minorHAnsi" w:cs="ArialMT"/>
          <w:i/>
        </w:rPr>
        <w:t xml:space="preserve">see </w:t>
      </w:r>
      <w:r w:rsidR="004B0649" w:rsidRPr="00330A13">
        <w:rPr>
          <w:rFonts w:asciiTheme="minorHAnsi" w:eastAsiaTheme="minorHAnsi" w:hAnsiTheme="minorHAnsi" w:cs="ArialMT"/>
          <w:i/>
        </w:rPr>
        <w:t>Precautions</w:t>
      </w:r>
      <w:r w:rsidR="00884A9A">
        <w:rPr>
          <w:rFonts w:asciiTheme="minorHAnsi" w:eastAsiaTheme="minorHAnsi" w:hAnsiTheme="minorHAnsi" w:cs="ArialMT"/>
          <w:i/>
        </w:rPr>
        <w:t>)</w:t>
      </w:r>
      <w:r w:rsidRPr="00330A13">
        <w:rPr>
          <w:rFonts w:asciiTheme="minorHAnsi" w:eastAsiaTheme="minorHAnsi" w:hAnsiTheme="minorHAnsi" w:cs="ArialMT"/>
          <w:i/>
        </w:rPr>
        <w:t>.</w:t>
      </w:r>
    </w:p>
    <w:p w:rsidR="00B37C25" w:rsidRPr="00E957A2" w:rsidRDefault="00B37C25" w:rsidP="00330A13">
      <w:pPr>
        <w:autoSpaceDE w:val="0"/>
        <w:autoSpaceDN w:val="0"/>
        <w:adjustRightInd w:val="0"/>
        <w:spacing w:before="0" w:line="240" w:lineRule="auto"/>
        <w:ind w:left="720"/>
        <w:rPr>
          <w:rFonts w:asciiTheme="minorHAnsi" w:eastAsiaTheme="minorHAnsi" w:hAnsiTheme="minorHAnsi" w:cs="Arial-BoldItalicMT"/>
          <w:bCs/>
          <w:i/>
          <w:iCs/>
        </w:rPr>
      </w:pPr>
      <w:r w:rsidRPr="00E957A2">
        <w:rPr>
          <w:rFonts w:asciiTheme="minorHAnsi" w:eastAsiaTheme="minorHAnsi" w:hAnsiTheme="minorHAnsi" w:cs="Arial-BoldItalicMT"/>
          <w:bCs/>
          <w:i/>
          <w:iCs/>
        </w:rPr>
        <w:t>Concomitant Use with Insulin or an Insulin Secretagogue</w:t>
      </w:r>
    </w:p>
    <w:p w:rsidR="00B37C25" w:rsidRPr="00330A13" w:rsidRDefault="00B37C25" w:rsidP="00330A13">
      <w:pPr>
        <w:autoSpaceDE w:val="0"/>
        <w:autoSpaceDN w:val="0"/>
        <w:adjustRightInd w:val="0"/>
        <w:spacing w:before="0" w:line="240" w:lineRule="auto"/>
        <w:ind w:left="720"/>
        <w:rPr>
          <w:rFonts w:asciiTheme="minorHAnsi" w:eastAsiaTheme="minorHAnsi" w:hAnsiTheme="minorHAnsi" w:cs="ArialMT"/>
          <w:i/>
        </w:rPr>
      </w:pPr>
      <w:r w:rsidRPr="00330A13">
        <w:rPr>
          <w:rFonts w:asciiTheme="minorHAnsi" w:eastAsiaTheme="minorHAnsi" w:hAnsiTheme="minorHAnsi" w:cs="ArialMT"/>
          <w:i/>
        </w:rPr>
        <w:t xml:space="preserve">Coadministration of MSD-ertugliflozin-sitagliptin with insulin or an insulin secretagogue may require lower doses of insulin or the insulin secretagogue to reduce the risk of hypoglycaemia </w:t>
      </w:r>
      <w:r w:rsidR="00884A9A">
        <w:rPr>
          <w:rFonts w:asciiTheme="minorHAnsi" w:eastAsiaTheme="minorHAnsi" w:hAnsiTheme="minorHAnsi" w:cs="ArialMT"/>
          <w:i/>
        </w:rPr>
        <w:t>(</w:t>
      </w:r>
      <w:r w:rsidRPr="00330A13">
        <w:rPr>
          <w:rFonts w:asciiTheme="minorHAnsi" w:eastAsiaTheme="minorHAnsi" w:hAnsiTheme="minorHAnsi" w:cs="ArialMT"/>
          <w:i/>
        </w:rPr>
        <w:t xml:space="preserve">see </w:t>
      </w:r>
      <w:r w:rsidR="004B0649" w:rsidRPr="00330A13">
        <w:rPr>
          <w:rFonts w:asciiTheme="minorHAnsi" w:eastAsiaTheme="minorHAnsi" w:hAnsiTheme="minorHAnsi" w:cs="ArialMT"/>
          <w:i/>
        </w:rPr>
        <w:t>Precautions</w:t>
      </w:r>
      <w:r w:rsidR="00884A9A">
        <w:rPr>
          <w:rFonts w:asciiTheme="minorHAnsi" w:eastAsiaTheme="minorHAnsi" w:hAnsiTheme="minorHAnsi" w:cs="ArialMT"/>
          <w:i/>
        </w:rPr>
        <w:t>)</w:t>
      </w:r>
      <w:r w:rsidRPr="00330A13">
        <w:rPr>
          <w:rFonts w:asciiTheme="minorHAnsi" w:eastAsiaTheme="minorHAnsi" w:hAnsiTheme="minorHAnsi" w:cs="ArialMT"/>
          <w:i/>
        </w:rPr>
        <w:t>.</w:t>
      </w:r>
    </w:p>
    <w:p w:rsidR="00B37C25" w:rsidRPr="000F0157" w:rsidRDefault="00B37C25" w:rsidP="00330A13">
      <w:pPr>
        <w:pStyle w:val="Heading2"/>
      </w:pPr>
      <w:bookmarkStart w:id="22" w:name="_Toc504036087"/>
      <w:bookmarkStart w:id="23" w:name="_Toc4573557"/>
      <w:r w:rsidRPr="000F0157">
        <w:lastRenderedPageBreak/>
        <w:t>Background</w:t>
      </w:r>
      <w:bookmarkEnd w:id="22"/>
      <w:bookmarkEnd w:id="23"/>
    </w:p>
    <w:p w:rsidR="00B37C25" w:rsidRPr="000F0157" w:rsidRDefault="00B37C25" w:rsidP="00330A13">
      <w:pPr>
        <w:pStyle w:val="Heading3"/>
      </w:pPr>
      <w:bookmarkStart w:id="24" w:name="_Toc504036088"/>
      <w:bookmarkStart w:id="25" w:name="_Toc4573558"/>
      <w:r w:rsidRPr="000F0157">
        <w:t>Information on the condition being treated</w:t>
      </w:r>
      <w:bookmarkEnd w:id="24"/>
      <w:bookmarkEnd w:id="25"/>
    </w:p>
    <w:p w:rsidR="00B37C25" w:rsidRPr="002A406C" w:rsidRDefault="00B37C25" w:rsidP="00B37C25">
      <w:pPr>
        <w:autoSpaceDE w:val="0"/>
        <w:autoSpaceDN w:val="0"/>
        <w:adjustRightInd w:val="0"/>
        <w:spacing w:before="0" w:line="240" w:lineRule="auto"/>
        <w:rPr>
          <w:rFonts w:asciiTheme="minorHAnsi" w:eastAsia="TimesNewRoman" w:hAnsiTheme="minorHAnsi" w:cs="TimesNewRoman"/>
          <w:color w:val="000000"/>
        </w:rPr>
      </w:pPr>
      <w:r w:rsidRPr="008C2EA4">
        <w:rPr>
          <w:rFonts w:asciiTheme="minorHAnsi" w:eastAsia="TimesNewRoman" w:hAnsiTheme="minorHAnsi" w:cs="TimesNewRoman"/>
        </w:rPr>
        <w:t>The increasing worldwide prevalence of T2DM, along with its microvascular and</w:t>
      </w:r>
      <w:r>
        <w:rPr>
          <w:rFonts w:asciiTheme="minorHAnsi" w:eastAsia="TimesNewRoman" w:hAnsiTheme="minorHAnsi" w:cs="TimesNewRoman"/>
        </w:rPr>
        <w:t xml:space="preserve"> </w:t>
      </w:r>
      <w:r w:rsidRPr="008C2EA4">
        <w:rPr>
          <w:rFonts w:asciiTheme="minorHAnsi" w:eastAsia="TimesNewRoman" w:hAnsiTheme="minorHAnsi" w:cs="TimesNewRoman"/>
        </w:rPr>
        <w:t>macrovascular complications, is a major health issue and poses an increasing burden to</w:t>
      </w:r>
      <w:r>
        <w:rPr>
          <w:rFonts w:asciiTheme="minorHAnsi" w:eastAsia="TimesNewRoman" w:hAnsiTheme="minorHAnsi" w:cs="TimesNewRoman"/>
        </w:rPr>
        <w:t xml:space="preserve"> </w:t>
      </w:r>
      <w:r w:rsidRPr="008C2EA4">
        <w:rPr>
          <w:rFonts w:asciiTheme="minorHAnsi" w:eastAsia="TimesNewRoman" w:hAnsiTheme="minorHAnsi" w:cs="TimesNewRoman"/>
        </w:rPr>
        <w:t>health care systems around the world. The worldwide prevalence of diabetes in adults is expected to increase from 8.8% in 2015 (approximately</w:t>
      </w:r>
      <w:r>
        <w:rPr>
          <w:rFonts w:asciiTheme="minorHAnsi" w:eastAsia="TimesNewRoman" w:hAnsiTheme="minorHAnsi" w:cs="TimesNewRoman"/>
        </w:rPr>
        <w:t xml:space="preserve"> </w:t>
      </w:r>
      <w:r w:rsidRPr="008C2EA4">
        <w:rPr>
          <w:rFonts w:asciiTheme="minorHAnsi" w:eastAsia="TimesNewRoman" w:hAnsiTheme="minorHAnsi" w:cs="TimesNewRoman"/>
        </w:rPr>
        <w:t xml:space="preserve">415 million people) to an estimated 10.4% (642 million people) by </w:t>
      </w:r>
      <w:r w:rsidRPr="002A406C">
        <w:rPr>
          <w:rFonts w:asciiTheme="minorHAnsi" w:eastAsia="TimesNewRoman" w:hAnsiTheme="minorHAnsi" w:cs="TimesNewRoman"/>
        </w:rPr>
        <w:t>2040; this represents a 55% increase in the number of people with diabetes relative to 2015</w:t>
      </w:r>
      <w:r w:rsidR="000131F6">
        <w:rPr>
          <w:rFonts w:asciiTheme="minorHAnsi" w:eastAsia="TimesNewRoman" w:hAnsiTheme="minorHAnsi" w:cs="TimesNewRoman"/>
        </w:rPr>
        <w:t>.</w:t>
      </w:r>
      <w:r w:rsidRPr="002A406C">
        <w:rPr>
          <w:rStyle w:val="FootnoteReference"/>
          <w:rFonts w:asciiTheme="minorHAnsi" w:eastAsia="TimesNewRoman" w:hAnsiTheme="minorHAnsi" w:cs="TimesNewRoman"/>
        </w:rPr>
        <w:footnoteReference w:id="1"/>
      </w:r>
      <w:r w:rsidRPr="002A406C">
        <w:rPr>
          <w:rFonts w:asciiTheme="minorHAnsi" w:eastAsiaTheme="minorHAnsi" w:hAnsiTheme="minorHAnsi" w:cs="TimesNewRomanPSMT"/>
        </w:rPr>
        <w:t xml:space="preserve"> There are 1.7 million Australians with diabetes (85% of these have T2DM)</w:t>
      </w:r>
      <w:r w:rsidR="000131F6">
        <w:rPr>
          <w:rFonts w:asciiTheme="minorHAnsi" w:eastAsiaTheme="minorHAnsi" w:hAnsiTheme="minorHAnsi" w:cs="TimesNewRomanPSMT"/>
        </w:rPr>
        <w:t>.</w:t>
      </w:r>
      <w:r w:rsidRPr="002A406C">
        <w:rPr>
          <w:rStyle w:val="FootnoteReference"/>
          <w:rFonts w:asciiTheme="minorHAnsi" w:eastAsiaTheme="minorHAnsi" w:hAnsiTheme="minorHAnsi" w:cs="TimesNewRomanPSMT"/>
        </w:rPr>
        <w:footnoteReference w:id="2"/>
      </w:r>
      <w:r w:rsidRPr="002A406C">
        <w:rPr>
          <w:rFonts w:asciiTheme="minorHAnsi" w:eastAsiaTheme="minorHAnsi" w:hAnsiTheme="minorHAnsi" w:cs="TimesNewRomanPSMT"/>
        </w:rPr>
        <w:t xml:space="preserve"> Type 2 diabetes is associated with reduced life expectancy, significant morbidity due to the specific diabetes related microvascular complications (retinopathy, nephropathy and</w:t>
      </w:r>
      <w:r>
        <w:rPr>
          <w:rFonts w:asciiTheme="minorHAnsi" w:eastAsiaTheme="minorHAnsi" w:hAnsiTheme="minorHAnsi" w:cs="TimesNewRomanPSMT"/>
        </w:rPr>
        <w:t xml:space="preserve"> </w:t>
      </w:r>
      <w:r w:rsidRPr="002A406C">
        <w:rPr>
          <w:rFonts w:asciiTheme="minorHAnsi" w:eastAsiaTheme="minorHAnsi" w:hAnsiTheme="minorHAnsi" w:cs="TimesNewRomanPSMT"/>
        </w:rPr>
        <w:t>neuropathy), and the increased risk of macrovascular complications (ischemic heart disease,</w:t>
      </w:r>
      <w:r>
        <w:rPr>
          <w:rFonts w:asciiTheme="minorHAnsi" w:eastAsiaTheme="minorHAnsi" w:hAnsiTheme="minorHAnsi" w:cs="TimesNewRomanPSMT"/>
        </w:rPr>
        <w:t xml:space="preserve"> </w:t>
      </w:r>
      <w:r w:rsidRPr="002A406C">
        <w:rPr>
          <w:rFonts w:asciiTheme="minorHAnsi" w:eastAsiaTheme="minorHAnsi" w:hAnsiTheme="minorHAnsi" w:cs="TimesNewRomanPSMT"/>
        </w:rPr>
        <w:t>stroke and peripheral vascular disease). The development of these complications impacts on</w:t>
      </w:r>
      <w:r>
        <w:rPr>
          <w:rFonts w:asciiTheme="minorHAnsi" w:eastAsiaTheme="minorHAnsi" w:hAnsiTheme="minorHAnsi" w:cs="TimesNewRomanPSMT"/>
        </w:rPr>
        <w:t xml:space="preserve"> </w:t>
      </w:r>
      <w:r w:rsidRPr="002A406C">
        <w:rPr>
          <w:rFonts w:asciiTheme="minorHAnsi" w:eastAsiaTheme="minorHAnsi" w:hAnsiTheme="minorHAnsi" w:cs="TimesNewRomanPSMT"/>
        </w:rPr>
        <w:t>quality of life.</w:t>
      </w:r>
    </w:p>
    <w:p w:rsidR="00B37C25" w:rsidRDefault="00B37C25" w:rsidP="00B546FE">
      <w:pPr>
        <w:rPr>
          <w:lang w:eastAsia="ja-JP"/>
        </w:rPr>
      </w:pPr>
      <w:r w:rsidRPr="00542A99">
        <w:t>Multiple pathophysiologic deficits contribute to hyperglycaemia in patients with T2DM</w:t>
      </w:r>
      <w:r>
        <w:t xml:space="preserve">. </w:t>
      </w:r>
      <w:r w:rsidRPr="00542A99">
        <w:t xml:space="preserve">Insulin resistance in muscle and liver as well as </w:t>
      </w:r>
      <w:r w:rsidR="00B546FE">
        <w:t>beta-cell</w:t>
      </w:r>
      <w:r w:rsidRPr="00542A99">
        <w:t xml:space="preserve"> failure represent</w:t>
      </w:r>
      <w:r>
        <w:t xml:space="preserve"> </w:t>
      </w:r>
      <w:r w:rsidRPr="00542A99">
        <w:t>the core pathophysiologic defects in T2DM. Approximately 85% of patients with T2DM are</w:t>
      </w:r>
      <w:r>
        <w:t xml:space="preserve"> </w:t>
      </w:r>
      <w:r w:rsidRPr="00542A99">
        <w:t>obese or overweight, a key factor underlying the development and maintenance of insulin</w:t>
      </w:r>
      <w:r>
        <w:t xml:space="preserve"> </w:t>
      </w:r>
      <w:r w:rsidRPr="00542A99">
        <w:t>resistance. In addition to muscle and liver, the kidney also plays a key role in glucose homeostasis.</w:t>
      </w:r>
      <w:r>
        <w:t xml:space="preserve"> </w:t>
      </w:r>
      <w:r w:rsidRPr="00542A99">
        <w:t>Under normal physiologic conditions, the kidney reabsorbs all of the glucose from the</w:t>
      </w:r>
      <w:r>
        <w:t xml:space="preserve"> </w:t>
      </w:r>
      <w:r w:rsidRPr="00542A99">
        <w:t>glomerular filtrate, and returns it to the blood. The SGLT2 protein, which is primarily</w:t>
      </w:r>
      <w:r>
        <w:t xml:space="preserve"> </w:t>
      </w:r>
      <w:r w:rsidRPr="00542A99">
        <w:t>expressed in the renal proximal tubules, is responsible for approximately 90% of the</w:t>
      </w:r>
      <w:r>
        <w:t xml:space="preserve"> </w:t>
      </w:r>
      <w:r w:rsidRPr="00542A99">
        <w:t>reabsorption of glucose filtered through the glomerulus. Filtered glucose is completely</w:t>
      </w:r>
      <w:r>
        <w:t xml:space="preserve"> </w:t>
      </w:r>
      <w:r w:rsidRPr="00542A99">
        <w:t>reabsorbed until the transporters reach their maximum capacity, which is called the transport</w:t>
      </w:r>
      <w:r>
        <w:t xml:space="preserve"> </w:t>
      </w:r>
      <w:r w:rsidRPr="00542A99">
        <w:t>maximum for glucose. The plasma glucose concentration at which this occurs is referred to</w:t>
      </w:r>
      <w:r>
        <w:t xml:space="preserve"> </w:t>
      </w:r>
      <w:r w:rsidRPr="00542A99">
        <w:t>as the renal threshold for glucose (RTG). Above this threshold, UGE increases in proportion</w:t>
      </w:r>
      <w:r>
        <w:t xml:space="preserve"> </w:t>
      </w:r>
      <w:r w:rsidRPr="00542A99">
        <w:t xml:space="preserve">to plasma glucose concentrations. In healthy subjects, the RTG is approximately </w:t>
      </w:r>
      <w:r>
        <w:t>1</w:t>
      </w:r>
      <w:r w:rsidR="00B546FE">
        <w:t>0 mmol</w:t>
      </w:r>
      <w:r>
        <w:t>/L</w:t>
      </w:r>
      <w:r w:rsidRPr="00542A99">
        <w:t>.</w:t>
      </w:r>
      <w:r>
        <w:t xml:space="preserve"> </w:t>
      </w:r>
      <w:r w:rsidRPr="00542A99">
        <w:t xml:space="preserve">Patients with diabetes have an increase in the </w:t>
      </w:r>
      <w:r>
        <w:t xml:space="preserve">RTG </w:t>
      </w:r>
      <w:r w:rsidRPr="00542A99">
        <w:t>compared with healthy</w:t>
      </w:r>
      <w:r>
        <w:t xml:space="preserve"> </w:t>
      </w:r>
      <w:r w:rsidRPr="00542A99">
        <w:t>subjects such that glucosuria generally does not occur until plasma glucose values reach</w:t>
      </w:r>
      <w:r>
        <w:t xml:space="preserve"> </w:t>
      </w:r>
      <w:r w:rsidRPr="00542A99">
        <w:t xml:space="preserve">approximately </w:t>
      </w:r>
      <w:r>
        <w:t>13.5</w:t>
      </w:r>
      <w:r w:rsidR="00B546FE">
        <w:t xml:space="preserve"> </w:t>
      </w:r>
      <w:r>
        <w:t>mmol/L</w:t>
      </w:r>
      <w:r w:rsidRPr="00542A99">
        <w:t>. Studies have shown that SGLT2 inhibitors</w:t>
      </w:r>
      <w:r>
        <w:t xml:space="preserve"> </w:t>
      </w:r>
      <w:r w:rsidRPr="00542A99">
        <w:t>lower the RTG, resulting in increased UGE, which is responsible for many of the</w:t>
      </w:r>
      <w:r>
        <w:t xml:space="preserve"> </w:t>
      </w:r>
      <w:r w:rsidRPr="00542A99">
        <w:t>pharmacodynamic (PD) effects seen with this class of agents. While SGLT2 inhibitors lower</w:t>
      </w:r>
      <w:r>
        <w:t xml:space="preserve"> </w:t>
      </w:r>
      <w:r w:rsidRPr="00542A99">
        <w:t>the RTG, the new RTG set point is above the usual threshold for hypoglycaemia suggesting</w:t>
      </w:r>
      <w:r>
        <w:t xml:space="preserve"> </w:t>
      </w:r>
      <w:r w:rsidRPr="00542A99">
        <w:t>that hypoglycaemia is unlikely with this mechanism.</w:t>
      </w:r>
    </w:p>
    <w:p w:rsidR="00B37C25" w:rsidRPr="000F0157" w:rsidRDefault="00B37C25" w:rsidP="00B546FE">
      <w:pPr>
        <w:pStyle w:val="Heading3"/>
      </w:pPr>
      <w:bookmarkStart w:id="26" w:name="_Toc504036089"/>
      <w:bookmarkStart w:id="27" w:name="_Toc4573559"/>
      <w:r w:rsidRPr="000F0157">
        <w:t>Current treatment options</w:t>
      </w:r>
      <w:bookmarkEnd w:id="26"/>
      <w:bookmarkEnd w:id="27"/>
    </w:p>
    <w:p w:rsidR="00B37C25" w:rsidRDefault="00B37C25" w:rsidP="00B37C25">
      <w:pPr>
        <w:autoSpaceDE w:val="0"/>
        <w:autoSpaceDN w:val="0"/>
        <w:adjustRightInd w:val="0"/>
        <w:spacing w:before="0" w:line="240" w:lineRule="auto"/>
        <w:rPr>
          <w:rFonts w:asciiTheme="minorHAnsi" w:eastAsia="TimesNewRoman" w:hAnsiTheme="minorHAnsi" w:cs="TimesNewRoman"/>
        </w:rPr>
      </w:pPr>
      <w:r w:rsidRPr="008C2EA4">
        <w:rPr>
          <w:rFonts w:asciiTheme="minorHAnsi" w:eastAsia="TimesNewRoman" w:hAnsiTheme="minorHAnsi" w:cs="TimesNewRoman"/>
        </w:rPr>
        <w:t>Current guidelines from the American Diabetes Association (ADA)</w:t>
      </w:r>
      <w:r>
        <w:rPr>
          <w:rFonts w:asciiTheme="minorHAnsi" w:eastAsia="TimesNewRoman" w:hAnsiTheme="minorHAnsi" w:cs="TimesNewRoman"/>
        </w:rPr>
        <w:t>,</w:t>
      </w:r>
      <w:r w:rsidRPr="008C2EA4">
        <w:rPr>
          <w:rFonts w:asciiTheme="minorHAnsi" w:eastAsia="TimesNewRoman" w:hAnsiTheme="minorHAnsi" w:cs="TimesNewRoman"/>
        </w:rPr>
        <w:t xml:space="preserve"> the European</w:t>
      </w:r>
      <w:r>
        <w:rPr>
          <w:rFonts w:asciiTheme="minorHAnsi" w:eastAsia="TimesNewRoman" w:hAnsiTheme="minorHAnsi" w:cs="TimesNewRoman"/>
        </w:rPr>
        <w:t xml:space="preserve"> </w:t>
      </w:r>
      <w:r w:rsidRPr="008C2EA4">
        <w:rPr>
          <w:rFonts w:asciiTheme="minorHAnsi" w:eastAsia="TimesNewRoman" w:hAnsiTheme="minorHAnsi" w:cs="TimesNewRoman"/>
        </w:rPr>
        <w:t xml:space="preserve">Association for the Study of Diabetes (EASD) </w:t>
      </w:r>
      <w:r>
        <w:rPr>
          <w:rFonts w:asciiTheme="minorHAnsi" w:eastAsia="TimesNewRoman" w:hAnsiTheme="minorHAnsi" w:cs="TimesNewRoman"/>
        </w:rPr>
        <w:t xml:space="preserve">and Diabetes Australia </w:t>
      </w:r>
      <w:r w:rsidRPr="008C2EA4">
        <w:rPr>
          <w:rFonts w:asciiTheme="minorHAnsi" w:eastAsia="TimesNewRoman" w:hAnsiTheme="minorHAnsi" w:cs="TimesNewRoman"/>
        </w:rPr>
        <w:t>recommend a stepwise and individuali</w:t>
      </w:r>
      <w:r>
        <w:rPr>
          <w:rFonts w:asciiTheme="minorHAnsi" w:eastAsia="TimesNewRoman" w:hAnsiTheme="minorHAnsi" w:cs="TimesNewRoman"/>
        </w:rPr>
        <w:t>s</w:t>
      </w:r>
      <w:r w:rsidRPr="008C2EA4">
        <w:rPr>
          <w:rFonts w:asciiTheme="minorHAnsi" w:eastAsia="TimesNewRoman" w:hAnsiTheme="minorHAnsi" w:cs="TimesNewRoman"/>
        </w:rPr>
        <w:t>ed</w:t>
      </w:r>
      <w:r>
        <w:rPr>
          <w:rFonts w:asciiTheme="minorHAnsi" w:eastAsia="TimesNewRoman" w:hAnsiTheme="minorHAnsi" w:cs="TimesNewRoman"/>
        </w:rPr>
        <w:t xml:space="preserve"> </w:t>
      </w:r>
      <w:r w:rsidRPr="008C2EA4">
        <w:rPr>
          <w:rFonts w:asciiTheme="minorHAnsi" w:eastAsia="TimesNewRoman" w:hAnsiTheme="minorHAnsi" w:cs="TimesNewRoman"/>
        </w:rPr>
        <w:t>treatment approach to T2DM. These guidelines recommend metformin as the optimal</w:t>
      </w:r>
      <w:r>
        <w:rPr>
          <w:rFonts w:asciiTheme="minorHAnsi" w:eastAsia="TimesNewRoman" w:hAnsiTheme="minorHAnsi" w:cs="TimesNewRoman"/>
        </w:rPr>
        <w:t xml:space="preserve"> </w:t>
      </w:r>
      <w:r w:rsidRPr="008C2EA4">
        <w:rPr>
          <w:rFonts w:asciiTheme="minorHAnsi" w:eastAsia="TimesNewRoman" w:hAnsiTheme="minorHAnsi" w:cs="TimesNewRoman"/>
        </w:rPr>
        <w:t xml:space="preserve">first-line anti-hyperglycaemic agent (AHA), unless the patient has </w:t>
      </w:r>
      <w:r>
        <w:rPr>
          <w:rFonts w:asciiTheme="minorHAnsi" w:eastAsia="TimesNewRoman" w:hAnsiTheme="minorHAnsi" w:cs="TimesNewRoman"/>
        </w:rPr>
        <w:t xml:space="preserve">contraindications to </w:t>
      </w:r>
      <w:r w:rsidRPr="008C2EA4">
        <w:rPr>
          <w:rFonts w:asciiTheme="minorHAnsi" w:eastAsia="TimesNewRoman" w:hAnsiTheme="minorHAnsi" w:cs="TimesNewRoman"/>
        </w:rPr>
        <w:t xml:space="preserve">metformin. Subsequently, if the </w:t>
      </w:r>
      <w:r w:rsidR="000131F6" w:rsidRPr="008C2EA4">
        <w:rPr>
          <w:rFonts w:asciiTheme="minorHAnsi" w:eastAsia="TimesNewRoman" w:hAnsiTheme="minorHAnsi" w:cs="TimesNewRoman"/>
        </w:rPr>
        <w:t>A1</w:t>
      </w:r>
      <w:r w:rsidR="000131F6">
        <w:rPr>
          <w:rFonts w:asciiTheme="minorHAnsi" w:eastAsia="TimesNewRoman" w:hAnsiTheme="minorHAnsi" w:cs="TimesNewRoman"/>
        </w:rPr>
        <w:t>c</w:t>
      </w:r>
      <w:r w:rsidR="000131F6" w:rsidRPr="008C2EA4">
        <w:rPr>
          <w:rFonts w:asciiTheme="minorHAnsi" w:eastAsia="TimesNewRoman" w:hAnsiTheme="minorHAnsi" w:cs="TimesNewRoman"/>
        </w:rPr>
        <w:t xml:space="preserve"> </w:t>
      </w:r>
      <w:r w:rsidRPr="008C2EA4">
        <w:rPr>
          <w:rFonts w:asciiTheme="minorHAnsi" w:eastAsia="TimesNewRoman" w:hAnsiTheme="minorHAnsi" w:cs="TimesNewRoman"/>
        </w:rPr>
        <w:t>target is not achieved after approximately 3 months,</w:t>
      </w:r>
      <w:r>
        <w:rPr>
          <w:rFonts w:asciiTheme="minorHAnsi" w:eastAsia="TimesNewRoman" w:hAnsiTheme="minorHAnsi" w:cs="TimesNewRoman"/>
        </w:rPr>
        <w:t xml:space="preserve"> </w:t>
      </w:r>
      <w:r w:rsidRPr="008C2EA4">
        <w:rPr>
          <w:rFonts w:asciiTheme="minorHAnsi" w:eastAsia="TimesNewRoman" w:hAnsiTheme="minorHAnsi" w:cs="TimesNewRoman"/>
        </w:rPr>
        <w:t>therapy should be augmented to a 2-drug combination followed by the addition of other</w:t>
      </w:r>
      <w:r>
        <w:rPr>
          <w:rFonts w:asciiTheme="minorHAnsi" w:eastAsia="TimesNewRoman" w:hAnsiTheme="minorHAnsi" w:cs="TimesNewRoman"/>
        </w:rPr>
        <w:t xml:space="preserve"> </w:t>
      </w:r>
      <w:r w:rsidRPr="008C2EA4">
        <w:rPr>
          <w:rFonts w:asciiTheme="minorHAnsi" w:eastAsia="TimesNewRoman" w:hAnsiTheme="minorHAnsi" w:cs="TimesNewRoman"/>
        </w:rPr>
        <w:t xml:space="preserve">AHAs approximately every 3 months if the </w:t>
      </w:r>
      <w:r w:rsidR="000131F6" w:rsidRPr="008C2EA4">
        <w:rPr>
          <w:rFonts w:asciiTheme="minorHAnsi" w:eastAsia="TimesNewRoman" w:hAnsiTheme="minorHAnsi" w:cs="TimesNewRoman"/>
        </w:rPr>
        <w:t>A1</w:t>
      </w:r>
      <w:r w:rsidR="000131F6">
        <w:rPr>
          <w:rFonts w:asciiTheme="minorHAnsi" w:eastAsia="TimesNewRoman" w:hAnsiTheme="minorHAnsi" w:cs="TimesNewRoman"/>
        </w:rPr>
        <w:t>c</w:t>
      </w:r>
      <w:r w:rsidR="000131F6" w:rsidRPr="008C2EA4">
        <w:rPr>
          <w:rFonts w:asciiTheme="minorHAnsi" w:eastAsia="TimesNewRoman" w:hAnsiTheme="minorHAnsi" w:cs="TimesNewRoman"/>
        </w:rPr>
        <w:t xml:space="preserve"> </w:t>
      </w:r>
      <w:r w:rsidRPr="008C2EA4">
        <w:rPr>
          <w:rFonts w:asciiTheme="minorHAnsi" w:eastAsia="TimesNewRoman" w:hAnsiTheme="minorHAnsi" w:cs="TimesNewRoman"/>
        </w:rPr>
        <w:t>goal is not achieved.</w:t>
      </w:r>
    </w:p>
    <w:p w:rsidR="009B2F3C" w:rsidRDefault="00B37C25" w:rsidP="00B37C25">
      <w:pPr>
        <w:autoSpaceDE w:val="0"/>
        <w:autoSpaceDN w:val="0"/>
        <w:adjustRightInd w:val="0"/>
        <w:spacing w:before="0" w:line="240" w:lineRule="auto"/>
        <w:rPr>
          <w:rFonts w:asciiTheme="minorHAnsi" w:eastAsia="TimesNewRoman" w:hAnsiTheme="minorHAnsi" w:cs="TimesNewRoman"/>
          <w:color w:val="000000"/>
        </w:rPr>
      </w:pPr>
      <w:r w:rsidRPr="00CD46DB">
        <w:rPr>
          <w:rFonts w:asciiTheme="minorHAnsi" w:eastAsiaTheme="minorHAnsi" w:hAnsiTheme="minorHAnsi" w:cs="TimesNewRomanPSMT"/>
        </w:rPr>
        <w:t xml:space="preserve">A number of </w:t>
      </w:r>
      <w:r w:rsidRPr="00E10564">
        <w:rPr>
          <w:rFonts w:asciiTheme="minorHAnsi" w:eastAsiaTheme="minorHAnsi" w:hAnsiTheme="minorHAnsi" w:cs="TimesNewRomanPSMT"/>
        </w:rPr>
        <w:t>systematic reviews have examined the relationship between blood glucose control and long term complications in people with T2DM</w:t>
      </w:r>
      <w:r>
        <w:rPr>
          <w:rFonts w:asciiTheme="minorHAnsi" w:eastAsiaTheme="minorHAnsi" w:hAnsiTheme="minorHAnsi" w:cs="TimesNewRomanPSMT"/>
        </w:rPr>
        <w:t xml:space="preserve">. </w:t>
      </w:r>
      <w:r w:rsidRPr="00E10564">
        <w:rPr>
          <w:rFonts w:asciiTheme="minorHAnsi" w:eastAsiaTheme="minorHAnsi" w:hAnsiTheme="minorHAnsi" w:cs="TimesNewRomanPSMT"/>
        </w:rPr>
        <w:t xml:space="preserve">These studies concluded that improved glycaemic control can reduce retinopathy, renal disease and neuropathy in </w:t>
      </w:r>
      <w:r>
        <w:rPr>
          <w:rFonts w:asciiTheme="minorHAnsi" w:eastAsiaTheme="minorHAnsi" w:hAnsiTheme="minorHAnsi" w:cs="TimesNewRomanPSMT"/>
        </w:rPr>
        <w:t xml:space="preserve">T2DM. </w:t>
      </w:r>
      <w:r w:rsidRPr="00542A99">
        <w:rPr>
          <w:rFonts w:asciiTheme="minorHAnsi" w:eastAsia="TimesNewRoman" w:hAnsiTheme="minorHAnsi" w:cs="TimesNewRoman"/>
          <w:color w:val="000000"/>
        </w:rPr>
        <w:t>Long term data from the United Kingdom Pr</w:t>
      </w:r>
      <w:r>
        <w:rPr>
          <w:rFonts w:asciiTheme="minorHAnsi" w:eastAsia="TimesNewRoman" w:hAnsiTheme="minorHAnsi" w:cs="TimesNewRoman"/>
          <w:color w:val="000000"/>
        </w:rPr>
        <w:t>ospective Diabetes Study (UKPDS; Stratton, 2000)</w:t>
      </w:r>
      <w:r w:rsidRPr="00542A99">
        <w:rPr>
          <w:rFonts w:asciiTheme="minorHAnsi" w:eastAsia="TimesNewRoman" w:hAnsiTheme="minorHAnsi" w:cs="TimesNewRoman"/>
          <w:color w:val="000000"/>
        </w:rPr>
        <w:t xml:space="preserve"> also suggests that glycaemic control reduces the risk of macrovascular complications of T2DM.</w:t>
      </w:r>
    </w:p>
    <w:p w:rsidR="00B37C25" w:rsidRDefault="00B37C25" w:rsidP="00B37C25">
      <w:pPr>
        <w:autoSpaceDE w:val="0"/>
        <w:autoSpaceDN w:val="0"/>
        <w:adjustRightInd w:val="0"/>
        <w:spacing w:before="0" w:line="240" w:lineRule="auto"/>
        <w:rPr>
          <w:rFonts w:asciiTheme="minorHAnsi" w:eastAsia="TimesNewRoman" w:hAnsiTheme="minorHAnsi" w:cs="TimesNewRoman"/>
          <w:color w:val="000000"/>
        </w:rPr>
      </w:pPr>
      <w:r w:rsidRPr="00542A99">
        <w:rPr>
          <w:rFonts w:asciiTheme="minorHAnsi" w:eastAsia="TimesNewRoman" w:hAnsiTheme="minorHAnsi" w:cs="TimesNewRoman"/>
          <w:color w:val="000000"/>
        </w:rPr>
        <w:lastRenderedPageBreak/>
        <w:t xml:space="preserve">Although pharmacological intervention, either in the form of a single agent or in combination, may provide effective glycaemic control for some patients, many do not achieve their target </w:t>
      </w:r>
      <w:r w:rsidR="000131F6" w:rsidRPr="00542A99">
        <w:rPr>
          <w:rFonts w:asciiTheme="minorHAnsi" w:eastAsia="TimesNewRoman" w:hAnsiTheme="minorHAnsi" w:cs="TimesNewRoman"/>
          <w:color w:val="000000"/>
        </w:rPr>
        <w:t>A1</w:t>
      </w:r>
      <w:r w:rsidR="000131F6">
        <w:rPr>
          <w:rFonts w:asciiTheme="minorHAnsi" w:eastAsia="TimesNewRoman" w:hAnsiTheme="minorHAnsi" w:cs="TimesNewRoman"/>
          <w:color w:val="000000"/>
        </w:rPr>
        <w:t>c</w:t>
      </w:r>
      <w:r w:rsidR="000131F6" w:rsidRPr="00542A99">
        <w:rPr>
          <w:rFonts w:asciiTheme="minorHAnsi" w:eastAsia="TimesNewRoman" w:hAnsiTheme="minorHAnsi" w:cs="TimesNewRoman"/>
          <w:color w:val="000000"/>
        </w:rPr>
        <w:t xml:space="preserve"> </w:t>
      </w:r>
      <w:r w:rsidRPr="00542A99">
        <w:rPr>
          <w:rFonts w:asciiTheme="minorHAnsi" w:eastAsia="TimesNewRoman" w:hAnsiTheme="minorHAnsi" w:cs="TimesNewRoman"/>
          <w:color w:val="000000"/>
        </w:rPr>
        <w:t>levels, and glycaemic control deteriorates over time.</w:t>
      </w:r>
    </w:p>
    <w:p w:rsidR="00B37C25" w:rsidRDefault="00B37C25" w:rsidP="00B37C25">
      <w:pPr>
        <w:autoSpaceDE w:val="0"/>
        <w:autoSpaceDN w:val="0"/>
        <w:adjustRightInd w:val="0"/>
        <w:spacing w:before="0" w:line="240" w:lineRule="auto"/>
      </w:pPr>
      <w:r w:rsidRPr="00542A99">
        <w:rPr>
          <w:rFonts w:asciiTheme="minorHAnsi" w:eastAsia="TimesNewRoman" w:hAnsiTheme="minorHAnsi" w:cs="TimesNewRoman"/>
          <w:color w:val="000000"/>
        </w:rPr>
        <w:t xml:space="preserve">The SGLT2 inhibitors are a new class of agents for T2DM therapy that have been shown to improve glycaemic control, reduce body weight and lower blood pressure. </w:t>
      </w:r>
      <w:r>
        <w:t>Agents of this class approved for use in Australia include empagliflozin (Jardiance, approved in April 2014), dapagliflozin (Forxiga in Oct</w:t>
      </w:r>
      <w:r w:rsidR="004B0649">
        <w:t>ober</w:t>
      </w:r>
      <w:r>
        <w:t xml:space="preserve"> 2012) and canagliflozin (Invokana in </w:t>
      </w:r>
      <w:r w:rsidR="00884A9A">
        <w:t>September</w:t>
      </w:r>
      <w:r>
        <w:t xml:space="preserve"> 2013). FDCs of empagliflozin with metformin (Jardiamet in July 2015) and dapagliflozin with metformin (Xigduo XR in July 2014) are also approved in Australia.</w:t>
      </w:r>
    </w:p>
    <w:p w:rsidR="00B37C25" w:rsidRDefault="00B37C25" w:rsidP="00B37C25">
      <w:pPr>
        <w:autoSpaceDE w:val="0"/>
        <w:autoSpaceDN w:val="0"/>
        <w:adjustRightInd w:val="0"/>
        <w:spacing w:before="0" w:line="240" w:lineRule="auto"/>
        <w:rPr>
          <w:rFonts w:asciiTheme="minorHAnsi" w:eastAsiaTheme="minorHAnsi" w:hAnsiTheme="minorHAnsi"/>
        </w:rPr>
      </w:pPr>
      <w:r>
        <w:t xml:space="preserve">DPP-4 inhibitors act by </w:t>
      </w:r>
      <w:r w:rsidRPr="00805E6B">
        <w:rPr>
          <w:rFonts w:asciiTheme="minorHAnsi" w:eastAsiaTheme="minorHAnsi" w:hAnsiTheme="minorHAnsi"/>
        </w:rPr>
        <w:t>increasing and prolonging the action of</w:t>
      </w:r>
      <w:r w:rsidRPr="004525DE">
        <w:rPr>
          <w:rFonts w:asciiTheme="minorHAnsi" w:eastAsiaTheme="minorHAnsi" w:hAnsiTheme="minorHAnsi"/>
        </w:rPr>
        <w:t xml:space="preserve"> </w:t>
      </w:r>
      <w:r w:rsidRPr="00805E6B">
        <w:rPr>
          <w:rFonts w:asciiTheme="minorHAnsi" w:eastAsiaTheme="minorHAnsi" w:hAnsiTheme="minorHAnsi"/>
        </w:rPr>
        <w:t>incretin hormones</w:t>
      </w:r>
      <w:r>
        <w:rPr>
          <w:rFonts w:asciiTheme="minorHAnsi" w:eastAsiaTheme="minorHAnsi" w:hAnsiTheme="minorHAnsi"/>
        </w:rPr>
        <w:t xml:space="preserve">, </w:t>
      </w:r>
      <w:r w:rsidRPr="00805E6B">
        <w:rPr>
          <w:rFonts w:asciiTheme="minorHAnsi" w:eastAsiaTheme="minorHAnsi" w:hAnsiTheme="minorHAnsi"/>
        </w:rPr>
        <w:t>glucagon-like peptide-1 (GLP-1) and glucose-dependent insulinotropic polypeptide (GIP)</w:t>
      </w:r>
      <w:r>
        <w:rPr>
          <w:rFonts w:asciiTheme="minorHAnsi" w:eastAsiaTheme="minorHAnsi" w:hAnsiTheme="minorHAnsi"/>
        </w:rPr>
        <w:t>.</w:t>
      </w:r>
      <w:r w:rsidR="006F48AD">
        <w:rPr>
          <w:rFonts w:asciiTheme="minorHAnsi" w:eastAsiaTheme="minorHAnsi" w:hAnsiTheme="minorHAnsi"/>
        </w:rPr>
        <w:t xml:space="preserve"> </w:t>
      </w:r>
      <w:r w:rsidRPr="00805E6B">
        <w:rPr>
          <w:rFonts w:asciiTheme="minorHAnsi" w:eastAsiaTheme="minorHAnsi" w:hAnsiTheme="minorHAnsi"/>
        </w:rPr>
        <w:t>By increasing and prolonging active incretin levels, sitagliptin increases insulin release and decreases glucagon levels in the circulation in a glucose-dependent manner</w:t>
      </w:r>
      <w:r>
        <w:rPr>
          <w:rFonts w:asciiTheme="minorHAnsi" w:eastAsiaTheme="minorHAnsi" w:hAnsiTheme="minorHAnsi"/>
        </w:rPr>
        <w:t xml:space="preserve">. The DPP-4 inhibitors approved in Australia include </w:t>
      </w:r>
      <w:r w:rsidR="000131F6">
        <w:rPr>
          <w:rFonts w:asciiTheme="minorHAnsi" w:eastAsiaTheme="minorHAnsi" w:hAnsiTheme="minorHAnsi"/>
        </w:rPr>
        <w:t>alogliptin</w:t>
      </w:r>
      <w:r>
        <w:rPr>
          <w:rFonts w:asciiTheme="minorHAnsi" w:eastAsiaTheme="minorHAnsi" w:hAnsiTheme="minorHAnsi"/>
        </w:rPr>
        <w:t xml:space="preserve">, </w:t>
      </w:r>
      <w:r w:rsidR="000131F6">
        <w:rPr>
          <w:rFonts w:asciiTheme="minorHAnsi" w:eastAsiaTheme="minorHAnsi" w:hAnsiTheme="minorHAnsi"/>
        </w:rPr>
        <w:t>linagliptin</w:t>
      </w:r>
      <w:r>
        <w:rPr>
          <w:rFonts w:asciiTheme="minorHAnsi" w:eastAsiaTheme="minorHAnsi" w:hAnsiTheme="minorHAnsi"/>
        </w:rPr>
        <w:t xml:space="preserve">, </w:t>
      </w:r>
      <w:r w:rsidR="000131F6">
        <w:rPr>
          <w:rFonts w:asciiTheme="minorHAnsi" w:eastAsiaTheme="minorHAnsi" w:hAnsiTheme="minorHAnsi"/>
        </w:rPr>
        <w:t>saxagliptin</w:t>
      </w:r>
      <w:r>
        <w:rPr>
          <w:rFonts w:asciiTheme="minorHAnsi" w:eastAsiaTheme="minorHAnsi" w:hAnsiTheme="minorHAnsi"/>
        </w:rPr>
        <w:t xml:space="preserve">, </w:t>
      </w:r>
      <w:r w:rsidR="000131F6">
        <w:rPr>
          <w:rFonts w:asciiTheme="minorHAnsi" w:eastAsiaTheme="minorHAnsi" w:hAnsiTheme="minorHAnsi"/>
        </w:rPr>
        <w:t xml:space="preserve">sitagliptin </w:t>
      </w:r>
      <w:r>
        <w:rPr>
          <w:rFonts w:asciiTheme="minorHAnsi" w:eastAsiaTheme="minorHAnsi" w:hAnsiTheme="minorHAnsi"/>
        </w:rPr>
        <w:t xml:space="preserve">and </w:t>
      </w:r>
      <w:r w:rsidR="000131F6">
        <w:rPr>
          <w:rFonts w:asciiTheme="minorHAnsi" w:eastAsiaTheme="minorHAnsi" w:hAnsiTheme="minorHAnsi"/>
        </w:rPr>
        <w:t>vildagliptin</w:t>
      </w:r>
      <w:r>
        <w:rPr>
          <w:rFonts w:asciiTheme="minorHAnsi" w:eastAsiaTheme="minorHAnsi" w:hAnsiTheme="minorHAnsi"/>
        </w:rPr>
        <w:t>; all of these DPP-4 inhibitors are also available as FDCs in combination with metformin.</w:t>
      </w:r>
    </w:p>
    <w:p w:rsidR="00B37C25" w:rsidRDefault="00B37C25" w:rsidP="00B37C25">
      <w:pPr>
        <w:autoSpaceDE w:val="0"/>
        <w:autoSpaceDN w:val="0"/>
        <w:adjustRightInd w:val="0"/>
        <w:spacing w:before="0" w:line="240" w:lineRule="auto"/>
      </w:pPr>
      <w:r>
        <w:rPr>
          <w:rFonts w:asciiTheme="minorHAnsi" w:eastAsiaTheme="minorHAnsi" w:hAnsiTheme="minorHAnsi"/>
        </w:rPr>
        <w:t>Glyxambi was the first combination tablet of a DPP-4 inhibitor and an SGLT-2 inhibitor approved in USA in 2015 and is also available in Australia (2016); it is available in doses of 1</w:t>
      </w:r>
      <w:r w:rsidR="006F48AD">
        <w:rPr>
          <w:rFonts w:asciiTheme="minorHAnsi" w:eastAsiaTheme="minorHAnsi" w:hAnsiTheme="minorHAnsi"/>
        </w:rPr>
        <w:t>0</w:t>
      </w:r>
      <w:r w:rsidR="000131F6">
        <w:rPr>
          <w:rFonts w:asciiTheme="minorHAnsi" w:eastAsiaTheme="minorHAnsi" w:hAnsiTheme="minorHAnsi"/>
        </w:rPr>
        <w:t> </w:t>
      </w:r>
      <w:r w:rsidR="006F48AD">
        <w:rPr>
          <w:rFonts w:asciiTheme="minorHAnsi" w:eastAsiaTheme="minorHAnsi" w:hAnsiTheme="minorHAnsi"/>
        </w:rPr>
        <w:t>mg</w:t>
      </w:r>
      <w:r>
        <w:rPr>
          <w:rFonts w:asciiTheme="minorHAnsi" w:eastAsiaTheme="minorHAnsi" w:hAnsiTheme="minorHAnsi"/>
        </w:rPr>
        <w:t xml:space="preserve"> or 2</w:t>
      </w:r>
      <w:r w:rsidR="006F48AD">
        <w:rPr>
          <w:rFonts w:asciiTheme="minorHAnsi" w:eastAsiaTheme="minorHAnsi" w:hAnsiTheme="minorHAnsi"/>
        </w:rPr>
        <w:t>5 mg</w:t>
      </w:r>
      <w:r>
        <w:rPr>
          <w:rFonts w:asciiTheme="minorHAnsi" w:eastAsiaTheme="minorHAnsi" w:hAnsiTheme="minorHAnsi"/>
        </w:rPr>
        <w:t xml:space="preserve"> of empagliflozin with </w:t>
      </w:r>
      <w:r w:rsidR="006F48AD">
        <w:rPr>
          <w:rFonts w:asciiTheme="minorHAnsi" w:eastAsiaTheme="minorHAnsi" w:hAnsiTheme="minorHAnsi"/>
        </w:rPr>
        <w:t>5 mg</w:t>
      </w:r>
      <w:r>
        <w:rPr>
          <w:rFonts w:asciiTheme="minorHAnsi" w:eastAsiaTheme="minorHAnsi" w:hAnsiTheme="minorHAnsi"/>
        </w:rPr>
        <w:t xml:space="preserve"> of </w:t>
      </w:r>
      <w:r w:rsidR="004B0649">
        <w:rPr>
          <w:rFonts w:asciiTheme="minorHAnsi" w:eastAsiaTheme="minorHAnsi" w:hAnsiTheme="minorHAnsi"/>
        </w:rPr>
        <w:t>L</w:t>
      </w:r>
      <w:r>
        <w:rPr>
          <w:rFonts w:asciiTheme="minorHAnsi" w:eastAsiaTheme="minorHAnsi" w:hAnsiTheme="minorHAnsi"/>
        </w:rPr>
        <w:t>inagliptin, to be taken once daily in the morning.</w:t>
      </w:r>
    </w:p>
    <w:p w:rsidR="00B37C25" w:rsidRPr="000F0157" w:rsidRDefault="00B37C25" w:rsidP="009B2F3C">
      <w:pPr>
        <w:pStyle w:val="Heading3"/>
      </w:pPr>
      <w:bookmarkStart w:id="28" w:name="_Toc504036090"/>
      <w:bookmarkStart w:id="29" w:name="_Toc4573560"/>
      <w:r w:rsidRPr="000F0157">
        <w:t>Clinical rationale</w:t>
      </w:r>
      <w:bookmarkEnd w:id="28"/>
      <w:bookmarkEnd w:id="29"/>
    </w:p>
    <w:p w:rsidR="00B37C25" w:rsidRDefault="00B37C25" w:rsidP="009B2F3C">
      <w:r w:rsidRPr="00805E6B">
        <w:t>Ertugliflozin</w:t>
      </w:r>
      <w:r>
        <w:t xml:space="preserve"> </w:t>
      </w:r>
      <w:r w:rsidRPr="00805E6B">
        <w:t>is an oral, highly selective SGLT2 inhibitor with</w:t>
      </w:r>
      <w:r>
        <w:t xml:space="preserve"> </w:t>
      </w:r>
      <w:r w:rsidRPr="00805E6B">
        <w:t>greater than 2000-fold higher selectivity for SGLT2 compared to SGLT1. Under conditions of normoglyc</w:t>
      </w:r>
      <w:r w:rsidR="004B0649">
        <w:t>a</w:t>
      </w:r>
      <w:r w:rsidRPr="00805E6B">
        <w:t>emia, glucose is filtered in the</w:t>
      </w:r>
      <w:r>
        <w:t xml:space="preserve"> </w:t>
      </w:r>
      <w:r w:rsidRPr="00805E6B">
        <w:t>glomerulus, with essentially all the filtered glucose being reabsorbed into the circulation in</w:t>
      </w:r>
      <w:r>
        <w:t xml:space="preserve"> </w:t>
      </w:r>
      <w:r w:rsidRPr="00805E6B">
        <w:t>the early and late portion of the proximal tubule via the action of SGLT2 and SGLT1,</w:t>
      </w:r>
      <w:r>
        <w:t xml:space="preserve"> </w:t>
      </w:r>
      <w:r w:rsidRPr="00805E6B">
        <w:t>respectively. Under conditions of hyperglycaemia, when the transporters</w:t>
      </w:r>
      <w:r>
        <w:t xml:space="preserve"> </w:t>
      </w:r>
      <w:r w:rsidRPr="00805E6B">
        <w:t>reach their maximum reabsorptive capacity (referred to as the transport maximum for</w:t>
      </w:r>
      <w:r>
        <w:t xml:space="preserve"> </w:t>
      </w:r>
      <w:r w:rsidRPr="00805E6B">
        <w:t>glucose) glucosuria ensues. Ertugliflozin inhibits renal glucose reabsorption, resulting in a</w:t>
      </w:r>
      <w:r>
        <w:t xml:space="preserve"> </w:t>
      </w:r>
      <w:r w:rsidRPr="00805E6B">
        <w:t>lowering of the renal threshold for glucose and increased UGE, thereby reducing plasma</w:t>
      </w:r>
      <w:r>
        <w:t xml:space="preserve"> </w:t>
      </w:r>
      <w:r w:rsidRPr="00805E6B">
        <w:t>glucose and A1C in subjects with T2DM. Ertugliflozin improves glycaemic control via a</w:t>
      </w:r>
      <w:r>
        <w:t xml:space="preserve"> </w:t>
      </w:r>
      <w:r w:rsidRPr="00805E6B">
        <w:t xml:space="preserve">mechanism independent of insulin and pancreatic </w:t>
      </w:r>
      <w:r w:rsidR="009B2F3C">
        <w:rPr>
          <w:rFonts w:eastAsia="TimesNewRoman" w:cs="TimesNewRoman"/>
        </w:rPr>
        <w:t>beta-cell</w:t>
      </w:r>
      <w:r w:rsidR="004B0649">
        <w:rPr>
          <w:rFonts w:eastAsia="TimesNewRoman" w:cs="TimesNewRoman"/>
        </w:rPr>
        <w:t xml:space="preserve"> </w:t>
      </w:r>
      <w:r w:rsidRPr="00805E6B">
        <w:t>function and its durability is not</w:t>
      </w:r>
      <w:r>
        <w:t xml:space="preserve"> </w:t>
      </w:r>
      <w:r w:rsidRPr="00805E6B">
        <w:t xml:space="preserve">dependent on </w:t>
      </w:r>
      <w:r w:rsidR="009B2F3C">
        <w:rPr>
          <w:rFonts w:eastAsia="TimesNewRoman" w:cs="TimesNewRoman"/>
        </w:rPr>
        <w:t xml:space="preserve">beta-cell </w:t>
      </w:r>
      <w:r>
        <w:t xml:space="preserve">function; </w:t>
      </w:r>
      <w:r w:rsidRPr="00805E6B">
        <w:t>it represents a</w:t>
      </w:r>
      <w:r>
        <w:t xml:space="preserve"> </w:t>
      </w:r>
      <w:r w:rsidRPr="00805E6B">
        <w:t>potentially effective and durable therapy across the typical disease progression of</w:t>
      </w:r>
      <w:r>
        <w:t xml:space="preserve"> </w:t>
      </w:r>
      <w:r w:rsidRPr="00805E6B">
        <w:t xml:space="preserve">T2DM. </w:t>
      </w:r>
      <w:r>
        <w:t>Furthermore, t</w:t>
      </w:r>
      <w:r w:rsidRPr="00805E6B">
        <w:t>he extent of UGE is dependent on ambient glucose levels</w:t>
      </w:r>
      <w:r>
        <w:t xml:space="preserve"> and </w:t>
      </w:r>
      <w:r w:rsidRPr="00805E6B">
        <w:t>as glucose</w:t>
      </w:r>
      <w:r>
        <w:t xml:space="preserve"> </w:t>
      </w:r>
      <w:r w:rsidRPr="00805E6B">
        <w:t>levels decrease to normal, UGE also decreases, making hypoglycaemia unlikely.</w:t>
      </w:r>
    </w:p>
    <w:p w:rsidR="00B37C25" w:rsidRPr="009B2F3C" w:rsidRDefault="00B37C25" w:rsidP="009B2F3C">
      <w:pPr>
        <w:rPr>
          <w:lang w:eastAsia="ja-JP"/>
        </w:rPr>
      </w:pPr>
      <w:r w:rsidRPr="00805E6B">
        <w:t xml:space="preserve">Sitagliptin is an inhibitor of DPP-4, an enzyme that degrades the incretin hormones glucagon-like peptide-1 (GLP-1) and glucose-dependent insulinotropic polypeptide (GIP). Concentrations of the active intact hormones are increased by sitagliptin, thereby increasing and prolonging the action of these hormones. Incretin hormones including </w:t>
      </w:r>
      <w:r w:rsidR="009B2F3C">
        <w:t>GLP-1</w:t>
      </w:r>
      <w:r w:rsidRPr="00805E6B">
        <w:t xml:space="preserve"> and GIP are released by the intestine throughout the day, and levels are increased in response to a meal. These hormones are rapidly inactivated by DPP-4. The incretins are part of an endogenous system involved in the physiologic regulation of glucose homeostasis. When blood glucose concentrations are normal or elevated, GLP-1 and GIP increase insulin synthesis and release from pancreatic </w:t>
      </w:r>
      <w:r w:rsidR="00B546FE">
        <w:rPr>
          <w:rFonts w:eastAsia="TimesNewRoman" w:cs="TimesNewRoman"/>
        </w:rPr>
        <w:t>beta-cell</w:t>
      </w:r>
      <w:r w:rsidRPr="00805E6B">
        <w:t xml:space="preserve">s by intracellular signalling pathways involving cyclic adenosine monophosphate (cAMP). GLP-1 also lowers glucagon secretion from pancreatic </w:t>
      </w:r>
      <w:r w:rsidR="00B546FE">
        <w:rPr>
          <w:rFonts w:eastAsia="TimesNewRoman" w:cs="TimesNewRoman"/>
        </w:rPr>
        <w:t>beta-cell</w:t>
      </w:r>
      <w:r w:rsidRPr="00805E6B">
        <w:t xml:space="preserve">s, leading to reduced hepatic glucose production. By increasing and prolonging active incretin levels, sitagliptin increases insulin release and decreases glucagon levels in the circulation in a glucose-dependent manner. Sitagliptin demonstrates selectivity for DPP-4 and does not inhibit DPP-8 or DPP-9 activity </w:t>
      </w:r>
      <w:r w:rsidRPr="009B2F3C">
        <w:t>in vitro at concentrations approximating those from therapeutic doses.</w:t>
      </w:r>
    </w:p>
    <w:p w:rsidR="00884A9A" w:rsidRDefault="00B37C25" w:rsidP="009B2F3C">
      <w:r w:rsidRPr="00CF52BB">
        <w:t>The ertugliflozin/sitagliptin FDC combines 2 AHAs with complementary mechanisms of</w:t>
      </w:r>
      <w:r>
        <w:t xml:space="preserve"> </w:t>
      </w:r>
      <w:r w:rsidRPr="00CF52BB">
        <w:t xml:space="preserve">action to improve </w:t>
      </w:r>
      <w:r>
        <w:t>glycaemic</w:t>
      </w:r>
      <w:r w:rsidRPr="00CF52BB">
        <w:t xml:space="preserve"> control in patients with T2DM. Because of the complementary</w:t>
      </w:r>
      <w:r>
        <w:t xml:space="preserve"> </w:t>
      </w:r>
      <w:r w:rsidRPr="00CF52BB">
        <w:t>mechanisms of actions of ertugliflozin and sitagliptin, it is expected that the combination of</w:t>
      </w:r>
      <w:r>
        <w:t xml:space="preserve"> </w:t>
      </w:r>
      <w:r w:rsidRPr="00CF52BB">
        <w:lastRenderedPageBreak/>
        <w:t xml:space="preserve">ertugliflozin and sitagliptin will provide additional </w:t>
      </w:r>
      <w:r>
        <w:t>glycaemic</w:t>
      </w:r>
      <w:r w:rsidRPr="00CF52BB">
        <w:t xml:space="preserve"> improvement without increasing</w:t>
      </w:r>
      <w:r>
        <w:t xml:space="preserve"> </w:t>
      </w:r>
      <w:r w:rsidRPr="00CF52BB">
        <w:t>risk of hypoglycaemia, while maintaining the beneficial effects on body weight and SBP from</w:t>
      </w:r>
      <w:r>
        <w:t xml:space="preserve"> </w:t>
      </w:r>
      <w:r w:rsidRPr="00CF52BB">
        <w:t>SGLT2 inhibition</w:t>
      </w:r>
      <w:bookmarkStart w:id="30" w:name="_Toc504036091"/>
      <w:r w:rsidR="00884A9A">
        <w:t>.</w:t>
      </w:r>
    </w:p>
    <w:p w:rsidR="00B37C25" w:rsidRPr="000F0157" w:rsidRDefault="00B37C25" w:rsidP="00B00B40">
      <w:pPr>
        <w:pStyle w:val="Heading3"/>
      </w:pPr>
      <w:bookmarkStart w:id="31" w:name="_Toc4573561"/>
      <w:r w:rsidRPr="000F0157">
        <w:t>Formulation</w:t>
      </w:r>
      <w:bookmarkEnd w:id="30"/>
      <w:bookmarkEnd w:id="31"/>
    </w:p>
    <w:p w:rsidR="00B37C25" w:rsidRPr="000F0157" w:rsidRDefault="00B37C25" w:rsidP="00B00B40">
      <w:pPr>
        <w:pStyle w:val="Heading4"/>
      </w:pPr>
      <w:bookmarkStart w:id="32" w:name="_Toc504036092"/>
      <w:r w:rsidRPr="000F0157">
        <w:t>Formulation development</w:t>
      </w:r>
      <w:bookmarkEnd w:id="32"/>
    </w:p>
    <w:p w:rsidR="00B37C25" w:rsidRPr="006E6597" w:rsidRDefault="00B37C25" w:rsidP="00B37C25">
      <w:pPr>
        <w:autoSpaceDE w:val="0"/>
        <w:autoSpaceDN w:val="0"/>
        <w:adjustRightInd w:val="0"/>
        <w:spacing w:before="0" w:line="240" w:lineRule="auto"/>
        <w:rPr>
          <w:rFonts w:asciiTheme="minorHAnsi" w:eastAsia="TimesNewRoman" w:hAnsiTheme="minorHAnsi" w:cs="TimesNewRoman"/>
          <w:color w:val="000000"/>
        </w:rPr>
      </w:pPr>
      <w:r w:rsidRPr="006E6597">
        <w:rPr>
          <w:rFonts w:asciiTheme="minorHAnsi" w:eastAsia="TimesNewRoman" w:hAnsiTheme="minorHAnsi" w:cs="TimesNewRoman"/>
          <w:color w:val="000000"/>
        </w:rPr>
        <w:t>Four strengths of film-coated, i</w:t>
      </w:r>
      <w:r>
        <w:rPr>
          <w:rFonts w:asciiTheme="minorHAnsi" w:eastAsia="TimesNewRoman" w:hAnsiTheme="minorHAnsi" w:cs="TimesNewRoman"/>
          <w:color w:val="000000"/>
        </w:rPr>
        <w:t>mmediate release, FDC tablets containing</w:t>
      </w:r>
      <w:r w:rsidRPr="006E6597">
        <w:rPr>
          <w:rFonts w:asciiTheme="minorHAnsi" w:eastAsia="TimesNewRoman" w:hAnsiTheme="minorHAnsi" w:cs="TimesNewRoman"/>
          <w:color w:val="000000"/>
        </w:rPr>
        <w:t xml:space="preserve"> ertugliflozin and sitagliptin </w:t>
      </w:r>
      <w:r>
        <w:rPr>
          <w:rFonts w:asciiTheme="minorHAnsi" w:eastAsia="TimesNewRoman" w:hAnsiTheme="minorHAnsi" w:cs="TimesNewRoman"/>
          <w:color w:val="000000"/>
        </w:rPr>
        <w:t>for once daily (QD</w:t>
      </w:r>
      <w:r w:rsidRPr="006E6597">
        <w:rPr>
          <w:rFonts w:asciiTheme="minorHAnsi" w:eastAsia="TimesNewRoman" w:hAnsiTheme="minorHAnsi" w:cs="TimesNewRoman"/>
          <w:color w:val="000000"/>
        </w:rPr>
        <w:t>) administration have been developed a</w:t>
      </w:r>
      <w:r>
        <w:rPr>
          <w:rFonts w:asciiTheme="minorHAnsi" w:eastAsia="TimesNewRoman" w:hAnsiTheme="minorHAnsi" w:cs="TimesNewRoman"/>
          <w:color w:val="000000"/>
        </w:rPr>
        <w:t>nd are proposed for commercialis</w:t>
      </w:r>
      <w:r w:rsidRPr="006E6597">
        <w:rPr>
          <w:rFonts w:asciiTheme="minorHAnsi" w:eastAsia="TimesNewRoman" w:hAnsiTheme="minorHAnsi" w:cs="TimesNewRoman"/>
          <w:color w:val="000000"/>
        </w:rPr>
        <w:t>ation:</w:t>
      </w:r>
      <w:r w:rsidRPr="006E6597">
        <w:rPr>
          <w:rFonts w:asciiTheme="minorHAnsi" w:eastAsia="TimesNewRoman" w:hAnsiTheme="minorHAnsi" w:cs="Symbol"/>
          <w:color w:val="000000"/>
        </w:rPr>
        <w:t xml:space="preserve"> </w:t>
      </w:r>
      <w:r>
        <w:rPr>
          <w:rFonts w:asciiTheme="minorHAnsi" w:eastAsia="TimesNewRoman" w:hAnsiTheme="minorHAnsi" w:cs="TimesNewRoman"/>
          <w:color w:val="000000"/>
        </w:rPr>
        <w:t>e</w:t>
      </w:r>
      <w:r w:rsidRPr="006E6597">
        <w:rPr>
          <w:rFonts w:asciiTheme="minorHAnsi" w:eastAsia="TimesNewRoman" w:hAnsiTheme="minorHAnsi" w:cs="TimesNewRoman"/>
          <w:color w:val="000000"/>
        </w:rPr>
        <w:t>rtugl</w:t>
      </w:r>
      <w:r>
        <w:rPr>
          <w:rFonts w:asciiTheme="minorHAnsi" w:eastAsia="TimesNewRoman" w:hAnsiTheme="minorHAnsi" w:cs="TimesNewRoman"/>
          <w:color w:val="000000"/>
        </w:rPr>
        <w:t>iflozin 5 mg/sitagliptin 100 mg;</w:t>
      </w:r>
      <w:r w:rsidRPr="006E6597">
        <w:rPr>
          <w:rFonts w:asciiTheme="minorHAnsi" w:eastAsia="TimesNewRoman" w:hAnsiTheme="minorHAnsi" w:cs="Symbol"/>
          <w:color w:val="000000"/>
        </w:rPr>
        <w:t xml:space="preserve"> </w:t>
      </w:r>
      <w:r>
        <w:rPr>
          <w:rFonts w:asciiTheme="minorHAnsi" w:eastAsia="TimesNewRoman" w:hAnsiTheme="minorHAnsi" w:cs="TimesNewRoman"/>
          <w:color w:val="000000"/>
        </w:rPr>
        <w:t>e</w:t>
      </w:r>
      <w:r w:rsidRPr="006E6597">
        <w:rPr>
          <w:rFonts w:asciiTheme="minorHAnsi" w:eastAsia="TimesNewRoman" w:hAnsiTheme="minorHAnsi" w:cs="TimesNewRoman"/>
          <w:color w:val="000000"/>
        </w:rPr>
        <w:t>rtugliflozin 15 mg/sitagliptin 100</w:t>
      </w:r>
      <w:r w:rsidR="000131F6">
        <w:rPr>
          <w:rFonts w:asciiTheme="minorHAnsi" w:eastAsia="TimesNewRoman" w:hAnsiTheme="minorHAnsi" w:cs="TimesNewRoman"/>
          <w:color w:val="000000"/>
        </w:rPr>
        <w:t> </w:t>
      </w:r>
      <w:r w:rsidRPr="006E6597">
        <w:rPr>
          <w:rFonts w:asciiTheme="minorHAnsi" w:eastAsia="TimesNewRoman" w:hAnsiTheme="minorHAnsi" w:cs="TimesNewRoman"/>
          <w:color w:val="000000"/>
        </w:rPr>
        <w:t>mg</w:t>
      </w:r>
      <w:r>
        <w:rPr>
          <w:rFonts w:asciiTheme="minorHAnsi" w:eastAsia="TimesNewRoman" w:hAnsiTheme="minorHAnsi" w:cs="TimesNewRoman"/>
          <w:color w:val="000000"/>
        </w:rPr>
        <w:t>;</w:t>
      </w:r>
      <w:r w:rsidRPr="006E6597">
        <w:rPr>
          <w:rFonts w:asciiTheme="minorHAnsi" w:eastAsia="TimesNewRoman" w:hAnsiTheme="minorHAnsi" w:cs="Symbol"/>
          <w:color w:val="000000"/>
        </w:rPr>
        <w:t xml:space="preserve"> </w:t>
      </w:r>
      <w:r>
        <w:rPr>
          <w:rFonts w:asciiTheme="minorHAnsi" w:eastAsia="TimesNewRoman" w:hAnsiTheme="minorHAnsi" w:cs="Symbol"/>
          <w:color w:val="000000"/>
        </w:rPr>
        <w:t>e</w:t>
      </w:r>
      <w:r w:rsidRPr="006E6597">
        <w:rPr>
          <w:rFonts w:asciiTheme="minorHAnsi" w:eastAsia="TimesNewRoman" w:hAnsiTheme="minorHAnsi" w:cs="TimesNewRoman"/>
          <w:color w:val="000000"/>
        </w:rPr>
        <w:t>rtugliflozin 5 mg/sitagliptin 50 mg</w:t>
      </w:r>
      <w:r>
        <w:rPr>
          <w:rFonts w:asciiTheme="minorHAnsi" w:eastAsia="TimesNewRoman" w:hAnsiTheme="minorHAnsi" w:cs="TimesNewRoman"/>
          <w:color w:val="000000"/>
        </w:rPr>
        <w:t>;</w:t>
      </w:r>
      <w:r w:rsidRPr="006E6597">
        <w:rPr>
          <w:rFonts w:asciiTheme="minorHAnsi" w:eastAsia="TimesNewRoman" w:hAnsiTheme="minorHAnsi" w:cs="TimesNewRoman"/>
          <w:color w:val="000000"/>
        </w:rPr>
        <w:t xml:space="preserve"> and</w:t>
      </w:r>
      <w:r w:rsidRPr="006E6597">
        <w:rPr>
          <w:rFonts w:asciiTheme="minorHAnsi" w:eastAsia="TimesNewRoman" w:hAnsiTheme="minorHAnsi" w:cs="Symbol"/>
          <w:color w:val="000000"/>
        </w:rPr>
        <w:t xml:space="preserve"> </w:t>
      </w:r>
      <w:r>
        <w:rPr>
          <w:rFonts w:asciiTheme="minorHAnsi" w:eastAsia="TimesNewRoman" w:hAnsiTheme="minorHAnsi" w:cs="Symbol"/>
          <w:color w:val="000000"/>
        </w:rPr>
        <w:t>e</w:t>
      </w:r>
      <w:r w:rsidRPr="006E6597">
        <w:rPr>
          <w:rFonts w:asciiTheme="minorHAnsi" w:eastAsia="TimesNewRoman" w:hAnsiTheme="minorHAnsi" w:cs="TimesNewRoman"/>
          <w:color w:val="000000"/>
        </w:rPr>
        <w:t>rtugliflozin 15 mg/sitagliptin 50 mg.</w:t>
      </w:r>
    </w:p>
    <w:p w:rsidR="00B37C25" w:rsidRPr="006E6597" w:rsidRDefault="00B37C25" w:rsidP="00B37C25">
      <w:pPr>
        <w:autoSpaceDE w:val="0"/>
        <w:autoSpaceDN w:val="0"/>
        <w:adjustRightInd w:val="0"/>
        <w:spacing w:before="0" w:line="240" w:lineRule="auto"/>
        <w:rPr>
          <w:rFonts w:asciiTheme="minorHAnsi" w:eastAsia="TimesNewRoman" w:hAnsiTheme="minorHAnsi" w:cs="TimesNewRoman"/>
          <w:color w:val="000000"/>
        </w:rPr>
      </w:pPr>
      <w:r w:rsidRPr="006E6597">
        <w:rPr>
          <w:rFonts w:asciiTheme="minorHAnsi" w:eastAsia="TimesNewRoman" w:hAnsiTheme="minorHAnsi" w:cs="TimesNewRoman"/>
          <w:color w:val="000000"/>
        </w:rPr>
        <w:t xml:space="preserve">The proposed FDC commercial formulations are identical to those used in the </w:t>
      </w:r>
      <w:r>
        <w:rPr>
          <w:rFonts w:asciiTheme="minorHAnsi" w:eastAsia="TimesNewRoman" w:hAnsiTheme="minorHAnsi" w:cs="TimesNewRoman"/>
          <w:color w:val="000000"/>
        </w:rPr>
        <w:t>bioequivalence (</w:t>
      </w:r>
      <w:r w:rsidRPr="006E6597">
        <w:rPr>
          <w:rFonts w:asciiTheme="minorHAnsi" w:eastAsia="TimesNewRoman" w:hAnsiTheme="minorHAnsi" w:cs="TimesNewRoman"/>
          <w:color w:val="000000"/>
        </w:rPr>
        <w:t>BE</w:t>
      </w:r>
      <w:r>
        <w:rPr>
          <w:rFonts w:asciiTheme="minorHAnsi" w:eastAsia="TimesNewRoman" w:hAnsiTheme="minorHAnsi" w:cs="TimesNewRoman"/>
          <w:color w:val="000000"/>
        </w:rPr>
        <w:t>)</w:t>
      </w:r>
      <w:r w:rsidRPr="006E6597">
        <w:rPr>
          <w:rFonts w:asciiTheme="minorHAnsi" w:eastAsia="TimesNewRoman" w:hAnsiTheme="minorHAnsi" w:cs="TimesNewRoman"/>
          <w:color w:val="000000"/>
        </w:rPr>
        <w:t xml:space="preserve"> studies</w:t>
      </w:r>
      <w:r>
        <w:rPr>
          <w:rFonts w:asciiTheme="minorHAnsi" w:eastAsia="TimesNewRoman" w:hAnsiTheme="minorHAnsi" w:cs="TimesNewRoman"/>
          <w:color w:val="000000"/>
        </w:rPr>
        <w:t xml:space="preserve"> </w:t>
      </w:r>
      <w:r w:rsidRPr="006E6597">
        <w:rPr>
          <w:rFonts w:asciiTheme="minorHAnsi" w:eastAsia="TimesNewRoman" w:hAnsiTheme="minorHAnsi" w:cs="TimesNewRoman"/>
          <w:color w:val="000000"/>
        </w:rPr>
        <w:t>with the exception of debossing on the commercial tablets.</w:t>
      </w:r>
    </w:p>
    <w:p w:rsidR="00B37C25" w:rsidRPr="000F0157" w:rsidRDefault="00B37C25" w:rsidP="00B00B40">
      <w:pPr>
        <w:pStyle w:val="Heading4"/>
      </w:pPr>
      <w:bookmarkStart w:id="33" w:name="_Toc504036093"/>
      <w:r w:rsidRPr="000F0157">
        <w:t>Excipients</w:t>
      </w:r>
      <w:bookmarkEnd w:id="33"/>
    </w:p>
    <w:p w:rsidR="00B37C25" w:rsidRPr="006E6597" w:rsidRDefault="00B37C25" w:rsidP="00B37C25">
      <w:pPr>
        <w:autoSpaceDE w:val="0"/>
        <w:autoSpaceDN w:val="0"/>
        <w:adjustRightInd w:val="0"/>
        <w:spacing w:before="0" w:line="240" w:lineRule="auto"/>
        <w:rPr>
          <w:rFonts w:asciiTheme="minorHAnsi" w:eastAsiaTheme="minorHAnsi" w:hAnsiTheme="minorHAnsi" w:cs="ArialMT"/>
        </w:rPr>
      </w:pPr>
      <w:r>
        <w:rPr>
          <w:rFonts w:asciiTheme="minorHAnsi" w:eastAsiaTheme="minorHAnsi" w:hAnsiTheme="minorHAnsi" w:cs="ArialMT"/>
        </w:rPr>
        <w:t>In summary, e</w:t>
      </w:r>
      <w:r w:rsidRPr="006E6597">
        <w:rPr>
          <w:rFonts w:asciiTheme="minorHAnsi" w:eastAsiaTheme="minorHAnsi" w:hAnsiTheme="minorHAnsi" w:cs="ArialMT"/>
        </w:rPr>
        <w:t>ach film-coated tablet of MSD-</w:t>
      </w:r>
      <w:r w:rsidR="000131F6">
        <w:rPr>
          <w:rFonts w:asciiTheme="minorHAnsi" w:eastAsiaTheme="minorHAnsi" w:hAnsiTheme="minorHAnsi" w:cs="ArialMT"/>
        </w:rPr>
        <w:t>e</w:t>
      </w:r>
      <w:r w:rsidR="000131F6" w:rsidRPr="006E6597">
        <w:rPr>
          <w:rFonts w:asciiTheme="minorHAnsi" w:eastAsiaTheme="minorHAnsi" w:hAnsiTheme="minorHAnsi" w:cs="ArialMT"/>
        </w:rPr>
        <w:t>rtugliflozin</w:t>
      </w:r>
      <w:r w:rsidRPr="006E6597">
        <w:rPr>
          <w:rFonts w:asciiTheme="minorHAnsi" w:eastAsiaTheme="minorHAnsi" w:hAnsiTheme="minorHAnsi" w:cs="ArialMT"/>
        </w:rPr>
        <w:t>-</w:t>
      </w:r>
      <w:r w:rsidR="000131F6">
        <w:rPr>
          <w:rFonts w:asciiTheme="minorHAnsi" w:eastAsiaTheme="minorHAnsi" w:hAnsiTheme="minorHAnsi" w:cs="ArialMT"/>
        </w:rPr>
        <w:t>s</w:t>
      </w:r>
      <w:r w:rsidR="000131F6" w:rsidRPr="006E6597">
        <w:rPr>
          <w:rFonts w:asciiTheme="minorHAnsi" w:eastAsiaTheme="minorHAnsi" w:hAnsiTheme="minorHAnsi" w:cs="ArialMT"/>
        </w:rPr>
        <w:t xml:space="preserve">itagliptin </w:t>
      </w:r>
      <w:r w:rsidRPr="006E6597">
        <w:rPr>
          <w:rFonts w:asciiTheme="minorHAnsi" w:eastAsiaTheme="minorHAnsi" w:hAnsiTheme="minorHAnsi" w:cs="ArialMT"/>
        </w:rPr>
        <w:t>contains the following inactive ingredients: microcrystalline cellulose, dibasic calcium phosphate anhydrous, croscarmellose sodium, sodium stearyl fumarate, and magnesium stearate.</w:t>
      </w:r>
    </w:p>
    <w:p w:rsidR="00B37C25" w:rsidRPr="006E6597" w:rsidRDefault="00B37C25" w:rsidP="00B37C25">
      <w:pPr>
        <w:autoSpaceDE w:val="0"/>
        <w:autoSpaceDN w:val="0"/>
        <w:adjustRightInd w:val="0"/>
        <w:spacing w:before="0" w:line="240" w:lineRule="auto"/>
        <w:rPr>
          <w:rFonts w:asciiTheme="minorHAnsi" w:eastAsiaTheme="minorHAnsi" w:hAnsiTheme="minorHAnsi" w:cs="ArialMT"/>
        </w:rPr>
      </w:pPr>
      <w:r w:rsidRPr="006E6597">
        <w:rPr>
          <w:rFonts w:asciiTheme="minorHAnsi" w:eastAsiaTheme="minorHAnsi" w:hAnsiTheme="minorHAnsi" w:cs="ArialMT"/>
        </w:rPr>
        <w:t>The film coating contains: hypromellose, hydroxypropyl cellulose, titanium dioxide, iron oxide red, ferrosoferric oxide/black iron oxide, and carnauba wax.</w:t>
      </w:r>
    </w:p>
    <w:p w:rsidR="00B37C25" w:rsidRDefault="00B37C25" w:rsidP="00B37C25">
      <w:pPr>
        <w:autoSpaceDE w:val="0"/>
        <w:autoSpaceDN w:val="0"/>
        <w:adjustRightInd w:val="0"/>
        <w:spacing w:before="0" w:line="240" w:lineRule="auto"/>
        <w:rPr>
          <w:rFonts w:asciiTheme="minorHAnsi" w:eastAsiaTheme="minorHAnsi" w:hAnsiTheme="minorHAnsi" w:cs="ArialMT"/>
        </w:rPr>
      </w:pPr>
      <w:r w:rsidRPr="006E6597">
        <w:rPr>
          <w:rFonts w:asciiTheme="minorHAnsi" w:eastAsiaTheme="minorHAnsi" w:hAnsiTheme="minorHAnsi" w:cs="ArialMT"/>
        </w:rPr>
        <w:t>The film coating for the MSD-</w:t>
      </w:r>
      <w:r w:rsidR="000131F6">
        <w:rPr>
          <w:rFonts w:asciiTheme="minorHAnsi" w:eastAsiaTheme="minorHAnsi" w:hAnsiTheme="minorHAnsi" w:cs="ArialMT"/>
        </w:rPr>
        <w:t>e</w:t>
      </w:r>
      <w:r w:rsidR="000131F6" w:rsidRPr="006E6597">
        <w:rPr>
          <w:rFonts w:asciiTheme="minorHAnsi" w:eastAsiaTheme="minorHAnsi" w:hAnsiTheme="minorHAnsi" w:cs="ArialMT"/>
        </w:rPr>
        <w:t>rtugliflozin</w:t>
      </w:r>
      <w:r w:rsidRPr="006E6597">
        <w:rPr>
          <w:rFonts w:asciiTheme="minorHAnsi" w:eastAsiaTheme="minorHAnsi" w:hAnsiTheme="minorHAnsi" w:cs="ArialMT"/>
        </w:rPr>
        <w:t>-</w:t>
      </w:r>
      <w:r w:rsidR="000131F6">
        <w:rPr>
          <w:rFonts w:asciiTheme="minorHAnsi" w:eastAsiaTheme="minorHAnsi" w:hAnsiTheme="minorHAnsi" w:cs="ArialMT"/>
        </w:rPr>
        <w:t>s</w:t>
      </w:r>
      <w:r w:rsidR="000131F6" w:rsidRPr="006E6597">
        <w:rPr>
          <w:rFonts w:asciiTheme="minorHAnsi" w:eastAsiaTheme="minorHAnsi" w:hAnsiTheme="minorHAnsi" w:cs="ArialMT"/>
        </w:rPr>
        <w:t xml:space="preserve">itagliptin </w:t>
      </w:r>
      <w:r w:rsidRPr="006E6597">
        <w:rPr>
          <w:rFonts w:asciiTheme="minorHAnsi" w:eastAsiaTheme="minorHAnsi" w:hAnsiTheme="minorHAnsi" w:cs="ArialMT"/>
        </w:rPr>
        <w:t>5 mg / 100 mg and MSD-</w:t>
      </w:r>
      <w:r w:rsidR="000131F6">
        <w:rPr>
          <w:rFonts w:asciiTheme="minorHAnsi" w:eastAsiaTheme="minorHAnsi" w:hAnsiTheme="minorHAnsi" w:cs="ArialMT"/>
        </w:rPr>
        <w:t>e</w:t>
      </w:r>
      <w:r w:rsidR="000131F6" w:rsidRPr="006E6597">
        <w:rPr>
          <w:rFonts w:asciiTheme="minorHAnsi" w:eastAsiaTheme="minorHAnsi" w:hAnsiTheme="minorHAnsi" w:cs="ArialMT"/>
        </w:rPr>
        <w:t>rtugliflozin</w:t>
      </w:r>
      <w:r w:rsidRPr="006E6597">
        <w:rPr>
          <w:rFonts w:asciiTheme="minorHAnsi" w:eastAsiaTheme="minorHAnsi" w:hAnsiTheme="minorHAnsi" w:cs="ArialMT"/>
        </w:rPr>
        <w:t>-</w:t>
      </w:r>
      <w:r w:rsidR="000131F6">
        <w:rPr>
          <w:rFonts w:asciiTheme="minorHAnsi" w:eastAsiaTheme="minorHAnsi" w:hAnsiTheme="minorHAnsi" w:cs="ArialMT"/>
        </w:rPr>
        <w:t>s</w:t>
      </w:r>
      <w:r w:rsidR="000131F6" w:rsidRPr="006E6597">
        <w:rPr>
          <w:rFonts w:asciiTheme="minorHAnsi" w:eastAsiaTheme="minorHAnsi" w:hAnsiTheme="minorHAnsi" w:cs="ArialMT"/>
        </w:rPr>
        <w:t xml:space="preserve">itagliptin </w:t>
      </w:r>
      <w:r w:rsidRPr="006E6597">
        <w:rPr>
          <w:rFonts w:asciiTheme="minorHAnsi" w:eastAsiaTheme="minorHAnsi" w:hAnsiTheme="minorHAnsi" w:cs="ArialMT"/>
        </w:rPr>
        <w:t>15 mg / 100 mg tablets also contains iron oxide yellow.</w:t>
      </w:r>
    </w:p>
    <w:p w:rsidR="00B37C25" w:rsidRPr="000F0157" w:rsidRDefault="00B37C25" w:rsidP="00B00B40">
      <w:pPr>
        <w:pStyle w:val="Heading3"/>
      </w:pPr>
      <w:bookmarkStart w:id="34" w:name="_Toc504036097"/>
      <w:bookmarkStart w:id="35" w:name="_Toc4573562"/>
      <w:r w:rsidRPr="000F0157">
        <w:t>Related submissions</w:t>
      </w:r>
      <w:bookmarkEnd w:id="34"/>
      <w:bookmarkEnd w:id="35"/>
    </w:p>
    <w:p w:rsidR="00B37C25" w:rsidRDefault="00B37C25" w:rsidP="00B37C25">
      <w:pPr>
        <w:spacing w:before="0" w:line="240" w:lineRule="auto"/>
        <w:rPr>
          <w:rFonts w:asciiTheme="minorHAnsi" w:eastAsia="TimesNewRoman" w:hAnsiTheme="minorHAnsi" w:cs="TimesNewRoman"/>
        </w:rPr>
      </w:pPr>
      <w:r w:rsidRPr="000A39B2">
        <w:rPr>
          <w:rFonts w:asciiTheme="minorHAnsi" w:eastAsia="TimesNewRoman" w:hAnsiTheme="minorHAnsi" w:cs="TimesNewRoman"/>
        </w:rPr>
        <w:t>Ertugliflozin and FDCs of ertugliflozin are being co-developed by Merck Sharp &amp; Dohme</w:t>
      </w:r>
      <w:r>
        <w:rPr>
          <w:rFonts w:asciiTheme="minorHAnsi" w:eastAsia="TimesNewRoman" w:hAnsiTheme="minorHAnsi" w:cs="TimesNewRoman"/>
        </w:rPr>
        <w:t xml:space="preserve"> </w:t>
      </w:r>
      <w:r w:rsidRPr="000A39B2">
        <w:rPr>
          <w:rFonts w:asciiTheme="minorHAnsi" w:eastAsia="TimesNewRoman" w:hAnsiTheme="minorHAnsi" w:cs="TimesNewRoman"/>
        </w:rPr>
        <w:t>Corp., a subsidiary of Merck &amp; Co., Inc. (Merck), and Pfizer Inc, with Merck serving as the</w:t>
      </w:r>
      <w:r>
        <w:rPr>
          <w:rFonts w:asciiTheme="minorHAnsi" w:eastAsia="TimesNewRoman" w:hAnsiTheme="minorHAnsi" w:cs="TimesNewRoman"/>
        </w:rPr>
        <w:t xml:space="preserve"> </w:t>
      </w:r>
      <w:r w:rsidRPr="000A39B2">
        <w:rPr>
          <w:rFonts w:asciiTheme="minorHAnsi" w:eastAsia="TimesNewRoman" w:hAnsiTheme="minorHAnsi" w:cs="TimesNewRoman"/>
        </w:rPr>
        <w:t>regulatory sponsor. Registration of ertugliflozin</w:t>
      </w:r>
      <w:r>
        <w:rPr>
          <w:rFonts w:asciiTheme="minorHAnsi" w:eastAsia="TimesNewRoman" w:hAnsiTheme="minorHAnsi" w:cs="TimesNewRoman"/>
        </w:rPr>
        <w:t xml:space="preserve"> (</w:t>
      </w:r>
      <w:r w:rsidR="00B00B40">
        <w:rPr>
          <w:rFonts w:asciiTheme="minorHAnsi" w:eastAsia="TimesNewRoman" w:hAnsiTheme="minorHAnsi" w:cs="TimesNewRoman"/>
        </w:rPr>
        <w:t>Steglatro</w:t>
      </w:r>
      <w:r>
        <w:rPr>
          <w:rFonts w:asciiTheme="minorHAnsi" w:eastAsia="TimesNewRoman" w:hAnsiTheme="minorHAnsi" w:cs="TimesNewRoman"/>
        </w:rPr>
        <w:t>; PM-2017-01328-1-5)</w:t>
      </w:r>
      <w:r w:rsidRPr="000A39B2">
        <w:rPr>
          <w:rFonts w:asciiTheme="minorHAnsi" w:eastAsia="TimesNewRoman" w:hAnsiTheme="minorHAnsi" w:cs="TimesNewRoman"/>
        </w:rPr>
        <w:t xml:space="preserve">, ertugliflozin/sitagliptin FDC </w:t>
      </w:r>
      <w:r>
        <w:rPr>
          <w:rFonts w:asciiTheme="minorHAnsi" w:eastAsia="TimesNewRoman" w:hAnsiTheme="minorHAnsi" w:cs="TimesNewRoman"/>
        </w:rPr>
        <w:t>(</w:t>
      </w:r>
      <w:r w:rsidR="00B00B40">
        <w:rPr>
          <w:rFonts w:asciiTheme="minorHAnsi" w:eastAsia="TimesNewRoman" w:hAnsiTheme="minorHAnsi" w:cs="TimesNewRoman"/>
        </w:rPr>
        <w:t>Steglujan</w:t>
      </w:r>
      <w:r>
        <w:rPr>
          <w:rFonts w:asciiTheme="minorHAnsi" w:eastAsia="TimesNewRoman" w:hAnsiTheme="minorHAnsi" w:cs="TimesNewRoman"/>
        </w:rPr>
        <w:t>;</w:t>
      </w:r>
      <w:r w:rsidRPr="00726D6F">
        <w:rPr>
          <w:rFonts w:asciiTheme="minorHAnsi" w:eastAsia="TimesNewRoman" w:hAnsiTheme="minorHAnsi" w:cs="TimesNewRoman"/>
        </w:rPr>
        <w:t xml:space="preserve"> </w:t>
      </w:r>
      <w:r>
        <w:rPr>
          <w:rFonts w:asciiTheme="minorHAnsi" w:eastAsia="TimesNewRoman" w:hAnsiTheme="minorHAnsi" w:cs="TimesNewRoman"/>
        </w:rPr>
        <w:t xml:space="preserve">PM-2017-01329-1-5) </w:t>
      </w:r>
      <w:r w:rsidRPr="000A39B2">
        <w:rPr>
          <w:rFonts w:asciiTheme="minorHAnsi" w:eastAsia="TimesNewRoman" w:hAnsiTheme="minorHAnsi" w:cs="TimesNewRoman"/>
        </w:rPr>
        <w:t>and</w:t>
      </w:r>
      <w:r>
        <w:rPr>
          <w:rFonts w:asciiTheme="minorHAnsi" w:eastAsia="TimesNewRoman" w:hAnsiTheme="minorHAnsi" w:cs="TimesNewRoman"/>
        </w:rPr>
        <w:t xml:space="preserve"> </w:t>
      </w:r>
      <w:r w:rsidRPr="000A39B2">
        <w:rPr>
          <w:rFonts w:asciiTheme="minorHAnsi" w:eastAsia="TimesNewRoman" w:hAnsiTheme="minorHAnsi" w:cs="TimesNewRoman"/>
        </w:rPr>
        <w:t>ertugliflozin/metformin FDC</w:t>
      </w:r>
      <w:r>
        <w:rPr>
          <w:rFonts w:asciiTheme="minorHAnsi" w:eastAsia="TimesNewRoman" w:hAnsiTheme="minorHAnsi" w:cs="TimesNewRoman"/>
        </w:rPr>
        <w:t xml:space="preserve"> (</w:t>
      </w:r>
      <w:r w:rsidR="00B00B40">
        <w:rPr>
          <w:rFonts w:asciiTheme="minorHAnsi" w:eastAsia="TimesNewRoman" w:hAnsiTheme="minorHAnsi" w:cs="TimesNewRoman"/>
        </w:rPr>
        <w:t>Segluromet</w:t>
      </w:r>
      <w:r>
        <w:rPr>
          <w:rFonts w:asciiTheme="minorHAnsi" w:eastAsia="TimesNewRoman" w:hAnsiTheme="minorHAnsi" w:cs="TimesNewRoman"/>
        </w:rPr>
        <w:t>;</w:t>
      </w:r>
      <w:r w:rsidRPr="00726D6F">
        <w:rPr>
          <w:rFonts w:asciiTheme="minorHAnsi" w:eastAsia="TimesNewRoman" w:hAnsiTheme="minorHAnsi" w:cs="TimesNewRoman"/>
        </w:rPr>
        <w:t xml:space="preserve"> </w:t>
      </w:r>
      <w:r>
        <w:rPr>
          <w:rFonts w:asciiTheme="minorHAnsi" w:eastAsia="TimesNewRoman" w:hAnsiTheme="minorHAnsi" w:cs="TimesNewRoman"/>
        </w:rPr>
        <w:t>PM</w:t>
      </w:r>
      <w:r w:rsidR="00884A9A">
        <w:rPr>
          <w:rFonts w:asciiTheme="minorHAnsi" w:eastAsia="TimesNewRoman" w:hAnsiTheme="minorHAnsi" w:cs="TimesNewRoman"/>
        </w:rPr>
        <w:noBreakHyphen/>
      </w:r>
      <w:r>
        <w:rPr>
          <w:rFonts w:asciiTheme="minorHAnsi" w:eastAsia="TimesNewRoman" w:hAnsiTheme="minorHAnsi" w:cs="TimesNewRoman"/>
        </w:rPr>
        <w:t>2017</w:t>
      </w:r>
      <w:r w:rsidR="00884A9A">
        <w:rPr>
          <w:rFonts w:asciiTheme="minorHAnsi" w:eastAsia="TimesNewRoman" w:hAnsiTheme="minorHAnsi" w:cs="TimesNewRoman"/>
        </w:rPr>
        <w:noBreakHyphen/>
      </w:r>
      <w:r>
        <w:rPr>
          <w:rFonts w:asciiTheme="minorHAnsi" w:eastAsia="TimesNewRoman" w:hAnsiTheme="minorHAnsi" w:cs="TimesNewRoman"/>
        </w:rPr>
        <w:t>01330-1-5)</w:t>
      </w:r>
      <w:r w:rsidRPr="000A39B2">
        <w:rPr>
          <w:rFonts w:asciiTheme="minorHAnsi" w:eastAsia="TimesNewRoman" w:hAnsiTheme="minorHAnsi" w:cs="TimesNewRoman"/>
        </w:rPr>
        <w:t xml:space="preserve"> for the treatment of T2DM are being pursued concurrently</w:t>
      </w:r>
      <w:r>
        <w:rPr>
          <w:rFonts w:asciiTheme="minorHAnsi" w:eastAsia="TimesNewRoman" w:hAnsiTheme="minorHAnsi" w:cs="TimesNewRoman"/>
        </w:rPr>
        <w:t>.</w:t>
      </w:r>
    </w:p>
    <w:p w:rsidR="00B37C25" w:rsidRPr="000F0157" w:rsidRDefault="00B37C25" w:rsidP="0072236F">
      <w:pPr>
        <w:pStyle w:val="Heading3"/>
      </w:pPr>
      <w:bookmarkStart w:id="36" w:name="_Toc504036099"/>
      <w:bookmarkStart w:id="37" w:name="_Toc4573563"/>
      <w:r w:rsidRPr="000F0157">
        <w:t>Guidance</w:t>
      </w:r>
      <w:bookmarkEnd w:id="36"/>
      <w:bookmarkEnd w:id="37"/>
    </w:p>
    <w:p w:rsidR="00B37C25" w:rsidRDefault="00B37C25" w:rsidP="00B37C25">
      <w:pPr>
        <w:autoSpaceDE w:val="0"/>
        <w:autoSpaceDN w:val="0"/>
        <w:adjustRightInd w:val="0"/>
        <w:spacing w:before="0" w:line="240" w:lineRule="auto"/>
        <w:rPr>
          <w:rFonts w:eastAsia="TimesNewRoman" w:cs="TimesNewRoman"/>
        </w:rPr>
      </w:pPr>
      <w:r>
        <w:rPr>
          <w:lang w:eastAsia="ja-JP"/>
        </w:rPr>
        <w:t xml:space="preserve">Relevant guidelines for this dossier include the </w:t>
      </w:r>
      <w:r w:rsidRPr="004C64CE">
        <w:rPr>
          <w:rFonts w:eastAsia="TimesNewRoman" w:cs="TimesNewRoman"/>
        </w:rPr>
        <w:t xml:space="preserve">Guideline on </w:t>
      </w:r>
      <w:r>
        <w:rPr>
          <w:rFonts w:eastAsia="TimesNewRoman" w:cs="TimesNewRoman"/>
        </w:rPr>
        <w:t>Clinical development of Fixed Combination Medicinal products (CHMP/EWP/240/95/2009) and Guideline on clinical investigation of medicinal products in the treatment or prevention of diabetes mellitus (CPMP/EWP/1080/2012). The clinical development program was compliant with these guidelines.</w:t>
      </w:r>
    </w:p>
    <w:p w:rsidR="00B37C25" w:rsidRPr="000F0157" w:rsidRDefault="00B37C25" w:rsidP="0072236F">
      <w:pPr>
        <w:pStyle w:val="Heading3"/>
      </w:pPr>
      <w:bookmarkStart w:id="38" w:name="_Toc504036100"/>
      <w:bookmarkStart w:id="39" w:name="_Toc4573564"/>
      <w:r w:rsidRPr="000F0157">
        <w:t>Evaluator’s commentary on the background information</w:t>
      </w:r>
      <w:bookmarkEnd w:id="38"/>
      <w:bookmarkEnd w:id="39"/>
    </w:p>
    <w:p w:rsidR="00B37C25" w:rsidRDefault="00B37C25" w:rsidP="00B37C25">
      <w:pPr>
        <w:spacing w:before="0" w:line="240" w:lineRule="auto"/>
        <w:rPr>
          <w:lang w:eastAsia="ja-JP"/>
        </w:rPr>
      </w:pPr>
      <w:r>
        <w:rPr>
          <w:lang w:eastAsia="ja-JP"/>
        </w:rPr>
        <w:t>Evaluation of background information did not raise any concerns. The stated clinical rationale is valid and acceptable.</w:t>
      </w:r>
    </w:p>
    <w:p w:rsidR="00B37C25" w:rsidRPr="000F0157" w:rsidRDefault="00B37C25" w:rsidP="0072236F">
      <w:pPr>
        <w:pStyle w:val="Heading2"/>
      </w:pPr>
      <w:bookmarkStart w:id="40" w:name="_Toc504036101"/>
      <w:bookmarkStart w:id="41" w:name="_Toc4573565"/>
      <w:r w:rsidRPr="000F0157">
        <w:lastRenderedPageBreak/>
        <w:t>Contents of the clinical dossier</w:t>
      </w:r>
      <w:bookmarkEnd w:id="8"/>
      <w:bookmarkEnd w:id="9"/>
      <w:bookmarkEnd w:id="40"/>
      <w:bookmarkEnd w:id="41"/>
    </w:p>
    <w:p w:rsidR="00B37C25" w:rsidRPr="000F0157" w:rsidRDefault="00B37C25" w:rsidP="0072236F">
      <w:pPr>
        <w:pStyle w:val="Heading3"/>
      </w:pPr>
      <w:bookmarkStart w:id="42" w:name="_Toc504036102"/>
      <w:bookmarkStart w:id="43" w:name="_Toc4573566"/>
      <w:r w:rsidRPr="000F0157">
        <w:t>Scope of the clinical dossier</w:t>
      </w:r>
      <w:bookmarkEnd w:id="42"/>
      <w:bookmarkEnd w:id="43"/>
    </w:p>
    <w:p w:rsidR="0072236F" w:rsidRDefault="0072236F" w:rsidP="0072236F">
      <w:pPr>
        <w:pStyle w:val="Heading4"/>
      </w:pPr>
      <w:r>
        <w:t>Clinical Pharmacology</w:t>
      </w:r>
    </w:p>
    <w:p w:rsidR="00B37C25" w:rsidRDefault="00B37C25" w:rsidP="00B37C25">
      <w:pPr>
        <w:rPr>
          <w:lang w:eastAsia="ja-JP"/>
        </w:rPr>
      </w:pPr>
      <w:r>
        <w:rPr>
          <w:lang w:eastAsia="ja-JP"/>
        </w:rPr>
        <w:t xml:space="preserve">The current submission comprises five new, </w:t>
      </w:r>
      <w:r w:rsidR="009B2F3C">
        <w:rPr>
          <w:lang w:eastAsia="ja-JP"/>
        </w:rPr>
        <w:t>Phase I</w:t>
      </w:r>
      <w:r>
        <w:rPr>
          <w:lang w:eastAsia="ja-JP"/>
        </w:rPr>
        <w:t>, PK studies, none of which include PD data. Four of the studies examine the BE between the various strengths of the FDC proposed for marketing and the corresponding free combination. In addition, a single study examined the effect of a high-fat/high-calorie breakfast on the PKs of the active components of the FDC tablets. No new popPK or modelling studies were undertaken as part of the present submission.</w:t>
      </w:r>
    </w:p>
    <w:p w:rsidR="0072236F" w:rsidRDefault="00B37C25" w:rsidP="0072236F">
      <w:pPr>
        <w:pStyle w:val="Heading4"/>
      </w:pPr>
      <w:r w:rsidRPr="004F6501">
        <w:t>Efficacy and safety</w:t>
      </w:r>
    </w:p>
    <w:p w:rsidR="00B37C25" w:rsidRDefault="00B37C25" w:rsidP="005812DE">
      <w:r w:rsidRPr="004F6501">
        <w:t xml:space="preserve">Three of the seven </w:t>
      </w:r>
      <w:r w:rsidR="009B2F3C">
        <w:t>Phase III</w:t>
      </w:r>
      <w:r w:rsidRPr="004F6501">
        <w:t xml:space="preserve"> studies (submitted for the ertugliflozin submission) were conducted in support of the ertugliflozin/sitagliptin</w:t>
      </w:r>
      <w:r>
        <w:t xml:space="preserve"> </w:t>
      </w:r>
      <w:r w:rsidRPr="004F6501">
        <w:t>submission, including 1 active-controlled factorial study (</w:t>
      </w:r>
      <w:r w:rsidR="00BC7DA5">
        <w:t>Study P0</w:t>
      </w:r>
      <w:r w:rsidRPr="004F6501">
        <w:t>05/1019) and</w:t>
      </w:r>
      <w:r>
        <w:t xml:space="preserve"> </w:t>
      </w:r>
      <w:r w:rsidRPr="004F6501">
        <w:t>2 placebo</w:t>
      </w:r>
      <w:r w:rsidR="00884A9A">
        <w:t xml:space="preserve"> </w:t>
      </w:r>
      <w:r w:rsidRPr="004F6501">
        <w:t>controlled studies (</w:t>
      </w:r>
      <w:r w:rsidR="00BC7DA5">
        <w:t>Study P0</w:t>
      </w:r>
      <w:r w:rsidRPr="004F6501">
        <w:t xml:space="preserve">06/1015 and </w:t>
      </w:r>
      <w:r w:rsidR="00BC7DA5">
        <w:t>Study P0</w:t>
      </w:r>
      <w:r w:rsidRPr="004F6501">
        <w:t>17/1047), that evaluated the</w:t>
      </w:r>
      <w:r>
        <w:t xml:space="preserve"> </w:t>
      </w:r>
      <w:r w:rsidRPr="004F6501">
        <w:t>safety and efficacy of ertugliflozin in combination with sitagliptin in adult subjects with</w:t>
      </w:r>
      <w:r>
        <w:t xml:space="preserve"> </w:t>
      </w:r>
      <w:r w:rsidRPr="004F6501">
        <w:t>T2DM.</w:t>
      </w:r>
    </w:p>
    <w:p w:rsidR="00B37C25" w:rsidRDefault="00B37C25" w:rsidP="005812DE">
      <w:pPr>
        <w:rPr>
          <w:rFonts w:cs="ArialMT"/>
        </w:rPr>
      </w:pPr>
      <w:r>
        <w:t>D</w:t>
      </w:r>
      <w:r w:rsidRPr="004F6501">
        <w:t>ata from the 3 individual studies were not</w:t>
      </w:r>
      <w:r>
        <w:t xml:space="preserve"> </w:t>
      </w:r>
      <w:r w:rsidRPr="004F6501">
        <w:t>pooled for analysis</w:t>
      </w:r>
      <w:r>
        <w:rPr>
          <w:rFonts w:cs="ArialMT"/>
        </w:rPr>
        <w:t xml:space="preserve"> due to </w:t>
      </w:r>
      <w:r w:rsidRPr="004F6501">
        <w:t>differences in study designs</w:t>
      </w:r>
      <w:r w:rsidR="0072236F">
        <w:t>.</w:t>
      </w:r>
    </w:p>
    <w:p w:rsidR="00B37C25" w:rsidRPr="004F6501" w:rsidRDefault="00B37C25" w:rsidP="005812DE">
      <w:pPr>
        <w:rPr>
          <w:rFonts w:cs="Calibri"/>
        </w:rPr>
      </w:pPr>
      <w:r w:rsidRPr="004F6501">
        <w:t xml:space="preserve">No </w:t>
      </w:r>
      <w:r w:rsidR="009B2F3C">
        <w:t>Phase II</w:t>
      </w:r>
      <w:r w:rsidRPr="004F6501">
        <w:t xml:space="preserve"> studies of ertugliflozin in combination with sitagliptin were</w:t>
      </w:r>
      <w:r>
        <w:t xml:space="preserve"> </w:t>
      </w:r>
      <w:r w:rsidRPr="004F6501">
        <w:t>conducted.</w:t>
      </w:r>
    </w:p>
    <w:p w:rsidR="00B37C25" w:rsidRDefault="00B37C25" w:rsidP="0072236F">
      <w:pPr>
        <w:pStyle w:val="Comment"/>
      </w:pPr>
      <w:r w:rsidRPr="0072236F">
        <w:rPr>
          <w:b/>
        </w:rPr>
        <w:t>Comment</w:t>
      </w:r>
      <w:r w:rsidRPr="004F6501">
        <w:t xml:space="preserve">: The </w:t>
      </w:r>
      <w:r>
        <w:t>three</w:t>
      </w:r>
      <w:r w:rsidRPr="004F6501">
        <w:t xml:space="preserve"> </w:t>
      </w:r>
      <w:r w:rsidR="009B2F3C">
        <w:t>Phase III</w:t>
      </w:r>
      <w:r w:rsidRPr="004F6501">
        <w:t xml:space="preserve"> studies supporting this FDC were conducted using ertugliflozin and sitagliptin</w:t>
      </w:r>
      <w:r>
        <w:t xml:space="preserve"> </w:t>
      </w:r>
      <w:r w:rsidRPr="004F6501">
        <w:t>administered as separate tablets, and bridging to the FDC formulation is therefore provided</w:t>
      </w:r>
      <w:r>
        <w:t xml:space="preserve"> </w:t>
      </w:r>
      <w:r w:rsidRPr="004F6501">
        <w:t>via bioequivalence (BE) studies comparing the FDC to co-administration of individual</w:t>
      </w:r>
      <w:r>
        <w:t xml:space="preserve"> </w:t>
      </w:r>
      <w:r w:rsidRPr="004F6501">
        <w:t xml:space="preserve">components. </w:t>
      </w:r>
      <w:r>
        <w:t xml:space="preserve">The only </w:t>
      </w:r>
      <w:r w:rsidR="009B2F3C">
        <w:t>Phase II</w:t>
      </w:r>
      <w:r>
        <w:t xml:space="preserve"> dose</w:t>
      </w:r>
      <w:r w:rsidR="00884A9A">
        <w:t xml:space="preserve"> </w:t>
      </w:r>
      <w:r>
        <w:t>response studies were those submitted in the ertugliflozin dossier (</w:t>
      </w:r>
      <w:r w:rsidR="000131F6">
        <w:t>Study </w:t>
      </w:r>
      <w:r>
        <w:t xml:space="preserve">P016/1006 and P042/1004) </w:t>
      </w:r>
      <w:r w:rsidR="004B0649">
        <w:t>which</w:t>
      </w:r>
      <w:r>
        <w:t xml:space="preserve"> </w:t>
      </w:r>
      <w:r w:rsidR="004B0649">
        <w:t>have been</w:t>
      </w:r>
      <w:r>
        <w:t xml:space="preserve"> discussed in the Steglatro evaluation report PM</w:t>
      </w:r>
      <w:r w:rsidR="00884A9A">
        <w:noBreakHyphen/>
      </w:r>
      <w:r>
        <w:t>2017-01328-1-5</w:t>
      </w:r>
      <w:r w:rsidR="000131F6">
        <w:t xml:space="preserve"> [see Attachment 2]</w:t>
      </w:r>
      <w:r>
        <w:t>.</w:t>
      </w:r>
    </w:p>
    <w:p w:rsidR="00B37C25" w:rsidRPr="000F0157" w:rsidRDefault="00B37C25" w:rsidP="0072236F">
      <w:pPr>
        <w:pStyle w:val="Heading3"/>
      </w:pPr>
      <w:bookmarkStart w:id="44" w:name="_Toc504036103"/>
      <w:bookmarkStart w:id="45" w:name="_Toc4573567"/>
      <w:r w:rsidRPr="000F0157">
        <w:t>Paediatric data</w:t>
      </w:r>
      <w:bookmarkEnd w:id="44"/>
      <w:bookmarkEnd w:id="45"/>
    </w:p>
    <w:p w:rsidR="00B37C25" w:rsidRDefault="00B37C25" w:rsidP="005812DE">
      <w:pPr>
        <w:rPr>
          <w:lang w:eastAsia="ja-JP"/>
        </w:rPr>
      </w:pPr>
      <w:r w:rsidRPr="008C2EA4">
        <w:rPr>
          <w:lang w:eastAsia="ja-JP"/>
        </w:rPr>
        <w:t>There is</w:t>
      </w:r>
      <w:r>
        <w:rPr>
          <w:lang w:eastAsia="ja-JP"/>
        </w:rPr>
        <w:t xml:space="preserve"> no</w:t>
      </w:r>
      <w:r w:rsidRPr="008C2EA4">
        <w:rPr>
          <w:lang w:eastAsia="ja-JP"/>
        </w:rPr>
        <w:t xml:space="preserve"> paediatric data in the current submission. </w:t>
      </w:r>
      <w:r w:rsidR="00F51AAD">
        <w:rPr>
          <w:lang w:eastAsia="ja-JP"/>
        </w:rPr>
        <w:t>The submission</w:t>
      </w:r>
      <w:r w:rsidRPr="008C2EA4">
        <w:rPr>
          <w:lang w:eastAsia="ja-JP"/>
        </w:rPr>
        <w:t xml:space="preserve"> mentions that </w:t>
      </w:r>
      <w:r w:rsidR="00F51AAD">
        <w:rPr>
          <w:lang w:eastAsia="ja-JP"/>
        </w:rPr>
        <w:t xml:space="preserve">the </w:t>
      </w:r>
      <w:r w:rsidR="0013015A">
        <w:rPr>
          <w:lang w:eastAsia="ja-JP"/>
        </w:rPr>
        <w:t>sponsor</w:t>
      </w:r>
      <w:r w:rsidRPr="008C2EA4">
        <w:rPr>
          <w:lang w:eastAsia="ja-JP"/>
        </w:rPr>
        <w:t>s have</w:t>
      </w:r>
      <w:r>
        <w:rPr>
          <w:lang w:eastAsia="ja-JP"/>
        </w:rPr>
        <w:t xml:space="preserve"> </w:t>
      </w:r>
      <w:r w:rsidRPr="008C2EA4">
        <w:rPr>
          <w:lang w:eastAsia="ja-JP"/>
        </w:rPr>
        <w:t xml:space="preserve">submitted a PIP (Paediatric investigation plan) in the EU and the </w:t>
      </w:r>
      <w:r w:rsidRPr="008C2EA4">
        <w:rPr>
          <w:rFonts w:eastAsiaTheme="minorHAnsi" w:cs="ArialMT"/>
        </w:rPr>
        <w:t xml:space="preserve">date on which </w:t>
      </w:r>
      <w:r w:rsidR="00E26B2E">
        <w:rPr>
          <w:rFonts w:eastAsiaTheme="minorHAnsi" w:cs="ArialMT"/>
        </w:rPr>
        <w:t>t</w:t>
      </w:r>
      <w:r w:rsidR="0013015A">
        <w:rPr>
          <w:rFonts w:eastAsiaTheme="minorHAnsi" w:cs="ArialMT"/>
        </w:rPr>
        <w:t>he sponsor</w:t>
      </w:r>
      <w:r w:rsidRPr="008C2EA4">
        <w:rPr>
          <w:rFonts w:eastAsiaTheme="minorHAnsi" w:cs="ArialMT"/>
        </w:rPr>
        <w:t>s are first required to submit a report of a study conducted as</w:t>
      </w:r>
      <w:r>
        <w:rPr>
          <w:rFonts w:eastAsiaTheme="minorHAnsi" w:cs="ArialMT"/>
        </w:rPr>
        <w:t xml:space="preserve"> </w:t>
      </w:r>
      <w:r w:rsidRPr="008C2EA4">
        <w:rPr>
          <w:rFonts w:eastAsiaTheme="minorHAnsi" w:cs="ArialMT"/>
        </w:rPr>
        <w:t xml:space="preserve">part of the PIP is </w:t>
      </w:r>
      <w:r w:rsidR="00884A9A">
        <w:rPr>
          <w:rFonts w:eastAsiaTheme="minorHAnsi" w:cs="ArialMT"/>
        </w:rPr>
        <w:t>September</w:t>
      </w:r>
      <w:r w:rsidRPr="008C2EA4">
        <w:rPr>
          <w:rFonts w:eastAsiaTheme="minorHAnsi" w:cs="ArialMT"/>
        </w:rPr>
        <w:t xml:space="preserve"> 2026</w:t>
      </w:r>
      <w:r>
        <w:rPr>
          <w:rFonts w:eastAsiaTheme="minorHAnsi" w:cs="ArialMT"/>
        </w:rPr>
        <w:t>.</w:t>
      </w:r>
    </w:p>
    <w:p w:rsidR="00B37C25" w:rsidRPr="000F0157" w:rsidRDefault="00B37C25" w:rsidP="0072236F">
      <w:pPr>
        <w:pStyle w:val="Heading3"/>
      </w:pPr>
      <w:bookmarkStart w:id="46" w:name="_Toc504036104"/>
      <w:bookmarkStart w:id="47" w:name="_Toc4573568"/>
      <w:r w:rsidRPr="000F0157">
        <w:t>Good clinical practice</w:t>
      </w:r>
      <w:bookmarkEnd w:id="46"/>
      <w:bookmarkEnd w:id="47"/>
    </w:p>
    <w:p w:rsidR="00884A9A" w:rsidRDefault="00B37C25" w:rsidP="005812DE">
      <w:r>
        <w:t>All s</w:t>
      </w:r>
      <w:r w:rsidRPr="00DD5370">
        <w:t>tudies were conducted in accordance with Guidelines for Good</w:t>
      </w:r>
      <w:r>
        <w:t xml:space="preserve"> </w:t>
      </w:r>
      <w:r w:rsidRPr="00DD5370">
        <w:t>Clinical Practice (GCP) and the Declaration of Helsinki</w:t>
      </w:r>
      <w:bookmarkStart w:id="48" w:name="_Toc504036105"/>
      <w:bookmarkStart w:id="49" w:name="_Toc355338639"/>
      <w:r w:rsidR="00884A9A">
        <w:t>.</w:t>
      </w:r>
    </w:p>
    <w:p w:rsidR="00B37C25" w:rsidRPr="009A141C" w:rsidRDefault="00B37C25" w:rsidP="0072236F">
      <w:pPr>
        <w:pStyle w:val="Heading3"/>
      </w:pPr>
      <w:bookmarkStart w:id="50" w:name="_Toc4573569"/>
      <w:r w:rsidRPr="000F0157">
        <w:t>Evaluator’s commentary on the clinical dossier</w:t>
      </w:r>
      <w:bookmarkEnd w:id="48"/>
      <w:bookmarkEnd w:id="50"/>
    </w:p>
    <w:p w:rsidR="00B37C25" w:rsidRDefault="00B37C25" w:rsidP="00B37C25">
      <w:pPr>
        <w:rPr>
          <w:lang w:eastAsia="ja-JP"/>
        </w:rPr>
      </w:pPr>
      <w:r>
        <w:rPr>
          <w:lang w:eastAsia="ja-JP"/>
        </w:rPr>
        <w:t xml:space="preserve">The submission was well-presented. For shortcomings of the concurrent ertugliflozin submission, </w:t>
      </w:r>
      <w:r w:rsidRPr="004D575B">
        <w:rPr>
          <w:lang w:eastAsia="ja-JP"/>
        </w:rPr>
        <w:t xml:space="preserve">please refer to the evaluation report for </w:t>
      </w:r>
      <w:r w:rsidR="0072236F">
        <w:rPr>
          <w:lang w:eastAsia="ja-JP"/>
        </w:rPr>
        <w:t>Steglatro</w:t>
      </w:r>
      <w:r w:rsidRPr="005812DE">
        <w:t>.</w:t>
      </w:r>
    </w:p>
    <w:p w:rsidR="00B37C25" w:rsidRDefault="00B37C25" w:rsidP="0072236F">
      <w:pPr>
        <w:pStyle w:val="Heading2"/>
      </w:pPr>
      <w:bookmarkStart w:id="51" w:name="_Toc504036106"/>
      <w:bookmarkStart w:id="52" w:name="_Toc4573570"/>
      <w:r>
        <w:lastRenderedPageBreak/>
        <w:t>Pharmacokinetics</w:t>
      </w:r>
      <w:bookmarkEnd w:id="49"/>
      <w:bookmarkEnd w:id="51"/>
      <w:bookmarkEnd w:id="52"/>
    </w:p>
    <w:p w:rsidR="00B37C25" w:rsidRPr="009A141C" w:rsidRDefault="00B37C25" w:rsidP="0072236F">
      <w:pPr>
        <w:pStyle w:val="Heading3"/>
      </w:pPr>
      <w:bookmarkStart w:id="53" w:name="_Toc504036107"/>
      <w:bookmarkStart w:id="54" w:name="_Toc4573571"/>
      <w:r>
        <w:t>Studies providing pharmacokinetic information</w:t>
      </w:r>
      <w:bookmarkEnd w:id="53"/>
      <w:bookmarkEnd w:id="54"/>
    </w:p>
    <w:p w:rsidR="00B37C25" w:rsidRPr="00571929" w:rsidRDefault="00B37C25" w:rsidP="0072236F">
      <w:pPr>
        <w:pStyle w:val="Tabletitle"/>
      </w:pPr>
      <w:bookmarkStart w:id="55" w:name="_Toc453839419"/>
      <w:bookmarkStart w:id="56" w:name="_Toc504036204"/>
      <w:r w:rsidRPr="002E2E9A">
        <w:t>Table 1</w:t>
      </w:r>
      <w:r w:rsidR="006F48AD">
        <w:t>:</w:t>
      </w:r>
      <w:r w:rsidRPr="002E2E9A">
        <w:t xml:space="preserve"> Submitted pharmacokinetic studies</w:t>
      </w:r>
      <w:bookmarkEnd w:id="55"/>
      <w:bookmarkEnd w:id="56"/>
    </w:p>
    <w:tbl>
      <w:tblPr>
        <w:tblStyle w:val="TableTGAblue"/>
        <w:tblW w:w="0" w:type="auto"/>
        <w:tblLayout w:type="fixed"/>
        <w:tblLook w:val="04A0" w:firstRow="1" w:lastRow="0" w:firstColumn="1" w:lastColumn="0" w:noHBand="0" w:noVBand="1"/>
      </w:tblPr>
      <w:tblGrid>
        <w:gridCol w:w="1242"/>
        <w:gridCol w:w="2127"/>
        <w:gridCol w:w="1701"/>
        <w:gridCol w:w="3969"/>
      </w:tblGrid>
      <w:tr w:rsidR="0072236F" w:rsidRPr="00571929" w:rsidTr="007223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2236F" w:rsidRPr="0072236F" w:rsidRDefault="0072236F" w:rsidP="005812DE">
            <w:pPr>
              <w:ind w:left="0" w:right="0"/>
              <w:rPr>
                <w:b w:val="0"/>
                <w:sz w:val="20"/>
                <w:szCs w:val="20"/>
              </w:rPr>
            </w:pPr>
            <w:r w:rsidRPr="0072236F">
              <w:rPr>
                <w:sz w:val="20"/>
                <w:szCs w:val="20"/>
              </w:rPr>
              <w:t>PK topic</w:t>
            </w:r>
          </w:p>
        </w:tc>
        <w:tc>
          <w:tcPr>
            <w:tcW w:w="2127" w:type="dxa"/>
          </w:tcPr>
          <w:p w:rsidR="0072236F" w:rsidRPr="0072236F" w:rsidRDefault="0072236F" w:rsidP="005812DE">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72236F">
              <w:rPr>
                <w:sz w:val="20"/>
                <w:szCs w:val="20"/>
              </w:rPr>
              <w:t>Subtopic</w:t>
            </w:r>
          </w:p>
        </w:tc>
        <w:tc>
          <w:tcPr>
            <w:tcW w:w="1701" w:type="dxa"/>
          </w:tcPr>
          <w:p w:rsidR="0072236F" w:rsidRPr="0072236F" w:rsidRDefault="0072236F" w:rsidP="005812DE">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72236F">
              <w:rPr>
                <w:sz w:val="20"/>
                <w:szCs w:val="20"/>
              </w:rPr>
              <w:t>Study ID</w:t>
            </w:r>
          </w:p>
        </w:tc>
        <w:tc>
          <w:tcPr>
            <w:tcW w:w="3969" w:type="dxa"/>
          </w:tcPr>
          <w:p w:rsidR="0072236F" w:rsidRPr="0072236F" w:rsidRDefault="0072236F" w:rsidP="005812DE">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72236F">
              <w:rPr>
                <w:sz w:val="20"/>
                <w:szCs w:val="20"/>
              </w:rPr>
              <w:t>*</w:t>
            </w:r>
          </w:p>
        </w:tc>
      </w:tr>
      <w:tr w:rsidR="0072236F" w:rsidRPr="00571929" w:rsidTr="0072236F">
        <w:tc>
          <w:tcPr>
            <w:cnfStyle w:val="001000000000" w:firstRow="0" w:lastRow="0" w:firstColumn="1" w:lastColumn="0" w:oddVBand="0" w:evenVBand="0" w:oddHBand="0" w:evenHBand="0" w:firstRowFirstColumn="0" w:firstRowLastColumn="0" w:lastRowFirstColumn="0" w:lastRowLastColumn="0"/>
            <w:tcW w:w="1242" w:type="dxa"/>
            <w:vMerge w:val="restart"/>
          </w:tcPr>
          <w:p w:rsidR="0072236F" w:rsidRPr="0072236F" w:rsidRDefault="0072236F" w:rsidP="005812DE">
            <w:pPr>
              <w:ind w:left="0" w:right="0"/>
              <w:rPr>
                <w:sz w:val="20"/>
                <w:szCs w:val="20"/>
              </w:rPr>
            </w:pPr>
            <w:r w:rsidRPr="0072236F">
              <w:rPr>
                <w:sz w:val="20"/>
                <w:szCs w:val="20"/>
              </w:rPr>
              <w:t>PK in healthy adults</w:t>
            </w:r>
          </w:p>
        </w:tc>
        <w:tc>
          <w:tcPr>
            <w:tcW w:w="2127" w:type="dxa"/>
            <w:vMerge w:val="restart"/>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Bioequivalence†</w:t>
            </w:r>
          </w:p>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Single dose</w:t>
            </w:r>
          </w:p>
        </w:tc>
        <w:tc>
          <w:tcPr>
            <w:tcW w:w="1701"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P025/1038</w:t>
            </w:r>
          </w:p>
        </w:tc>
        <w:tc>
          <w:tcPr>
            <w:tcW w:w="3969"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BE of ertugliflozin 15 mg/sitagliptin 100 mg FDC and the free combination</w:t>
            </w:r>
          </w:p>
        </w:tc>
      </w:tr>
      <w:tr w:rsidR="0072236F" w:rsidRPr="00571929" w:rsidTr="0072236F">
        <w:tc>
          <w:tcPr>
            <w:cnfStyle w:val="001000000000" w:firstRow="0" w:lastRow="0" w:firstColumn="1" w:lastColumn="0" w:oddVBand="0" w:evenVBand="0" w:oddHBand="0" w:evenHBand="0" w:firstRowFirstColumn="0" w:firstRowLastColumn="0" w:lastRowFirstColumn="0" w:lastRowLastColumn="0"/>
            <w:tcW w:w="1242" w:type="dxa"/>
            <w:vMerge/>
          </w:tcPr>
          <w:p w:rsidR="0072236F" w:rsidRPr="0072236F" w:rsidRDefault="0072236F" w:rsidP="005812DE">
            <w:pPr>
              <w:ind w:left="0" w:right="0"/>
              <w:rPr>
                <w:sz w:val="20"/>
                <w:szCs w:val="20"/>
              </w:rPr>
            </w:pPr>
          </w:p>
        </w:tc>
        <w:tc>
          <w:tcPr>
            <w:tcW w:w="2127" w:type="dxa"/>
            <w:vMerge/>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bCs/>
                <w:color w:val="000000"/>
                <w:sz w:val="20"/>
                <w:szCs w:val="20"/>
              </w:rPr>
              <w:t>P044/1053</w:t>
            </w:r>
          </w:p>
        </w:tc>
        <w:tc>
          <w:tcPr>
            <w:tcW w:w="3969"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BE of ertugliflozin 15 mg/sitagliptin 50 mg FDC and the free combination</w:t>
            </w:r>
          </w:p>
        </w:tc>
      </w:tr>
      <w:tr w:rsidR="0072236F" w:rsidRPr="00571929" w:rsidTr="0072236F">
        <w:tc>
          <w:tcPr>
            <w:cnfStyle w:val="001000000000" w:firstRow="0" w:lastRow="0" w:firstColumn="1" w:lastColumn="0" w:oddVBand="0" w:evenVBand="0" w:oddHBand="0" w:evenHBand="0" w:firstRowFirstColumn="0" w:firstRowLastColumn="0" w:lastRowFirstColumn="0" w:lastRowLastColumn="0"/>
            <w:tcW w:w="1242" w:type="dxa"/>
            <w:vMerge/>
          </w:tcPr>
          <w:p w:rsidR="0072236F" w:rsidRPr="0072236F" w:rsidRDefault="0072236F" w:rsidP="005812DE">
            <w:pPr>
              <w:ind w:left="0" w:right="0"/>
              <w:rPr>
                <w:sz w:val="20"/>
                <w:szCs w:val="20"/>
              </w:rPr>
            </w:pPr>
          </w:p>
        </w:tc>
        <w:tc>
          <w:tcPr>
            <w:tcW w:w="2127" w:type="dxa"/>
            <w:vMerge/>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P048/1056</w:t>
            </w:r>
          </w:p>
        </w:tc>
        <w:tc>
          <w:tcPr>
            <w:tcW w:w="3969"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BE of ertugliflozin 5 mg/sitagliptin 100 mg FDC tablet and the free combination</w:t>
            </w:r>
          </w:p>
        </w:tc>
      </w:tr>
      <w:tr w:rsidR="0072236F" w:rsidRPr="00571929" w:rsidTr="0072236F">
        <w:tc>
          <w:tcPr>
            <w:cnfStyle w:val="001000000000" w:firstRow="0" w:lastRow="0" w:firstColumn="1" w:lastColumn="0" w:oddVBand="0" w:evenVBand="0" w:oddHBand="0" w:evenHBand="0" w:firstRowFirstColumn="0" w:firstRowLastColumn="0" w:lastRowFirstColumn="0" w:lastRowLastColumn="0"/>
            <w:tcW w:w="1242" w:type="dxa"/>
            <w:vMerge/>
          </w:tcPr>
          <w:p w:rsidR="0072236F" w:rsidRPr="0072236F" w:rsidRDefault="0072236F" w:rsidP="005812DE">
            <w:pPr>
              <w:ind w:left="0" w:right="0"/>
              <w:rPr>
                <w:sz w:val="20"/>
                <w:szCs w:val="20"/>
              </w:rPr>
            </w:pPr>
          </w:p>
        </w:tc>
        <w:tc>
          <w:tcPr>
            <w:tcW w:w="2127" w:type="dxa"/>
            <w:vMerge/>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P049/1057</w:t>
            </w:r>
          </w:p>
        </w:tc>
        <w:tc>
          <w:tcPr>
            <w:tcW w:w="3969"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BE of ertugliflozin 5 mg/sitagliptin 50 mg FDC tablet and the free combination</w:t>
            </w:r>
          </w:p>
        </w:tc>
      </w:tr>
      <w:tr w:rsidR="0072236F" w:rsidRPr="00571929" w:rsidTr="0072236F">
        <w:tc>
          <w:tcPr>
            <w:cnfStyle w:val="001000000000" w:firstRow="0" w:lastRow="0" w:firstColumn="1" w:lastColumn="0" w:oddVBand="0" w:evenVBand="0" w:oddHBand="0" w:evenHBand="0" w:firstRowFirstColumn="0" w:firstRowLastColumn="0" w:lastRowFirstColumn="0" w:lastRowLastColumn="0"/>
            <w:tcW w:w="1242" w:type="dxa"/>
            <w:vMerge/>
          </w:tcPr>
          <w:p w:rsidR="0072236F" w:rsidRPr="0072236F" w:rsidRDefault="0072236F" w:rsidP="005812DE">
            <w:pPr>
              <w:ind w:left="0" w:right="0"/>
              <w:rPr>
                <w:sz w:val="20"/>
                <w:szCs w:val="20"/>
              </w:rPr>
            </w:pPr>
          </w:p>
        </w:tc>
        <w:tc>
          <w:tcPr>
            <w:tcW w:w="2127"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Food effect</w:t>
            </w:r>
          </w:p>
        </w:tc>
        <w:tc>
          <w:tcPr>
            <w:tcW w:w="1701"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P026/1050</w:t>
            </w:r>
          </w:p>
        </w:tc>
        <w:tc>
          <w:tcPr>
            <w:tcW w:w="3969" w:type="dxa"/>
          </w:tcPr>
          <w:p w:rsidR="0072236F" w:rsidRPr="0072236F" w:rsidRDefault="0072236F" w:rsidP="005812DE">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2236F">
              <w:rPr>
                <w:sz w:val="20"/>
                <w:szCs w:val="20"/>
              </w:rPr>
              <w:t>Relative BA of ertugliflozin 15 mg/sitagliptin 100 mg FDC tablet under fasted and fed conditions</w:t>
            </w:r>
          </w:p>
        </w:tc>
      </w:tr>
    </w:tbl>
    <w:p w:rsidR="00B37C25" w:rsidRPr="002E2E9A" w:rsidRDefault="00B37C25" w:rsidP="0072236F">
      <w:pPr>
        <w:pStyle w:val="TableDescription"/>
      </w:pPr>
      <w:r w:rsidRPr="002E2E9A">
        <w:t>* Indicates the primary PK aim of the study.</w:t>
      </w:r>
      <w:r w:rsidR="0072236F">
        <w:t xml:space="preserve"> </w:t>
      </w:r>
      <w:r w:rsidRPr="002E2E9A">
        <w:t>† Bioequivalence of different formulations.</w:t>
      </w:r>
    </w:p>
    <w:p w:rsidR="00B37C25" w:rsidRDefault="00B37C25" w:rsidP="0072236F">
      <w:pPr>
        <w:pStyle w:val="Heading3"/>
      </w:pPr>
      <w:bookmarkStart w:id="57" w:name="_Toc461096075"/>
      <w:bookmarkStart w:id="58" w:name="_Toc504036108"/>
      <w:bookmarkStart w:id="59" w:name="_Toc4573572"/>
      <w:r w:rsidRPr="002B74F6">
        <w:t>Summary of pharmacokinetics</w:t>
      </w:r>
      <w:bookmarkEnd w:id="57"/>
      <w:bookmarkEnd w:id="58"/>
      <w:bookmarkEnd w:id="59"/>
    </w:p>
    <w:p w:rsidR="00B37C25" w:rsidRPr="00CA0697" w:rsidRDefault="00B37C25" w:rsidP="0072236F">
      <w:pPr>
        <w:pStyle w:val="Heading4"/>
      </w:pPr>
      <w:r w:rsidRPr="00CA0697">
        <w:t>Analytic Methods</w:t>
      </w:r>
    </w:p>
    <w:p w:rsidR="00B37C25" w:rsidRDefault="00B37C25" w:rsidP="00B37C25">
      <w:pPr>
        <w:autoSpaceDE w:val="0"/>
        <w:autoSpaceDN w:val="0"/>
        <w:adjustRightInd w:val="0"/>
        <w:spacing w:before="0" w:line="240" w:lineRule="auto"/>
        <w:rPr>
          <w:rFonts w:asciiTheme="minorHAnsi" w:eastAsia="TimesNewRoman" w:hAnsiTheme="minorHAnsi" w:cs="TimesNewRoman"/>
          <w:color w:val="000000"/>
        </w:rPr>
      </w:pPr>
      <w:r w:rsidRPr="00CA0697">
        <w:rPr>
          <w:rFonts w:asciiTheme="minorHAnsi" w:eastAsia="TimesNewRoman" w:hAnsiTheme="minorHAnsi" w:cs="TimesNewRoman"/>
          <w:color w:val="000000"/>
        </w:rPr>
        <w:t xml:space="preserve">A </w:t>
      </w:r>
      <w:r>
        <w:rPr>
          <w:rFonts w:asciiTheme="minorHAnsi" w:eastAsia="TimesNewRoman" w:hAnsiTheme="minorHAnsi" w:cs="TimesNewRoman"/>
          <w:color w:val="000000"/>
        </w:rPr>
        <w:t xml:space="preserve">validated, </w:t>
      </w:r>
      <w:r w:rsidRPr="00CA0697">
        <w:rPr>
          <w:rFonts w:asciiTheme="minorHAnsi" w:eastAsia="TimesNewRoman" w:hAnsiTheme="minorHAnsi" w:cs="TimesNewRoman"/>
          <w:color w:val="000000"/>
        </w:rPr>
        <w:t>specific and sensitive</w:t>
      </w:r>
      <w:r>
        <w:rPr>
          <w:rFonts w:asciiTheme="minorHAnsi" w:eastAsia="TimesNewRoman" w:hAnsiTheme="minorHAnsi" w:cs="TimesNewRoman"/>
          <w:color w:val="000000"/>
        </w:rPr>
        <w:t xml:space="preserve"> </w:t>
      </w:r>
      <w:r w:rsidRPr="00F614F6">
        <w:rPr>
          <w:rFonts w:cstheme="minorHAnsi"/>
        </w:rPr>
        <w:t>high-performance liquid chromatography tandem mass spectrometric</w:t>
      </w:r>
      <w:r w:rsidRPr="00CA0697">
        <w:rPr>
          <w:rFonts w:asciiTheme="minorHAnsi" w:eastAsia="TimesNewRoman" w:hAnsiTheme="minorHAnsi" w:cs="TimesNewRoman"/>
          <w:color w:val="000000"/>
        </w:rPr>
        <w:t xml:space="preserve"> </w:t>
      </w:r>
      <w:r>
        <w:rPr>
          <w:rFonts w:asciiTheme="minorHAnsi" w:eastAsia="TimesNewRoman" w:hAnsiTheme="minorHAnsi" w:cs="TimesNewRoman"/>
          <w:color w:val="000000"/>
        </w:rPr>
        <w:t>(</w:t>
      </w:r>
      <w:r w:rsidRPr="00CA0697">
        <w:rPr>
          <w:rFonts w:asciiTheme="minorHAnsi" w:eastAsia="TimesNewRoman" w:hAnsiTheme="minorHAnsi" w:cs="TimesNewRoman"/>
          <w:color w:val="000000"/>
        </w:rPr>
        <w:t>HPLC-MS/MS</w:t>
      </w:r>
      <w:r>
        <w:rPr>
          <w:rFonts w:asciiTheme="minorHAnsi" w:eastAsia="TimesNewRoman" w:hAnsiTheme="minorHAnsi" w:cs="TimesNewRoman"/>
          <w:color w:val="000000"/>
        </w:rPr>
        <w:t>) method</w:t>
      </w:r>
      <w:r w:rsidRPr="00CA0697">
        <w:rPr>
          <w:rFonts w:asciiTheme="minorHAnsi" w:eastAsia="TimesNewRoman" w:hAnsiTheme="minorHAnsi" w:cs="TimesNewRoman"/>
          <w:color w:val="000000"/>
        </w:rPr>
        <w:t xml:space="preserve"> </w:t>
      </w:r>
      <w:r>
        <w:rPr>
          <w:rFonts w:asciiTheme="minorHAnsi" w:eastAsia="TimesNewRoman" w:hAnsiTheme="minorHAnsi" w:cs="TimesNewRoman"/>
          <w:color w:val="000000"/>
        </w:rPr>
        <w:t xml:space="preserve">was used to </w:t>
      </w:r>
      <w:r w:rsidRPr="00CA0697">
        <w:rPr>
          <w:rFonts w:asciiTheme="minorHAnsi" w:eastAsia="TimesNewRoman" w:hAnsiTheme="minorHAnsi" w:cs="TimesNewRoman"/>
          <w:color w:val="000000"/>
        </w:rPr>
        <w:t>determin</w:t>
      </w:r>
      <w:r>
        <w:rPr>
          <w:rFonts w:asciiTheme="minorHAnsi" w:eastAsia="TimesNewRoman" w:hAnsiTheme="minorHAnsi" w:cs="TimesNewRoman"/>
          <w:color w:val="000000"/>
        </w:rPr>
        <w:t>e</w:t>
      </w:r>
      <w:r w:rsidRPr="00CA0697">
        <w:rPr>
          <w:rFonts w:asciiTheme="minorHAnsi" w:eastAsia="TimesNewRoman" w:hAnsiTheme="minorHAnsi" w:cs="TimesNewRoman"/>
          <w:color w:val="000000"/>
        </w:rPr>
        <w:t xml:space="preserve"> </w:t>
      </w:r>
      <w:r>
        <w:rPr>
          <w:rFonts w:asciiTheme="minorHAnsi" w:eastAsia="TimesNewRoman" w:hAnsiTheme="minorHAnsi" w:cs="TimesNewRoman"/>
          <w:color w:val="000000"/>
        </w:rPr>
        <w:t xml:space="preserve">plasma </w:t>
      </w:r>
      <w:r w:rsidRPr="00CA0697">
        <w:rPr>
          <w:rFonts w:asciiTheme="minorHAnsi" w:eastAsia="TimesNewRoman" w:hAnsiTheme="minorHAnsi" w:cs="TimesNewRoman"/>
          <w:color w:val="000000"/>
        </w:rPr>
        <w:t xml:space="preserve">sitagliptin </w:t>
      </w:r>
      <w:r>
        <w:rPr>
          <w:rFonts w:asciiTheme="minorHAnsi" w:eastAsia="TimesNewRoman" w:hAnsiTheme="minorHAnsi" w:cs="TimesNewRoman"/>
          <w:color w:val="000000"/>
        </w:rPr>
        <w:t>levels. The lower limit of quantitation (</w:t>
      </w:r>
      <w:r w:rsidRPr="00CA0697">
        <w:rPr>
          <w:rFonts w:asciiTheme="minorHAnsi" w:eastAsia="TimesNewRoman" w:hAnsiTheme="minorHAnsi" w:cs="TimesNewRoman"/>
          <w:color w:val="000000"/>
        </w:rPr>
        <w:t>LLOQ</w:t>
      </w:r>
      <w:r>
        <w:rPr>
          <w:rFonts w:asciiTheme="minorHAnsi" w:eastAsia="TimesNewRoman" w:hAnsiTheme="minorHAnsi" w:cs="TimesNewRoman"/>
          <w:color w:val="000000"/>
        </w:rPr>
        <w:t>) was</w:t>
      </w:r>
      <w:r w:rsidRPr="00CA0697">
        <w:rPr>
          <w:rFonts w:asciiTheme="minorHAnsi" w:eastAsia="TimesNewRoman" w:hAnsiTheme="minorHAnsi" w:cs="TimesNewRoman"/>
          <w:color w:val="000000"/>
        </w:rPr>
        <w:t xml:space="preserve"> 1.00 ng/mL </w:t>
      </w:r>
      <w:r>
        <w:rPr>
          <w:rFonts w:asciiTheme="minorHAnsi" w:eastAsia="TimesNewRoman" w:hAnsiTheme="minorHAnsi" w:cs="TimesNewRoman"/>
          <w:color w:val="000000"/>
        </w:rPr>
        <w:t>and the l</w:t>
      </w:r>
      <w:r w:rsidRPr="00CA0697">
        <w:rPr>
          <w:rFonts w:asciiTheme="minorHAnsi" w:eastAsia="TimesNewRoman" w:hAnsiTheme="minorHAnsi" w:cs="TimesNewRoman"/>
          <w:color w:val="000000"/>
        </w:rPr>
        <w:t xml:space="preserve">inear </w:t>
      </w:r>
      <w:r>
        <w:rPr>
          <w:rFonts w:asciiTheme="minorHAnsi" w:eastAsia="TimesNewRoman" w:hAnsiTheme="minorHAnsi" w:cs="TimesNewRoman"/>
          <w:color w:val="000000"/>
        </w:rPr>
        <w:t>range of the assay was</w:t>
      </w:r>
      <w:r w:rsidRPr="00CA0697">
        <w:rPr>
          <w:rFonts w:asciiTheme="minorHAnsi" w:eastAsia="TimesNewRoman" w:hAnsiTheme="minorHAnsi" w:cs="TimesNewRoman"/>
          <w:color w:val="000000"/>
        </w:rPr>
        <w:t xml:space="preserve"> 1.00</w:t>
      </w:r>
      <w:r w:rsidR="0072236F">
        <w:rPr>
          <w:rFonts w:asciiTheme="minorHAnsi" w:eastAsia="TimesNewRoman" w:hAnsiTheme="minorHAnsi" w:cs="TimesNewRoman"/>
          <w:color w:val="000000"/>
        </w:rPr>
        <w:t xml:space="preserve"> to</w:t>
      </w:r>
      <w:r w:rsidRPr="00CA0697">
        <w:rPr>
          <w:rFonts w:asciiTheme="minorHAnsi" w:eastAsia="TimesNewRoman" w:hAnsiTheme="minorHAnsi" w:cs="TimesNewRoman"/>
          <w:color w:val="000000"/>
        </w:rPr>
        <w:t xml:space="preserve"> 1000 ng/mL</w:t>
      </w:r>
      <w:r>
        <w:rPr>
          <w:rFonts w:asciiTheme="minorHAnsi" w:eastAsia="TimesNewRoman" w:hAnsiTheme="minorHAnsi" w:cs="TimesNewRoman"/>
          <w:color w:val="000000"/>
        </w:rPr>
        <w:t>.</w:t>
      </w:r>
    </w:p>
    <w:p w:rsidR="00B37C25" w:rsidRPr="00CA0697" w:rsidRDefault="00B37C25" w:rsidP="00B37C25">
      <w:pPr>
        <w:autoSpaceDE w:val="0"/>
        <w:autoSpaceDN w:val="0"/>
        <w:adjustRightInd w:val="0"/>
        <w:spacing w:before="0" w:line="240" w:lineRule="auto"/>
        <w:rPr>
          <w:rFonts w:asciiTheme="minorHAnsi" w:hAnsiTheme="minorHAnsi"/>
          <w:lang w:eastAsia="ja-JP"/>
        </w:rPr>
      </w:pPr>
      <w:r>
        <w:rPr>
          <w:lang w:eastAsia="ja-JP"/>
        </w:rPr>
        <w:t xml:space="preserve">Plasma concentrations of ertugliflozin were determined </w:t>
      </w:r>
      <w:r w:rsidRPr="009B57EA">
        <w:rPr>
          <w:rFonts w:eastAsia="TimesNewRoman" w:cstheme="minorHAnsi"/>
        </w:rPr>
        <w:t>using validated, sensitive and specific HPLC-MS/MS method</w:t>
      </w:r>
      <w:r>
        <w:rPr>
          <w:rFonts w:eastAsia="TimesNewRoman" w:cstheme="minorHAnsi"/>
        </w:rPr>
        <w:t>s with a LLOQ ranging from 0.020 to 0.50 ng/mL.</w:t>
      </w:r>
    </w:p>
    <w:p w:rsidR="00B37C25" w:rsidRDefault="00B37C25" w:rsidP="00A46791">
      <w:pPr>
        <w:pStyle w:val="Heading4"/>
      </w:pPr>
      <w:bookmarkStart w:id="60" w:name="_Ref271189106"/>
      <w:bookmarkStart w:id="61" w:name="_Ref271189143"/>
      <w:bookmarkStart w:id="62" w:name="_Toc272414618"/>
      <w:bookmarkStart w:id="63" w:name="_Toc290888467"/>
      <w:bookmarkStart w:id="64" w:name="_Toc416353663"/>
      <w:bookmarkStart w:id="65" w:name="_Toc421005244"/>
      <w:bookmarkStart w:id="66" w:name="_Toc432079126"/>
      <w:bookmarkStart w:id="67" w:name="_Toc432080699"/>
      <w:bookmarkStart w:id="68" w:name="_Toc461096077"/>
      <w:bookmarkStart w:id="69" w:name="_Toc504036110"/>
      <w:r w:rsidRPr="00545B14">
        <w:t>Pharmacokinetics in healthy subjects</w:t>
      </w:r>
      <w:bookmarkEnd w:id="60"/>
      <w:bookmarkEnd w:id="61"/>
      <w:bookmarkEnd w:id="62"/>
      <w:bookmarkEnd w:id="63"/>
      <w:bookmarkEnd w:id="64"/>
      <w:bookmarkEnd w:id="65"/>
      <w:bookmarkEnd w:id="66"/>
      <w:bookmarkEnd w:id="67"/>
      <w:bookmarkEnd w:id="68"/>
      <w:bookmarkEnd w:id="69"/>
    </w:p>
    <w:p w:rsidR="00B37C25" w:rsidRPr="0092661B" w:rsidRDefault="00B37C25" w:rsidP="0072236F">
      <w:pPr>
        <w:pStyle w:val="Comment"/>
        <w:rPr>
          <w:rFonts w:eastAsia="TimesNewRoman"/>
        </w:rPr>
      </w:pPr>
      <w:r w:rsidRPr="0072236F">
        <w:rPr>
          <w:b/>
          <w:lang w:eastAsia="ja-JP"/>
        </w:rPr>
        <w:t>Comment</w:t>
      </w:r>
      <w:r w:rsidR="005812DE">
        <w:rPr>
          <w:lang w:eastAsia="ja-JP"/>
        </w:rPr>
        <w:t xml:space="preserve">: </w:t>
      </w:r>
      <w:r w:rsidRPr="0092661B">
        <w:rPr>
          <w:lang w:eastAsia="ja-JP"/>
        </w:rPr>
        <w:t xml:space="preserve">A limited number of studies examined the PKs of the ertugliflozin/sitagliptin FDC and these primarily related to the bioequivalence between the FDC tablets and corresponding free combinations of the matching dose strengths of the individual tablets. In addition, a single study examined the effect of a high fat/high-calorie breakfast on the PKs of the FDC tablet with </w:t>
      </w:r>
      <w:r w:rsidR="004B0649">
        <w:rPr>
          <w:lang w:eastAsia="ja-JP"/>
        </w:rPr>
        <w:t xml:space="preserve">the </w:t>
      </w:r>
      <w:r w:rsidRPr="0092661B">
        <w:rPr>
          <w:lang w:eastAsia="ja-JP"/>
        </w:rPr>
        <w:t xml:space="preserve">strength of </w:t>
      </w:r>
      <w:r w:rsidRPr="0092661B">
        <w:rPr>
          <w:rFonts w:eastAsia="TimesNewRoman"/>
        </w:rPr>
        <w:t>ertugliflozin 15</w:t>
      </w:r>
      <w:r w:rsidR="00F51AAD">
        <w:rPr>
          <w:rFonts w:eastAsia="TimesNewRoman"/>
        </w:rPr>
        <w:t> </w:t>
      </w:r>
      <w:r w:rsidRPr="0092661B">
        <w:rPr>
          <w:rFonts w:eastAsia="TimesNewRoman"/>
        </w:rPr>
        <w:t xml:space="preserve">mg/sitagliptin 100 mg. Where no dedicated PK studies are available for the FDC tablets, the evaluator requests that the </w:t>
      </w:r>
      <w:r w:rsidR="00A46791">
        <w:rPr>
          <w:rFonts w:eastAsia="TimesNewRoman"/>
        </w:rPr>
        <w:t>D</w:t>
      </w:r>
      <w:r w:rsidRPr="0092661B">
        <w:rPr>
          <w:rFonts w:eastAsia="TimesNewRoman"/>
        </w:rPr>
        <w:t xml:space="preserve">elegate refers to </w:t>
      </w:r>
      <w:r w:rsidRPr="0092661B">
        <w:rPr>
          <w:lang w:eastAsia="ja-JP"/>
        </w:rPr>
        <w:t xml:space="preserve">the concurrent submission </w:t>
      </w:r>
      <w:r w:rsidR="00A46791">
        <w:rPr>
          <w:lang w:eastAsia="ja-JP"/>
        </w:rPr>
        <w:t>for Steglatro</w:t>
      </w:r>
      <w:r w:rsidRPr="0092661B">
        <w:t xml:space="preserve"> which describes the studies relating to ertugliflozin.</w:t>
      </w:r>
    </w:p>
    <w:p w:rsidR="00B37C25" w:rsidRPr="005B0142" w:rsidRDefault="00B37C25" w:rsidP="00A46791">
      <w:pPr>
        <w:pStyle w:val="Heading5"/>
      </w:pPr>
      <w:bookmarkStart w:id="70" w:name="_Toc272414619"/>
      <w:bookmarkStart w:id="71" w:name="_Toc290888468"/>
      <w:bookmarkStart w:id="72" w:name="_Toc416353664"/>
      <w:r w:rsidRPr="005B0142">
        <w:t>Absorption</w:t>
      </w:r>
      <w:bookmarkEnd w:id="70"/>
      <w:bookmarkEnd w:id="71"/>
      <w:bookmarkEnd w:id="72"/>
    </w:p>
    <w:p w:rsidR="00B37C25" w:rsidRPr="00070124" w:rsidRDefault="00B37C25" w:rsidP="00A46791">
      <w:pPr>
        <w:pStyle w:val="Heading6"/>
      </w:pPr>
      <w:bookmarkStart w:id="73" w:name="_Toc241374287"/>
      <w:bookmarkStart w:id="74" w:name="_Toc272414620"/>
      <w:bookmarkStart w:id="75" w:name="_Toc290888469"/>
      <w:bookmarkStart w:id="76" w:name="_Toc416353665"/>
      <w:r w:rsidRPr="00070124">
        <w:t>Sites and mechanism of absorption</w:t>
      </w:r>
    </w:p>
    <w:p w:rsidR="00884A9A" w:rsidRDefault="00B37C25" w:rsidP="00B37C25">
      <w:pPr>
        <w:rPr>
          <w:rFonts w:eastAsia="TimesNewRoman" w:cstheme="minorHAnsi"/>
        </w:rPr>
      </w:pPr>
      <w:r>
        <w:rPr>
          <w:rFonts w:asciiTheme="minorHAnsi" w:eastAsiaTheme="minorHAnsi" w:hAnsiTheme="minorHAnsi"/>
        </w:rPr>
        <w:t>E</w:t>
      </w:r>
      <w:r w:rsidRPr="00C859E5">
        <w:rPr>
          <w:rFonts w:asciiTheme="minorHAnsi" w:eastAsiaTheme="minorHAnsi" w:hAnsiTheme="minorHAnsi"/>
        </w:rPr>
        <w:t>rtugliflozin-sitagliptin film-coated FDC tablets</w:t>
      </w:r>
      <w:r>
        <w:rPr>
          <w:rFonts w:asciiTheme="minorHAnsi" w:eastAsiaTheme="minorHAnsi" w:hAnsiTheme="minorHAnsi"/>
        </w:rPr>
        <w:t xml:space="preserve"> are for oral administration. For the </w:t>
      </w:r>
      <w:r w:rsidRPr="00226328">
        <w:rPr>
          <w:rFonts w:eastAsia="TimesNewRoman" w:cstheme="minorHAnsi"/>
        </w:rPr>
        <w:t>ertugliflozin 15 mg/sitagliptin 100 mg, ertugliflozin 15 mg/sitagliptin 50 mg, ertugliflozin 5 mg/sitagliptin 100 mg and ertugliflozin 5 mg/sitagliptin 50 mg FDC</w:t>
      </w:r>
      <w:r>
        <w:rPr>
          <w:rFonts w:eastAsia="TimesNewRoman" w:cstheme="minorHAnsi"/>
        </w:rPr>
        <w:t>,</w:t>
      </w:r>
      <w:r w:rsidRPr="00226328">
        <w:rPr>
          <w:rFonts w:eastAsia="TimesNewRoman" w:cstheme="minorHAnsi"/>
        </w:rPr>
        <w:t xml:space="preserve"> the median ertugliflozin </w:t>
      </w:r>
      <w:r w:rsidR="00A46791" w:rsidRPr="00B46F76">
        <w:rPr>
          <w:rFonts w:eastAsia="TimesNewRoman" w:cstheme="minorHAnsi"/>
        </w:rPr>
        <w:t>T</w:t>
      </w:r>
      <w:r w:rsidR="00A46791" w:rsidRPr="00A46791">
        <w:rPr>
          <w:rFonts w:eastAsia="TimesNewRoman" w:cstheme="minorHAnsi"/>
          <w:vertAlign w:val="subscript"/>
        </w:rPr>
        <w:t>max</w:t>
      </w:r>
      <w:r w:rsidRPr="00226328">
        <w:rPr>
          <w:rFonts w:eastAsia="TimesNewRoman" w:cstheme="minorHAnsi"/>
        </w:rPr>
        <w:t xml:space="preserve"> value</w:t>
      </w:r>
      <w:r>
        <w:rPr>
          <w:rFonts w:eastAsia="TimesNewRoman" w:cstheme="minorHAnsi"/>
        </w:rPr>
        <w:t xml:space="preserve"> was approximately 1.0 h</w:t>
      </w:r>
      <w:r w:rsidRPr="00226328">
        <w:rPr>
          <w:rFonts w:eastAsia="TimesNewRoman" w:cstheme="minorHAnsi"/>
        </w:rPr>
        <w:t xml:space="preserve"> and </w:t>
      </w:r>
      <w:r>
        <w:rPr>
          <w:rFonts w:eastAsia="TimesNewRoman" w:cstheme="minorHAnsi"/>
        </w:rPr>
        <w:t>it was 3.0 h</w:t>
      </w:r>
      <w:r w:rsidRPr="00226328">
        <w:rPr>
          <w:rFonts w:eastAsia="TimesNewRoman" w:cstheme="minorHAnsi"/>
        </w:rPr>
        <w:t xml:space="preserve"> for the sitagliptin component</w:t>
      </w:r>
      <w:r w:rsidR="00884A9A">
        <w:rPr>
          <w:rFonts w:eastAsia="TimesNewRoman" w:cstheme="minorHAnsi"/>
        </w:rPr>
        <w:t>.</w:t>
      </w:r>
    </w:p>
    <w:p w:rsidR="00B37C25" w:rsidRDefault="00B37C25" w:rsidP="00A46791">
      <w:pPr>
        <w:pStyle w:val="Heading5"/>
      </w:pPr>
      <w:r w:rsidRPr="005B0142">
        <w:lastRenderedPageBreak/>
        <w:t>Bioavailability</w:t>
      </w:r>
      <w:bookmarkEnd w:id="73"/>
      <w:bookmarkEnd w:id="74"/>
      <w:bookmarkEnd w:id="75"/>
      <w:bookmarkEnd w:id="76"/>
    </w:p>
    <w:p w:rsidR="00B37C25" w:rsidRDefault="00B37C25" w:rsidP="00A46791">
      <w:pPr>
        <w:pStyle w:val="Heading6"/>
      </w:pPr>
      <w:r w:rsidRPr="00C37A1D">
        <w:t>Bioequivalence to relevant registered products</w:t>
      </w:r>
    </w:p>
    <w:p w:rsidR="00B37C25" w:rsidRPr="0092661B" w:rsidRDefault="00B37C25" w:rsidP="00A46791">
      <w:pPr>
        <w:pStyle w:val="Comment"/>
        <w:rPr>
          <w:lang w:eastAsia="ja-JP"/>
        </w:rPr>
      </w:pPr>
      <w:r w:rsidRPr="00A46791">
        <w:rPr>
          <w:b/>
        </w:rPr>
        <w:t>Comment</w:t>
      </w:r>
      <w:r w:rsidRPr="0092661B">
        <w:t>:</w:t>
      </w:r>
      <w:r w:rsidR="00884A9A">
        <w:t xml:space="preserve"> </w:t>
      </w:r>
      <w:r w:rsidRPr="0092661B">
        <w:t>The 50 mg and 100 mg sitagliptin tablets administered as part of the free combination treatments described below were provided as commercially packaged Januvia tablets, which were sourced from the USA.</w:t>
      </w:r>
    </w:p>
    <w:p w:rsidR="00B37C25" w:rsidRPr="00EB1539" w:rsidRDefault="00B37C25" w:rsidP="00A46791">
      <w:pPr>
        <w:pStyle w:val="Heading6"/>
        <w:rPr>
          <w:b/>
        </w:rPr>
      </w:pPr>
      <w:r w:rsidRPr="00EB1539">
        <w:rPr>
          <w:rFonts w:eastAsia="TimesNewRoman"/>
        </w:rPr>
        <w:t>Ertugliflozin 15 mg/sitagliptin 100 mg</w:t>
      </w:r>
    </w:p>
    <w:p w:rsidR="00B37C25" w:rsidRDefault="00BC7DA5" w:rsidP="00B37C25">
      <w:pPr>
        <w:rPr>
          <w:rFonts w:eastAsia="TimesNewRoman" w:cstheme="minorHAnsi"/>
        </w:rPr>
      </w:pPr>
      <w:r>
        <w:rPr>
          <w:rFonts w:cstheme="minorHAnsi"/>
        </w:rPr>
        <w:t>Study P0</w:t>
      </w:r>
      <w:r w:rsidR="00B37C25" w:rsidRPr="00A46791">
        <w:rPr>
          <w:rFonts w:cstheme="minorHAnsi"/>
        </w:rPr>
        <w:t>25/1038</w:t>
      </w:r>
      <w:r w:rsidR="00B37C25">
        <w:rPr>
          <w:rFonts w:cstheme="minorHAnsi"/>
        </w:rPr>
        <w:t xml:space="preserve"> examined the BE of </w:t>
      </w:r>
      <w:r w:rsidR="00B37C25">
        <w:rPr>
          <w:rFonts w:eastAsia="TimesNewRoman" w:cstheme="minorHAnsi"/>
        </w:rPr>
        <w:t>ertugliflozin 15 mg/sitagliptin 100 mg</w:t>
      </w:r>
      <w:r w:rsidR="00B37C25" w:rsidRPr="00B46F76">
        <w:rPr>
          <w:rFonts w:eastAsia="TimesNewRoman" w:cstheme="minorHAnsi"/>
        </w:rPr>
        <w:t xml:space="preserve"> FDC tablet</w:t>
      </w:r>
      <w:r w:rsidR="00B37C25">
        <w:rPr>
          <w:rFonts w:eastAsia="TimesNewRoman" w:cstheme="minorHAnsi"/>
        </w:rPr>
        <w:t xml:space="preserve"> and the free combination following a single dose under fasted conditions in 18 healthy subjects.</w:t>
      </w:r>
    </w:p>
    <w:p w:rsidR="00B37C25" w:rsidRPr="00A46791" w:rsidRDefault="00B37C25" w:rsidP="00B37C25">
      <w:pPr>
        <w:rPr>
          <w:rFonts w:eastAsia="TimesNewRoman" w:cstheme="minorHAnsi"/>
        </w:rPr>
      </w:pPr>
      <w:r>
        <w:rPr>
          <w:rFonts w:eastAsia="TimesNewRoman" w:cstheme="minorHAnsi"/>
        </w:rPr>
        <w:t>Under these conditions the geometric mean ratios (GMRs) and 90% confidence intervals (90%</w:t>
      </w:r>
      <w:r w:rsidR="00F51AAD">
        <w:rPr>
          <w:rFonts w:eastAsia="TimesNewRoman" w:cstheme="minorHAnsi"/>
        </w:rPr>
        <w:t> </w:t>
      </w:r>
      <w:r>
        <w:rPr>
          <w:rFonts w:eastAsia="TimesNewRoman" w:cstheme="minorHAnsi"/>
        </w:rPr>
        <w:t xml:space="preserve">CIs) for the comparison of the FDC to the free combination </w:t>
      </w:r>
      <w:r w:rsidRPr="00B46F76">
        <w:rPr>
          <w:rFonts w:eastAsia="TimesNewRoman" w:cstheme="minorHAnsi"/>
        </w:rPr>
        <w:t xml:space="preserve">for ertugliflozin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were 98.25% (95.07%, 101.54%), 98.18% (95.17%, 101.30%),and 102.13% (92.32%, 112.99%), </w:t>
      </w:r>
      <w:r w:rsidR="00754BDD">
        <w:rPr>
          <w:rFonts w:eastAsia="TimesNewRoman" w:cstheme="minorHAnsi"/>
        </w:rPr>
        <w:t>respectively</w:t>
      </w:r>
      <w:r w:rsidRPr="00A46791">
        <w:rPr>
          <w:rFonts w:eastAsia="TimesNewRoman" w:cstheme="minorHAnsi"/>
        </w:rPr>
        <w:t xml:space="preserve">. Median ertugliflozin </w:t>
      </w:r>
      <w:r w:rsidR="00A46791" w:rsidRPr="00B46F76">
        <w:rPr>
          <w:rFonts w:eastAsia="TimesNewRoman" w:cstheme="minorHAnsi"/>
        </w:rPr>
        <w:t>T</w:t>
      </w:r>
      <w:r w:rsidR="00A46791" w:rsidRPr="00A46791">
        <w:rPr>
          <w:rFonts w:eastAsia="TimesNewRoman" w:cstheme="minorHAnsi"/>
          <w:vertAlign w:val="subscript"/>
        </w:rPr>
        <w:t>max</w:t>
      </w:r>
      <w:r w:rsidRPr="00A46791">
        <w:rPr>
          <w:rFonts w:eastAsia="TimesNewRoman" w:cstheme="minorHAnsi"/>
        </w:rPr>
        <w:t xml:space="preserve"> was 1.01 h for both treatments and the mean t</w:t>
      </w:r>
      <w:r w:rsidRPr="00A46791">
        <w:rPr>
          <w:rFonts w:eastAsia="TimesNewRoman" w:cstheme="minorHAnsi"/>
          <w:vertAlign w:val="subscript"/>
        </w:rPr>
        <w:t>1/2</w:t>
      </w:r>
      <w:r w:rsidRPr="00A46791">
        <w:rPr>
          <w:rFonts w:eastAsia="TimesNewRoman" w:cstheme="minorHAnsi"/>
        </w:rPr>
        <w:t xml:space="preserve"> values for the FDC and free combinations were 13.38 h and 13.84 h, respectively.</w:t>
      </w:r>
    </w:p>
    <w:p w:rsidR="00B37C25" w:rsidRDefault="00B37C25" w:rsidP="00B37C25">
      <w:pPr>
        <w:rPr>
          <w:rFonts w:eastAsia="TimesNewRoman" w:cstheme="minorHAnsi"/>
        </w:rPr>
      </w:pPr>
      <w:r>
        <w:rPr>
          <w:rFonts w:eastAsia="TimesNewRoman" w:cstheme="minorHAnsi"/>
        </w:rPr>
        <w:t xml:space="preserve">For the sitagliptin component, the GMRs (90%CIs) comparing the FDC/free for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color w:val="000000"/>
        </w:rPr>
        <w:t>, AUC</w:t>
      </w:r>
      <w:r w:rsidRPr="00F6649B">
        <w:rPr>
          <w:rFonts w:eastAsia="TimesNewRoman" w:cstheme="minorHAnsi"/>
          <w:color w:val="000000"/>
          <w:vertAlign w:val="subscript"/>
        </w:rPr>
        <w:t>last</w:t>
      </w:r>
      <w:r w:rsidRPr="00B46F76">
        <w:rPr>
          <w:rFonts w:eastAsia="TimesNewRoman" w:cstheme="minorHAnsi"/>
          <w:color w:val="000000"/>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color w:val="000000"/>
        </w:rPr>
        <w:t xml:space="preserve"> were 102.40% (99.51%, 105.38%), 102.60% (99.78%, 105.50%), and 114.14% (108.35%, 120.24%), respectively</w:t>
      </w:r>
      <w:r>
        <w:rPr>
          <w:rFonts w:eastAsia="TimesNewRoman" w:cstheme="minorHAnsi"/>
          <w:color w:val="000000"/>
        </w:rPr>
        <w:t>. The m</w:t>
      </w:r>
      <w:r w:rsidRPr="00B46F76">
        <w:rPr>
          <w:rFonts w:eastAsia="TimesNewRoman" w:cstheme="minorHAnsi"/>
        </w:rPr>
        <w:t xml:space="preserve">edian </w:t>
      </w:r>
      <w:r>
        <w:rPr>
          <w:rFonts w:eastAsia="TimesNewRoman" w:cstheme="minorHAnsi"/>
        </w:rPr>
        <w:t xml:space="preserve">sitagliptin </w:t>
      </w:r>
      <w:r w:rsidR="00A46791" w:rsidRPr="00B46F76">
        <w:rPr>
          <w:rFonts w:eastAsia="TimesNewRoman" w:cstheme="minorHAnsi"/>
        </w:rPr>
        <w:t>T</w:t>
      </w:r>
      <w:r w:rsidR="00A46791" w:rsidRPr="00A46791">
        <w:rPr>
          <w:rFonts w:eastAsia="TimesNewRoman" w:cstheme="minorHAnsi"/>
          <w:vertAlign w:val="subscript"/>
        </w:rPr>
        <w:t>max</w:t>
      </w:r>
      <w:r w:rsidRPr="00B46F76">
        <w:rPr>
          <w:rFonts w:eastAsia="TimesNewRoman" w:cstheme="minorHAnsi"/>
        </w:rPr>
        <w:t xml:space="preserve"> </w:t>
      </w:r>
      <w:r>
        <w:rPr>
          <w:rFonts w:eastAsia="TimesNewRoman" w:cstheme="minorHAnsi"/>
        </w:rPr>
        <w:t xml:space="preserve">for the fixed-dose and free combinations were </w:t>
      </w:r>
      <w:r w:rsidRPr="00B46F76">
        <w:rPr>
          <w:rFonts w:eastAsia="TimesNewRoman" w:cstheme="minorHAnsi"/>
        </w:rPr>
        <w:t xml:space="preserve">3.00 </w:t>
      </w:r>
      <w:r w:rsidRPr="00F6649B">
        <w:rPr>
          <w:rFonts w:eastAsia="TimesNewRoman" w:cstheme="minorHAnsi"/>
        </w:rPr>
        <w:t>h</w:t>
      </w:r>
      <w:r w:rsidRPr="00B46F76">
        <w:rPr>
          <w:rFonts w:eastAsia="TimesNewRoman" w:cstheme="minorHAnsi"/>
        </w:rPr>
        <w:t xml:space="preserve"> </w:t>
      </w:r>
      <w:r>
        <w:rPr>
          <w:rFonts w:eastAsia="TimesNewRoman" w:cstheme="minorHAnsi"/>
        </w:rPr>
        <w:t>and</w:t>
      </w:r>
      <w:r w:rsidRPr="00B46F76">
        <w:rPr>
          <w:rFonts w:eastAsia="TimesNewRoman" w:cstheme="minorHAnsi"/>
        </w:rPr>
        <w:t xml:space="preserve"> 3.98 </w:t>
      </w:r>
      <w:r w:rsidRPr="00F6649B">
        <w:rPr>
          <w:rFonts w:eastAsia="TimesNewRoman" w:cstheme="minorHAnsi"/>
        </w:rPr>
        <w:t>h</w:t>
      </w:r>
      <w:r>
        <w:rPr>
          <w:rFonts w:eastAsia="TimesNewRoman" w:cstheme="minorHAnsi"/>
        </w:rPr>
        <w:t>, respectively, and the mean t</w:t>
      </w:r>
      <w:r>
        <w:rPr>
          <w:rFonts w:eastAsia="TimesNewRoman" w:cstheme="minorHAnsi"/>
          <w:vertAlign w:val="subscript"/>
        </w:rPr>
        <w:t>1/2</w:t>
      </w:r>
      <w:r w:rsidRPr="00B46F76">
        <w:rPr>
          <w:rFonts w:eastAsia="TimesNewRoman" w:cstheme="minorHAnsi"/>
        </w:rPr>
        <w:t xml:space="preserve"> </w:t>
      </w:r>
      <w:r>
        <w:rPr>
          <w:rFonts w:eastAsia="TimesNewRoman" w:cstheme="minorHAnsi"/>
        </w:rPr>
        <w:t xml:space="preserve">values were </w:t>
      </w:r>
      <w:r w:rsidRPr="00B46F76">
        <w:rPr>
          <w:rFonts w:eastAsia="TimesNewRoman" w:cstheme="minorHAnsi"/>
        </w:rPr>
        <w:t xml:space="preserve">12.16 </w:t>
      </w:r>
      <w:r w:rsidRPr="00F6649B">
        <w:rPr>
          <w:rFonts w:eastAsia="TimesNewRoman" w:cstheme="minorHAnsi"/>
        </w:rPr>
        <w:t>h</w:t>
      </w:r>
      <w:r w:rsidRPr="00B46F76">
        <w:rPr>
          <w:rFonts w:eastAsia="TimesNewRoman" w:cstheme="minorHAnsi"/>
        </w:rPr>
        <w:t xml:space="preserve"> and 12.53 </w:t>
      </w:r>
      <w:r w:rsidRPr="00F6649B">
        <w:rPr>
          <w:rFonts w:eastAsia="TimesNewRoman" w:cstheme="minorHAnsi"/>
        </w:rPr>
        <w:t>h</w:t>
      </w:r>
      <w:r>
        <w:rPr>
          <w:rFonts w:eastAsia="TimesNewRoman" w:cstheme="minorHAnsi"/>
        </w:rPr>
        <w:t>, respectively.</w:t>
      </w:r>
    </w:p>
    <w:p w:rsidR="00B37C25" w:rsidRDefault="00B37C25" w:rsidP="00B37C25">
      <w:pPr>
        <w:rPr>
          <w:rFonts w:eastAsia="TimesNewRoman" w:cstheme="minorHAnsi"/>
        </w:rPr>
      </w:pPr>
      <w:r>
        <w:rPr>
          <w:rFonts w:eastAsia="TimesNewRoman" w:cstheme="minorHAnsi"/>
        </w:rPr>
        <w:t>The results indicated</w:t>
      </w:r>
      <w:r w:rsidR="006F48AD">
        <w:rPr>
          <w:rFonts w:eastAsia="TimesNewRoman" w:cstheme="minorHAnsi"/>
        </w:rPr>
        <w:t xml:space="preserve"> </w:t>
      </w:r>
      <w:r>
        <w:rPr>
          <w:rFonts w:eastAsia="TimesNewRoman" w:cstheme="minorHAnsi"/>
        </w:rPr>
        <w:t>ertugliflozin 15 mg/sitagliptin 100 mg</w:t>
      </w:r>
      <w:r w:rsidRPr="00B46F76">
        <w:rPr>
          <w:rFonts w:eastAsia="TimesNewRoman" w:cstheme="minorHAnsi"/>
        </w:rPr>
        <w:t xml:space="preserve"> </w:t>
      </w:r>
      <w:r>
        <w:rPr>
          <w:rFonts w:eastAsia="TimesNewRoman" w:cstheme="minorHAnsi"/>
        </w:rPr>
        <w:t xml:space="preserve">FDC and free combinations were bioequivalent as 90% CIs for the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GMRs </w:t>
      </w:r>
      <w:r>
        <w:rPr>
          <w:rFonts w:eastAsia="TimesNewRoman" w:cstheme="minorHAnsi"/>
        </w:rPr>
        <w:t xml:space="preserve">for both active components were contained within </w:t>
      </w:r>
      <w:r w:rsidRPr="00B46F76">
        <w:rPr>
          <w:rFonts w:eastAsia="TimesNewRoman" w:cstheme="minorHAnsi"/>
        </w:rPr>
        <w:t xml:space="preserve">the (80%, 125%) </w:t>
      </w:r>
      <w:r>
        <w:rPr>
          <w:rFonts w:eastAsia="TimesNewRoman" w:cstheme="minorHAnsi"/>
        </w:rPr>
        <w:t>acceptance limits.</w:t>
      </w:r>
    </w:p>
    <w:p w:rsidR="00B37C25" w:rsidRPr="00E4035B" w:rsidRDefault="00B37C25" w:rsidP="00A46791">
      <w:pPr>
        <w:pStyle w:val="Heading6"/>
        <w:rPr>
          <w:lang w:eastAsia="ja-JP"/>
        </w:rPr>
      </w:pPr>
      <w:r w:rsidRPr="00E4035B">
        <w:rPr>
          <w:rFonts w:eastAsia="TimesNewRoman"/>
        </w:rPr>
        <w:t>Ertugliflozin 15 mg/sitagliptin 50 mg</w:t>
      </w:r>
    </w:p>
    <w:p w:rsidR="00884A9A" w:rsidRDefault="00BC7DA5" w:rsidP="00B37C25">
      <w:pPr>
        <w:rPr>
          <w:rFonts w:eastAsia="TimesNewRoman" w:cstheme="minorHAnsi"/>
        </w:rPr>
      </w:pPr>
      <w:r>
        <w:rPr>
          <w:rFonts w:cstheme="minorHAnsi"/>
        </w:rPr>
        <w:t>Study P0</w:t>
      </w:r>
      <w:r w:rsidR="00B37C25" w:rsidRPr="00754BDD">
        <w:rPr>
          <w:rFonts w:cstheme="minorHAnsi"/>
          <w:bCs/>
          <w:color w:val="000000"/>
        </w:rPr>
        <w:t xml:space="preserve">44/1053 </w:t>
      </w:r>
      <w:r w:rsidR="00B37C25" w:rsidRPr="00754BDD">
        <w:rPr>
          <w:rFonts w:cstheme="minorHAnsi"/>
        </w:rPr>
        <w:t>examined</w:t>
      </w:r>
      <w:r w:rsidR="00B37C25">
        <w:rPr>
          <w:rFonts w:cstheme="minorHAnsi"/>
        </w:rPr>
        <w:t xml:space="preserve"> the BE of </w:t>
      </w:r>
      <w:r w:rsidR="00B37C25">
        <w:rPr>
          <w:rFonts w:eastAsia="TimesNewRoman" w:cstheme="minorHAnsi"/>
        </w:rPr>
        <w:t>ertugliflozin</w:t>
      </w:r>
      <w:r w:rsidR="00B37C25" w:rsidRPr="00B46F76">
        <w:rPr>
          <w:rFonts w:eastAsia="TimesNewRoman" w:cstheme="minorHAnsi"/>
        </w:rPr>
        <w:t xml:space="preserve"> 15 mg/sitagliptin 50 mg FDC tablet</w:t>
      </w:r>
      <w:r w:rsidR="00B37C25">
        <w:rPr>
          <w:rFonts w:eastAsia="TimesNewRoman" w:cstheme="minorHAnsi"/>
        </w:rPr>
        <w:t xml:space="preserve"> and the free combination following a single dose under fasted conditions in 19 healthy subjects</w:t>
      </w:r>
      <w:r w:rsidR="00884A9A">
        <w:rPr>
          <w:rFonts w:eastAsia="TimesNewRoman" w:cstheme="minorHAnsi"/>
        </w:rPr>
        <w:t>.</w:t>
      </w:r>
    </w:p>
    <w:p w:rsidR="00B37C25" w:rsidRPr="00884158" w:rsidRDefault="00B37C25" w:rsidP="00B37C25">
      <w:pPr>
        <w:rPr>
          <w:rFonts w:eastAsia="TimesNewRoman" w:cstheme="minorHAnsi"/>
        </w:rPr>
      </w:pPr>
      <w:r>
        <w:rPr>
          <w:rFonts w:eastAsia="TimesNewRoman" w:cstheme="minorHAnsi"/>
        </w:rPr>
        <w:t xml:space="preserve">Under these conditions, the GMRs (90% CIs) for the comparison of the FDC to the free combination </w:t>
      </w:r>
      <w:r w:rsidRPr="00B46F76">
        <w:rPr>
          <w:rFonts w:eastAsia="TimesNewRoman" w:cstheme="minorHAnsi"/>
        </w:rPr>
        <w:t xml:space="preserve">for ertugliflozin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were </w:t>
      </w:r>
      <w:r w:rsidRPr="00B46F76">
        <w:rPr>
          <w:rFonts w:eastAsia="TimesNewRoman" w:cstheme="minorHAnsi"/>
          <w:color w:val="000000"/>
        </w:rPr>
        <w:t>98.40% (95.37%, 101.52%), 98.47% (95.49%, 101.54%) and 91.74% (84.65%, 99.43%)</w:t>
      </w:r>
      <w:r w:rsidRPr="00B46F76">
        <w:rPr>
          <w:rFonts w:eastAsia="TimesNewRoman" w:cstheme="minorHAnsi"/>
        </w:rPr>
        <w:t>, respectively</w:t>
      </w:r>
      <w:r>
        <w:rPr>
          <w:rFonts w:eastAsia="TimesNewRoman" w:cstheme="minorHAnsi"/>
        </w:rPr>
        <w:t xml:space="preserve">. </w:t>
      </w:r>
      <w:r w:rsidRPr="00B46F76">
        <w:rPr>
          <w:rFonts w:eastAsia="TimesNewRoman" w:cstheme="minorHAnsi"/>
        </w:rPr>
        <w:t xml:space="preserve">Median ertugliflozin </w:t>
      </w:r>
      <w:r w:rsidR="00A46791" w:rsidRPr="00B46F76">
        <w:rPr>
          <w:rFonts w:eastAsia="TimesNewRoman" w:cstheme="minorHAnsi"/>
        </w:rPr>
        <w:t>T</w:t>
      </w:r>
      <w:r w:rsidR="00A46791" w:rsidRPr="00A46791">
        <w:rPr>
          <w:rFonts w:eastAsia="TimesNewRoman" w:cstheme="minorHAnsi"/>
          <w:vertAlign w:val="subscript"/>
        </w:rPr>
        <w:t>max</w:t>
      </w:r>
      <w:r w:rsidRPr="00B46F76">
        <w:rPr>
          <w:rFonts w:eastAsia="TimesNewRoman" w:cstheme="minorHAnsi"/>
        </w:rPr>
        <w:t xml:space="preserve"> was </w:t>
      </w:r>
      <w:r w:rsidRPr="00987530">
        <w:rPr>
          <w:rFonts w:eastAsia="TimesNewRoman" w:cstheme="minorHAnsi"/>
        </w:rPr>
        <w:t>1.00 h</w:t>
      </w:r>
      <w:r w:rsidRPr="00B46F76">
        <w:rPr>
          <w:rFonts w:eastAsia="TimesNewRoman" w:cstheme="minorHAnsi"/>
        </w:rPr>
        <w:t xml:space="preserve"> for both treatments</w:t>
      </w:r>
      <w:r>
        <w:rPr>
          <w:rFonts w:eastAsia="TimesNewRoman" w:cstheme="minorHAnsi"/>
        </w:rPr>
        <w:t xml:space="preserve"> and the mean </w:t>
      </w:r>
      <w:r w:rsidRPr="00B46F76">
        <w:rPr>
          <w:rFonts w:eastAsia="TimesNewRoman" w:cstheme="minorHAnsi"/>
        </w:rPr>
        <w:t>t</w:t>
      </w:r>
      <w:r w:rsidRPr="00607442">
        <w:rPr>
          <w:rFonts w:eastAsia="TimesNewRoman" w:cstheme="minorHAnsi"/>
          <w:vertAlign w:val="subscript"/>
        </w:rPr>
        <w:t>1/2</w:t>
      </w:r>
      <w:r w:rsidRPr="00B46F76">
        <w:rPr>
          <w:rFonts w:eastAsia="TimesNewRoman" w:cstheme="minorHAnsi"/>
        </w:rPr>
        <w:t xml:space="preserve"> </w:t>
      </w:r>
      <w:r>
        <w:rPr>
          <w:rFonts w:eastAsia="TimesNewRoman" w:cstheme="minorHAnsi"/>
        </w:rPr>
        <w:t xml:space="preserve">values </w:t>
      </w:r>
      <w:r w:rsidRPr="00B46F76">
        <w:rPr>
          <w:rFonts w:eastAsia="TimesNewRoman" w:cstheme="minorHAnsi"/>
        </w:rPr>
        <w:t xml:space="preserve">for </w:t>
      </w:r>
      <w:r>
        <w:rPr>
          <w:rFonts w:eastAsia="TimesNewRoman" w:cstheme="minorHAnsi"/>
        </w:rPr>
        <w:t>the FDC and free combinations were</w:t>
      </w:r>
      <w:r w:rsidRPr="00884158">
        <w:rPr>
          <w:rFonts w:eastAsia="TimesNewRoman" w:cstheme="minorHAnsi"/>
        </w:rPr>
        <w:t xml:space="preserve"> 12.80 h and 12.60 h, respectively.</w:t>
      </w:r>
    </w:p>
    <w:p w:rsidR="00B37C25" w:rsidRDefault="00B37C25" w:rsidP="00B37C25">
      <w:pPr>
        <w:rPr>
          <w:rFonts w:eastAsia="TimesNewRoman" w:cstheme="minorHAnsi"/>
        </w:rPr>
      </w:pPr>
      <w:r>
        <w:rPr>
          <w:rFonts w:eastAsia="TimesNewRoman" w:cstheme="minorHAnsi"/>
        </w:rPr>
        <w:t xml:space="preserve">For the sitagliptin component, the GMRs (90%CIs) comparing the FDC/free for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color w:val="000000"/>
        </w:rPr>
        <w:t>, AUC</w:t>
      </w:r>
      <w:r w:rsidRPr="00F6649B">
        <w:rPr>
          <w:rFonts w:eastAsia="TimesNewRoman" w:cstheme="minorHAnsi"/>
          <w:color w:val="000000"/>
          <w:vertAlign w:val="subscript"/>
        </w:rPr>
        <w:t>last</w:t>
      </w:r>
      <w:r w:rsidRPr="00B46F76">
        <w:rPr>
          <w:rFonts w:eastAsia="TimesNewRoman" w:cstheme="minorHAnsi"/>
          <w:color w:val="000000"/>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color w:val="000000"/>
        </w:rPr>
        <w:t xml:space="preserve"> were </w:t>
      </w:r>
      <w:r w:rsidRPr="00B46F76">
        <w:rPr>
          <w:rFonts w:eastAsia="TimesNewRoman" w:cstheme="minorHAnsi"/>
        </w:rPr>
        <w:t>101.89% (99.73%, 104.10%), 102.20% (99.92%, 104.53%) and 103.02% (94.37%, 112.46%)</w:t>
      </w:r>
      <w:r w:rsidRPr="00B46F76">
        <w:rPr>
          <w:rFonts w:eastAsia="TimesNewRoman" w:cstheme="minorHAnsi"/>
          <w:color w:val="000000"/>
        </w:rPr>
        <w:t>, respectively</w:t>
      </w:r>
      <w:r>
        <w:rPr>
          <w:rFonts w:eastAsia="TimesNewRoman" w:cstheme="minorHAnsi"/>
          <w:color w:val="000000"/>
        </w:rPr>
        <w:t>. The m</w:t>
      </w:r>
      <w:r w:rsidRPr="00B46F76">
        <w:rPr>
          <w:rFonts w:eastAsia="TimesNewRoman" w:cstheme="minorHAnsi"/>
        </w:rPr>
        <w:t xml:space="preserve">edian </w:t>
      </w:r>
      <w:r>
        <w:rPr>
          <w:rFonts w:eastAsia="TimesNewRoman" w:cstheme="minorHAnsi"/>
        </w:rPr>
        <w:t xml:space="preserve">sitagliptin </w:t>
      </w:r>
      <w:r w:rsidR="00A46791" w:rsidRPr="00B46F76">
        <w:rPr>
          <w:rFonts w:eastAsia="TimesNewRoman" w:cstheme="minorHAnsi"/>
        </w:rPr>
        <w:t>T</w:t>
      </w:r>
      <w:r w:rsidR="00A46791" w:rsidRPr="00A46791">
        <w:rPr>
          <w:rFonts w:eastAsia="TimesNewRoman" w:cstheme="minorHAnsi"/>
          <w:vertAlign w:val="subscript"/>
        </w:rPr>
        <w:t>max</w:t>
      </w:r>
      <w:r w:rsidRPr="00B46F76">
        <w:rPr>
          <w:rFonts w:eastAsia="TimesNewRoman" w:cstheme="minorHAnsi"/>
        </w:rPr>
        <w:t xml:space="preserve"> </w:t>
      </w:r>
      <w:r>
        <w:rPr>
          <w:rFonts w:eastAsia="TimesNewRoman" w:cstheme="minorHAnsi"/>
        </w:rPr>
        <w:t xml:space="preserve">for the fixed-dose and free combinations were </w:t>
      </w:r>
      <w:r w:rsidRPr="00987530">
        <w:rPr>
          <w:rFonts w:eastAsia="TimesNewRoman" w:cstheme="minorHAnsi"/>
        </w:rPr>
        <w:t>3.00 h and 2.24 h, respectively, and the mean t</w:t>
      </w:r>
      <w:r w:rsidRPr="00987530">
        <w:rPr>
          <w:rFonts w:eastAsia="TimesNewRoman" w:cstheme="minorHAnsi"/>
          <w:vertAlign w:val="subscript"/>
        </w:rPr>
        <w:t>1/2</w:t>
      </w:r>
      <w:r w:rsidRPr="00987530">
        <w:rPr>
          <w:rFonts w:eastAsia="TimesNewRoman" w:cstheme="minorHAnsi"/>
        </w:rPr>
        <w:t xml:space="preserve"> values were 11.68 h and 11.70 h, respectively</w:t>
      </w:r>
      <w:r>
        <w:rPr>
          <w:rFonts w:eastAsia="TimesNewRoman" w:cstheme="minorHAnsi"/>
        </w:rPr>
        <w:t>.</w:t>
      </w:r>
    </w:p>
    <w:p w:rsidR="00B37C25" w:rsidRDefault="00B37C25" w:rsidP="00B37C25">
      <w:pPr>
        <w:rPr>
          <w:rFonts w:eastAsia="TimesNewRoman" w:cstheme="minorHAnsi"/>
        </w:rPr>
      </w:pPr>
      <w:r>
        <w:rPr>
          <w:rFonts w:eastAsia="TimesNewRoman" w:cstheme="minorHAnsi"/>
        </w:rPr>
        <w:t>The results indicated that the</w:t>
      </w:r>
      <w:r w:rsidRPr="0071518F">
        <w:rPr>
          <w:rFonts w:eastAsia="TimesNewRoman" w:cstheme="minorHAnsi"/>
        </w:rPr>
        <w:t xml:space="preserve"> </w:t>
      </w:r>
      <w:r>
        <w:rPr>
          <w:rFonts w:eastAsia="TimesNewRoman" w:cstheme="minorHAnsi"/>
        </w:rPr>
        <w:t>ertugliflozin</w:t>
      </w:r>
      <w:r w:rsidRPr="00B46F76">
        <w:rPr>
          <w:rFonts w:eastAsia="TimesNewRoman" w:cstheme="minorHAnsi"/>
        </w:rPr>
        <w:t xml:space="preserve"> 15 mg/sitagliptin 50 mg</w:t>
      </w:r>
      <w:r>
        <w:rPr>
          <w:rFonts w:eastAsia="TimesNewRoman" w:cstheme="minorHAnsi"/>
        </w:rPr>
        <w:t xml:space="preserve"> FDC and free combinations were bioequivalent as 90% CIs for the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GMRs </w:t>
      </w:r>
      <w:r>
        <w:rPr>
          <w:rFonts w:eastAsia="TimesNewRoman" w:cstheme="minorHAnsi"/>
        </w:rPr>
        <w:t xml:space="preserve">for both active components were contained within </w:t>
      </w:r>
      <w:r w:rsidRPr="00B46F76">
        <w:rPr>
          <w:rFonts w:eastAsia="TimesNewRoman" w:cstheme="minorHAnsi"/>
        </w:rPr>
        <w:t xml:space="preserve">the (80%, 125%) </w:t>
      </w:r>
      <w:r>
        <w:rPr>
          <w:rFonts w:eastAsia="TimesNewRoman" w:cstheme="minorHAnsi"/>
        </w:rPr>
        <w:t>acceptance limits.</w:t>
      </w:r>
    </w:p>
    <w:p w:rsidR="00B37C25" w:rsidRPr="00E4035B" w:rsidRDefault="00B37C25" w:rsidP="00754BDD">
      <w:pPr>
        <w:pStyle w:val="Heading6"/>
        <w:rPr>
          <w:rFonts w:eastAsia="TimesNewRoman"/>
        </w:rPr>
      </w:pPr>
      <w:r w:rsidRPr="00E4035B">
        <w:rPr>
          <w:rFonts w:eastAsia="TimesNewRoman"/>
        </w:rPr>
        <w:t>Ertugliflozin 5 mg/sitagliptin 100 mg</w:t>
      </w:r>
    </w:p>
    <w:p w:rsidR="00B37C25" w:rsidRPr="00685FA3" w:rsidRDefault="00BC7DA5" w:rsidP="00B37C25">
      <w:pPr>
        <w:rPr>
          <w:lang w:eastAsia="ja-JP"/>
        </w:rPr>
      </w:pPr>
      <w:r>
        <w:rPr>
          <w:rFonts w:cstheme="minorHAnsi"/>
        </w:rPr>
        <w:t>Study P0</w:t>
      </w:r>
      <w:r w:rsidR="00B37C25" w:rsidRPr="00754BDD">
        <w:rPr>
          <w:rFonts w:cstheme="minorHAnsi"/>
        </w:rPr>
        <w:t>48/1056</w:t>
      </w:r>
      <w:r w:rsidR="00B37C25">
        <w:rPr>
          <w:rFonts w:cstheme="minorHAnsi"/>
          <w:bCs/>
          <w:color w:val="000000"/>
        </w:rPr>
        <w:t xml:space="preserve"> </w:t>
      </w:r>
      <w:r w:rsidR="00B37C25">
        <w:rPr>
          <w:rFonts w:cstheme="minorHAnsi"/>
        </w:rPr>
        <w:t xml:space="preserve">examined the BE of </w:t>
      </w:r>
      <w:r w:rsidR="00B37C25" w:rsidRPr="00B46F76">
        <w:rPr>
          <w:rFonts w:eastAsia="TimesNewRoman" w:cstheme="minorHAnsi"/>
        </w:rPr>
        <w:t xml:space="preserve">ertugliflozin 5 mg/sitagliptin </w:t>
      </w:r>
      <w:r w:rsidR="00B37C25">
        <w:rPr>
          <w:rFonts w:eastAsia="TimesNewRoman" w:cstheme="minorHAnsi"/>
        </w:rPr>
        <w:t>10</w:t>
      </w:r>
      <w:r w:rsidR="00B37C25" w:rsidRPr="00B46F76">
        <w:rPr>
          <w:rFonts w:eastAsia="TimesNewRoman" w:cstheme="minorHAnsi"/>
        </w:rPr>
        <w:t>0 mg FDC tablet</w:t>
      </w:r>
      <w:r w:rsidR="00B37C25">
        <w:rPr>
          <w:rFonts w:eastAsia="TimesNewRoman" w:cstheme="minorHAnsi"/>
        </w:rPr>
        <w:t xml:space="preserve"> and the free combination following a single dose under fasted conditions in 18 healthy subjects.</w:t>
      </w:r>
    </w:p>
    <w:p w:rsidR="00B37C25" w:rsidRDefault="00B37C25" w:rsidP="00B37C25">
      <w:pPr>
        <w:rPr>
          <w:rFonts w:eastAsia="TimesNewRoman" w:cstheme="minorHAnsi"/>
        </w:rPr>
      </w:pPr>
      <w:r>
        <w:rPr>
          <w:rFonts w:eastAsia="TimesNewRoman" w:cstheme="minorHAnsi"/>
        </w:rPr>
        <w:t xml:space="preserve">Under these conditions, the GMRs (90% CIs) for the comparison of the FDC to the free combination </w:t>
      </w:r>
      <w:r w:rsidRPr="00B46F76">
        <w:rPr>
          <w:rFonts w:eastAsia="TimesNewRoman" w:cstheme="minorHAnsi"/>
        </w:rPr>
        <w:t xml:space="preserve">for ertugliflozin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were </w:t>
      </w:r>
      <w:r w:rsidRPr="00B46F76">
        <w:rPr>
          <w:rFonts w:eastAsia="TimesNewRoman" w:cstheme="minorHAnsi"/>
          <w:color w:val="000000"/>
        </w:rPr>
        <w:t>101.23% (97.15%, 105.49%), 102.01% (97.89%, 106.32%) and 103.17% (93.76%, 113.52%)</w:t>
      </w:r>
      <w:r w:rsidRPr="00B46F76">
        <w:rPr>
          <w:rFonts w:eastAsia="TimesNewRoman" w:cstheme="minorHAnsi"/>
        </w:rPr>
        <w:t>, respectively</w:t>
      </w:r>
      <w:r>
        <w:rPr>
          <w:rFonts w:eastAsia="TimesNewRoman" w:cstheme="minorHAnsi"/>
        </w:rPr>
        <w:t xml:space="preserve">. </w:t>
      </w:r>
      <w:r w:rsidRPr="00B46F76">
        <w:rPr>
          <w:rFonts w:eastAsia="TimesNewRoman" w:cstheme="minorHAnsi"/>
        </w:rPr>
        <w:t xml:space="preserve">Median ertugliflozin </w:t>
      </w:r>
      <w:r w:rsidR="00A46791" w:rsidRPr="00B46F76">
        <w:rPr>
          <w:rFonts w:eastAsia="TimesNewRoman" w:cstheme="minorHAnsi"/>
        </w:rPr>
        <w:t>T</w:t>
      </w:r>
      <w:r w:rsidR="00A46791" w:rsidRPr="00A46791">
        <w:rPr>
          <w:rFonts w:eastAsia="TimesNewRoman" w:cstheme="minorHAnsi"/>
          <w:vertAlign w:val="subscript"/>
        </w:rPr>
        <w:t>max</w:t>
      </w:r>
      <w:r w:rsidRPr="00B46F76">
        <w:rPr>
          <w:rFonts w:eastAsia="TimesNewRoman" w:cstheme="minorHAnsi"/>
        </w:rPr>
        <w:t xml:space="preserve"> was</w:t>
      </w:r>
      <w:r w:rsidRPr="00987530">
        <w:rPr>
          <w:rFonts w:eastAsia="TimesNewRoman" w:cstheme="minorHAnsi"/>
        </w:rPr>
        <w:t xml:space="preserve"> 1.01 h</w:t>
      </w:r>
      <w:r w:rsidRPr="00B46F76">
        <w:rPr>
          <w:rFonts w:eastAsia="TimesNewRoman" w:cstheme="minorHAnsi"/>
        </w:rPr>
        <w:t xml:space="preserve"> for both treatments</w:t>
      </w:r>
      <w:r>
        <w:rPr>
          <w:rFonts w:eastAsia="TimesNewRoman" w:cstheme="minorHAnsi"/>
        </w:rPr>
        <w:t xml:space="preserve"> and the mean </w:t>
      </w:r>
      <w:r w:rsidRPr="00B46F76">
        <w:rPr>
          <w:rFonts w:eastAsia="TimesNewRoman" w:cstheme="minorHAnsi"/>
        </w:rPr>
        <w:t>t</w:t>
      </w:r>
      <w:r w:rsidRPr="00607442">
        <w:rPr>
          <w:rFonts w:eastAsia="TimesNewRoman" w:cstheme="minorHAnsi"/>
          <w:vertAlign w:val="subscript"/>
        </w:rPr>
        <w:t>1/2</w:t>
      </w:r>
      <w:r w:rsidRPr="00B46F76">
        <w:rPr>
          <w:rFonts w:eastAsia="TimesNewRoman" w:cstheme="minorHAnsi"/>
        </w:rPr>
        <w:t xml:space="preserve"> </w:t>
      </w:r>
      <w:r>
        <w:rPr>
          <w:rFonts w:eastAsia="TimesNewRoman" w:cstheme="minorHAnsi"/>
        </w:rPr>
        <w:t xml:space="preserve">values </w:t>
      </w:r>
      <w:r w:rsidRPr="00B46F76">
        <w:rPr>
          <w:rFonts w:eastAsia="TimesNewRoman" w:cstheme="minorHAnsi"/>
        </w:rPr>
        <w:t xml:space="preserve">for </w:t>
      </w:r>
      <w:r>
        <w:rPr>
          <w:rFonts w:eastAsia="TimesNewRoman" w:cstheme="minorHAnsi"/>
        </w:rPr>
        <w:t xml:space="preserve">the FDC and free combinations were </w:t>
      </w:r>
      <w:r w:rsidRPr="00987530">
        <w:rPr>
          <w:rFonts w:eastAsia="TimesNewRoman" w:cstheme="minorHAnsi"/>
        </w:rPr>
        <w:t>12.99 h and 11.84 h</w:t>
      </w:r>
      <w:r>
        <w:rPr>
          <w:rFonts w:eastAsia="TimesNewRoman" w:cstheme="minorHAnsi"/>
        </w:rPr>
        <w:t>, respectively</w:t>
      </w:r>
      <w:r w:rsidRPr="00B46F76">
        <w:rPr>
          <w:rFonts w:eastAsia="TimesNewRoman" w:cstheme="minorHAnsi"/>
        </w:rPr>
        <w:t>.</w:t>
      </w:r>
    </w:p>
    <w:p w:rsidR="00B37C25" w:rsidRPr="00987530" w:rsidRDefault="00B37C25" w:rsidP="00B37C25">
      <w:pPr>
        <w:rPr>
          <w:rFonts w:eastAsia="TimesNewRoman" w:cstheme="minorHAnsi"/>
        </w:rPr>
      </w:pPr>
      <w:r>
        <w:rPr>
          <w:rFonts w:eastAsia="TimesNewRoman" w:cstheme="minorHAnsi"/>
        </w:rPr>
        <w:lastRenderedPageBreak/>
        <w:t xml:space="preserve">For the sitagliptin component, the GMRs (90%CIs) comparing the FDC/free for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color w:val="000000"/>
        </w:rPr>
        <w:t>, AUC</w:t>
      </w:r>
      <w:r w:rsidRPr="00F6649B">
        <w:rPr>
          <w:rFonts w:eastAsia="TimesNewRoman" w:cstheme="minorHAnsi"/>
          <w:color w:val="000000"/>
          <w:vertAlign w:val="subscript"/>
        </w:rPr>
        <w:t>last</w:t>
      </w:r>
      <w:r w:rsidRPr="00B46F76">
        <w:rPr>
          <w:rFonts w:eastAsia="TimesNewRoman" w:cstheme="minorHAnsi"/>
          <w:color w:val="000000"/>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color w:val="000000"/>
        </w:rPr>
        <w:t xml:space="preserve"> were </w:t>
      </w:r>
      <w:r w:rsidRPr="00B46F76">
        <w:rPr>
          <w:rFonts w:eastAsia="TimesNewRoman" w:cstheme="minorHAnsi"/>
        </w:rPr>
        <w:t>99.80% (98.12%, 101.51%), 99.77% (98.05%, 101.52%) and 99.76% (93.63%, 106.28%)</w:t>
      </w:r>
      <w:r w:rsidRPr="00B46F76">
        <w:rPr>
          <w:rFonts w:eastAsia="TimesNewRoman" w:cstheme="minorHAnsi"/>
          <w:color w:val="000000"/>
        </w:rPr>
        <w:t>, respectively</w:t>
      </w:r>
      <w:r>
        <w:rPr>
          <w:rFonts w:eastAsia="TimesNewRoman" w:cstheme="minorHAnsi"/>
          <w:color w:val="000000"/>
        </w:rPr>
        <w:t>. The m</w:t>
      </w:r>
      <w:r w:rsidRPr="00B46F76">
        <w:rPr>
          <w:rFonts w:eastAsia="TimesNewRoman" w:cstheme="minorHAnsi"/>
        </w:rPr>
        <w:t xml:space="preserve">edian </w:t>
      </w:r>
      <w:r>
        <w:rPr>
          <w:rFonts w:eastAsia="TimesNewRoman" w:cstheme="minorHAnsi"/>
        </w:rPr>
        <w:t xml:space="preserve">sitagliptin </w:t>
      </w:r>
      <w:r w:rsidR="00A46791" w:rsidRPr="00B46F76">
        <w:rPr>
          <w:rFonts w:eastAsia="TimesNewRoman" w:cstheme="minorHAnsi"/>
        </w:rPr>
        <w:t>T</w:t>
      </w:r>
      <w:r w:rsidR="00A46791" w:rsidRPr="00A46791">
        <w:rPr>
          <w:rFonts w:eastAsia="TimesNewRoman" w:cstheme="minorHAnsi"/>
          <w:vertAlign w:val="subscript"/>
        </w:rPr>
        <w:t>max</w:t>
      </w:r>
      <w:r w:rsidRPr="00B46F76">
        <w:rPr>
          <w:rFonts w:eastAsia="TimesNewRoman" w:cstheme="minorHAnsi"/>
        </w:rPr>
        <w:t xml:space="preserve"> </w:t>
      </w:r>
      <w:r>
        <w:rPr>
          <w:rFonts w:eastAsia="TimesNewRoman" w:cstheme="minorHAnsi"/>
        </w:rPr>
        <w:t xml:space="preserve">for the fixed-dose and free combinations were </w:t>
      </w:r>
      <w:r w:rsidRPr="00987530">
        <w:rPr>
          <w:rFonts w:eastAsia="TimesNewRoman" w:cstheme="minorHAnsi"/>
        </w:rPr>
        <w:t>3.00 h and 2.98 h, respectively, and the mean t</w:t>
      </w:r>
      <w:r w:rsidRPr="00987530">
        <w:rPr>
          <w:rFonts w:eastAsia="TimesNewRoman" w:cstheme="minorHAnsi"/>
          <w:vertAlign w:val="subscript"/>
        </w:rPr>
        <w:t>1/2</w:t>
      </w:r>
      <w:r w:rsidRPr="00987530">
        <w:rPr>
          <w:rFonts w:eastAsia="TimesNewRoman" w:cstheme="minorHAnsi"/>
        </w:rPr>
        <w:t xml:space="preserve"> values were 11.56 h and 11.18 h, respectively.</w:t>
      </w:r>
    </w:p>
    <w:p w:rsidR="00B37C25" w:rsidRDefault="00B37C25" w:rsidP="00B37C25">
      <w:pPr>
        <w:rPr>
          <w:rFonts w:eastAsia="TimesNewRoman" w:cstheme="minorHAnsi"/>
        </w:rPr>
      </w:pPr>
      <w:r>
        <w:rPr>
          <w:rFonts w:eastAsia="TimesNewRoman" w:cstheme="minorHAnsi"/>
        </w:rPr>
        <w:t>The results indicated that the</w:t>
      </w:r>
      <w:r w:rsidRPr="0071518F">
        <w:rPr>
          <w:rFonts w:eastAsia="TimesNewRoman" w:cstheme="minorHAnsi"/>
        </w:rPr>
        <w:t xml:space="preserve"> </w:t>
      </w:r>
      <w:r>
        <w:rPr>
          <w:rFonts w:eastAsia="TimesNewRoman" w:cstheme="minorHAnsi"/>
        </w:rPr>
        <w:t xml:space="preserve">ertugliflozin </w:t>
      </w:r>
      <w:r w:rsidRPr="00B46F76">
        <w:rPr>
          <w:rFonts w:eastAsia="TimesNewRoman" w:cstheme="minorHAnsi"/>
        </w:rPr>
        <w:t xml:space="preserve">5 mg/sitagliptin </w:t>
      </w:r>
      <w:r>
        <w:rPr>
          <w:rFonts w:eastAsia="TimesNewRoman" w:cstheme="minorHAnsi"/>
        </w:rPr>
        <w:t>10</w:t>
      </w:r>
      <w:r w:rsidRPr="00B46F76">
        <w:rPr>
          <w:rFonts w:eastAsia="TimesNewRoman" w:cstheme="minorHAnsi"/>
        </w:rPr>
        <w:t>0 mg</w:t>
      </w:r>
      <w:r>
        <w:rPr>
          <w:rFonts w:eastAsia="TimesNewRoman" w:cstheme="minorHAnsi"/>
        </w:rPr>
        <w:t xml:space="preserve"> FDC and free combinations were bioequivalent as 90% CIs for the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GMRs </w:t>
      </w:r>
      <w:r>
        <w:rPr>
          <w:rFonts w:eastAsia="TimesNewRoman" w:cstheme="minorHAnsi"/>
        </w:rPr>
        <w:t xml:space="preserve">for both active components were contained within </w:t>
      </w:r>
      <w:r w:rsidRPr="00B46F76">
        <w:rPr>
          <w:rFonts w:eastAsia="TimesNewRoman" w:cstheme="minorHAnsi"/>
        </w:rPr>
        <w:t xml:space="preserve">the (80%, 125%) </w:t>
      </w:r>
      <w:r>
        <w:rPr>
          <w:rFonts w:eastAsia="TimesNewRoman" w:cstheme="minorHAnsi"/>
        </w:rPr>
        <w:t>acceptance limits.</w:t>
      </w:r>
    </w:p>
    <w:p w:rsidR="00B37C25" w:rsidRPr="00E4035B" w:rsidRDefault="00B37C25" w:rsidP="00754BDD">
      <w:pPr>
        <w:pStyle w:val="Heading6"/>
        <w:rPr>
          <w:lang w:eastAsia="ja-JP"/>
        </w:rPr>
      </w:pPr>
      <w:r w:rsidRPr="00E4035B">
        <w:rPr>
          <w:rFonts w:eastAsia="TimesNewRoman"/>
        </w:rPr>
        <w:t>Ertugliflozin 5 mg/sitagliptin 50 mg</w:t>
      </w:r>
    </w:p>
    <w:p w:rsidR="00884A9A" w:rsidRDefault="00BC7DA5" w:rsidP="00B37C25">
      <w:pPr>
        <w:rPr>
          <w:rFonts w:eastAsia="TimesNewRoman" w:cstheme="minorHAnsi"/>
        </w:rPr>
      </w:pPr>
      <w:r>
        <w:rPr>
          <w:rFonts w:cstheme="minorHAnsi"/>
        </w:rPr>
        <w:t>Study P0</w:t>
      </w:r>
      <w:r w:rsidR="00B37C25" w:rsidRPr="00754BDD">
        <w:rPr>
          <w:rFonts w:cstheme="minorHAnsi"/>
        </w:rPr>
        <w:t>49/1057</w:t>
      </w:r>
      <w:r w:rsidR="00B37C25">
        <w:rPr>
          <w:rFonts w:cstheme="minorHAnsi"/>
          <w:bCs/>
          <w:color w:val="000000"/>
        </w:rPr>
        <w:t xml:space="preserve"> </w:t>
      </w:r>
      <w:r w:rsidR="00B37C25">
        <w:rPr>
          <w:rFonts w:cstheme="minorHAnsi"/>
        </w:rPr>
        <w:t xml:space="preserve">examined the BE of </w:t>
      </w:r>
      <w:r w:rsidR="00B37C25" w:rsidRPr="00B46F76">
        <w:rPr>
          <w:rFonts w:eastAsia="TimesNewRoman" w:cstheme="minorHAnsi"/>
        </w:rPr>
        <w:t>e</w:t>
      </w:r>
      <w:r w:rsidR="00B37C25">
        <w:rPr>
          <w:rFonts w:eastAsia="TimesNewRoman" w:cstheme="minorHAnsi"/>
        </w:rPr>
        <w:t>rtugliflozin 5 mg/sitagliptin 5</w:t>
      </w:r>
      <w:r w:rsidR="00B37C25" w:rsidRPr="00B46F76">
        <w:rPr>
          <w:rFonts w:eastAsia="TimesNewRoman" w:cstheme="minorHAnsi"/>
        </w:rPr>
        <w:t>0 mg FDC tablet</w:t>
      </w:r>
      <w:r w:rsidR="00B37C25">
        <w:rPr>
          <w:rFonts w:eastAsia="TimesNewRoman" w:cstheme="minorHAnsi"/>
        </w:rPr>
        <w:t xml:space="preserve"> and the free combination following a single dose under fasted conditions in 19 healthy subjects</w:t>
      </w:r>
      <w:r w:rsidR="00884A9A">
        <w:rPr>
          <w:rFonts w:eastAsia="TimesNewRoman" w:cstheme="minorHAnsi"/>
        </w:rPr>
        <w:t>.</w:t>
      </w:r>
    </w:p>
    <w:p w:rsidR="00B37C25" w:rsidRPr="00987530" w:rsidRDefault="00B37C25" w:rsidP="00B37C25">
      <w:pPr>
        <w:rPr>
          <w:rFonts w:eastAsia="TimesNewRoman" w:cstheme="minorHAnsi"/>
        </w:rPr>
      </w:pPr>
      <w:r>
        <w:rPr>
          <w:rFonts w:eastAsia="TimesNewRoman" w:cstheme="minorHAnsi"/>
        </w:rPr>
        <w:t xml:space="preserve">Under these conditions, the GMRs (90% CIs) for the comparison of the FDC to the free combination </w:t>
      </w:r>
      <w:r w:rsidRPr="00B46F76">
        <w:rPr>
          <w:rFonts w:eastAsia="TimesNewRoman" w:cstheme="minorHAnsi"/>
        </w:rPr>
        <w:t xml:space="preserve">for ertugliflozin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were </w:t>
      </w:r>
      <w:r w:rsidRPr="00B46F76">
        <w:rPr>
          <w:rFonts w:eastAsia="TimesNewRoman" w:cstheme="minorHAnsi"/>
          <w:color w:val="000000"/>
        </w:rPr>
        <w:t>101.61% (97.98%, 105.37%), 101.69% (97.81%, 105.73%) and 99.80% (91.21%, 109.20%)</w:t>
      </w:r>
      <w:r w:rsidRPr="00B46F76">
        <w:rPr>
          <w:rFonts w:eastAsia="TimesNewRoman" w:cstheme="minorHAnsi"/>
        </w:rPr>
        <w:t>, respectively</w:t>
      </w:r>
      <w:r>
        <w:rPr>
          <w:rFonts w:eastAsia="TimesNewRoman" w:cstheme="minorHAnsi"/>
        </w:rPr>
        <w:t xml:space="preserve">. </w:t>
      </w:r>
      <w:r w:rsidRPr="00B46F76">
        <w:rPr>
          <w:rFonts w:eastAsia="TimesNewRoman" w:cstheme="minorHAnsi"/>
        </w:rPr>
        <w:t xml:space="preserve">Median ertugliflozin </w:t>
      </w:r>
      <w:r w:rsidR="00A46791" w:rsidRPr="00B46F76">
        <w:rPr>
          <w:rFonts w:eastAsia="TimesNewRoman" w:cstheme="minorHAnsi"/>
        </w:rPr>
        <w:t>T</w:t>
      </w:r>
      <w:r w:rsidR="00A46791" w:rsidRPr="00A46791">
        <w:rPr>
          <w:rFonts w:eastAsia="TimesNewRoman" w:cstheme="minorHAnsi"/>
          <w:vertAlign w:val="subscript"/>
        </w:rPr>
        <w:t>max</w:t>
      </w:r>
      <w:r w:rsidRPr="00B46F76">
        <w:rPr>
          <w:rFonts w:eastAsia="TimesNewRoman" w:cstheme="minorHAnsi"/>
        </w:rPr>
        <w:t xml:space="preserve"> was </w:t>
      </w:r>
      <w:r w:rsidRPr="00987530">
        <w:rPr>
          <w:rFonts w:eastAsia="TimesNewRoman" w:cstheme="minorHAnsi"/>
        </w:rPr>
        <w:t>1.00 h for both treatments and the mean t</w:t>
      </w:r>
      <w:r w:rsidRPr="00987530">
        <w:rPr>
          <w:rFonts w:eastAsia="TimesNewRoman" w:cstheme="minorHAnsi"/>
          <w:vertAlign w:val="subscript"/>
        </w:rPr>
        <w:t>1/2</w:t>
      </w:r>
      <w:r w:rsidRPr="00987530">
        <w:rPr>
          <w:rFonts w:eastAsia="TimesNewRoman" w:cstheme="minorHAnsi"/>
        </w:rPr>
        <w:t xml:space="preserve"> values for the FDC and free combinations were 12.05h and 11.16 h, respectively.</w:t>
      </w:r>
    </w:p>
    <w:p w:rsidR="00B37C25" w:rsidRDefault="00B37C25" w:rsidP="00B37C25">
      <w:pPr>
        <w:rPr>
          <w:rFonts w:eastAsia="TimesNewRoman" w:cstheme="minorHAnsi"/>
        </w:rPr>
      </w:pPr>
      <w:r>
        <w:rPr>
          <w:rFonts w:eastAsia="TimesNewRoman" w:cstheme="minorHAnsi"/>
        </w:rPr>
        <w:t xml:space="preserve">For the sitagliptin component, the GMRs (90%CIs) comparing the FDC/free for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color w:val="000000"/>
        </w:rPr>
        <w:t>, AUC</w:t>
      </w:r>
      <w:r w:rsidRPr="00F6649B">
        <w:rPr>
          <w:rFonts w:eastAsia="TimesNewRoman" w:cstheme="minorHAnsi"/>
          <w:color w:val="000000"/>
          <w:vertAlign w:val="subscript"/>
        </w:rPr>
        <w:t>last</w:t>
      </w:r>
      <w:r w:rsidRPr="00B46F76">
        <w:rPr>
          <w:rFonts w:eastAsia="TimesNewRoman" w:cstheme="minorHAnsi"/>
          <w:color w:val="000000"/>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color w:val="000000"/>
        </w:rPr>
        <w:t xml:space="preserve"> were </w:t>
      </w:r>
      <w:r w:rsidRPr="00B46F76">
        <w:rPr>
          <w:rFonts w:eastAsia="TimesNewRoman" w:cstheme="minorHAnsi"/>
        </w:rPr>
        <w:t>104.34% (101.21%, 107.57%), 104.63% (101.43%, 107.93%) and 106.60% (99.32%, 114.40%)</w:t>
      </w:r>
      <w:r w:rsidRPr="00B46F76">
        <w:rPr>
          <w:rFonts w:eastAsia="TimesNewRoman" w:cstheme="minorHAnsi"/>
          <w:color w:val="000000"/>
        </w:rPr>
        <w:t>, respectively</w:t>
      </w:r>
      <w:r>
        <w:rPr>
          <w:rFonts w:eastAsia="TimesNewRoman" w:cstheme="minorHAnsi"/>
          <w:color w:val="000000"/>
        </w:rPr>
        <w:t>. The m</w:t>
      </w:r>
      <w:r w:rsidRPr="00B46F76">
        <w:rPr>
          <w:rFonts w:eastAsia="TimesNewRoman" w:cstheme="minorHAnsi"/>
        </w:rPr>
        <w:t xml:space="preserve">edian </w:t>
      </w:r>
      <w:r>
        <w:rPr>
          <w:rFonts w:eastAsia="TimesNewRoman" w:cstheme="minorHAnsi"/>
        </w:rPr>
        <w:t xml:space="preserve">sitagliptin </w:t>
      </w:r>
      <w:r w:rsidR="00A46791" w:rsidRPr="00B46F76">
        <w:rPr>
          <w:rFonts w:eastAsia="TimesNewRoman" w:cstheme="minorHAnsi"/>
        </w:rPr>
        <w:t>T</w:t>
      </w:r>
      <w:r w:rsidR="00A46791" w:rsidRPr="00A46791">
        <w:rPr>
          <w:rFonts w:eastAsia="TimesNewRoman" w:cstheme="minorHAnsi"/>
          <w:vertAlign w:val="subscript"/>
        </w:rPr>
        <w:t>max</w:t>
      </w:r>
      <w:r w:rsidRPr="00B46F76">
        <w:rPr>
          <w:rFonts w:eastAsia="TimesNewRoman" w:cstheme="minorHAnsi"/>
        </w:rPr>
        <w:t xml:space="preserve"> </w:t>
      </w:r>
      <w:r>
        <w:rPr>
          <w:rFonts w:eastAsia="TimesNewRoman" w:cstheme="minorHAnsi"/>
        </w:rPr>
        <w:t xml:space="preserve">values were </w:t>
      </w:r>
      <w:r w:rsidRPr="00987530">
        <w:rPr>
          <w:rFonts w:eastAsia="TimesNewRoman" w:cstheme="minorHAnsi"/>
        </w:rPr>
        <w:t>3.00 h for both treatments, respectively, and the mean t</w:t>
      </w:r>
      <w:r w:rsidRPr="00987530">
        <w:rPr>
          <w:rFonts w:eastAsia="TimesNewRoman" w:cstheme="minorHAnsi"/>
          <w:vertAlign w:val="subscript"/>
        </w:rPr>
        <w:t>1/2</w:t>
      </w:r>
      <w:r w:rsidRPr="00987530">
        <w:rPr>
          <w:rFonts w:eastAsia="TimesNewRoman" w:cstheme="minorHAnsi"/>
        </w:rPr>
        <w:t xml:space="preserve"> values were 11.93 h and 11.56 h, respectively.</w:t>
      </w:r>
    </w:p>
    <w:p w:rsidR="00B37C25" w:rsidRDefault="00B37C25" w:rsidP="00B37C25">
      <w:pPr>
        <w:rPr>
          <w:rFonts w:eastAsia="TimesNewRoman" w:cstheme="minorHAnsi"/>
        </w:rPr>
      </w:pPr>
      <w:r>
        <w:rPr>
          <w:rFonts w:eastAsia="TimesNewRoman" w:cstheme="minorHAnsi"/>
        </w:rPr>
        <w:t>The results indicated that the</w:t>
      </w:r>
      <w:r w:rsidRPr="0071518F">
        <w:rPr>
          <w:rFonts w:eastAsia="TimesNewRoman" w:cstheme="minorHAnsi"/>
        </w:rPr>
        <w:t xml:space="preserve"> </w:t>
      </w:r>
      <w:r>
        <w:rPr>
          <w:rFonts w:eastAsia="TimesNewRoman" w:cstheme="minorHAnsi"/>
        </w:rPr>
        <w:t xml:space="preserve">ertugliflozin </w:t>
      </w:r>
      <w:r w:rsidRPr="00B46F76">
        <w:rPr>
          <w:rFonts w:eastAsia="TimesNewRoman" w:cstheme="minorHAnsi"/>
        </w:rPr>
        <w:t>5 mg/sitagliptin 50 mg</w:t>
      </w:r>
      <w:r>
        <w:rPr>
          <w:rFonts w:eastAsia="TimesNewRoman" w:cstheme="minorHAnsi"/>
        </w:rPr>
        <w:t xml:space="preserve"> FDC and free combinations were bioequivalent as 90% CIs for the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GMRs </w:t>
      </w:r>
      <w:r>
        <w:rPr>
          <w:rFonts w:eastAsia="TimesNewRoman" w:cstheme="minorHAnsi"/>
        </w:rPr>
        <w:t xml:space="preserve">for both active components were contained within </w:t>
      </w:r>
      <w:r w:rsidRPr="00B46F76">
        <w:rPr>
          <w:rFonts w:eastAsia="TimesNewRoman" w:cstheme="minorHAnsi"/>
        </w:rPr>
        <w:t xml:space="preserve">the (80%, 125%) </w:t>
      </w:r>
      <w:r>
        <w:rPr>
          <w:rFonts w:eastAsia="TimesNewRoman" w:cstheme="minorHAnsi"/>
        </w:rPr>
        <w:t>acceptance limits.</w:t>
      </w:r>
    </w:p>
    <w:p w:rsidR="00B37C25" w:rsidRPr="00C37A1D" w:rsidRDefault="00B37C25" w:rsidP="00754BDD">
      <w:pPr>
        <w:pStyle w:val="Heading5"/>
      </w:pPr>
      <w:r w:rsidRPr="00C37A1D">
        <w:t>Influence of food</w:t>
      </w:r>
    </w:p>
    <w:p w:rsidR="00884A9A" w:rsidRDefault="00BC7DA5" w:rsidP="00B37C25">
      <w:pPr>
        <w:rPr>
          <w:rFonts w:eastAsia="TimesNewRoman" w:cstheme="minorHAnsi"/>
        </w:rPr>
      </w:pPr>
      <w:r>
        <w:rPr>
          <w:rFonts w:cstheme="minorHAnsi"/>
        </w:rPr>
        <w:t>Study P0</w:t>
      </w:r>
      <w:r w:rsidR="00B37C25" w:rsidRPr="00754BDD">
        <w:rPr>
          <w:rFonts w:cstheme="minorHAnsi"/>
        </w:rPr>
        <w:t>26/1050</w:t>
      </w:r>
      <w:r w:rsidR="00B37C25">
        <w:rPr>
          <w:rFonts w:cstheme="minorHAnsi"/>
          <w:bCs/>
          <w:color w:val="000000"/>
        </w:rPr>
        <w:t xml:space="preserve"> </w:t>
      </w:r>
      <w:r w:rsidR="00B37C25">
        <w:rPr>
          <w:rFonts w:cstheme="minorHAnsi"/>
        </w:rPr>
        <w:t xml:space="preserve">examined the relative bioavailability (BA) of </w:t>
      </w:r>
      <w:r w:rsidR="00B37C25" w:rsidRPr="00B46F76">
        <w:rPr>
          <w:rFonts w:eastAsia="TimesNewRoman" w:cstheme="minorHAnsi"/>
        </w:rPr>
        <w:t>ertugliflozin 15 mg/sitagliptin 100 mg FDC tablet</w:t>
      </w:r>
      <w:r w:rsidR="00B37C25">
        <w:rPr>
          <w:rFonts w:eastAsia="TimesNewRoman" w:cstheme="minorHAnsi"/>
        </w:rPr>
        <w:t xml:space="preserve"> under fasted conditions and following a </w:t>
      </w:r>
      <w:r w:rsidR="00B37C25" w:rsidRPr="00B46F76">
        <w:rPr>
          <w:rFonts w:eastAsia="TimesNewRoman" w:cstheme="minorHAnsi"/>
        </w:rPr>
        <w:t>standard high-fat, high-calorie breakfast</w:t>
      </w:r>
      <w:r w:rsidR="00B37C25">
        <w:rPr>
          <w:rFonts w:eastAsia="TimesNewRoman" w:cstheme="minorHAnsi"/>
        </w:rPr>
        <w:t xml:space="preserve"> in 14 healthy subjects</w:t>
      </w:r>
      <w:r w:rsidR="00884A9A">
        <w:rPr>
          <w:rFonts w:eastAsia="TimesNewRoman" w:cstheme="minorHAnsi"/>
        </w:rPr>
        <w:t>.</w:t>
      </w:r>
    </w:p>
    <w:p w:rsidR="00B37C25" w:rsidRPr="00171483" w:rsidRDefault="00B37C25" w:rsidP="00B37C25">
      <w:pPr>
        <w:rPr>
          <w:rFonts w:eastAsia="TimesNewRoman" w:cstheme="minorHAnsi"/>
        </w:rPr>
      </w:pPr>
      <w:r w:rsidRPr="00B46F76">
        <w:rPr>
          <w:rFonts w:eastAsia="TimesNewRoman" w:cstheme="minorHAnsi"/>
          <w:color w:val="000000"/>
        </w:rPr>
        <w:t xml:space="preserve">When the FDC tablet was administered </w:t>
      </w:r>
      <w:r>
        <w:rPr>
          <w:rFonts w:eastAsia="TimesNewRoman" w:cstheme="minorHAnsi"/>
          <w:color w:val="000000"/>
        </w:rPr>
        <w:t xml:space="preserve">with a high-fat breakfast, </w:t>
      </w:r>
      <w:r w:rsidRPr="00B46F76">
        <w:rPr>
          <w:rFonts w:eastAsia="TimesNewRoman" w:cstheme="minorHAnsi"/>
        </w:rPr>
        <w:t xml:space="preserve">ertugliflozin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Pr>
          <w:rFonts w:eastAsia="TimesNewRoman" w:cstheme="minorHAnsi"/>
        </w:rPr>
        <w:t xml:space="preserve"> was approximately 30% lower compared to when it was administered following an overnight fast and the m</w:t>
      </w:r>
      <w:r w:rsidRPr="00B46F76">
        <w:rPr>
          <w:rFonts w:eastAsia="TimesNewRoman" w:cstheme="minorHAnsi"/>
        </w:rPr>
        <w:t xml:space="preserve">edian </w:t>
      </w:r>
      <w:r w:rsidR="00A46791" w:rsidRPr="00B46F76">
        <w:rPr>
          <w:rFonts w:eastAsia="TimesNewRoman" w:cstheme="minorHAnsi"/>
        </w:rPr>
        <w:t>T</w:t>
      </w:r>
      <w:r w:rsidR="00A46791" w:rsidRPr="00A46791">
        <w:rPr>
          <w:rFonts w:eastAsia="TimesNewRoman" w:cstheme="minorHAnsi"/>
          <w:vertAlign w:val="subscript"/>
        </w:rPr>
        <w:t>max</w:t>
      </w:r>
      <w:r>
        <w:rPr>
          <w:rFonts w:eastAsia="TimesNewRoman" w:cstheme="minorHAnsi"/>
        </w:rPr>
        <w:t xml:space="preserve"> </w:t>
      </w:r>
      <w:r w:rsidRPr="00B46F76">
        <w:rPr>
          <w:rFonts w:eastAsia="TimesNewRoman" w:cstheme="minorHAnsi"/>
        </w:rPr>
        <w:t xml:space="preserve">was delayed from 1 </w:t>
      </w:r>
      <w:r w:rsidRPr="00F6649B">
        <w:rPr>
          <w:rFonts w:eastAsia="TimesNewRoman" w:cstheme="minorHAnsi"/>
        </w:rPr>
        <w:t>h</w:t>
      </w:r>
      <w:r w:rsidRPr="00B46F76">
        <w:rPr>
          <w:rFonts w:eastAsia="TimesNewRoman" w:cstheme="minorHAnsi"/>
        </w:rPr>
        <w:t xml:space="preserve"> to 2 </w:t>
      </w:r>
      <w:r w:rsidRPr="00F6649B">
        <w:rPr>
          <w:rFonts w:eastAsia="TimesNewRoman" w:cstheme="minorHAnsi"/>
        </w:rPr>
        <w:t>h</w:t>
      </w:r>
      <w:r>
        <w:rPr>
          <w:rFonts w:eastAsia="TimesNewRoman" w:cstheme="minorHAnsi"/>
        </w:rPr>
        <w:t xml:space="preserve">. By contrast, ertugliflozin mean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Pr>
          <w:rFonts w:eastAsia="TimesNewRoman" w:cstheme="minorHAnsi"/>
        </w:rPr>
        <w:t xml:space="preserve">, </w:t>
      </w:r>
      <w:r w:rsidRPr="00B46F76">
        <w:rPr>
          <w:rFonts w:eastAsia="TimesNewRoman" w:cstheme="minorHAnsi"/>
        </w:rPr>
        <w:t>AUC</w:t>
      </w:r>
      <w:r w:rsidRPr="00F6649B">
        <w:rPr>
          <w:rFonts w:eastAsia="TimesNewRoman" w:cstheme="minorHAnsi"/>
          <w:vertAlign w:val="subscript"/>
        </w:rPr>
        <w:t>last</w:t>
      </w:r>
      <w:r w:rsidRPr="00B46F76">
        <w:rPr>
          <w:rFonts w:eastAsia="TimesNewRoman" w:cstheme="minorHAnsi"/>
        </w:rPr>
        <w:t xml:space="preserve"> </w:t>
      </w:r>
      <w:r>
        <w:rPr>
          <w:rFonts w:eastAsia="TimesNewRoman" w:cstheme="minorHAnsi"/>
        </w:rPr>
        <w:t>and t</w:t>
      </w:r>
      <w:r>
        <w:rPr>
          <w:rFonts w:eastAsia="TimesNewRoman" w:cstheme="minorHAnsi"/>
          <w:vertAlign w:val="subscript"/>
        </w:rPr>
        <w:t>1/2</w:t>
      </w:r>
      <w:r>
        <w:rPr>
          <w:rFonts w:eastAsia="TimesNewRoman" w:cstheme="minorHAnsi"/>
        </w:rPr>
        <w:t xml:space="preserve"> values </w:t>
      </w:r>
      <w:r w:rsidRPr="00B46F76">
        <w:rPr>
          <w:rFonts w:eastAsia="TimesNewRoman" w:cstheme="minorHAnsi"/>
        </w:rPr>
        <w:t xml:space="preserve">were similar </w:t>
      </w:r>
      <w:r>
        <w:rPr>
          <w:rFonts w:eastAsia="TimesNewRoman" w:cstheme="minorHAnsi"/>
        </w:rPr>
        <w:t>under both conditions</w:t>
      </w:r>
      <w:r w:rsidRPr="00B46F76">
        <w:rPr>
          <w:rFonts w:eastAsia="TimesNewRoman" w:cstheme="minorHAnsi"/>
        </w:rPr>
        <w:t>.</w:t>
      </w:r>
      <w:r>
        <w:rPr>
          <w:rFonts w:eastAsia="TimesNewRoman" w:cstheme="minorHAnsi"/>
        </w:rPr>
        <w:t xml:space="preserve"> The GMR (90% CIs) comparing </w:t>
      </w:r>
      <w:r w:rsidRPr="00B46F76">
        <w:rPr>
          <w:rFonts w:eastAsia="TimesNewRoman" w:cstheme="minorHAnsi"/>
          <w:color w:val="000000"/>
        </w:rPr>
        <w:t>fed relative</w:t>
      </w:r>
      <w:r>
        <w:rPr>
          <w:rFonts w:eastAsia="TimesNewRoman" w:cstheme="minorHAnsi"/>
          <w:color w:val="000000"/>
        </w:rPr>
        <w:t xml:space="preserve"> to fasted conditions </w:t>
      </w:r>
      <w:r>
        <w:rPr>
          <w:rFonts w:eastAsia="TimesNewRoman" w:cstheme="minorHAnsi"/>
        </w:rPr>
        <w:t xml:space="preserve">for </w:t>
      </w:r>
      <w:r w:rsidRPr="00B46F76">
        <w:rPr>
          <w:rFonts w:eastAsia="TimesNewRoman" w:cstheme="minorHAnsi"/>
          <w:color w:val="000000"/>
        </w:rPr>
        <w:t xml:space="preserve">ertugliflozin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color w:val="000000"/>
        </w:rPr>
        <w:t>, AUC</w:t>
      </w:r>
      <w:r w:rsidRPr="00F6649B">
        <w:rPr>
          <w:rFonts w:eastAsia="TimesNewRoman" w:cstheme="minorHAnsi"/>
          <w:color w:val="000000"/>
          <w:vertAlign w:val="subscript"/>
        </w:rPr>
        <w:t>last</w:t>
      </w:r>
      <w:r w:rsidRPr="00B46F76">
        <w:rPr>
          <w:rFonts w:eastAsia="TimesNewRoman" w:cstheme="minorHAnsi"/>
          <w:color w:val="000000"/>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color w:val="000000"/>
        </w:rPr>
        <w:t xml:space="preserve"> were 94.64% (91.62%,</w:t>
      </w:r>
      <w:r>
        <w:rPr>
          <w:rFonts w:eastAsia="TimesNewRoman" w:cstheme="minorHAnsi"/>
          <w:color w:val="000000"/>
        </w:rPr>
        <w:t xml:space="preserve"> </w:t>
      </w:r>
      <w:r w:rsidRPr="00B46F76">
        <w:rPr>
          <w:rFonts w:eastAsia="TimesNewRoman" w:cstheme="minorHAnsi"/>
          <w:color w:val="000000"/>
        </w:rPr>
        <w:t>97.75%), 94.81% (91.79%, 97.93%) and 70.47% (63.34%, 78.39%), respectively. The</w:t>
      </w:r>
      <w:r>
        <w:rPr>
          <w:rFonts w:eastAsia="TimesNewRoman" w:cstheme="minorHAnsi"/>
          <w:color w:val="000000"/>
        </w:rPr>
        <w:t xml:space="preserve"> </w:t>
      </w:r>
      <w:r w:rsidRPr="00B46F76">
        <w:rPr>
          <w:rFonts w:eastAsia="TimesNewRoman" w:cstheme="minorHAnsi"/>
          <w:color w:val="000000"/>
        </w:rPr>
        <w:t xml:space="preserve">90% CIs for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color w:val="000000"/>
        </w:rPr>
        <w:t xml:space="preserve"> and AUC</w:t>
      </w:r>
      <w:r w:rsidRPr="00F6649B">
        <w:rPr>
          <w:rFonts w:eastAsia="TimesNewRoman" w:cstheme="minorHAnsi"/>
          <w:color w:val="000000"/>
          <w:vertAlign w:val="subscript"/>
        </w:rPr>
        <w:t>last</w:t>
      </w:r>
      <w:r w:rsidRPr="00B46F76">
        <w:rPr>
          <w:rFonts w:eastAsia="TimesNewRoman" w:cstheme="minorHAnsi"/>
          <w:color w:val="000000"/>
        </w:rPr>
        <w:t xml:space="preserve"> were contained within the (80%, 125%) acceptance range</w:t>
      </w:r>
      <w:r>
        <w:rPr>
          <w:rFonts w:eastAsia="TimesNewRoman" w:cstheme="minorHAnsi"/>
          <w:color w:val="000000"/>
        </w:rPr>
        <w:t xml:space="preserve"> </w:t>
      </w:r>
      <w:r w:rsidRPr="00B46F76">
        <w:rPr>
          <w:rFonts w:eastAsia="TimesNewRoman" w:cstheme="minorHAnsi"/>
          <w:color w:val="000000"/>
        </w:rPr>
        <w:t xml:space="preserve">for bioequivalence, indicating no meaningful effect of food on </w:t>
      </w:r>
      <w:r>
        <w:rPr>
          <w:rFonts w:eastAsia="TimesNewRoman" w:cstheme="minorHAnsi"/>
          <w:color w:val="000000"/>
        </w:rPr>
        <w:t xml:space="preserve">ertugliflozin </w:t>
      </w:r>
      <w:r w:rsidRPr="00B46F76">
        <w:rPr>
          <w:rFonts w:eastAsia="TimesNewRoman" w:cstheme="minorHAnsi"/>
          <w:color w:val="000000"/>
        </w:rPr>
        <w:t>AUC</w:t>
      </w:r>
      <w:r>
        <w:rPr>
          <w:rFonts w:eastAsia="TimesNewRoman" w:cstheme="minorHAnsi"/>
          <w:color w:val="000000"/>
        </w:rPr>
        <w:t>, whereas, e</w:t>
      </w:r>
      <w:r w:rsidRPr="00B46F76">
        <w:rPr>
          <w:rFonts w:eastAsia="TimesNewRoman" w:cstheme="minorHAnsi"/>
          <w:color w:val="000000"/>
        </w:rPr>
        <w:t xml:space="preserve">rtugliflozin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color w:val="000000"/>
        </w:rPr>
        <w:t xml:space="preserve"> </w:t>
      </w:r>
      <w:r>
        <w:rPr>
          <w:rFonts w:eastAsia="TimesNewRoman" w:cstheme="minorHAnsi"/>
          <w:color w:val="000000"/>
        </w:rPr>
        <w:t>was significantly lower</w:t>
      </w:r>
      <w:r w:rsidRPr="00B46F76">
        <w:rPr>
          <w:rFonts w:eastAsia="TimesNewRoman" w:cstheme="minorHAnsi"/>
          <w:color w:val="000000"/>
        </w:rPr>
        <w:t>; however, th</w:t>
      </w:r>
      <w:r>
        <w:rPr>
          <w:rFonts w:eastAsia="TimesNewRoman" w:cstheme="minorHAnsi"/>
          <w:color w:val="000000"/>
        </w:rPr>
        <w:t>is</w:t>
      </w:r>
      <w:r w:rsidRPr="00B46F76">
        <w:rPr>
          <w:rFonts w:eastAsia="TimesNewRoman" w:cstheme="minorHAnsi"/>
          <w:color w:val="000000"/>
        </w:rPr>
        <w:t xml:space="preserve"> decrease is </w:t>
      </w:r>
      <w:r>
        <w:rPr>
          <w:rFonts w:eastAsia="TimesNewRoman" w:cstheme="minorHAnsi"/>
          <w:color w:val="000000"/>
        </w:rPr>
        <w:t xml:space="preserve">unlikely </w:t>
      </w:r>
      <w:r w:rsidRPr="00B46F76">
        <w:rPr>
          <w:rFonts w:eastAsia="TimesNewRoman" w:cstheme="minorHAnsi"/>
          <w:color w:val="000000"/>
        </w:rPr>
        <w:t>to be clinically relevant</w:t>
      </w:r>
      <w:r>
        <w:rPr>
          <w:rFonts w:eastAsia="TimesNewRoman" w:cstheme="minorHAnsi"/>
          <w:color w:val="000000"/>
        </w:rPr>
        <w:t>.</w:t>
      </w:r>
    </w:p>
    <w:p w:rsidR="00B37C25" w:rsidRDefault="00B37C25" w:rsidP="00B37C25">
      <w:pPr>
        <w:autoSpaceDE w:val="0"/>
        <w:autoSpaceDN w:val="0"/>
        <w:adjustRightInd w:val="0"/>
        <w:rPr>
          <w:rFonts w:eastAsia="TimesNewRoman" w:cstheme="minorHAnsi"/>
        </w:rPr>
      </w:pPr>
      <w:r>
        <w:rPr>
          <w:rFonts w:eastAsia="TimesNewRoman" w:cstheme="minorHAnsi"/>
        </w:rPr>
        <w:t xml:space="preserve">For the </w:t>
      </w:r>
      <w:r w:rsidRPr="00B46F76">
        <w:rPr>
          <w:rFonts w:eastAsia="TimesNewRoman" w:cstheme="minorHAnsi"/>
        </w:rPr>
        <w:t xml:space="preserve">sitagliptin </w:t>
      </w:r>
      <w:r>
        <w:rPr>
          <w:rFonts w:eastAsia="TimesNewRoman" w:cstheme="minorHAnsi"/>
        </w:rPr>
        <w:t>component of the FDC, the</w:t>
      </w:r>
      <w:r w:rsidRPr="00B46F76">
        <w:rPr>
          <w:rFonts w:eastAsia="TimesNewRoman" w:cstheme="minorHAnsi"/>
        </w:rPr>
        <w:t xml:space="preserve">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and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Pr>
          <w:rFonts w:eastAsia="TimesNewRoman" w:cstheme="minorHAnsi"/>
        </w:rPr>
        <w:t xml:space="preserve">, </w:t>
      </w:r>
      <w:r w:rsidRPr="00B46F76">
        <w:rPr>
          <w:rFonts w:eastAsia="TimesNewRoman" w:cstheme="minorHAnsi"/>
        </w:rPr>
        <w:t>AUC</w:t>
      </w:r>
      <w:r w:rsidRPr="00F6649B">
        <w:rPr>
          <w:rFonts w:eastAsia="TimesNewRoman" w:cstheme="minorHAnsi"/>
          <w:vertAlign w:val="subscript"/>
        </w:rPr>
        <w:t>last</w:t>
      </w:r>
      <w:r w:rsidRPr="00B46F76">
        <w:rPr>
          <w:rFonts w:eastAsia="TimesNewRoman" w:cstheme="minorHAnsi"/>
        </w:rPr>
        <w:t xml:space="preserve"> </w:t>
      </w:r>
      <w:r>
        <w:rPr>
          <w:rFonts w:eastAsia="TimesNewRoman" w:cstheme="minorHAnsi"/>
        </w:rPr>
        <w:t>and t</w:t>
      </w:r>
      <w:r>
        <w:rPr>
          <w:rFonts w:eastAsia="TimesNewRoman" w:cstheme="minorHAnsi"/>
          <w:vertAlign w:val="subscript"/>
        </w:rPr>
        <w:t>1/2</w:t>
      </w:r>
      <w:r>
        <w:rPr>
          <w:rFonts w:eastAsia="TimesNewRoman" w:cstheme="minorHAnsi"/>
        </w:rPr>
        <w:t xml:space="preserve"> values </w:t>
      </w:r>
      <w:r w:rsidRPr="00B46F76">
        <w:rPr>
          <w:rFonts w:eastAsia="TimesNewRoman" w:cstheme="minorHAnsi"/>
        </w:rPr>
        <w:t xml:space="preserve">were generally </w:t>
      </w:r>
      <w:r>
        <w:rPr>
          <w:rFonts w:eastAsia="TimesNewRoman" w:cstheme="minorHAnsi"/>
        </w:rPr>
        <w:t>similar under both conditions</w:t>
      </w:r>
      <w:r w:rsidRPr="00B46F76">
        <w:rPr>
          <w:rFonts w:eastAsia="TimesNewRoman" w:cstheme="minorHAnsi"/>
        </w:rPr>
        <w:t xml:space="preserve">. </w:t>
      </w:r>
      <w:r>
        <w:rPr>
          <w:rFonts w:eastAsia="TimesNewRoman" w:cstheme="minorHAnsi"/>
        </w:rPr>
        <w:t>By contrast, the m</w:t>
      </w:r>
      <w:r w:rsidRPr="00B46F76">
        <w:rPr>
          <w:rFonts w:eastAsia="TimesNewRoman" w:cstheme="minorHAnsi"/>
        </w:rPr>
        <w:t xml:space="preserve">edian </w:t>
      </w:r>
      <w:r w:rsidR="00A46791" w:rsidRPr="00B46F76">
        <w:rPr>
          <w:rFonts w:eastAsia="TimesNewRoman" w:cstheme="minorHAnsi"/>
        </w:rPr>
        <w:t>T</w:t>
      </w:r>
      <w:r w:rsidR="00A46791" w:rsidRPr="00A46791">
        <w:rPr>
          <w:rFonts w:eastAsia="TimesNewRoman" w:cstheme="minorHAnsi"/>
          <w:vertAlign w:val="subscript"/>
        </w:rPr>
        <w:t>max</w:t>
      </w:r>
      <w:r w:rsidRPr="00B46F76">
        <w:rPr>
          <w:rFonts w:eastAsia="TimesNewRoman" w:cstheme="minorHAnsi"/>
        </w:rPr>
        <w:t xml:space="preserve"> was 3.00 </w:t>
      </w:r>
      <w:r w:rsidRPr="00F6649B">
        <w:rPr>
          <w:rFonts w:eastAsia="TimesNewRoman" w:cstheme="minorHAnsi"/>
        </w:rPr>
        <w:t>h</w:t>
      </w:r>
      <w:r w:rsidRPr="00B46F76">
        <w:rPr>
          <w:rFonts w:eastAsia="TimesNewRoman" w:cstheme="minorHAnsi"/>
        </w:rPr>
        <w:t xml:space="preserve"> in the fasted state and 1.77 </w:t>
      </w:r>
      <w:r w:rsidRPr="00F6649B">
        <w:rPr>
          <w:rFonts w:eastAsia="TimesNewRoman" w:cstheme="minorHAnsi"/>
        </w:rPr>
        <w:t>h</w:t>
      </w:r>
      <w:r w:rsidRPr="00B46F76">
        <w:rPr>
          <w:rFonts w:eastAsia="TimesNewRoman" w:cstheme="minorHAnsi"/>
        </w:rPr>
        <w:t xml:space="preserve"> in the fed state.</w:t>
      </w:r>
      <w:r>
        <w:rPr>
          <w:rFonts w:eastAsia="TimesNewRoman" w:cstheme="minorHAnsi"/>
        </w:rPr>
        <w:t xml:space="preserve"> The GMRs (90%CIs) comparing </w:t>
      </w:r>
      <w:r w:rsidRPr="00B46F76">
        <w:rPr>
          <w:rFonts w:eastAsia="TimesNewRoman" w:cstheme="minorHAnsi"/>
        </w:rPr>
        <w:t xml:space="preserve">sitagliptin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 xml:space="preserve"> </w:t>
      </w:r>
      <w:r>
        <w:rPr>
          <w:rFonts w:eastAsia="TimesNewRoman" w:cstheme="minorHAnsi"/>
        </w:rPr>
        <w:t xml:space="preserve">under fed relative to fasted conditions </w:t>
      </w:r>
      <w:r w:rsidRPr="00B46F76">
        <w:rPr>
          <w:rFonts w:eastAsia="TimesNewRoman" w:cstheme="minorHAnsi"/>
        </w:rPr>
        <w:t>were 96.64% (93.99%,</w:t>
      </w:r>
      <w:r>
        <w:rPr>
          <w:rFonts w:eastAsia="TimesNewRoman" w:cstheme="minorHAnsi"/>
        </w:rPr>
        <w:t xml:space="preserve"> </w:t>
      </w:r>
      <w:r w:rsidRPr="00B46F76">
        <w:rPr>
          <w:rFonts w:eastAsia="TimesNewRoman" w:cstheme="minorHAnsi"/>
        </w:rPr>
        <w:t xml:space="preserve">99.37%), 96.40% (93.79%, 99.08%) and 96.09% (82.38%, 112.09%), </w:t>
      </w:r>
      <w:r w:rsidR="004B0649" w:rsidRPr="00B46F76">
        <w:rPr>
          <w:rFonts w:eastAsia="TimesNewRoman" w:cstheme="minorHAnsi"/>
        </w:rPr>
        <w:t>respectively</w:t>
      </w:r>
      <w:r w:rsidR="004B0649">
        <w:rPr>
          <w:rFonts w:eastAsia="TimesNewRoman" w:cstheme="minorHAnsi"/>
        </w:rPr>
        <w:t xml:space="preserve"> and</w:t>
      </w:r>
      <w:r>
        <w:rPr>
          <w:rFonts w:eastAsia="TimesNewRoman" w:cstheme="minorHAnsi"/>
        </w:rPr>
        <w:t xml:space="preserve"> were</w:t>
      </w:r>
      <w:r w:rsidRPr="00B46F76">
        <w:rPr>
          <w:rFonts w:eastAsia="TimesNewRoman" w:cstheme="minorHAnsi"/>
        </w:rPr>
        <w:t xml:space="preserve"> contained within the (80%, 125%) acceptance range</w:t>
      </w:r>
      <w:r>
        <w:rPr>
          <w:rFonts w:eastAsia="TimesNewRoman" w:cstheme="minorHAnsi"/>
        </w:rPr>
        <w:t xml:space="preserve"> </w:t>
      </w:r>
      <w:r w:rsidRPr="00B46F76">
        <w:rPr>
          <w:rFonts w:eastAsia="TimesNewRoman" w:cstheme="minorHAnsi"/>
        </w:rPr>
        <w:t xml:space="preserve">for bioequivalence, indicating no meaningful effect of food on sitagliptin AUC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w:t>
      </w:r>
    </w:p>
    <w:p w:rsidR="00B37C25" w:rsidRPr="005B0142" w:rsidRDefault="00B37C25" w:rsidP="00754BDD">
      <w:pPr>
        <w:pStyle w:val="Heading5"/>
      </w:pPr>
      <w:r w:rsidRPr="005B0142">
        <w:t>Distribution</w:t>
      </w:r>
      <w:r>
        <w:t xml:space="preserve">, </w:t>
      </w:r>
      <w:r w:rsidR="004A75C1">
        <w:t>metabolism and excretion</w:t>
      </w:r>
    </w:p>
    <w:p w:rsidR="00B37C25" w:rsidRPr="006C54BD" w:rsidRDefault="00B37C25">
      <w:r w:rsidRPr="006C54BD">
        <w:t xml:space="preserve">No dedicated studies examined the distribution, metabolism or excretion of the proposed FDC tablets. However, these PK parameters are well-established for sitagliptin (please see the Australian PI for Januvia for further details) and the results for ertugliflozin are discussed in the concurrent submission </w:t>
      </w:r>
      <w:r w:rsidR="00754BDD">
        <w:rPr>
          <w:rFonts w:cs="Calibri"/>
          <w:lang w:eastAsia="ja-JP"/>
        </w:rPr>
        <w:t>for Steglatro</w:t>
      </w:r>
      <w:r w:rsidRPr="006C54BD">
        <w:rPr>
          <w:rFonts w:cs="Calibri"/>
        </w:rPr>
        <w:t>.</w:t>
      </w:r>
    </w:p>
    <w:p w:rsidR="00B37C25" w:rsidRDefault="00B37C25" w:rsidP="00754BDD">
      <w:pPr>
        <w:pStyle w:val="Heading5"/>
      </w:pPr>
      <w:bookmarkStart w:id="77" w:name="_Toc241374291"/>
      <w:bookmarkStart w:id="78" w:name="_Toc272414624"/>
      <w:bookmarkStart w:id="79" w:name="_Toc290888473"/>
      <w:bookmarkStart w:id="80" w:name="_Toc416353669"/>
      <w:r>
        <w:lastRenderedPageBreak/>
        <w:t xml:space="preserve">Intra </w:t>
      </w:r>
      <w:r w:rsidRPr="005B0142">
        <w:t>and inter</w:t>
      </w:r>
      <w:r>
        <w:t xml:space="preserve"> </w:t>
      </w:r>
      <w:r w:rsidRPr="00F77F87">
        <w:t>individual</w:t>
      </w:r>
      <w:r w:rsidRPr="005B0142">
        <w:t xml:space="preserve"> variability</w:t>
      </w:r>
      <w:bookmarkEnd w:id="77"/>
      <w:r w:rsidRPr="005B0142">
        <w:t xml:space="preserve"> of pharmacokinetics</w:t>
      </w:r>
      <w:bookmarkEnd w:id="78"/>
      <w:bookmarkEnd w:id="79"/>
      <w:bookmarkEnd w:id="80"/>
    </w:p>
    <w:p w:rsidR="00B37C25" w:rsidRPr="00DA59A7" w:rsidRDefault="00B37C25" w:rsidP="00B37C25">
      <w:pPr>
        <w:rPr>
          <w:lang w:eastAsia="ja-JP"/>
        </w:rPr>
      </w:pPr>
      <w:r w:rsidRPr="00B46F76">
        <w:rPr>
          <w:rFonts w:eastAsia="TimesNewRoman" w:cstheme="minorHAnsi"/>
          <w:color w:val="000000"/>
        </w:rPr>
        <w:t xml:space="preserve">Following a single oral administration of </w:t>
      </w:r>
      <w:r>
        <w:rPr>
          <w:rFonts w:eastAsia="TimesNewRoman" w:cstheme="minorHAnsi"/>
          <w:color w:val="000000"/>
        </w:rPr>
        <w:t xml:space="preserve">the highest proposed dosage strength of the FDC tablet, containing </w:t>
      </w:r>
      <w:r w:rsidRPr="00B46F76">
        <w:rPr>
          <w:rFonts w:eastAsia="TimesNewRoman" w:cstheme="minorHAnsi"/>
          <w:color w:val="000000"/>
        </w:rPr>
        <w:t>sitagliptin 100 mg/ertugliflozin 15 mg</w:t>
      </w:r>
      <w:r>
        <w:rPr>
          <w:rFonts w:eastAsia="TimesNewRoman" w:cstheme="minorHAnsi"/>
          <w:color w:val="000000"/>
        </w:rPr>
        <w:t>,</w:t>
      </w:r>
      <w:r w:rsidRPr="00B46F76">
        <w:rPr>
          <w:rFonts w:eastAsia="TimesNewRoman" w:cstheme="minorHAnsi"/>
          <w:color w:val="000000"/>
        </w:rPr>
        <w:t xml:space="preserve"> </w:t>
      </w:r>
      <w:r>
        <w:rPr>
          <w:rFonts w:eastAsia="TimesNewRoman" w:cstheme="minorHAnsi"/>
          <w:color w:val="000000"/>
        </w:rPr>
        <w:t>or</w:t>
      </w:r>
      <w:r w:rsidRPr="00B46F76">
        <w:rPr>
          <w:rFonts w:eastAsia="TimesNewRoman" w:cstheme="minorHAnsi"/>
          <w:color w:val="000000"/>
        </w:rPr>
        <w:t xml:space="preserve"> co-administration </w:t>
      </w:r>
      <w:r>
        <w:rPr>
          <w:rFonts w:eastAsia="TimesNewRoman" w:cstheme="minorHAnsi"/>
          <w:color w:val="000000"/>
        </w:rPr>
        <w:t>of the corresponding free combination</w:t>
      </w:r>
      <w:r w:rsidRPr="00B46F76">
        <w:rPr>
          <w:rFonts w:eastAsia="TimesNewRoman" w:cstheme="minorHAnsi"/>
          <w:color w:val="000000"/>
        </w:rPr>
        <w:t xml:space="preserve"> under fasted conditions</w:t>
      </w:r>
      <w:r>
        <w:rPr>
          <w:rFonts w:eastAsia="TimesNewRoman" w:cstheme="minorHAnsi"/>
          <w:color w:val="000000"/>
        </w:rPr>
        <w:t xml:space="preserve"> </w:t>
      </w:r>
      <w:r>
        <w:rPr>
          <w:rFonts w:eastAsia="TimesNewRoman" w:cstheme="minorHAnsi"/>
        </w:rPr>
        <w:t>t</w:t>
      </w:r>
      <w:r w:rsidRPr="00B46F76">
        <w:rPr>
          <w:rFonts w:eastAsia="TimesNewRoman" w:cstheme="minorHAnsi"/>
        </w:rPr>
        <w:t xml:space="preserve">he geometric CV% was 22% for ertugliflozin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xml:space="preserve">, and ranged from 24% to 34% for ertugliflozin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w:t>
      </w:r>
      <w:r>
        <w:rPr>
          <w:rFonts w:eastAsia="TimesNewRoman" w:cstheme="minorHAnsi"/>
        </w:rPr>
        <w:t xml:space="preserve"> For the sitagliptin component, t</w:t>
      </w:r>
      <w:r w:rsidRPr="00B46F76">
        <w:rPr>
          <w:rFonts w:eastAsia="TimesNewRoman" w:cstheme="minorHAnsi"/>
        </w:rPr>
        <w:t xml:space="preserve">he geometric CV% ranged from 14% to 15% for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xml:space="preserve">, and ranged from 20% to 22% for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rPr>
        <w:t>.</w:t>
      </w:r>
    </w:p>
    <w:p w:rsidR="00B37C25" w:rsidRPr="00545B14" w:rsidRDefault="00B37C25" w:rsidP="0013015A">
      <w:pPr>
        <w:pStyle w:val="Heading4"/>
      </w:pPr>
      <w:bookmarkStart w:id="81" w:name="_Toc241374292"/>
      <w:bookmarkStart w:id="82" w:name="_Ref271189131"/>
      <w:bookmarkStart w:id="83" w:name="_Ref271189136"/>
      <w:bookmarkStart w:id="84" w:name="_Toc272414625"/>
      <w:bookmarkStart w:id="85" w:name="_Toc290888474"/>
      <w:bookmarkStart w:id="86" w:name="_Toc416353670"/>
      <w:bookmarkStart w:id="87" w:name="_Toc421005245"/>
      <w:bookmarkStart w:id="88" w:name="_Toc432079127"/>
      <w:bookmarkStart w:id="89" w:name="_Toc432080700"/>
      <w:bookmarkStart w:id="90" w:name="_Toc461096078"/>
      <w:bookmarkStart w:id="91" w:name="_Toc504036111"/>
      <w:r w:rsidRPr="00545B14">
        <w:t>Pharmacokinetics in the target population</w:t>
      </w:r>
      <w:bookmarkEnd w:id="81"/>
      <w:bookmarkEnd w:id="82"/>
      <w:bookmarkEnd w:id="83"/>
      <w:bookmarkEnd w:id="84"/>
      <w:bookmarkEnd w:id="85"/>
      <w:bookmarkEnd w:id="86"/>
      <w:bookmarkEnd w:id="87"/>
      <w:bookmarkEnd w:id="88"/>
      <w:bookmarkEnd w:id="89"/>
      <w:bookmarkEnd w:id="90"/>
      <w:bookmarkEnd w:id="91"/>
    </w:p>
    <w:p w:rsidR="00B37C25" w:rsidRDefault="00B37C25" w:rsidP="00B37C25">
      <w:pPr>
        <w:rPr>
          <w:lang w:eastAsia="ja-JP"/>
        </w:rPr>
      </w:pPr>
      <w:bookmarkStart w:id="92" w:name="_Toc241374293"/>
      <w:bookmarkStart w:id="93" w:name="_Toc272414626"/>
      <w:bookmarkStart w:id="94" w:name="_Toc290888475"/>
      <w:bookmarkStart w:id="95" w:name="_Toc416353671"/>
      <w:bookmarkStart w:id="96" w:name="_Toc421005246"/>
      <w:bookmarkStart w:id="97" w:name="_Toc432079128"/>
      <w:bookmarkStart w:id="98" w:name="_Toc432080701"/>
      <w:r>
        <w:rPr>
          <w:lang w:eastAsia="ja-JP"/>
        </w:rPr>
        <w:t>No dedicated studies examined the PKs of the proposed FDC in the target population.</w:t>
      </w:r>
    </w:p>
    <w:p w:rsidR="00B37C25" w:rsidRDefault="00B37C25" w:rsidP="0013015A">
      <w:pPr>
        <w:pStyle w:val="Heading4"/>
      </w:pPr>
      <w:bookmarkStart w:id="99" w:name="_Toc461096079"/>
      <w:bookmarkStart w:id="100" w:name="_Toc504036112"/>
      <w:r w:rsidRPr="00545B14">
        <w:t>Pharmacokinetics in special populations</w:t>
      </w:r>
      <w:bookmarkEnd w:id="92"/>
      <w:bookmarkEnd w:id="93"/>
      <w:bookmarkEnd w:id="94"/>
      <w:bookmarkEnd w:id="95"/>
      <w:bookmarkEnd w:id="96"/>
      <w:bookmarkEnd w:id="97"/>
      <w:bookmarkEnd w:id="98"/>
      <w:bookmarkEnd w:id="99"/>
      <w:bookmarkEnd w:id="100"/>
    </w:p>
    <w:p w:rsidR="00B37C25" w:rsidRDefault="00B37C25" w:rsidP="00B37C25">
      <w:r>
        <w:rPr>
          <w:lang w:eastAsia="ja-JP"/>
        </w:rPr>
        <w:t>No dedicated studies examined the PKs of the FDC in special populations. However, as sitagliptin</w:t>
      </w:r>
      <w:r>
        <w:t xml:space="preserve"> is excreted renally the following precaution regarding renal dysfunction is</w:t>
      </w:r>
      <w:r w:rsidR="0013015A">
        <w:t xml:space="preserve"> included in the PI for Januvia</w:t>
      </w:r>
      <w:r>
        <w:t>:</w:t>
      </w:r>
    </w:p>
    <w:p w:rsidR="00B37C25" w:rsidRDefault="004B0649" w:rsidP="0013015A">
      <w:pPr>
        <w:ind w:left="720"/>
        <w:rPr>
          <w:lang w:eastAsia="ja-JP"/>
        </w:rPr>
      </w:pPr>
      <w:r w:rsidRPr="0013015A">
        <w:rPr>
          <w:i/>
        </w:rPr>
        <w:t>To</w:t>
      </w:r>
      <w:r w:rsidR="00B37C25" w:rsidRPr="0013015A">
        <w:rPr>
          <w:i/>
        </w:rPr>
        <w:t xml:space="preserve"> achieve plasma concentrations of </w:t>
      </w:r>
      <w:r w:rsidR="0013015A" w:rsidRPr="0013015A">
        <w:rPr>
          <w:i/>
        </w:rPr>
        <w:t xml:space="preserve">Januvia </w:t>
      </w:r>
      <w:r w:rsidR="00B37C25" w:rsidRPr="0013015A">
        <w:rPr>
          <w:i/>
        </w:rPr>
        <w:t>similar to those in patients with normal renal function, lower dosages are recommended in patients with moderate and severe renal insufficiency, as well as in ESRD patients requiring haemodialysis or peritoneal dialysis</w:t>
      </w:r>
      <w:r w:rsidR="00B37C25">
        <w:t>.</w:t>
      </w:r>
    </w:p>
    <w:p w:rsidR="00B37C25" w:rsidRDefault="00B37C25">
      <w:pPr>
        <w:rPr>
          <w:lang w:eastAsia="ja-JP"/>
        </w:rPr>
      </w:pPr>
      <w:r>
        <w:rPr>
          <w:lang w:eastAsia="ja-JP"/>
        </w:rPr>
        <w:t xml:space="preserve">For ertugliflozin, </w:t>
      </w:r>
      <w:r w:rsidRPr="00CD1504">
        <w:rPr>
          <w:lang w:eastAsia="ja-JP"/>
        </w:rPr>
        <w:t>t</w:t>
      </w:r>
      <w:r w:rsidRPr="00CD1504">
        <w:t>here is no clinical experience in patients with Child-Pugh class C (severe) hepatic impairment and its use is contraindicated in patients with chronic kidney disease (CKD) stage 4 or 5 (severely impaired renal function including patients receiving dialysis; eGFR</w:t>
      </w:r>
      <w:r w:rsidR="00884A9A">
        <w:t> </w:t>
      </w:r>
      <w:r w:rsidRPr="00CD1504">
        <w:t>&lt;</w:t>
      </w:r>
      <w:r w:rsidR="00884A9A">
        <w:t> </w:t>
      </w:r>
      <w:r w:rsidRPr="00CD1504">
        <w:t>30</w:t>
      </w:r>
      <w:r w:rsidR="00884A9A">
        <w:t> </w:t>
      </w:r>
      <w:r w:rsidRPr="00CD1504">
        <w:t>mL/min/1.73 m</w:t>
      </w:r>
      <w:r w:rsidRPr="006A3EE8">
        <w:rPr>
          <w:vertAlign w:val="superscript"/>
        </w:rPr>
        <w:t>2</w:t>
      </w:r>
      <w:r w:rsidRPr="00CD1504">
        <w:t xml:space="preserve"> or creatinine clearance (CrCl) &lt;</w:t>
      </w:r>
      <w:r w:rsidR="00884A9A">
        <w:t xml:space="preserve"> </w:t>
      </w:r>
      <w:r w:rsidRPr="00CD1504">
        <w:t>30 mL/min) or eGFR persistently &lt;</w:t>
      </w:r>
      <w:r w:rsidR="00884A9A">
        <w:t> </w:t>
      </w:r>
      <w:r w:rsidRPr="00CD1504">
        <w:t>45 mL/min/1.73m2 or CrCl persistently &lt; 45 mL/min (CKD stage 3B).</w:t>
      </w:r>
    </w:p>
    <w:p w:rsidR="00B37C25" w:rsidRPr="00150A99" w:rsidRDefault="00B37C25" w:rsidP="0013015A">
      <w:pPr>
        <w:pStyle w:val="Heading4"/>
      </w:pPr>
      <w:bookmarkStart w:id="101" w:name="_Toc416353677"/>
      <w:bookmarkStart w:id="102" w:name="_Toc421005247"/>
      <w:bookmarkStart w:id="103" w:name="_Toc432079129"/>
      <w:bookmarkStart w:id="104" w:name="_Toc432080702"/>
      <w:bookmarkStart w:id="105" w:name="_Toc461096080"/>
      <w:bookmarkStart w:id="106" w:name="_Toc504036113"/>
      <w:r w:rsidRPr="00150A99">
        <w:t xml:space="preserve">Population </w:t>
      </w:r>
      <w:r>
        <w:t>p</w:t>
      </w:r>
      <w:r w:rsidRPr="00150A99">
        <w:t>harmacokinetics</w:t>
      </w:r>
      <w:bookmarkEnd w:id="101"/>
      <w:bookmarkEnd w:id="102"/>
      <w:bookmarkEnd w:id="103"/>
      <w:bookmarkEnd w:id="104"/>
      <w:bookmarkEnd w:id="105"/>
      <w:bookmarkEnd w:id="106"/>
    </w:p>
    <w:p w:rsidR="00B37C25" w:rsidRPr="00477081" w:rsidRDefault="00B37C25" w:rsidP="00B37C25">
      <w:pPr>
        <w:rPr>
          <w:lang w:eastAsia="ja-JP"/>
        </w:rPr>
      </w:pPr>
      <w:bookmarkStart w:id="107" w:name="_Toc421005248"/>
      <w:r>
        <w:rPr>
          <w:lang w:eastAsia="ja-JP"/>
        </w:rPr>
        <w:t>No dedicated popPK analyses were undertaken for the FDC tablets.</w:t>
      </w:r>
    </w:p>
    <w:p w:rsidR="00B37C25" w:rsidRDefault="00B37C25" w:rsidP="0013015A">
      <w:pPr>
        <w:pStyle w:val="Heading4"/>
      </w:pPr>
      <w:bookmarkStart w:id="108" w:name="_Toc241374294"/>
      <w:bookmarkStart w:id="109" w:name="_Toc272414632"/>
      <w:bookmarkStart w:id="110" w:name="_Toc290888481"/>
      <w:bookmarkStart w:id="111" w:name="_Toc416353678"/>
      <w:bookmarkStart w:id="112" w:name="_Toc421005249"/>
      <w:bookmarkStart w:id="113" w:name="_Toc432079130"/>
      <w:bookmarkStart w:id="114" w:name="_Toc432080703"/>
      <w:bookmarkStart w:id="115" w:name="_Toc461096081"/>
      <w:bookmarkStart w:id="116" w:name="_Toc504036114"/>
      <w:bookmarkEnd w:id="107"/>
      <w:r w:rsidRPr="00545B14">
        <w:t>Pharmacokinetic interactions</w:t>
      </w:r>
      <w:bookmarkEnd w:id="108"/>
      <w:bookmarkEnd w:id="109"/>
      <w:bookmarkEnd w:id="110"/>
      <w:bookmarkEnd w:id="111"/>
      <w:bookmarkEnd w:id="112"/>
      <w:bookmarkEnd w:id="113"/>
      <w:bookmarkEnd w:id="114"/>
      <w:bookmarkEnd w:id="115"/>
      <w:bookmarkEnd w:id="116"/>
    </w:p>
    <w:p w:rsidR="00B37C25" w:rsidRDefault="00B37C25" w:rsidP="00B37C25">
      <w:pPr>
        <w:rPr>
          <w:rFonts w:eastAsia="TimesNewRoman" w:cstheme="minorHAnsi"/>
          <w:color w:val="000000"/>
        </w:rPr>
      </w:pPr>
      <w:r w:rsidRPr="00B47330">
        <w:rPr>
          <w:rFonts w:asciiTheme="minorHAnsi" w:hAnsiTheme="minorHAnsi"/>
          <w:lang w:eastAsia="ja-JP"/>
        </w:rPr>
        <w:t xml:space="preserve">No dedicated PK studies examined drug-drug interactions between the FDC and other drugs; however, the interaction between ertugliflozin and sitagliptin has been examined </w:t>
      </w:r>
      <w:r>
        <w:rPr>
          <w:rFonts w:asciiTheme="minorHAnsi" w:hAnsiTheme="minorHAnsi"/>
          <w:lang w:eastAsia="ja-JP"/>
        </w:rPr>
        <w:t xml:space="preserve">in the </w:t>
      </w:r>
      <w:r w:rsidRPr="00B47330">
        <w:rPr>
          <w:rFonts w:asciiTheme="minorHAnsi" w:hAnsiTheme="minorHAnsi" w:cs="Calibri"/>
          <w:lang w:eastAsia="ja-JP"/>
        </w:rPr>
        <w:t>concurrent submission (</w:t>
      </w:r>
      <w:r w:rsidR="00754BDD">
        <w:rPr>
          <w:rFonts w:asciiTheme="minorHAnsi" w:hAnsiTheme="minorHAnsi" w:cs="Calibri"/>
          <w:lang w:eastAsia="ja-JP"/>
        </w:rPr>
        <w:t>for Steglatro</w:t>
      </w:r>
      <w:r w:rsidRPr="00B47330">
        <w:rPr>
          <w:rFonts w:asciiTheme="minorHAnsi" w:hAnsiTheme="minorHAnsi" w:cs="Calibri"/>
        </w:rPr>
        <w:t>).</w:t>
      </w:r>
      <w:r w:rsidRPr="00B47330">
        <w:rPr>
          <w:rFonts w:asciiTheme="minorHAnsi" w:hAnsiTheme="minorHAnsi"/>
          <w:lang w:eastAsia="ja-JP"/>
        </w:rPr>
        <w:t xml:space="preserve"> </w:t>
      </w:r>
      <w:r>
        <w:rPr>
          <w:rFonts w:asciiTheme="minorHAnsi" w:hAnsiTheme="minorHAnsi"/>
          <w:lang w:eastAsia="ja-JP"/>
        </w:rPr>
        <w:t xml:space="preserve">In </w:t>
      </w:r>
      <w:r w:rsidRPr="0013015A">
        <w:rPr>
          <w:rFonts w:asciiTheme="minorHAnsi" w:hAnsiTheme="minorHAnsi"/>
          <w:lang w:eastAsia="ja-JP"/>
        </w:rPr>
        <w:t xml:space="preserve">summary, </w:t>
      </w:r>
      <w:r w:rsidR="00BC7DA5">
        <w:rPr>
          <w:rFonts w:cstheme="minorHAnsi"/>
        </w:rPr>
        <w:t>Study P0</w:t>
      </w:r>
      <w:r w:rsidRPr="0013015A">
        <w:rPr>
          <w:rFonts w:cstheme="minorHAnsi"/>
        </w:rPr>
        <w:t>22/1033</w:t>
      </w:r>
      <w:r>
        <w:rPr>
          <w:rFonts w:cstheme="minorHAnsi"/>
        </w:rPr>
        <w:t xml:space="preserve"> (</w:t>
      </w:r>
      <w:r w:rsidR="0013015A">
        <w:rPr>
          <w:rFonts w:cstheme="minorHAnsi"/>
        </w:rPr>
        <w:t>s</w:t>
      </w:r>
      <w:r>
        <w:rPr>
          <w:rFonts w:cstheme="minorHAnsi"/>
          <w:bCs/>
          <w:color w:val="000000"/>
        </w:rPr>
        <w:t xml:space="preserve">ubmission </w:t>
      </w:r>
      <w:r w:rsidR="0013015A">
        <w:rPr>
          <w:rFonts w:cstheme="minorHAnsi"/>
          <w:bCs/>
          <w:color w:val="000000"/>
        </w:rPr>
        <w:t>for Steglatro</w:t>
      </w:r>
      <w:r>
        <w:rPr>
          <w:rFonts w:cstheme="minorHAnsi"/>
        </w:rPr>
        <w:t>) examined the PK interaction</w:t>
      </w:r>
      <w:r w:rsidRPr="009B57EA">
        <w:rPr>
          <w:rFonts w:eastAsia="TimesNewRoman" w:cstheme="minorHAnsi"/>
        </w:rPr>
        <w:t xml:space="preserve"> </w:t>
      </w:r>
      <w:r>
        <w:rPr>
          <w:rFonts w:eastAsia="TimesNewRoman" w:cstheme="minorHAnsi"/>
        </w:rPr>
        <w:t xml:space="preserve">following co-administration of a single dose of 100 mg </w:t>
      </w:r>
      <w:r w:rsidRPr="009B57EA">
        <w:rPr>
          <w:rFonts w:eastAsia="TimesNewRoman" w:cstheme="minorHAnsi"/>
        </w:rPr>
        <w:t xml:space="preserve">sitagliptin </w:t>
      </w:r>
      <w:r>
        <w:rPr>
          <w:rFonts w:eastAsia="TimesNewRoman" w:cstheme="minorHAnsi"/>
        </w:rPr>
        <w:t>and</w:t>
      </w:r>
      <w:r w:rsidRPr="009B57EA">
        <w:rPr>
          <w:rFonts w:eastAsia="TimesNewRoman" w:cstheme="minorHAnsi"/>
        </w:rPr>
        <w:t xml:space="preserve"> 15 mg ertugliflozin in healthy volunteers.</w:t>
      </w:r>
      <w:r>
        <w:t xml:space="preserve"> The results indicated that following co</w:t>
      </w:r>
      <w:r w:rsidR="00F51AAD">
        <w:noBreakHyphen/>
      </w:r>
      <w:r>
        <w:t xml:space="preserve">administration there was no adverse DDI between the two drugs as the </w:t>
      </w:r>
      <w:r w:rsidRPr="009B57EA">
        <w:rPr>
          <w:rFonts w:eastAsia="TimesNewRoman" w:cstheme="minorHAnsi"/>
          <w:color w:val="000000"/>
        </w:rPr>
        <w:t xml:space="preserve">GMRs (90% CI) for ertugliflozin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9B57EA">
        <w:rPr>
          <w:rFonts w:eastAsia="TimesNewRoman" w:cstheme="minorHAnsi"/>
          <w:color w:val="000000"/>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9B57EA">
        <w:rPr>
          <w:rFonts w:eastAsia="TimesNewRoman" w:cstheme="minorHAnsi"/>
          <w:color w:val="000000"/>
        </w:rPr>
        <w:t xml:space="preserve"> were 102.27% (99.72%, 104.89%) and 98.18% (91.20%, 105.70%), respectively (</w:t>
      </w:r>
      <w:r w:rsidR="0013015A">
        <w:rPr>
          <w:rFonts w:eastAsia="TimesNewRoman" w:cstheme="minorHAnsi"/>
          <w:color w:val="000000"/>
        </w:rPr>
        <w:t>s</w:t>
      </w:r>
      <w:r>
        <w:rPr>
          <w:rFonts w:cstheme="minorHAnsi"/>
          <w:bCs/>
          <w:color w:val="000000"/>
        </w:rPr>
        <w:t xml:space="preserve">ubmission </w:t>
      </w:r>
      <w:r w:rsidR="0013015A">
        <w:rPr>
          <w:rFonts w:cstheme="minorHAnsi"/>
          <w:bCs/>
          <w:color w:val="000000"/>
        </w:rPr>
        <w:t>for Steglatro</w:t>
      </w:r>
      <w:r w:rsidRPr="009B57EA">
        <w:rPr>
          <w:rFonts w:eastAsia="TimesNewRoman" w:cstheme="minorHAnsi"/>
          <w:color w:val="000000"/>
        </w:rPr>
        <w:t>)</w:t>
      </w:r>
      <w:r>
        <w:rPr>
          <w:rFonts w:eastAsia="TimesNewRoman" w:cstheme="minorHAnsi"/>
          <w:color w:val="000000"/>
        </w:rPr>
        <w:t xml:space="preserve">, and the GMRs (90% CIs) for sitagliptin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9B57EA">
        <w:rPr>
          <w:rFonts w:eastAsia="TimesNewRoman" w:cstheme="minorHAnsi"/>
          <w:color w:val="000000"/>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9B57EA">
        <w:rPr>
          <w:rFonts w:eastAsia="TimesNewRoman" w:cstheme="minorHAnsi"/>
          <w:color w:val="000000"/>
        </w:rPr>
        <w:t xml:space="preserve"> were 101.67% (98.40%, 105.04%) and 101.68% (91.65%, 112.80%)</w:t>
      </w:r>
      <w:r>
        <w:rPr>
          <w:rFonts w:eastAsia="TimesNewRoman" w:cstheme="minorHAnsi"/>
          <w:color w:val="000000"/>
        </w:rPr>
        <w:t>,</w:t>
      </w:r>
      <w:r w:rsidRPr="009B57EA">
        <w:rPr>
          <w:rFonts w:eastAsia="TimesNewRoman" w:cstheme="minorHAnsi"/>
          <w:color w:val="000000"/>
        </w:rPr>
        <w:t xml:space="preserve"> respectively (</w:t>
      </w:r>
      <w:r w:rsidR="0013015A">
        <w:rPr>
          <w:rFonts w:eastAsia="TimesNewRoman" w:cstheme="minorHAnsi"/>
          <w:color w:val="000000"/>
        </w:rPr>
        <w:t>s</w:t>
      </w:r>
      <w:r>
        <w:rPr>
          <w:rFonts w:cstheme="minorHAnsi"/>
          <w:bCs/>
          <w:color w:val="000000"/>
        </w:rPr>
        <w:t xml:space="preserve">ubmission </w:t>
      </w:r>
      <w:r w:rsidR="0013015A">
        <w:rPr>
          <w:rFonts w:cstheme="minorHAnsi"/>
          <w:bCs/>
          <w:color w:val="000000"/>
        </w:rPr>
        <w:t>for Steglatro</w:t>
      </w:r>
      <w:r w:rsidRPr="009B57EA">
        <w:rPr>
          <w:rFonts w:eastAsia="TimesNewRoman" w:cstheme="minorHAnsi"/>
          <w:color w:val="000000"/>
        </w:rPr>
        <w:t>).</w:t>
      </w:r>
    </w:p>
    <w:p w:rsidR="00B37C25" w:rsidRPr="00B67429" w:rsidRDefault="00B37C25" w:rsidP="0013015A">
      <w:pPr>
        <w:pStyle w:val="Comment"/>
      </w:pPr>
      <w:r w:rsidRPr="0013015A">
        <w:rPr>
          <w:b/>
        </w:rPr>
        <w:t>Comment</w:t>
      </w:r>
      <w:r w:rsidRPr="00B67429">
        <w:t xml:space="preserve">: </w:t>
      </w:r>
      <w:r w:rsidR="0013015A">
        <w:t>The sponsor</w:t>
      </w:r>
      <w:r w:rsidRPr="00B67429">
        <w:t xml:space="preserve"> states that the drug-drug interaction potential for ertugliflozin and sitagliptin with other concomitant medications is low and therefore, no clinically meaningful interactions are expected when the ertugliflozin/sitagliptin FDC is administered with other medications. However, it should be noted that no DDI studies were undertaken using the proposed FDC and PK interactions between the FDC and other commonly administered drugs in this patient population such as diuretics, warfarin, digoxin, etc were not evaluated. In addition, the concurrent submission for ertugliflozin (</w:t>
      </w:r>
      <w:r w:rsidR="0013015A">
        <w:t>Steglatro</w:t>
      </w:r>
      <w:r w:rsidRPr="00B67429">
        <w:t>, one of the active components of the proposed FDC, only contained a limited number of DDI studies with drugs that are known to interact with the pathways via which ertugliflozin is metabolised (</w:t>
      </w:r>
      <w:r w:rsidR="005812DE">
        <w:t xml:space="preserve">for example, </w:t>
      </w:r>
      <w:r w:rsidRPr="00B67429">
        <w:t xml:space="preserve"> CYP3A4-inhibitors).For instance, although ertugliflozin is in part metabolised by CYP3A4, no studies have examined the effects of a strong CYP3A-inhibitor on ertugliflozin PKs.</w:t>
      </w:r>
    </w:p>
    <w:p w:rsidR="00B37C25" w:rsidRDefault="00B37C25" w:rsidP="0013015A">
      <w:pPr>
        <w:pStyle w:val="Heading4"/>
      </w:pPr>
      <w:bookmarkStart w:id="117" w:name="_Toc272414634"/>
      <w:bookmarkStart w:id="118" w:name="_Toc290888483"/>
      <w:bookmarkStart w:id="119" w:name="_Toc416353680"/>
      <w:bookmarkStart w:id="120" w:name="_Toc432079131"/>
      <w:bookmarkStart w:id="121" w:name="_Toc432080704"/>
      <w:bookmarkStart w:id="122" w:name="_Toc461096082"/>
      <w:bookmarkStart w:id="123" w:name="_Toc504036115"/>
      <w:r w:rsidRPr="00545B14">
        <w:lastRenderedPageBreak/>
        <w:t>Clinical implications of in vitro findings</w:t>
      </w:r>
      <w:bookmarkEnd w:id="117"/>
      <w:bookmarkEnd w:id="118"/>
      <w:bookmarkEnd w:id="119"/>
      <w:bookmarkEnd w:id="120"/>
      <w:bookmarkEnd w:id="121"/>
      <w:bookmarkEnd w:id="122"/>
      <w:bookmarkEnd w:id="123"/>
    </w:p>
    <w:p w:rsidR="00B37C25" w:rsidRPr="00A1730F" w:rsidRDefault="00B37C25" w:rsidP="00B37C25">
      <w:pPr>
        <w:rPr>
          <w:lang w:eastAsia="ja-JP"/>
        </w:rPr>
      </w:pPr>
      <w:r>
        <w:rPr>
          <w:lang w:eastAsia="ja-JP"/>
        </w:rPr>
        <w:t xml:space="preserve">No </w:t>
      </w:r>
      <w:r w:rsidRPr="0013015A">
        <w:rPr>
          <w:lang w:eastAsia="ja-JP"/>
        </w:rPr>
        <w:t>new in vitro</w:t>
      </w:r>
      <w:r>
        <w:rPr>
          <w:lang w:eastAsia="ja-JP"/>
        </w:rPr>
        <w:t xml:space="preserve"> </w:t>
      </w:r>
      <w:r w:rsidRPr="001D75E3">
        <w:rPr>
          <w:lang w:eastAsia="ja-JP"/>
        </w:rPr>
        <w:t>data</w:t>
      </w:r>
      <w:r>
        <w:rPr>
          <w:lang w:eastAsia="ja-JP"/>
        </w:rPr>
        <w:t xml:space="preserve"> was provided, which examined the potential for drug-drug interactions between the FDC and other drugs or metabolic pathways.</w:t>
      </w:r>
    </w:p>
    <w:p w:rsidR="00B37C25" w:rsidRPr="00884A9A" w:rsidRDefault="00B37C25">
      <w:pPr>
        <w:pStyle w:val="Heading3"/>
      </w:pPr>
      <w:bookmarkStart w:id="124" w:name="_Toc241374296"/>
      <w:bookmarkStart w:id="125" w:name="_Ref269982040"/>
      <w:bookmarkStart w:id="126" w:name="_Ref271018704"/>
      <w:bookmarkStart w:id="127" w:name="_Ref271018755"/>
      <w:bookmarkStart w:id="128" w:name="_Toc272414635"/>
      <w:bookmarkStart w:id="129" w:name="_Toc290888484"/>
      <w:bookmarkStart w:id="130" w:name="_Toc416353681"/>
      <w:bookmarkStart w:id="131" w:name="_Toc421005250"/>
      <w:bookmarkStart w:id="132" w:name="_Toc432079132"/>
      <w:bookmarkStart w:id="133" w:name="_Toc432080705"/>
      <w:bookmarkStart w:id="134" w:name="_Toc461096083"/>
      <w:bookmarkStart w:id="135" w:name="_Toc504036116"/>
      <w:bookmarkStart w:id="136" w:name="_Toc4573573"/>
      <w:r w:rsidRPr="00884A9A">
        <w:t>Evaluator’s overall conclusions on pharmacokinetics</w:t>
      </w:r>
      <w:bookmarkEnd w:id="124"/>
      <w:bookmarkEnd w:id="125"/>
      <w:bookmarkEnd w:id="126"/>
      <w:bookmarkEnd w:id="127"/>
      <w:bookmarkEnd w:id="128"/>
      <w:bookmarkEnd w:id="129"/>
      <w:bookmarkEnd w:id="130"/>
      <w:bookmarkEnd w:id="131"/>
      <w:bookmarkEnd w:id="132"/>
      <w:bookmarkEnd w:id="133"/>
      <w:bookmarkEnd w:id="134"/>
      <w:bookmarkEnd w:id="135"/>
      <w:bookmarkEnd w:id="136"/>
    </w:p>
    <w:p w:rsidR="00B37C25" w:rsidRDefault="00B37C25" w:rsidP="0013015A">
      <w:pPr>
        <w:pStyle w:val="ListBullet"/>
        <w:rPr>
          <w:lang w:eastAsia="ja-JP"/>
        </w:rPr>
      </w:pPr>
      <w:r>
        <w:rPr>
          <w:lang w:eastAsia="ja-JP"/>
        </w:rPr>
        <w:t>The current submission contains four previously unevaluated studies, which examine the BE between the various strengths of the FDC proposed for marketing and the corresponding free combination. In addition, a single new study examined the effect of a high-fat/high-calorie breakfast on the PKs of the active components of the FDC tablets.</w:t>
      </w:r>
    </w:p>
    <w:p w:rsidR="00B37C25" w:rsidRDefault="0013015A" w:rsidP="0013015A">
      <w:pPr>
        <w:pStyle w:val="ListBullet"/>
        <w:rPr>
          <w:lang w:eastAsia="ja-JP"/>
        </w:rPr>
      </w:pPr>
      <w:r>
        <w:rPr>
          <w:lang w:eastAsia="ja-JP"/>
        </w:rPr>
        <w:t>I</w:t>
      </w:r>
      <w:r w:rsidR="00B37C25">
        <w:rPr>
          <w:lang w:eastAsia="ja-JP"/>
        </w:rPr>
        <w:t xml:space="preserve">n regards to the tablets containing a single active component, the </w:t>
      </w:r>
      <w:r w:rsidR="00B37C25">
        <w:t>PKs of sitagliptin are well</w:t>
      </w:r>
      <w:r w:rsidR="00884A9A">
        <w:t xml:space="preserve"> </w:t>
      </w:r>
      <w:r w:rsidR="00B37C25">
        <w:t xml:space="preserve">established and the PKs of ertugliflozin are described in detail in </w:t>
      </w:r>
      <w:r w:rsidR="00B37C25" w:rsidRPr="006C54BD">
        <w:rPr>
          <w:rFonts w:asciiTheme="minorHAnsi" w:hAnsiTheme="minorHAnsi"/>
        </w:rPr>
        <w:t xml:space="preserve">the concurrent submission </w:t>
      </w:r>
      <w:r w:rsidR="00754BDD">
        <w:rPr>
          <w:rFonts w:asciiTheme="minorHAnsi" w:hAnsiTheme="minorHAnsi" w:cs="Calibri"/>
          <w:lang w:eastAsia="ja-JP"/>
        </w:rPr>
        <w:t>for Steglatro</w:t>
      </w:r>
      <w:r>
        <w:rPr>
          <w:rFonts w:asciiTheme="minorHAnsi" w:hAnsiTheme="minorHAnsi" w:cs="Calibri"/>
          <w:lang w:eastAsia="ja-JP"/>
        </w:rPr>
        <w:t>.</w:t>
      </w:r>
    </w:p>
    <w:p w:rsidR="00B37C25" w:rsidRDefault="00B37C25" w:rsidP="0013015A">
      <w:pPr>
        <w:pStyle w:val="ListBullet"/>
        <w:rPr>
          <w:lang w:eastAsia="ja-JP"/>
        </w:rPr>
      </w:pPr>
      <w:r>
        <w:t xml:space="preserve">Overall, the conduct of the previously unevaluated studies </w:t>
      </w:r>
      <w:r w:rsidRPr="00865345">
        <w:t>was satisfactory</w:t>
      </w:r>
      <w:r>
        <w:t xml:space="preserve"> and was compliant with existing TGA guidelines, validated analytical methods were employed</w:t>
      </w:r>
      <w:r w:rsidRPr="00865345">
        <w:t xml:space="preserve"> and the data analyses undertaken were appropriate</w:t>
      </w:r>
      <w:r>
        <w:t>.</w:t>
      </w:r>
    </w:p>
    <w:p w:rsidR="00B37C25" w:rsidRDefault="00B37C25" w:rsidP="0013015A">
      <w:pPr>
        <w:pStyle w:val="ListBullet"/>
        <w:rPr>
          <w:lang w:eastAsia="ja-JP"/>
        </w:rPr>
      </w:pPr>
      <w:r>
        <w:rPr>
          <w:lang w:eastAsia="ja-JP"/>
        </w:rPr>
        <w:t xml:space="preserve">Each of the proposed dose strengths of the </w:t>
      </w:r>
      <w:r>
        <w:rPr>
          <w:rFonts w:eastAsia="TimesNewRoman" w:cstheme="minorHAnsi"/>
        </w:rPr>
        <w:t>ertugliflozin/sitagliptin FDC tablets were bioequivalent with their matching dose of the free combination of ertugliflozin and sitagliptin tablets given in combination.</w:t>
      </w:r>
    </w:p>
    <w:p w:rsidR="00B37C25" w:rsidRDefault="00B37C25" w:rsidP="0013015A">
      <w:pPr>
        <w:pStyle w:val="ListBullet"/>
        <w:rPr>
          <w:rFonts w:eastAsia="TimesNewRoman" w:cstheme="minorHAnsi"/>
          <w:color w:val="000000"/>
        </w:rPr>
      </w:pPr>
      <w:r>
        <w:rPr>
          <w:lang w:eastAsia="ja-JP"/>
        </w:rPr>
        <w:t xml:space="preserve">Compared to fasted conditions, a high-fat breakfast had no effect on ertugliflozin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Pr>
          <w:rFonts w:eastAsia="TimesNewRoman" w:cstheme="minorHAnsi"/>
        </w:rPr>
        <w:t xml:space="preserve"> and</w:t>
      </w:r>
      <w:r w:rsidRPr="00B46F76">
        <w:rPr>
          <w:rFonts w:eastAsia="TimesNewRoman" w:cstheme="minorHAnsi"/>
        </w:rPr>
        <w:t xml:space="preserve"> AUC</w:t>
      </w:r>
      <w:r w:rsidRPr="00F6649B">
        <w:rPr>
          <w:rFonts w:eastAsia="TimesNewRoman" w:cstheme="minorHAnsi"/>
          <w:vertAlign w:val="subscript"/>
        </w:rPr>
        <w:t>last</w:t>
      </w:r>
      <w:r>
        <w:rPr>
          <w:lang w:eastAsia="ja-JP"/>
        </w:rPr>
        <w:t xml:space="preserve"> and sitagliptin </w:t>
      </w:r>
      <w:r w:rsidR="006F48AD" w:rsidRPr="003650F0">
        <w:rPr>
          <w:rFonts w:asciiTheme="minorHAnsi" w:eastAsia="TimesNewRoman" w:hAnsiTheme="minorHAnsi" w:cs="TimesNewRoman"/>
          <w:color w:val="000000"/>
        </w:rPr>
        <w:t>AUC</w:t>
      </w:r>
      <w:r w:rsidR="006F48AD" w:rsidRPr="006F48AD">
        <w:rPr>
          <w:rFonts w:asciiTheme="minorHAnsi" w:eastAsia="TimesNewRoman" w:hAnsiTheme="minorHAnsi" w:cs="TimesNewRoman"/>
          <w:color w:val="000000"/>
          <w:vertAlign w:val="subscript"/>
        </w:rPr>
        <w:t>inf</w:t>
      </w:r>
      <w:r w:rsidRPr="00B46F76">
        <w:rPr>
          <w:rFonts w:eastAsia="TimesNewRoman" w:cstheme="minorHAnsi"/>
        </w:rPr>
        <w:t>, AUC</w:t>
      </w:r>
      <w:r w:rsidRPr="00F6649B">
        <w:rPr>
          <w:rFonts w:eastAsia="TimesNewRoman" w:cstheme="minorHAnsi"/>
          <w:vertAlign w:val="subscript"/>
        </w:rPr>
        <w:t>last</w:t>
      </w:r>
      <w:r w:rsidRPr="00B46F76">
        <w:rPr>
          <w:rFonts w:eastAsia="TimesNewRoman" w:cstheme="minorHAnsi"/>
        </w:rPr>
        <w:t xml:space="preserve"> and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Pr>
          <w:rFonts w:eastAsia="TimesNewRoman" w:cstheme="minorHAnsi"/>
        </w:rPr>
        <w:t xml:space="preserve"> following a single dose of the </w:t>
      </w:r>
      <w:r w:rsidRPr="00B46F76">
        <w:rPr>
          <w:rFonts w:eastAsia="TimesNewRoman" w:cstheme="minorHAnsi"/>
        </w:rPr>
        <w:t>ertugliflozin 15</w:t>
      </w:r>
      <w:r w:rsidR="00884A9A">
        <w:rPr>
          <w:rFonts w:eastAsia="TimesNewRoman" w:cstheme="minorHAnsi"/>
        </w:rPr>
        <w:t> </w:t>
      </w:r>
      <w:r w:rsidRPr="00B46F76">
        <w:rPr>
          <w:rFonts w:eastAsia="TimesNewRoman" w:cstheme="minorHAnsi"/>
        </w:rPr>
        <w:t>mg/sitagliptin 100 mg FDC tablet</w:t>
      </w:r>
      <w:r>
        <w:rPr>
          <w:rFonts w:eastAsia="TimesNewRoman" w:cstheme="minorHAnsi"/>
        </w:rPr>
        <w:t>. By contrast,</w:t>
      </w:r>
      <w:r>
        <w:rPr>
          <w:rFonts w:eastAsia="TimesNewRoman" w:cstheme="minorHAnsi"/>
          <w:color w:val="000000"/>
        </w:rPr>
        <w:t xml:space="preserve"> e</w:t>
      </w:r>
      <w:r w:rsidRPr="00B46F76">
        <w:rPr>
          <w:rFonts w:eastAsia="TimesNewRoman" w:cstheme="minorHAnsi"/>
          <w:color w:val="000000"/>
        </w:rPr>
        <w:t xml:space="preserve">rtugliflozin </w:t>
      </w:r>
      <w:r w:rsidR="00A46791" w:rsidRPr="00B46F76">
        <w:rPr>
          <w:rFonts w:eastAsia="TimesNewRoman" w:cstheme="minorHAnsi"/>
          <w:color w:val="000000"/>
        </w:rPr>
        <w:t>C</w:t>
      </w:r>
      <w:r w:rsidR="00A46791" w:rsidRPr="00A46791">
        <w:rPr>
          <w:rFonts w:eastAsia="TimesNewRoman" w:cstheme="minorHAnsi"/>
          <w:color w:val="000000"/>
          <w:vertAlign w:val="subscript"/>
        </w:rPr>
        <w:t>max</w:t>
      </w:r>
      <w:r w:rsidRPr="00B46F76">
        <w:rPr>
          <w:rFonts w:eastAsia="TimesNewRoman" w:cstheme="minorHAnsi"/>
          <w:color w:val="000000"/>
        </w:rPr>
        <w:t xml:space="preserve"> </w:t>
      </w:r>
      <w:r>
        <w:rPr>
          <w:rFonts w:eastAsia="TimesNewRoman" w:cstheme="minorHAnsi"/>
          <w:color w:val="000000"/>
        </w:rPr>
        <w:t>was significantly lower (~30%)</w:t>
      </w:r>
      <w:r w:rsidRPr="00B46F76">
        <w:rPr>
          <w:rFonts w:eastAsia="TimesNewRoman" w:cstheme="minorHAnsi"/>
          <w:color w:val="000000"/>
        </w:rPr>
        <w:t>; however, th</w:t>
      </w:r>
      <w:r>
        <w:rPr>
          <w:rFonts w:eastAsia="TimesNewRoman" w:cstheme="minorHAnsi"/>
          <w:color w:val="000000"/>
        </w:rPr>
        <w:t>is</w:t>
      </w:r>
      <w:r w:rsidRPr="00B46F76">
        <w:rPr>
          <w:rFonts w:eastAsia="TimesNewRoman" w:cstheme="minorHAnsi"/>
          <w:color w:val="000000"/>
        </w:rPr>
        <w:t xml:space="preserve"> decrease is </w:t>
      </w:r>
      <w:r>
        <w:rPr>
          <w:rFonts w:eastAsia="TimesNewRoman" w:cstheme="minorHAnsi"/>
          <w:color w:val="000000"/>
        </w:rPr>
        <w:t xml:space="preserve">unlikely </w:t>
      </w:r>
      <w:r w:rsidRPr="00B46F76">
        <w:rPr>
          <w:rFonts w:eastAsia="TimesNewRoman" w:cstheme="minorHAnsi"/>
          <w:color w:val="000000"/>
        </w:rPr>
        <w:t>to be clinically relevant</w:t>
      </w:r>
      <w:r>
        <w:rPr>
          <w:rFonts w:eastAsia="TimesNewRoman" w:cstheme="minorHAnsi"/>
          <w:color w:val="000000"/>
        </w:rPr>
        <w:t>.</w:t>
      </w:r>
    </w:p>
    <w:p w:rsidR="00B37C25" w:rsidRDefault="00B37C25" w:rsidP="0013015A">
      <w:pPr>
        <w:pStyle w:val="ListBullet"/>
      </w:pPr>
      <w:r w:rsidRPr="00865345">
        <w:t xml:space="preserve">Overall, the </w:t>
      </w:r>
      <w:r>
        <w:t xml:space="preserve">PK sections of the proposed PI accurately reflect the submitted data; however, the section related to Cardiac Physiology will need correction (please see Section 12 of this report for further details). In addition, a number of </w:t>
      </w:r>
      <w:r w:rsidRPr="00865345">
        <w:t xml:space="preserve">limitations </w:t>
      </w:r>
      <w:r>
        <w:t xml:space="preserve">in the provided dataset were </w:t>
      </w:r>
      <w:r w:rsidRPr="00865345">
        <w:t>identified</w:t>
      </w:r>
      <w:r>
        <w:t>:</w:t>
      </w:r>
    </w:p>
    <w:p w:rsidR="00B37C25" w:rsidRDefault="00B37C25" w:rsidP="0013015A">
      <w:pPr>
        <w:pStyle w:val="ListBullet2"/>
      </w:pPr>
      <w:r>
        <w:t>No dedicated studies examined the PKs of the FDC combinations in either the target or special populations.</w:t>
      </w:r>
    </w:p>
    <w:p w:rsidR="00B37C25" w:rsidRDefault="00B37C25" w:rsidP="0013015A">
      <w:pPr>
        <w:pStyle w:val="ListBullet2"/>
      </w:pPr>
      <w:r>
        <w:t>No DDI studies were undertaken using the proposed FDC.</w:t>
      </w:r>
    </w:p>
    <w:p w:rsidR="00B37C25" w:rsidRDefault="00B37C25" w:rsidP="0013015A">
      <w:pPr>
        <w:pStyle w:val="ListBullet2"/>
        <w:rPr>
          <w:rFonts w:eastAsia="TimesNewRoman" w:cs="Calibri"/>
        </w:rPr>
      </w:pPr>
      <w:r>
        <w:rPr>
          <w:rFonts w:eastAsia="TimesNewRoman" w:cs="TimesNewRoman"/>
        </w:rPr>
        <w:t>P</w:t>
      </w:r>
      <w:r w:rsidRPr="00BC2BC4">
        <w:rPr>
          <w:rFonts w:eastAsia="TimesNewRoman" w:cs="Calibri"/>
        </w:rPr>
        <w:t xml:space="preserve">harmacokinetic interactions between </w:t>
      </w:r>
      <w:r>
        <w:rPr>
          <w:rFonts w:eastAsia="TimesNewRoman" w:cs="Calibri"/>
        </w:rPr>
        <w:t>the FDC</w:t>
      </w:r>
      <w:r w:rsidRPr="00BC2BC4">
        <w:rPr>
          <w:rFonts w:eastAsia="TimesNewRoman" w:cs="Calibri"/>
        </w:rPr>
        <w:t xml:space="preserve"> and othe</w:t>
      </w:r>
      <w:r>
        <w:rPr>
          <w:rFonts w:eastAsia="TimesNewRoman" w:cs="Calibri"/>
        </w:rPr>
        <w:t>r</w:t>
      </w:r>
      <w:r w:rsidRPr="00BC2BC4">
        <w:rPr>
          <w:rFonts w:eastAsia="TimesNewRoman" w:cs="Calibri"/>
        </w:rPr>
        <w:t xml:space="preserve"> commonly administered drugs in this patient population such as diuretics, war</w:t>
      </w:r>
      <w:r>
        <w:rPr>
          <w:rFonts w:eastAsia="TimesNewRoman" w:cs="Calibri"/>
        </w:rPr>
        <w:t>f</w:t>
      </w:r>
      <w:r w:rsidRPr="00BC2BC4">
        <w:rPr>
          <w:rFonts w:eastAsia="TimesNewRoman" w:cs="Calibri"/>
        </w:rPr>
        <w:t>arin, digoxin</w:t>
      </w:r>
      <w:r>
        <w:rPr>
          <w:rFonts w:eastAsia="TimesNewRoman" w:cs="Calibri"/>
        </w:rPr>
        <w:t>,</w:t>
      </w:r>
      <w:r w:rsidRPr="00BC2BC4">
        <w:rPr>
          <w:rFonts w:eastAsia="TimesNewRoman" w:cs="Calibri"/>
        </w:rPr>
        <w:t xml:space="preserve"> etc were not evaluated.</w:t>
      </w:r>
    </w:p>
    <w:p w:rsidR="00B37C25" w:rsidRDefault="00B37C25" w:rsidP="0013015A">
      <w:pPr>
        <w:pStyle w:val="Comment"/>
        <w:rPr>
          <w:b/>
        </w:rPr>
      </w:pPr>
      <w:r w:rsidRPr="0013015A">
        <w:rPr>
          <w:b/>
        </w:rPr>
        <w:t>Comment</w:t>
      </w:r>
      <w:r w:rsidRPr="0092661B">
        <w:t>:</w:t>
      </w:r>
      <w:r w:rsidR="00884A9A">
        <w:t xml:space="preserve"> </w:t>
      </w:r>
      <w:r w:rsidRPr="0092661B">
        <w:t>The limitations regarding DDI studies are also present in the concurrent submission</w:t>
      </w:r>
      <w:r w:rsidRPr="003C7B2D">
        <w:t xml:space="preserve"> </w:t>
      </w:r>
      <w:r w:rsidR="00754BDD">
        <w:rPr>
          <w:lang w:eastAsia="ja-JP"/>
        </w:rPr>
        <w:t>for Steglatro</w:t>
      </w:r>
      <w:r w:rsidR="0013015A">
        <w:rPr>
          <w:lang w:eastAsia="ja-JP"/>
        </w:rPr>
        <w:t>.</w:t>
      </w:r>
    </w:p>
    <w:p w:rsidR="00B37C25" w:rsidRDefault="00B37C25" w:rsidP="0013015A">
      <w:pPr>
        <w:pStyle w:val="Heading2"/>
      </w:pPr>
      <w:bookmarkStart w:id="137" w:name="_Toc504036117"/>
      <w:bookmarkStart w:id="138" w:name="_Toc4573574"/>
      <w:r>
        <w:t>Pharmacodynamics</w:t>
      </w:r>
      <w:bookmarkEnd w:id="137"/>
      <w:bookmarkEnd w:id="138"/>
    </w:p>
    <w:p w:rsidR="00B37C25" w:rsidRPr="009A141C" w:rsidRDefault="00B37C25" w:rsidP="0013015A">
      <w:pPr>
        <w:pStyle w:val="Heading3"/>
      </w:pPr>
      <w:bookmarkStart w:id="139" w:name="_Toc504036118"/>
      <w:bookmarkStart w:id="140" w:name="_Toc4573575"/>
      <w:r>
        <w:t>Studies providing pharmacodynamic information</w:t>
      </w:r>
      <w:bookmarkEnd w:id="139"/>
      <w:bookmarkEnd w:id="140"/>
    </w:p>
    <w:p w:rsidR="00B37C25" w:rsidRPr="009B0E74" w:rsidRDefault="00B37C25" w:rsidP="0013015A">
      <w:pPr>
        <w:pStyle w:val="Comment"/>
        <w:rPr>
          <w:lang w:eastAsia="ja-JP"/>
        </w:rPr>
      </w:pPr>
      <w:r w:rsidRPr="0013015A">
        <w:rPr>
          <w:b/>
          <w:lang w:eastAsia="ja-JP"/>
        </w:rPr>
        <w:t>Comment</w:t>
      </w:r>
      <w:r w:rsidRPr="009B0E74">
        <w:rPr>
          <w:lang w:eastAsia="ja-JP"/>
        </w:rPr>
        <w:t>: None of the previously unevaluated studies directly examined the PDs of the FDC tablets</w:t>
      </w:r>
      <w:r>
        <w:rPr>
          <w:lang w:eastAsia="ja-JP"/>
        </w:rPr>
        <w:t xml:space="preserve">; however, the PDs of ertugliflozin as a single agent are described in the concurrent </w:t>
      </w:r>
      <w:r w:rsidRPr="00A60ACA">
        <w:t xml:space="preserve">submission </w:t>
      </w:r>
      <w:r w:rsidR="00754BDD">
        <w:rPr>
          <w:lang w:eastAsia="ja-JP"/>
        </w:rPr>
        <w:t>for Steglatro</w:t>
      </w:r>
      <w:r w:rsidRPr="009B0E74">
        <w:t>, whereas,</w:t>
      </w:r>
      <w:r>
        <w:rPr>
          <w:lang w:eastAsia="ja-JP"/>
        </w:rPr>
        <w:t xml:space="preserve"> the PDs of s</w:t>
      </w:r>
      <w:r w:rsidR="006F48AD">
        <w:rPr>
          <w:lang w:eastAsia="ja-JP"/>
        </w:rPr>
        <w:t>itagliptin are well established</w:t>
      </w:r>
      <w:r>
        <w:rPr>
          <w:lang w:eastAsia="ja-JP"/>
        </w:rPr>
        <w:t>.</w:t>
      </w:r>
    </w:p>
    <w:p w:rsidR="00B37C25" w:rsidRPr="00545B14" w:rsidRDefault="00B37C25" w:rsidP="006F48AD">
      <w:pPr>
        <w:pStyle w:val="Heading3"/>
      </w:pPr>
      <w:bookmarkStart w:id="141" w:name="_Ref269119989"/>
      <w:bookmarkStart w:id="142" w:name="_Toc272414639"/>
      <w:bookmarkStart w:id="143" w:name="_Toc290888487"/>
      <w:bookmarkStart w:id="144" w:name="_Toc416353684"/>
      <w:bookmarkStart w:id="145" w:name="_Toc421005253"/>
      <w:bookmarkStart w:id="146" w:name="_Toc432079135"/>
      <w:bookmarkStart w:id="147" w:name="_Toc432080708"/>
      <w:bookmarkStart w:id="148" w:name="_Toc461096086"/>
      <w:bookmarkStart w:id="149" w:name="_Toc504036119"/>
      <w:bookmarkStart w:id="150" w:name="_Toc4573576"/>
      <w:r w:rsidRPr="00545B14">
        <w:lastRenderedPageBreak/>
        <w:t>Summary of pharmacodynamics</w:t>
      </w:r>
      <w:bookmarkEnd w:id="141"/>
      <w:bookmarkEnd w:id="142"/>
      <w:bookmarkEnd w:id="143"/>
      <w:bookmarkEnd w:id="144"/>
      <w:bookmarkEnd w:id="145"/>
      <w:bookmarkEnd w:id="146"/>
      <w:bookmarkEnd w:id="147"/>
      <w:bookmarkEnd w:id="148"/>
      <w:bookmarkEnd w:id="149"/>
      <w:bookmarkEnd w:id="150"/>
    </w:p>
    <w:p w:rsidR="00B37C25" w:rsidRPr="00545B14" w:rsidRDefault="00B37C25" w:rsidP="006F48AD">
      <w:pPr>
        <w:pStyle w:val="Heading4"/>
      </w:pPr>
      <w:bookmarkStart w:id="151" w:name="_Toc241374299"/>
      <w:bookmarkStart w:id="152" w:name="_Toc272414640"/>
      <w:bookmarkStart w:id="153" w:name="_Toc290888488"/>
      <w:bookmarkStart w:id="154" w:name="_Toc416353685"/>
      <w:bookmarkStart w:id="155" w:name="_Toc421005254"/>
      <w:bookmarkStart w:id="156" w:name="_Toc432079136"/>
      <w:bookmarkStart w:id="157" w:name="_Toc432080709"/>
      <w:bookmarkStart w:id="158" w:name="_Toc461096087"/>
      <w:bookmarkStart w:id="159" w:name="_Toc504036120"/>
      <w:r w:rsidRPr="00545B14">
        <w:t>Mechanism of action</w:t>
      </w:r>
      <w:bookmarkEnd w:id="151"/>
      <w:bookmarkEnd w:id="152"/>
      <w:bookmarkEnd w:id="153"/>
      <w:bookmarkEnd w:id="154"/>
      <w:bookmarkEnd w:id="155"/>
      <w:bookmarkEnd w:id="156"/>
      <w:bookmarkEnd w:id="157"/>
      <w:bookmarkEnd w:id="158"/>
      <w:bookmarkEnd w:id="159"/>
    </w:p>
    <w:p w:rsidR="00B37C25" w:rsidRDefault="00B37C25" w:rsidP="006F48AD">
      <w:pPr>
        <w:pStyle w:val="Heading5"/>
        <w:rPr>
          <w:lang w:eastAsia="ja-JP"/>
        </w:rPr>
      </w:pPr>
      <w:r w:rsidRPr="009B0E74">
        <w:rPr>
          <w:lang w:eastAsia="ja-JP"/>
        </w:rPr>
        <w:t>Ertugliflozin</w:t>
      </w:r>
    </w:p>
    <w:p w:rsidR="00B37C25" w:rsidRPr="006F48AD" w:rsidRDefault="00B37C25" w:rsidP="00E957A2">
      <w:pPr>
        <w:rPr>
          <w:lang w:eastAsia="ja-JP"/>
        </w:rPr>
      </w:pPr>
      <w:r w:rsidRPr="00A6462A">
        <w:t>Ertugliflozin is an ora</w:t>
      </w:r>
      <w:r>
        <w:t>l</w:t>
      </w:r>
      <w:r w:rsidRPr="00A6462A">
        <w:t>ly administered selective inhibitor of SGLT2</w:t>
      </w:r>
      <w:r>
        <w:t xml:space="preserve"> and it</w:t>
      </w:r>
      <w:r w:rsidRPr="00A6462A">
        <w:t xml:space="preserve"> possesses a high selectivity for SGLT2 versus SGLT1 and other glucose transporters (GLUT1-4). </w:t>
      </w:r>
      <w:r w:rsidRPr="00A6462A">
        <w:rPr>
          <w:rFonts w:eastAsiaTheme="minorHAnsi" w:cs="ArialMT"/>
        </w:rPr>
        <w:t>By inhibiting SGLT2, ertugliflozin</w:t>
      </w:r>
      <w:r>
        <w:rPr>
          <w:rFonts w:eastAsiaTheme="minorHAnsi" w:cs="ArialMT"/>
        </w:rPr>
        <w:t xml:space="preserve"> </w:t>
      </w:r>
      <w:r w:rsidRPr="00A6462A">
        <w:rPr>
          <w:rFonts w:eastAsiaTheme="minorHAnsi" w:cs="ArialMT"/>
        </w:rPr>
        <w:t>reduces renal reabsorption of filtered glucose and lowers the renal threshold for glucose,</w:t>
      </w:r>
      <w:r>
        <w:rPr>
          <w:rFonts w:eastAsiaTheme="minorHAnsi" w:cs="ArialMT"/>
        </w:rPr>
        <w:t xml:space="preserve"> </w:t>
      </w:r>
      <w:r w:rsidRPr="00A6462A">
        <w:rPr>
          <w:rFonts w:eastAsiaTheme="minorHAnsi" w:cs="ArialMT"/>
        </w:rPr>
        <w:t>and thereby increases urinary glucose excretion (UGE), which lowers fasting plasma</w:t>
      </w:r>
      <w:r>
        <w:rPr>
          <w:rFonts w:eastAsiaTheme="minorHAnsi" w:cs="ArialMT"/>
        </w:rPr>
        <w:t xml:space="preserve"> </w:t>
      </w:r>
      <w:r w:rsidRPr="00A6462A">
        <w:rPr>
          <w:rFonts w:eastAsiaTheme="minorHAnsi" w:cs="ArialMT"/>
        </w:rPr>
        <w:t xml:space="preserve">glucose (FPG) and haemoglobin </w:t>
      </w:r>
      <w:r w:rsidR="00F51AAD" w:rsidRPr="00A6462A">
        <w:rPr>
          <w:rFonts w:eastAsiaTheme="minorHAnsi" w:cs="ArialMT"/>
        </w:rPr>
        <w:t>A1</w:t>
      </w:r>
      <w:r w:rsidR="00F51AAD">
        <w:rPr>
          <w:rFonts w:eastAsiaTheme="minorHAnsi" w:cs="ArialMT"/>
        </w:rPr>
        <w:t>c</w:t>
      </w:r>
      <w:r w:rsidR="00F51AAD" w:rsidRPr="00A6462A">
        <w:rPr>
          <w:rFonts w:eastAsiaTheme="minorHAnsi" w:cs="ArialMT"/>
        </w:rPr>
        <w:t xml:space="preserve"> </w:t>
      </w:r>
      <w:r w:rsidRPr="00A6462A">
        <w:rPr>
          <w:rFonts w:eastAsiaTheme="minorHAnsi" w:cs="ArialMT"/>
        </w:rPr>
        <w:t xml:space="preserve">levels </w:t>
      </w:r>
      <w:r>
        <w:rPr>
          <w:rFonts w:eastAsiaTheme="minorHAnsi" w:cs="ArialMT"/>
        </w:rPr>
        <w:t>(</w:t>
      </w:r>
      <w:r w:rsidR="00F51AAD">
        <w:rPr>
          <w:rFonts w:eastAsiaTheme="minorHAnsi" w:cs="ArialMT"/>
        </w:rPr>
        <w:t>HbA1c</w:t>
      </w:r>
      <w:r>
        <w:rPr>
          <w:rFonts w:eastAsiaTheme="minorHAnsi" w:cs="ArialMT"/>
        </w:rPr>
        <w:t xml:space="preserve">) </w:t>
      </w:r>
      <w:r w:rsidRPr="00A6462A">
        <w:rPr>
          <w:rFonts w:eastAsiaTheme="minorHAnsi" w:cs="ArialMT"/>
        </w:rPr>
        <w:t>in an insulin-independent manner</w:t>
      </w:r>
      <w:r>
        <w:rPr>
          <w:rFonts w:eastAsiaTheme="minorHAnsi" w:cs="ArialMT"/>
        </w:rPr>
        <w:t>.</w:t>
      </w:r>
      <w:r w:rsidRPr="00DF010E">
        <w:rPr>
          <w:rFonts w:eastAsiaTheme="minorHAnsi" w:cs="ArialMT"/>
        </w:rPr>
        <w:t xml:space="preserve"> Additionally, UGE results in caloric loss and an associated </w:t>
      </w:r>
      <w:r w:rsidRPr="006F48AD">
        <w:rPr>
          <w:rFonts w:eastAsiaTheme="minorHAnsi" w:cs="ArialMT"/>
        </w:rPr>
        <w:t>weight loss. Ertugliflozin also causes osmotic diuresis, which may result in a reduction of blood pressure.</w:t>
      </w:r>
    </w:p>
    <w:p w:rsidR="00B37C25" w:rsidRDefault="00B37C25" w:rsidP="006F48AD">
      <w:pPr>
        <w:pStyle w:val="Heading5"/>
        <w:rPr>
          <w:lang w:eastAsia="ja-JP"/>
        </w:rPr>
      </w:pPr>
      <w:r>
        <w:rPr>
          <w:lang w:eastAsia="ja-JP"/>
        </w:rPr>
        <w:t>Sitagliptin</w:t>
      </w:r>
    </w:p>
    <w:p w:rsidR="00B37C25" w:rsidRPr="00E957A2" w:rsidRDefault="00B37C25" w:rsidP="00E957A2">
      <w:pPr>
        <w:rPr>
          <w:lang w:eastAsia="ja-JP"/>
        </w:rPr>
      </w:pPr>
      <w:r w:rsidRPr="009B0E74">
        <w:t>Sitagliptin is a dipeptidyl peptidase 4 (DPP-4) inhibit</w:t>
      </w:r>
      <w:r w:rsidR="004B0649">
        <w:t>or</w:t>
      </w:r>
      <w:r w:rsidRPr="009B0E74">
        <w:t xml:space="preserve"> </w:t>
      </w:r>
      <w:r w:rsidR="004B0649">
        <w:t>and</w:t>
      </w:r>
      <w:r w:rsidRPr="009B0E74">
        <w:t xml:space="preserve"> improve</w:t>
      </w:r>
      <w:r>
        <w:t>s</w:t>
      </w:r>
      <w:r w:rsidRPr="009B0E74">
        <w:t xml:space="preserve"> glycaemic control in patients with type 2 diabetes by enhancing the levels of active incretin hormones.</w:t>
      </w:r>
    </w:p>
    <w:p w:rsidR="00B37C25" w:rsidRPr="009B0E74" w:rsidRDefault="00B37C25" w:rsidP="006F48AD">
      <w:pPr>
        <w:pStyle w:val="Heading5"/>
        <w:rPr>
          <w:rFonts w:eastAsiaTheme="minorHAnsi"/>
        </w:rPr>
      </w:pPr>
      <w:r w:rsidRPr="009B0E74">
        <w:rPr>
          <w:rFonts w:eastAsiaTheme="minorHAnsi"/>
        </w:rPr>
        <w:t>MSD-</w:t>
      </w:r>
      <w:r w:rsidR="00F51AAD">
        <w:rPr>
          <w:rFonts w:eastAsiaTheme="minorHAnsi"/>
        </w:rPr>
        <w:t>e</w:t>
      </w:r>
      <w:r w:rsidRPr="009B0E74">
        <w:rPr>
          <w:rFonts w:eastAsiaTheme="minorHAnsi"/>
        </w:rPr>
        <w:t>rtugliflozin-</w:t>
      </w:r>
      <w:r w:rsidR="00F51AAD">
        <w:rPr>
          <w:rFonts w:eastAsiaTheme="minorHAnsi"/>
        </w:rPr>
        <w:t>s</w:t>
      </w:r>
      <w:r w:rsidR="00F51AAD" w:rsidRPr="009B0E74">
        <w:rPr>
          <w:rFonts w:eastAsiaTheme="minorHAnsi"/>
        </w:rPr>
        <w:t>itagliptin</w:t>
      </w:r>
    </w:p>
    <w:p w:rsidR="00B37C25" w:rsidRPr="00E957A2" w:rsidRDefault="00B37C25" w:rsidP="00E957A2">
      <w:pPr>
        <w:rPr>
          <w:lang w:eastAsia="ja-JP"/>
        </w:rPr>
      </w:pPr>
      <w:r w:rsidRPr="009B0E74">
        <w:t>MSD-</w:t>
      </w:r>
      <w:r w:rsidR="00F51AAD">
        <w:t>e</w:t>
      </w:r>
      <w:r w:rsidR="00F51AAD" w:rsidRPr="009B0E74">
        <w:t>rtugliflozin</w:t>
      </w:r>
      <w:r w:rsidRPr="009B0E74">
        <w:t>-</w:t>
      </w:r>
      <w:r w:rsidR="00F51AAD">
        <w:t>s</w:t>
      </w:r>
      <w:r w:rsidR="00F51AAD" w:rsidRPr="009B0E74">
        <w:t xml:space="preserve">itagliptin </w:t>
      </w:r>
      <w:r>
        <w:t xml:space="preserve">is the fixed dose </w:t>
      </w:r>
      <w:r w:rsidRPr="009B0E74">
        <w:t>combin</w:t>
      </w:r>
      <w:r>
        <w:t>ation of the</w:t>
      </w:r>
      <w:r w:rsidRPr="009B0E74">
        <w:t xml:space="preserve"> two </w:t>
      </w:r>
      <w:r>
        <w:t xml:space="preserve">active </w:t>
      </w:r>
      <w:r w:rsidRPr="009B0E74">
        <w:t>antihyperglycaemic agents</w:t>
      </w:r>
      <w:r>
        <w:t>, which are thought to have</w:t>
      </w:r>
      <w:r w:rsidRPr="009B0E74">
        <w:t xml:space="preserve"> complementary mechanisms of action</w:t>
      </w:r>
      <w:r>
        <w:t>, thereby improving</w:t>
      </w:r>
      <w:r w:rsidRPr="009B0E74">
        <w:t xml:space="preserve"> glycaemic control in patients with type 2 diabetes</w:t>
      </w:r>
      <w:r>
        <w:t xml:space="preserve"> over that possible with a single agent</w:t>
      </w:r>
      <w:r w:rsidRPr="009B0E74">
        <w:t>.</w:t>
      </w:r>
    </w:p>
    <w:p w:rsidR="00B37C25" w:rsidRDefault="00B37C25" w:rsidP="006F48AD">
      <w:pPr>
        <w:pStyle w:val="Heading4"/>
      </w:pPr>
      <w:bookmarkStart w:id="160" w:name="_Toc241374300"/>
      <w:bookmarkStart w:id="161" w:name="_Toc272414641"/>
      <w:bookmarkStart w:id="162" w:name="_Toc290888489"/>
      <w:bookmarkStart w:id="163" w:name="_Toc416353686"/>
      <w:bookmarkStart w:id="164" w:name="_Toc421005255"/>
      <w:bookmarkStart w:id="165" w:name="_Toc432079137"/>
      <w:bookmarkStart w:id="166" w:name="_Toc432080710"/>
      <w:bookmarkStart w:id="167" w:name="_Toc461096088"/>
      <w:bookmarkStart w:id="168" w:name="_Toc504036121"/>
      <w:r w:rsidRPr="00545B14">
        <w:t>Pharmacodynamic effects</w:t>
      </w:r>
      <w:bookmarkEnd w:id="160"/>
      <w:bookmarkEnd w:id="161"/>
      <w:bookmarkEnd w:id="162"/>
      <w:bookmarkEnd w:id="163"/>
      <w:bookmarkEnd w:id="164"/>
      <w:bookmarkEnd w:id="165"/>
      <w:bookmarkEnd w:id="166"/>
      <w:bookmarkEnd w:id="167"/>
      <w:bookmarkEnd w:id="168"/>
    </w:p>
    <w:p w:rsidR="00B37C25" w:rsidRPr="00642277" w:rsidRDefault="00B37C25" w:rsidP="00E957A2">
      <w:bookmarkStart w:id="169" w:name="_Toc272414643"/>
      <w:bookmarkStart w:id="170" w:name="_Toc290888491"/>
      <w:bookmarkStart w:id="171" w:name="_Toc416353688"/>
      <w:r w:rsidRPr="006C54BD">
        <w:t xml:space="preserve">No dedicated studies examined the </w:t>
      </w:r>
      <w:r>
        <w:t>primary, secondary, or the time-course of PD effects for the FDC tablets. In addition, none of the previously unevaluated studies examined the</w:t>
      </w:r>
      <w:r w:rsidRPr="00642277">
        <w:t xml:space="preserve"> </w:t>
      </w:r>
      <w:r>
        <w:t>relationship between drug concentration and PD effect, PD effects in special populations or PD interactions between the FDC tablets and other drugs. However, these</w:t>
      </w:r>
      <w:r w:rsidRPr="006C54BD">
        <w:t xml:space="preserve"> </w:t>
      </w:r>
      <w:r>
        <w:t>parameters</w:t>
      </w:r>
      <w:r w:rsidRPr="006C54BD">
        <w:t xml:space="preserve"> are well-established for sitagliptin and the results for ertugliflozin are discussed in the concurrent submission </w:t>
      </w:r>
      <w:r w:rsidR="00754BDD">
        <w:rPr>
          <w:rFonts w:cs="Calibri"/>
          <w:lang w:eastAsia="ja-JP"/>
        </w:rPr>
        <w:t>for Steglatro</w:t>
      </w:r>
      <w:r w:rsidR="00F51AAD">
        <w:rPr>
          <w:rFonts w:cs="Calibri"/>
          <w:lang w:eastAsia="ja-JP"/>
        </w:rPr>
        <w:t xml:space="preserve"> (please see Attachment 2)</w:t>
      </w:r>
      <w:r w:rsidRPr="006C54BD">
        <w:rPr>
          <w:rFonts w:cs="Calibri"/>
        </w:rPr>
        <w:t>.</w:t>
      </w:r>
      <w:bookmarkEnd w:id="169"/>
      <w:bookmarkEnd w:id="170"/>
      <w:bookmarkEnd w:id="171"/>
    </w:p>
    <w:p w:rsidR="00B37C25" w:rsidRPr="00545B14" w:rsidRDefault="00B37C25" w:rsidP="006F48AD">
      <w:pPr>
        <w:pStyle w:val="Heading3"/>
      </w:pPr>
      <w:bookmarkStart w:id="172" w:name="_Ref269983272"/>
      <w:bookmarkStart w:id="173" w:name="_Toc272414648"/>
      <w:bookmarkStart w:id="174" w:name="_Toc290888496"/>
      <w:bookmarkStart w:id="175" w:name="_Toc416353693"/>
      <w:bookmarkStart w:id="176" w:name="_Toc421005260"/>
      <w:bookmarkStart w:id="177" w:name="_Toc432079142"/>
      <w:bookmarkStart w:id="178" w:name="_Toc432080715"/>
      <w:bookmarkStart w:id="179" w:name="_Toc461096093"/>
      <w:bookmarkStart w:id="180" w:name="_Toc504036122"/>
      <w:bookmarkStart w:id="181" w:name="_Toc4573577"/>
      <w:r w:rsidRPr="00545B14">
        <w:t>Evaluator’s overall conclusions on pharmacodynamics</w:t>
      </w:r>
      <w:bookmarkEnd w:id="172"/>
      <w:bookmarkEnd w:id="173"/>
      <w:bookmarkEnd w:id="174"/>
      <w:bookmarkEnd w:id="175"/>
      <w:bookmarkEnd w:id="176"/>
      <w:bookmarkEnd w:id="177"/>
      <w:bookmarkEnd w:id="178"/>
      <w:bookmarkEnd w:id="179"/>
      <w:bookmarkEnd w:id="180"/>
      <w:bookmarkEnd w:id="181"/>
    </w:p>
    <w:p w:rsidR="00B37C25" w:rsidRDefault="00B37C25" w:rsidP="00B37C25">
      <w:pPr>
        <w:rPr>
          <w:lang w:eastAsia="ja-JP"/>
        </w:rPr>
      </w:pPr>
      <w:r>
        <w:rPr>
          <w:lang w:eastAsia="ja-JP"/>
        </w:rPr>
        <w:t>No studies have specifically examined the PDs of the FDC tablets.</w:t>
      </w:r>
    </w:p>
    <w:p w:rsidR="00B37C25" w:rsidRDefault="00B37C25" w:rsidP="006F48AD">
      <w:pPr>
        <w:pStyle w:val="Heading2"/>
      </w:pPr>
      <w:bookmarkStart w:id="182" w:name="_Toc504036123"/>
      <w:bookmarkStart w:id="183" w:name="_Toc4573578"/>
      <w:r>
        <w:t>Dosage selection for the pivotal studies</w:t>
      </w:r>
      <w:bookmarkEnd w:id="182"/>
      <w:bookmarkEnd w:id="183"/>
    </w:p>
    <w:p w:rsidR="00B37C25" w:rsidRPr="00545B14" w:rsidRDefault="006F48AD" w:rsidP="006F48AD">
      <w:pPr>
        <w:pStyle w:val="Heading4"/>
      </w:pPr>
      <w:bookmarkStart w:id="184" w:name="_Toc416353695"/>
      <w:bookmarkStart w:id="185" w:name="_Toc421005262"/>
      <w:bookmarkStart w:id="186" w:name="_Toc432079144"/>
      <w:bookmarkStart w:id="187" w:name="_Toc432080717"/>
      <w:bookmarkStart w:id="188" w:name="_Toc504036124"/>
      <w:r>
        <w:t>Pharmacokinetic and pharmacodynamic</w:t>
      </w:r>
      <w:r w:rsidR="00B37C25">
        <w:t xml:space="preserve"> dos</w:t>
      </w:r>
      <w:r w:rsidR="00B37C25" w:rsidRPr="00545B14">
        <w:t xml:space="preserve">e </w:t>
      </w:r>
      <w:r w:rsidR="00B37C25">
        <w:t>finding</w:t>
      </w:r>
      <w:r w:rsidR="00B37C25" w:rsidRPr="00545B14">
        <w:t xml:space="preserve"> </w:t>
      </w:r>
      <w:r w:rsidR="00B37C25">
        <w:t>s</w:t>
      </w:r>
      <w:r w:rsidR="00B37C25" w:rsidRPr="00545B14">
        <w:t>tudies</w:t>
      </w:r>
      <w:bookmarkEnd w:id="184"/>
      <w:bookmarkEnd w:id="185"/>
      <w:bookmarkEnd w:id="186"/>
      <w:bookmarkEnd w:id="187"/>
      <w:bookmarkEnd w:id="188"/>
    </w:p>
    <w:p w:rsidR="00B37C25" w:rsidRPr="003650F0" w:rsidRDefault="00B37C25" w:rsidP="00E957A2">
      <w:r w:rsidRPr="003650F0">
        <w:t>In the sitagliptin and ertugliflozin drug-drug interaction study (</w:t>
      </w:r>
      <w:r w:rsidR="00BC7DA5">
        <w:t>Study P0</w:t>
      </w:r>
      <w:r w:rsidRPr="003650F0">
        <w:t>22/1033),</w:t>
      </w:r>
      <w:r>
        <w:t xml:space="preserve"> </w:t>
      </w:r>
      <w:r w:rsidRPr="003650F0">
        <w:t>co-administration of single doses of ertugliflozin 15 mg and sitagliptin 100 mg had no</w:t>
      </w:r>
      <w:r>
        <w:t xml:space="preserve"> </w:t>
      </w:r>
      <w:r w:rsidRPr="003650F0">
        <w:t>meaningful effect on ertugliflozin or sitagliptin pharmacokinetics (PK) when compared to</w:t>
      </w:r>
      <w:r>
        <w:t xml:space="preserve"> </w:t>
      </w:r>
      <w:r w:rsidRPr="003650F0">
        <w:t>ertugliflozin and</w:t>
      </w:r>
      <w:r>
        <w:t xml:space="preserve"> sitagliptin administered alone</w:t>
      </w:r>
      <w:r w:rsidRPr="003650F0">
        <w:t>. The effect of a standard high</w:t>
      </w:r>
      <w:r w:rsidR="00884A9A">
        <w:t xml:space="preserve"> </w:t>
      </w:r>
      <w:r w:rsidRPr="003650F0">
        <w:t>fat meal on the PK of ertugliflozin and sitagliptin was</w:t>
      </w:r>
      <w:r>
        <w:t xml:space="preserve"> </w:t>
      </w:r>
      <w:r w:rsidRPr="003650F0">
        <w:t>evaluated using the highest strength ertugliflozin 15 mg/sitagliptin 100 mg tablet. Similar to the effect of food on the ertugliflozin</w:t>
      </w:r>
      <w:r>
        <w:t xml:space="preserve"> c</w:t>
      </w:r>
      <w:r w:rsidRPr="003650F0">
        <w:t xml:space="preserve">ommercial tablet, administration of the FDC with food decreased ertugliflozin </w:t>
      </w:r>
      <w:r w:rsidR="00A46791" w:rsidRPr="00B46F76">
        <w:rPr>
          <w:rFonts w:cstheme="minorHAnsi"/>
        </w:rPr>
        <w:t>C</w:t>
      </w:r>
      <w:r w:rsidR="00A46791" w:rsidRPr="00A46791">
        <w:rPr>
          <w:rFonts w:cstheme="minorHAnsi"/>
          <w:vertAlign w:val="subscript"/>
        </w:rPr>
        <w:t>max</w:t>
      </w:r>
      <w:r w:rsidRPr="003650F0">
        <w:t xml:space="preserve"> by approximately 30% but had no meaningful effect on</w:t>
      </w:r>
      <w:r>
        <w:t xml:space="preserve"> </w:t>
      </w:r>
      <w:r w:rsidRPr="003650F0">
        <w:t xml:space="preserve">ertugliflozin </w:t>
      </w:r>
      <w:r w:rsidR="006F48AD" w:rsidRPr="003650F0">
        <w:t>AUC</w:t>
      </w:r>
      <w:r w:rsidR="006F48AD" w:rsidRPr="006F48AD">
        <w:rPr>
          <w:vertAlign w:val="subscript"/>
        </w:rPr>
        <w:t>inf</w:t>
      </w:r>
      <w:r w:rsidRPr="003650F0">
        <w:t>.</w:t>
      </w:r>
    </w:p>
    <w:p w:rsidR="00B37C25" w:rsidRPr="003650F0" w:rsidRDefault="00B37C25" w:rsidP="00E957A2">
      <w:pPr>
        <w:rPr>
          <w:lang w:eastAsia="ja-JP"/>
        </w:rPr>
      </w:pPr>
      <w:r w:rsidRPr="003650F0">
        <w:t xml:space="preserve">The decrease in ertugliflozin </w:t>
      </w:r>
      <w:r w:rsidR="00A46791" w:rsidRPr="00B46F76">
        <w:rPr>
          <w:rFonts w:cstheme="minorHAnsi"/>
        </w:rPr>
        <w:t>C</w:t>
      </w:r>
      <w:r w:rsidR="00A46791" w:rsidRPr="00A46791">
        <w:rPr>
          <w:rFonts w:cstheme="minorHAnsi"/>
          <w:vertAlign w:val="subscript"/>
        </w:rPr>
        <w:t>max</w:t>
      </w:r>
      <w:r w:rsidRPr="003650F0">
        <w:t xml:space="preserve"> is not considered clinically relevant. For sitagliptin</w:t>
      </w:r>
      <w:r>
        <w:t xml:space="preserve"> </w:t>
      </w:r>
      <w:r w:rsidRPr="003650F0">
        <w:t xml:space="preserve">administration of the FDC with food resulted in no meaningful effect on sitagliptin </w:t>
      </w:r>
      <w:r w:rsidR="006F48AD" w:rsidRPr="003650F0">
        <w:t>AUC</w:t>
      </w:r>
      <w:r w:rsidR="006F48AD" w:rsidRPr="006F48AD">
        <w:rPr>
          <w:vertAlign w:val="subscript"/>
        </w:rPr>
        <w:t>inf</w:t>
      </w:r>
      <w:r w:rsidRPr="003650F0">
        <w:t xml:space="preserve"> or</w:t>
      </w:r>
      <w:r>
        <w:t xml:space="preserve"> </w:t>
      </w:r>
      <w:r w:rsidR="00A46791" w:rsidRPr="00B46F76">
        <w:rPr>
          <w:rFonts w:cstheme="minorHAnsi"/>
        </w:rPr>
        <w:t>C</w:t>
      </w:r>
      <w:r w:rsidR="00A46791" w:rsidRPr="00A46791">
        <w:rPr>
          <w:rFonts w:cstheme="minorHAnsi"/>
          <w:vertAlign w:val="subscript"/>
        </w:rPr>
        <w:t>max</w:t>
      </w:r>
      <w:r w:rsidRPr="003650F0">
        <w:t xml:space="preserve"> which is consistent with the lack of food effect reported for sitagliptin tablets.</w:t>
      </w:r>
      <w:r>
        <w:t xml:space="preserve"> </w:t>
      </w:r>
      <w:r w:rsidRPr="003650F0">
        <w:t>Therefore, the ertugliflozin/sitagliptin FDC can be administered without regard to food,</w:t>
      </w:r>
      <w:r>
        <w:t xml:space="preserve"> </w:t>
      </w:r>
      <w:r w:rsidRPr="003650F0">
        <w:t xml:space="preserve">similar to how ertugliflozin and sitagliptin were co-administered in </w:t>
      </w:r>
      <w:r w:rsidR="009B2F3C">
        <w:t>Phase III</w:t>
      </w:r>
      <w:r w:rsidRPr="003650F0">
        <w:t xml:space="preserve"> trials</w:t>
      </w:r>
      <w:r>
        <w:t>.</w:t>
      </w:r>
    </w:p>
    <w:p w:rsidR="00B37C25" w:rsidRPr="00545B14" w:rsidRDefault="009B2F3C" w:rsidP="006F48AD">
      <w:pPr>
        <w:pStyle w:val="Heading3"/>
      </w:pPr>
      <w:bookmarkStart w:id="189" w:name="_Toc416353696"/>
      <w:bookmarkStart w:id="190" w:name="_Toc421005263"/>
      <w:bookmarkStart w:id="191" w:name="_Toc432079145"/>
      <w:bookmarkStart w:id="192" w:name="_Toc432080718"/>
      <w:bookmarkStart w:id="193" w:name="_Toc504036125"/>
      <w:bookmarkStart w:id="194" w:name="_Toc4573579"/>
      <w:r>
        <w:lastRenderedPageBreak/>
        <w:t>Phase II</w:t>
      </w:r>
      <w:r w:rsidR="00B37C25" w:rsidRPr="00545B14">
        <w:t xml:space="preserve"> </w:t>
      </w:r>
      <w:r w:rsidR="00B37C25">
        <w:t>d</w:t>
      </w:r>
      <w:r w:rsidR="00B37C25" w:rsidRPr="00545B14">
        <w:t xml:space="preserve">ose </w:t>
      </w:r>
      <w:r w:rsidR="00B37C25">
        <w:t>finding</w:t>
      </w:r>
      <w:r w:rsidR="00B37C25" w:rsidRPr="00545B14">
        <w:t xml:space="preserve"> </w:t>
      </w:r>
      <w:r w:rsidR="00B37C25">
        <w:t>s</w:t>
      </w:r>
      <w:r w:rsidR="00B37C25" w:rsidRPr="00545B14">
        <w:t>tudies</w:t>
      </w:r>
      <w:bookmarkEnd w:id="189"/>
      <w:bookmarkEnd w:id="190"/>
      <w:bookmarkEnd w:id="191"/>
      <w:bookmarkEnd w:id="192"/>
      <w:bookmarkEnd w:id="193"/>
      <w:bookmarkEnd w:id="194"/>
    </w:p>
    <w:p w:rsidR="00B37C25" w:rsidRDefault="00B37C25" w:rsidP="00B37C25">
      <w:pPr>
        <w:spacing w:before="0" w:line="240" w:lineRule="auto"/>
        <w:rPr>
          <w:lang w:eastAsia="ja-JP"/>
        </w:rPr>
      </w:pPr>
      <w:r>
        <w:rPr>
          <w:lang w:eastAsia="ja-JP"/>
        </w:rPr>
        <w:t xml:space="preserve">The two </w:t>
      </w:r>
      <w:r w:rsidR="009B2F3C">
        <w:rPr>
          <w:lang w:eastAsia="ja-JP"/>
        </w:rPr>
        <w:t>Phase II</w:t>
      </w:r>
      <w:r>
        <w:rPr>
          <w:lang w:eastAsia="ja-JP"/>
        </w:rPr>
        <w:t xml:space="preserve"> dose-ranging studies for ertugliflozin were evaluated in the Steglatro report</w:t>
      </w:r>
      <w:r w:rsidR="005812DE">
        <w:rPr>
          <w:lang w:eastAsia="ja-JP"/>
        </w:rPr>
        <w:t xml:space="preserve"> (please see A</w:t>
      </w:r>
      <w:r w:rsidR="00F51AAD">
        <w:rPr>
          <w:lang w:eastAsia="ja-JP"/>
        </w:rPr>
        <w:t>ttachment 2)</w:t>
      </w:r>
      <w:r>
        <w:rPr>
          <w:lang w:eastAsia="ja-JP"/>
        </w:rPr>
        <w:t>.</w:t>
      </w:r>
    </w:p>
    <w:p w:rsidR="00B37C25" w:rsidRPr="00670FF0" w:rsidRDefault="009B2F3C" w:rsidP="006F48AD">
      <w:pPr>
        <w:pStyle w:val="Heading3"/>
      </w:pPr>
      <w:bookmarkStart w:id="195" w:name="_Toc416353712"/>
      <w:bookmarkStart w:id="196" w:name="_Toc421005265"/>
      <w:bookmarkStart w:id="197" w:name="_Toc432079147"/>
      <w:bookmarkStart w:id="198" w:name="_Toc432080720"/>
      <w:bookmarkStart w:id="199" w:name="_Toc504036126"/>
      <w:bookmarkStart w:id="200" w:name="_Toc4573580"/>
      <w:r>
        <w:t>Phase III</w:t>
      </w:r>
      <w:r w:rsidR="00B37C25" w:rsidRPr="00670FF0">
        <w:t xml:space="preserve"> pivotal studies investigating more than one dose regimen</w:t>
      </w:r>
      <w:bookmarkEnd w:id="195"/>
      <w:bookmarkEnd w:id="196"/>
      <w:bookmarkEnd w:id="197"/>
      <w:bookmarkEnd w:id="198"/>
      <w:bookmarkEnd w:id="199"/>
      <w:bookmarkEnd w:id="200"/>
    </w:p>
    <w:p w:rsidR="00B37C25" w:rsidRDefault="00B37C25" w:rsidP="00E957A2">
      <w:pPr>
        <w:rPr>
          <w:lang w:eastAsia="ja-JP"/>
        </w:rPr>
      </w:pPr>
      <w:r w:rsidRPr="00067F80">
        <w:t>The proposed dose strengths of ertugliflozin in the ertugliflozin/sitagliptin FDC of 15 mg and</w:t>
      </w:r>
      <w:r>
        <w:t xml:space="preserve"> </w:t>
      </w:r>
      <w:r w:rsidRPr="00067F80">
        <w:t xml:space="preserve">5 mg are consistent with the ertugliflozin doses </w:t>
      </w:r>
      <w:r>
        <w:t xml:space="preserve">evaluated in </w:t>
      </w:r>
      <w:r w:rsidRPr="00067F80">
        <w:t xml:space="preserve">the </w:t>
      </w:r>
      <w:r w:rsidR="009B2F3C">
        <w:t>Phase III</w:t>
      </w:r>
      <w:r w:rsidRPr="00067F80">
        <w:t xml:space="preserve"> program. </w:t>
      </w:r>
      <w:r>
        <w:t>E</w:t>
      </w:r>
      <w:r w:rsidRPr="00067F80">
        <w:t xml:space="preserve">rtugliflozin </w:t>
      </w:r>
      <w:r>
        <w:t xml:space="preserve">is contraindicated in </w:t>
      </w:r>
      <w:r w:rsidRPr="00067F80">
        <w:t>subjects with an e</w:t>
      </w:r>
      <w:r>
        <w:t>GFR &lt;4</w:t>
      </w:r>
      <w:r w:rsidRPr="00067F80">
        <w:t>5 mL/min/1.73 m</w:t>
      </w:r>
      <w:r w:rsidRPr="00067F80">
        <w:rPr>
          <w:vertAlign w:val="superscript"/>
        </w:rPr>
        <w:t>2</w:t>
      </w:r>
      <w:r w:rsidRPr="00067F80">
        <w:t>.</w:t>
      </w:r>
    </w:p>
    <w:p w:rsidR="00B37C25" w:rsidRPr="00FC7F96" w:rsidRDefault="00B37C25" w:rsidP="00E957A2">
      <w:r w:rsidRPr="00FC7F96">
        <w:t xml:space="preserve">In the </w:t>
      </w:r>
      <w:r w:rsidR="009B2F3C">
        <w:t>Phase III</w:t>
      </w:r>
      <w:r w:rsidRPr="00FC7F96">
        <w:t xml:space="preserve"> studies, ertugliflozin and sitagliptin were co-administered as individual tablets.</w:t>
      </w:r>
      <w:r>
        <w:t xml:space="preserve"> The proposed ertugliflozin/sitagliptin FDC was not evaluated in any </w:t>
      </w:r>
      <w:r w:rsidR="009B2F3C">
        <w:t>Phase III</w:t>
      </w:r>
      <w:r>
        <w:t xml:space="preserve"> studies.</w:t>
      </w:r>
    </w:p>
    <w:p w:rsidR="00884A9A" w:rsidRDefault="00B37C25" w:rsidP="00E957A2">
      <w:r w:rsidRPr="00FC7F96">
        <w:t>Bridging to the FDC tablets was accomplished through bioequivalence studies</w:t>
      </w:r>
      <w:r>
        <w:t xml:space="preserve"> </w:t>
      </w:r>
      <w:r w:rsidRPr="00FC7F96">
        <w:t>(Studies</w:t>
      </w:r>
      <w:r w:rsidR="00F51AAD">
        <w:t> </w:t>
      </w:r>
      <w:r w:rsidRPr="00FC7F96">
        <w:t>P025/1038, P044/1053, P048/1056, and P049/1057). Ertugliflozin 15 mg/sitagliptin</w:t>
      </w:r>
      <w:r>
        <w:t xml:space="preserve"> </w:t>
      </w:r>
      <w:r w:rsidRPr="00FC7F96">
        <w:t>100 mg FDC and ertugliflozin 5 mg/sitagliptin 100 mg FDC are bioequivalent with the</w:t>
      </w:r>
      <w:r>
        <w:t xml:space="preserve"> </w:t>
      </w:r>
      <w:r w:rsidRPr="00FC7F96">
        <w:t>corresponding doses of ertugliflozin and sitagliptin tablets co-administered as individual</w:t>
      </w:r>
      <w:r>
        <w:t xml:space="preserve"> </w:t>
      </w:r>
      <w:r w:rsidRPr="00FC7F96">
        <w:t xml:space="preserve">components in the </w:t>
      </w:r>
      <w:r w:rsidR="009B2F3C">
        <w:t>Phase III</w:t>
      </w:r>
      <w:r w:rsidRPr="00FC7F96">
        <w:t xml:space="preserve"> studies. Bioequivalence of ertugliflozin 15 mg/sitagliptin 50 mg</w:t>
      </w:r>
      <w:r>
        <w:t xml:space="preserve"> </w:t>
      </w:r>
      <w:r w:rsidRPr="00FC7F96">
        <w:t>FDC and ertugliflozin 5 mg/sitagliptin 50 mg FDC was also established</w:t>
      </w:r>
      <w:bookmarkStart w:id="201" w:name="_Toc416353713"/>
      <w:bookmarkStart w:id="202" w:name="_Toc421005266"/>
      <w:bookmarkStart w:id="203" w:name="_Toc432079148"/>
      <w:bookmarkStart w:id="204" w:name="_Toc432080721"/>
      <w:bookmarkStart w:id="205" w:name="_Toc504036127"/>
      <w:r w:rsidR="00884A9A">
        <w:t>.</w:t>
      </w:r>
    </w:p>
    <w:p w:rsidR="00B37C25" w:rsidRPr="00670FF0" w:rsidRDefault="00B37C25" w:rsidP="006F48AD">
      <w:pPr>
        <w:pStyle w:val="Heading3"/>
      </w:pPr>
      <w:bookmarkStart w:id="206" w:name="_Toc4573581"/>
      <w:r>
        <w:t>Evaluator’s conclusions on dos</w:t>
      </w:r>
      <w:r w:rsidRPr="00670FF0">
        <w:t>e finding for the pivotal studies</w:t>
      </w:r>
      <w:bookmarkEnd w:id="201"/>
      <w:bookmarkEnd w:id="202"/>
      <w:bookmarkEnd w:id="203"/>
      <w:bookmarkEnd w:id="204"/>
      <w:bookmarkEnd w:id="205"/>
      <w:bookmarkEnd w:id="206"/>
    </w:p>
    <w:p w:rsidR="00884A9A" w:rsidRDefault="00B37C25" w:rsidP="006F48AD">
      <w:r w:rsidRPr="00067F80">
        <w:t>The proposed doses of sitagliptin in the ertugliflozin/sitagliptin FDC are consistent with the</w:t>
      </w:r>
      <w:r>
        <w:t xml:space="preserve"> </w:t>
      </w:r>
      <w:r w:rsidRPr="00067F80">
        <w:t>approved sitaglip</w:t>
      </w:r>
      <w:r>
        <w:t xml:space="preserve">tin label. The recommended doses </w:t>
      </w:r>
      <w:r w:rsidRPr="00067F80">
        <w:t xml:space="preserve">of sitagliptin </w:t>
      </w:r>
      <w:r>
        <w:t>are 10</w:t>
      </w:r>
      <w:r w:rsidR="006F48AD">
        <w:t>0 mg</w:t>
      </w:r>
      <w:r>
        <w:t>, 5</w:t>
      </w:r>
      <w:r w:rsidR="006F48AD">
        <w:t>0 mg</w:t>
      </w:r>
      <w:r>
        <w:t xml:space="preserve"> and 2</w:t>
      </w:r>
      <w:r w:rsidR="006F48AD">
        <w:t>5 mg</w:t>
      </w:r>
      <w:r>
        <w:t xml:space="preserve"> once daily </w:t>
      </w:r>
      <w:r w:rsidRPr="00067F80">
        <w:t xml:space="preserve">for patients with </w:t>
      </w:r>
      <w:r>
        <w:t xml:space="preserve">mild, </w:t>
      </w:r>
      <w:r w:rsidRPr="00564D47">
        <w:t xml:space="preserve">moderate and severe renal impairment (CrCL </w:t>
      </w:r>
      <w:r w:rsidR="00884A9A">
        <w:t xml:space="preserve">≥ </w:t>
      </w:r>
      <w:r w:rsidRPr="00564D47">
        <w:t>50ml/min, 30</w:t>
      </w:r>
      <w:r w:rsidR="00884A9A">
        <w:t> </w:t>
      </w:r>
      <w:r w:rsidRPr="00564D47">
        <w:t>to &lt;</w:t>
      </w:r>
      <w:r w:rsidR="00884A9A">
        <w:t xml:space="preserve"> </w:t>
      </w:r>
      <w:r w:rsidRPr="00564D47">
        <w:t>50ml/min and &lt;</w:t>
      </w:r>
      <w:r w:rsidR="00884A9A">
        <w:t xml:space="preserve"> </w:t>
      </w:r>
      <w:r w:rsidRPr="00564D47">
        <w:t xml:space="preserve">30ml/min, respectively). As ertugliflozin is contraindicated in patients with severe renal impairment or ESRD, no ertugliflozin/sitagliptin tablet containing sitagliptin 25 mg is planned for commercialization. Hence, </w:t>
      </w:r>
      <w:r w:rsidR="00E26B2E">
        <w:t>t</w:t>
      </w:r>
      <w:r w:rsidR="0013015A">
        <w:t>he sponsor</w:t>
      </w:r>
      <w:r w:rsidRPr="00564D47">
        <w:t xml:space="preserve"> has proposed 4 strengths of the ertugliflozin/sitagliptin FDC </w:t>
      </w:r>
      <w:r>
        <w:t>(ertugliflozin/ sitagliptin: 15/10</w:t>
      </w:r>
      <w:r w:rsidR="006F48AD">
        <w:t>0 mg</w:t>
      </w:r>
      <w:r>
        <w:t>; 5/10</w:t>
      </w:r>
      <w:r w:rsidR="006F48AD">
        <w:t>0 mg</w:t>
      </w:r>
      <w:r>
        <w:t>; 15/5</w:t>
      </w:r>
      <w:r w:rsidR="006F48AD">
        <w:t>0 mg</w:t>
      </w:r>
      <w:r>
        <w:t xml:space="preserve"> and 5/5</w:t>
      </w:r>
      <w:r w:rsidR="006F48AD">
        <w:t>0 mg</w:t>
      </w:r>
      <w:r>
        <w:t xml:space="preserve">) </w:t>
      </w:r>
      <w:r w:rsidRPr="00564D47">
        <w:t>to enable use over</w:t>
      </w:r>
      <w:r>
        <w:t xml:space="preserve"> </w:t>
      </w:r>
      <w:r w:rsidRPr="00564D47">
        <w:t>the T2DM spectrum of disease and range of renal function for which use of ertugliflozin and</w:t>
      </w:r>
      <w:r>
        <w:t xml:space="preserve"> </w:t>
      </w:r>
      <w:r w:rsidRPr="00564D47">
        <w:t>sitagliptin would be appropriate</w:t>
      </w:r>
      <w:bookmarkStart w:id="207" w:name="_Toc504036128"/>
      <w:r w:rsidR="00884A9A">
        <w:t>.</w:t>
      </w:r>
    </w:p>
    <w:p w:rsidR="00B37C25" w:rsidRDefault="00B37C25" w:rsidP="006F48AD">
      <w:pPr>
        <w:pStyle w:val="Heading2"/>
      </w:pPr>
      <w:bookmarkStart w:id="208" w:name="_Toc4573582"/>
      <w:r>
        <w:t>Clinical efficacy</w:t>
      </w:r>
      <w:bookmarkEnd w:id="207"/>
      <w:bookmarkEnd w:id="208"/>
    </w:p>
    <w:p w:rsidR="00B37C25" w:rsidRDefault="00B37C25" w:rsidP="006F48AD">
      <w:pPr>
        <w:pStyle w:val="Heading3"/>
      </w:pPr>
      <w:bookmarkStart w:id="209" w:name="_Toc504036129"/>
      <w:bookmarkStart w:id="210" w:name="_Ref271037274"/>
      <w:bookmarkStart w:id="211" w:name="_Toc272414652"/>
      <w:bookmarkStart w:id="212" w:name="_Toc290888500"/>
      <w:bookmarkStart w:id="213" w:name="_Toc416353716"/>
      <w:bookmarkStart w:id="214" w:name="_Toc421005269"/>
      <w:bookmarkStart w:id="215" w:name="_Toc432079151"/>
      <w:bookmarkStart w:id="216" w:name="_Toc432080724"/>
      <w:bookmarkStart w:id="217" w:name="_Toc4573583"/>
      <w:r w:rsidRPr="00545B14">
        <w:t xml:space="preserve">Studies providing evaluable </w:t>
      </w:r>
      <w:r>
        <w:t>efficacy</w:t>
      </w:r>
      <w:r w:rsidRPr="00545B14">
        <w:t xml:space="preserve"> data</w:t>
      </w:r>
      <w:bookmarkEnd w:id="209"/>
      <w:bookmarkEnd w:id="217"/>
    </w:p>
    <w:p w:rsidR="00B37C25" w:rsidRPr="00D072D9" w:rsidRDefault="00B37C25" w:rsidP="00E957A2">
      <w:r>
        <w:t xml:space="preserve">Seven </w:t>
      </w:r>
      <w:r w:rsidR="009B2F3C">
        <w:t>Phase III</w:t>
      </w:r>
      <w:r>
        <w:t xml:space="preserve"> studies in the ertugliflozin clinical development program (including placebo-controlled and active-controlled studies) evaluated</w:t>
      </w:r>
      <w:r w:rsidRPr="00D35FB1">
        <w:t xml:space="preserve"> ertugliflozin as monotherapy, as well as add-on therapy to single and dual oral</w:t>
      </w:r>
      <w:r>
        <w:t xml:space="preserve"> </w:t>
      </w:r>
      <w:r w:rsidRPr="00D35FB1">
        <w:t>antihyper</w:t>
      </w:r>
      <w:r>
        <w:t>glycaemic</w:t>
      </w:r>
      <w:r w:rsidRPr="00D35FB1">
        <w:t xml:space="preserve"> agents (AHAs) including sitagliptin, across a broad population of subjects</w:t>
      </w:r>
      <w:r>
        <w:t xml:space="preserve"> with T2DM.</w:t>
      </w:r>
      <w:r w:rsidR="006F48AD">
        <w:t xml:space="preserve"> </w:t>
      </w:r>
      <w:r w:rsidRPr="00D35FB1">
        <w:t>Three of the 7 studies</w:t>
      </w:r>
      <w:r>
        <w:t xml:space="preserve"> </w:t>
      </w:r>
      <w:r w:rsidRPr="00D072D9">
        <w:t xml:space="preserve">specifically support the efficacy of the proposed ertugliflozin/sitagliptin fixed-dose combination (FDC) (Table </w:t>
      </w:r>
      <w:r w:rsidR="00D072D9" w:rsidRPr="00D072D9">
        <w:t>2</w:t>
      </w:r>
      <w:r w:rsidRPr="00D072D9">
        <w:t>).</w:t>
      </w:r>
    </w:p>
    <w:p w:rsidR="00B37C25" w:rsidRPr="00DD07D6" w:rsidRDefault="00B37C25" w:rsidP="00D072D9">
      <w:pPr>
        <w:pStyle w:val="Tabletitle"/>
      </w:pPr>
      <w:bookmarkStart w:id="218" w:name="_Toc504036205"/>
      <w:r w:rsidRPr="00DD07D6">
        <w:lastRenderedPageBreak/>
        <w:t xml:space="preserve">Table </w:t>
      </w:r>
      <w:r w:rsidR="00D072D9">
        <w:t xml:space="preserve">2: </w:t>
      </w:r>
      <w:r w:rsidRPr="00DD07D6">
        <w:t xml:space="preserve">Overview of </w:t>
      </w:r>
      <w:r w:rsidR="009B2F3C">
        <w:t>Phase III</w:t>
      </w:r>
      <w:r w:rsidRPr="00DD07D6">
        <w:t xml:space="preserve"> studies supporting the ertugliflozin/sitagliptin FDC</w:t>
      </w:r>
      <w:bookmarkEnd w:id="218"/>
    </w:p>
    <w:p w:rsidR="00B37C25" w:rsidRPr="005812DE" w:rsidRDefault="00B37C25" w:rsidP="005812DE">
      <w:r>
        <w:rPr>
          <w:noProof/>
          <w:lang w:eastAsia="en-AU"/>
        </w:rPr>
        <w:drawing>
          <wp:inline distT="0" distB="0" distL="0" distR="0" wp14:anchorId="27461D19" wp14:editId="47D714F5">
            <wp:extent cx="5735116" cy="1938528"/>
            <wp:effectExtent l="0" t="0" r="0" b="5080"/>
            <wp:docPr id="3" name="Picture 3" descr="Overview of Phase III studies supporting the ertugliflozin/sitagliptin 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731510" cy="1937309"/>
                    </a:xfrm>
                    <a:prstGeom prst="rect">
                      <a:avLst/>
                    </a:prstGeom>
                    <a:noFill/>
                    <a:ln>
                      <a:noFill/>
                    </a:ln>
                  </pic:spPr>
                </pic:pic>
              </a:graphicData>
            </a:graphic>
          </wp:inline>
        </w:drawing>
      </w:r>
    </w:p>
    <w:p w:rsidR="00B37C25" w:rsidRDefault="00B37C25" w:rsidP="00D072D9">
      <w:pPr>
        <w:pStyle w:val="Heading3"/>
      </w:pPr>
      <w:bookmarkStart w:id="219" w:name="_Toc504036130"/>
      <w:bookmarkStart w:id="220" w:name="_Toc4573584"/>
      <w:r w:rsidRPr="005632DC">
        <w:t>Pivotal or main efficacy studies</w:t>
      </w:r>
      <w:bookmarkEnd w:id="210"/>
      <w:bookmarkEnd w:id="211"/>
      <w:bookmarkEnd w:id="212"/>
      <w:bookmarkEnd w:id="213"/>
      <w:bookmarkEnd w:id="214"/>
      <w:bookmarkEnd w:id="215"/>
      <w:bookmarkEnd w:id="216"/>
      <w:bookmarkEnd w:id="219"/>
      <w:bookmarkEnd w:id="220"/>
    </w:p>
    <w:p w:rsidR="00B37C25" w:rsidRPr="00094C82" w:rsidRDefault="00B37C25" w:rsidP="00D072D9">
      <w:pPr>
        <w:pStyle w:val="Comment"/>
      </w:pPr>
      <w:r w:rsidRPr="00D072D9">
        <w:rPr>
          <w:b/>
        </w:rPr>
        <w:t>Comments</w:t>
      </w:r>
      <w:r>
        <w:t>:</w:t>
      </w:r>
      <w:r>
        <w:tab/>
      </w:r>
      <w:r w:rsidR="00884A9A">
        <w:t xml:space="preserve"> </w:t>
      </w:r>
      <w:r w:rsidRPr="00094C82">
        <w:t>The 3 pivotal studies to support the proposed ertugliflozin-sitagliptin FDC have been evaluated and discussed in detail in the Steglatro report (</w:t>
      </w:r>
      <w:r w:rsidR="00F51AAD">
        <w:t xml:space="preserve">submission </w:t>
      </w:r>
      <w:r w:rsidRPr="00094C82">
        <w:t>PM</w:t>
      </w:r>
      <w:r w:rsidR="00F51AAD">
        <w:noBreakHyphen/>
      </w:r>
      <w:r w:rsidRPr="00094C82">
        <w:t>2017-01328-1-5</w:t>
      </w:r>
      <w:r w:rsidR="00F51AAD">
        <w:t>, see Attachment 2</w:t>
      </w:r>
      <w:r w:rsidRPr="00094C82">
        <w:t>) and only the main efficacy results will be discussed below. The efficacy endpoints used in these studies complied with TGA adopted EMA guidelines for evaluation of drugs used in treatment of T2DM.</w:t>
      </w:r>
    </w:p>
    <w:p w:rsidR="00B37C25" w:rsidRPr="00E957A2" w:rsidRDefault="00B37C25" w:rsidP="00E957A2">
      <w:r w:rsidRPr="007C1EA6">
        <w:t xml:space="preserve">All studies evaluated glycaemic efficacy (change from baseline in A1C, FPG and </w:t>
      </w:r>
      <w:r w:rsidR="000E01BE">
        <w:t>2 h PPG</w:t>
      </w:r>
      <w:r w:rsidR="00F51AAD">
        <w:t>;</w:t>
      </w:r>
      <w:r w:rsidRPr="007C1EA6">
        <w:rPr>
          <w:rStyle w:val="FootnoteReference"/>
          <w:rFonts w:asciiTheme="minorHAnsi" w:eastAsia="TimesNewRoman" w:hAnsiTheme="minorHAnsi" w:cs="Calibri"/>
        </w:rPr>
        <w:footnoteReference w:id="3"/>
      </w:r>
      <w:r w:rsidRPr="007C1EA6">
        <w:t xml:space="preserve"> the proportion of subjects with </w:t>
      </w:r>
      <w:r w:rsidR="00F51AAD" w:rsidRPr="007C1EA6">
        <w:t>A1</w:t>
      </w:r>
      <w:r w:rsidR="00F51AAD">
        <w:t>c</w:t>
      </w:r>
      <w:r w:rsidR="00F51AAD" w:rsidRPr="007C1EA6">
        <w:t xml:space="preserve"> </w:t>
      </w:r>
      <w:r w:rsidRPr="007C1EA6">
        <w:t>&lt;</w:t>
      </w:r>
      <w:r w:rsidR="00884A9A">
        <w:t xml:space="preserve"> </w:t>
      </w:r>
      <w:r w:rsidRPr="007C1EA6">
        <w:t xml:space="preserve">7.0%, the proportion of subjects receiving glycaemic rescue therapy, and the time to glycaemic rescue) of proposed ertugliflozin/sitagliptin combination and also evaluated impact of ertugliflozin/ sitagliptin or ertugliflozin </w:t>
      </w:r>
      <w:r>
        <w:t xml:space="preserve">on </w:t>
      </w:r>
      <w:r w:rsidRPr="007C1EA6">
        <w:t xml:space="preserve">change from baseline in body weight, SBP and </w:t>
      </w:r>
      <w:r w:rsidRPr="00884A9A">
        <w:t xml:space="preserve">DBP (Table </w:t>
      </w:r>
      <w:r w:rsidR="00D072D9" w:rsidRPr="00E957A2">
        <w:t>3</w:t>
      </w:r>
      <w:r w:rsidRPr="00E957A2">
        <w:t>).</w:t>
      </w:r>
    </w:p>
    <w:p w:rsidR="00D072D9" w:rsidRPr="0069105A" w:rsidRDefault="00D072D9" w:rsidP="00D072D9">
      <w:pPr>
        <w:pStyle w:val="Tabletitle"/>
      </w:pPr>
      <w:bookmarkStart w:id="221" w:name="_Ref493674690"/>
      <w:bookmarkStart w:id="222" w:name="_Toc504036234"/>
      <w:r w:rsidRPr="0069105A">
        <w:t xml:space="preserve">Table </w:t>
      </w:r>
      <w:r>
        <w:t xml:space="preserve">3: </w:t>
      </w:r>
      <w:r w:rsidRPr="0069105A">
        <w:t xml:space="preserve">Overview of efficacy endpoints across the </w:t>
      </w:r>
      <w:r w:rsidR="00F51AAD">
        <w:t>P</w:t>
      </w:r>
      <w:r w:rsidRPr="0069105A">
        <w:t xml:space="preserve">hase </w:t>
      </w:r>
      <w:r w:rsidR="00F51AAD">
        <w:t>III</w:t>
      </w:r>
      <w:r w:rsidR="00F51AAD" w:rsidRPr="0069105A">
        <w:t xml:space="preserve"> </w:t>
      </w:r>
      <w:r w:rsidRPr="0069105A">
        <w:t>studies supporting the ertugliflozin / sitagliptin FDC</w:t>
      </w:r>
      <w:bookmarkEnd w:id="221"/>
      <w:bookmarkEnd w:id="222"/>
    </w:p>
    <w:p w:rsidR="00D072D9" w:rsidRDefault="00D072D9" w:rsidP="00D072D9">
      <w:r>
        <w:rPr>
          <w:noProof/>
          <w:lang w:eastAsia="en-AU"/>
        </w:rPr>
        <w:drawing>
          <wp:inline distT="0" distB="0" distL="0" distR="0" wp14:anchorId="59CB365A" wp14:editId="63F0F5BB">
            <wp:extent cx="5610758" cy="2509113"/>
            <wp:effectExtent l="0" t="0" r="9525" b="5715"/>
            <wp:docPr id="53" name="Picture 53" descr="Overview of efficacy endpoints across the phase 3 studies supporting the ertugliflozin / sitagliptin 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38" r="1510" b="3652"/>
                    <a:stretch/>
                  </pic:blipFill>
                  <pic:spPr bwMode="auto">
                    <a:xfrm>
                      <a:off x="0" y="0"/>
                      <a:ext cx="5608394" cy="2508056"/>
                    </a:xfrm>
                    <a:prstGeom prst="rect">
                      <a:avLst/>
                    </a:prstGeom>
                    <a:noFill/>
                    <a:ln>
                      <a:noFill/>
                    </a:ln>
                    <a:extLst>
                      <a:ext uri="{53640926-AAD7-44D8-BBD7-CCE9431645EC}">
                        <a14:shadowObscured xmlns:a14="http://schemas.microsoft.com/office/drawing/2010/main"/>
                      </a:ext>
                    </a:extLst>
                  </pic:spPr>
                </pic:pic>
              </a:graphicData>
            </a:graphic>
          </wp:inline>
        </w:drawing>
      </w:r>
    </w:p>
    <w:p w:rsidR="00D072D9" w:rsidRDefault="00B37C25" w:rsidP="00B37C25">
      <w:pPr>
        <w:autoSpaceDE w:val="0"/>
        <w:autoSpaceDN w:val="0"/>
        <w:adjustRightInd w:val="0"/>
        <w:spacing w:before="0" w:line="240" w:lineRule="auto"/>
        <w:rPr>
          <w:rFonts w:asciiTheme="minorHAnsi" w:eastAsia="TimesNewRoman" w:hAnsiTheme="minorHAnsi" w:cs="TimesNewRoman"/>
          <w:b/>
        </w:rPr>
      </w:pPr>
      <w:bookmarkStart w:id="223" w:name="_Ref271037188"/>
      <w:bookmarkStart w:id="224" w:name="_Ref271037210"/>
      <w:bookmarkStart w:id="225" w:name="_Toc272414655"/>
      <w:bookmarkStart w:id="226" w:name="_Toc290888503"/>
      <w:bookmarkStart w:id="227" w:name="_Toc416353719"/>
      <w:bookmarkStart w:id="228" w:name="_Toc421005270"/>
      <w:bookmarkStart w:id="229" w:name="_Toc432079152"/>
      <w:bookmarkStart w:id="230" w:name="_Toc432080725"/>
      <w:bookmarkStart w:id="231" w:name="_Toc241374311"/>
      <w:bookmarkStart w:id="232" w:name="_Ref243294291"/>
      <w:r w:rsidRPr="00ED39DD">
        <w:rPr>
          <w:rFonts w:asciiTheme="minorHAnsi" w:eastAsia="TimesNewRoman" w:hAnsiTheme="minorHAnsi" w:cs="TimesNewRoman"/>
        </w:rPr>
        <w:t>A total of 1987 subjects were randomly</w:t>
      </w:r>
      <w:r>
        <w:rPr>
          <w:rFonts w:asciiTheme="minorHAnsi" w:eastAsia="TimesNewRoman" w:hAnsiTheme="minorHAnsi" w:cs="TimesNewRoman"/>
        </w:rPr>
        <w:t xml:space="preserve"> </w:t>
      </w:r>
      <w:r w:rsidRPr="00ED39DD">
        <w:rPr>
          <w:rFonts w:asciiTheme="minorHAnsi" w:eastAsia="TimesNewRoman" w:hAnsiTheme="minorHAnsi" w:cs="TimesNewRoman"/>
        </w:rPr>
        <w:t>assigned to study medication</w:t>
      </w:r>
      <w:r>
        <w:rPr>
          <w:rFonts w:asciiTheme="minorHAnsi" w:eastAsia="TimesNewRoman" w:hAnsiTheme="minorHAnsi" w:cs="TimesNewRoman"/>
        </w:rPr>
        <w:t xml:space="preserve"> in the 3 pivotal FDC studies: </w:t>
      </w:r>
      <w:r w:rsidRPr="00ED39DD">
        <w:rPr>
          <w:rFonts w:asciiTheme="minorHAnsi" w:eastAsia="TimesNewRoman" w:hAnsiTheme="minorHAnsi" w:cs="TimesNewRoman"/>
        </w:rPr>
        <w:t>495 subjects were randomly assigned to receive ertugliflozin</w:t>
      </w:r>
      <w:r>
        <w:rPr>
          <w:rFonts w:asciiTheme="minorHAnsi" w:eastAsia="TimesNewRoman" w:hAnsiTheme="minorHAnsi" w:cs="TimesNewRoman"/>
        </w:rPr>
        <w:t xml:space="preserve"> </w:t>
      </w:r>
      <w:r w:rsidRPr="00ED39DD">
        <w:rPr>
          <w:rFonts w:asciiTheme="minorHAnsi" w:eastAsia="TimesNewRoman" w:hAnsiTheme="minorHAnsi" w:cs="TimesNewRoman"/>
        </w:rPr>
        <w:t>15 mg</w:t>
      </w:r>
      <w:r>
        <w:rPr>
          <w:rFonts w:asciiTheme="minorHAnsi" w:eastAsia="TimesNewRoman" w:hAnsiTheme="minorHAnsi" w:cs="TimesNewRoman"/>
        </w:rPr>
        <w:t>+</w:t>
      </w:r>
      <w:r w:rsidRPr="00ED39DD">
        <w:rPr>
          <w:rFonts w:asciiTheme="minorHAnsi" w:eastAsia="TimesNewRoman" w:hAnsiTheme="minorHAnsi" w:cs="TimesNewRoman"/>
        </w:rPr>
        <w:t>sitagliptin 100 mg treatment and 497 subjects to the ertugliflozin 5 mg</w:t>
      </w:r>
      <w:r>
        <w:rPr>
          <w:rFonts w:asciiTheme="minorHAnsi" w:eastAsia="TimesNewRoman" w:hAnsiTheme="minorHAnsi" w:cs="TimesNewRoman"/>
        </w:rPr>
        <w:t>+</w:t>
      </w:r>
      <w:r w:rsidRPr="00ED39DD">
        <w:rPr>
          <w:rFonts w:asciiTheme="minorHAnsi" w:eastAsia="TimesNewRoman" w:hAnsiTheme="minorHAnsi" w:cs="TimesNewRoman"/>
        </w:rPr>
        <w:t>sitagliptin 100 mg treatment, either as co-</w:t>
      </w:r>
      <w:r w:rsidRPr="00ED39DD">
        <w:rPr>
          <w:rFonts w:asciiTheme="minorHAnsi" w:eastAsia="TimesNewRoman" w:hAnsiTheme="minorHAnsi" w:cs="TimesNewRoman"/>
        </w:rPr>
        <w:lastRenderedPageBreak/>
        <w:t>administration (Studies P005/1019 and P017/1047)</w:t>
      </w:r>
      <w:r>
        <w:rPr>
          <w:rFonts w:asciiTheme="minorHAnsi" w:eastAsia="TimesNewRoman" w:hAnsiTheme="minorHAnsi" w:cs="TimesNewRoman"/>
        </w:rPr>
        <w:t xml:space="preserve"> </w:t>
      </w:r>
      <w:r w:rsidRPr="00ED39DD">
        <w:rPr>
          <w:rFonts w:asciiTheme="minorHAnsi" w:eastAsia="TimesNewRoman" w:hAnsiTheme="minorHAnsi" w:cs="TimesNewRoman"/>
        </w:rPr>
        <w:t>or add-on therapy (</w:t>
      </w:r>
      <w:r w:rsidR="00BC7DA5">
        <w:rPr>
          <w:rFonts w:asciiTheme="minorHAnsi" w:eastAsia="TimesNewRoman" w:hAnsiTheme="minorHAnsi" w:cs="TimesNewRoman"/>
        </w:rPr>
        <w:t>Study P0</w:t>
      </w:r>
      <w:r w:rsidRPr="00ED39DD">
        <w:rPr>
          <w:rFonts w:asciiTheme="minorHAnsi" w:eastAsia="TimesNewRoman" w:hAnsiTheme="minorHAnsi" w:cs="TimesNewRoman"/>
        </w:rPr>
        <w:t xml:space="preserve">06/1015) </w:t>
      </w:r>
      <w:r w:rsidRPr="00E957A2">
        <w:rPr>
          <w:rFonts w:asciiTheme="minorHAnsi" w:eastAsia="TimesNewRoman" w:hAnsiTheme="minorHAnsi" w:cs="TimesNewRoman"/>
        </w:rPr>
        <w:t xml:space="preserve">(Table </w:t>
      </w:r>
      <w:r w:rsidR="00D072D9" w:rsidRPr="00E957A2">
        <w:rPr>
          <w:rFonts w:asciiTheme="minorHAnsi" w:eastAsia="TimesNewRoman" w:hAnsiTheme="minorHAnsi" w:cs="TimesNewRoman"/>
        </w:rPr>
        <w:t>4</w:t>
      </w:r>
      <w:r w:rsidRPr="00E957A2">
        <w:rPr>
          <w:rFonts w:asciiTheme="minorHAnsi" w:eastAsia="TimesNewRoman" w:hAnsiTheme="minorHAnsi" w:cs="TimesNewRoman"/>
        </w:rPr>
        <w:t>).</w:t>
      </w:r>
    </w:p>
    <w:p w:rsidR="00D072D9" w:rsidRDefault="00D072D9" w:rsidP="00D072D9">
      <w:pPr>
        <w:pStyle w:val="Tabletitle"/>
      </w:pPr>
      <w:bookmarkStart w:id="233" w:name="_Ref493674693"/>
      <w:bookmarkStart w:id="234" w:name="_Toc504036235"/>
      <w:r>
        <w:t>Table 4: Number of subjects randomised in ertugliflozin / sitagliptin studies</w:t>
      </w:r>
      <w:bookmarkEnd w:id="233"/>
      <w:bookmarkEnd w:id="234"/>
    </w:p>
    <w:p w:rsidR="00D072D9" w:rsidRDefault="00D072D9" w:rsidP="00D072D9">
      <w:r>
        <w:rPr>
          <w:noProof/>
          <w:lang w:eastAsia="en-AU"/>
        </w:rPr>
        <w:drawing>
          <wp:inline distT="0" distB="0" distL="0" distR="0" wp14:anchorId="2E0FFB60" wp14:editId="362B4FB1">
            <wp:extent cx="5779008" cy="1033473"/>
            <wp:effectExtent l="0" t="0" r="0" b="0"/>
            <wp:docPr id="54" name="Picture 54" descr="Number of subjects randomised in ertugliflozin / sitaglipt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lum bright="-20000" contrast="40000"/>
                      <a:extLst>
                        <a:ext uri="{28A0092B-C50C-407E-A947-70E740481C1C}">
                          <a14:useLocalDpi xmlns:a14="http://schemas.microsoft.com/office/drawing/2010/main" val="0"/>
                        </a:ext>
                      </a:extLst>
                    </a:blip>
                    <a:srcRect b="4546"/>
                    <a:stretch/>
                  </pic:blipFill>
                  <pic:spPr bwMode="auto">
                    <a:xfrm>
                      <a:off x="0" y="0"/>
                      <a:ext cx="5786118" cy="1034744"/>
                    </a:xfrm>
                    <a:prstGeom prst="rect">
                      <a:avLst/>
                    </a:prstGeom>
                    <a:noFill/>
                    <a:ln>
                      <a:noFill/>
                    </a:ln>
                    <a:extLst>
                      <a:ext uri="{53640926-AAD7-44D8-BBD7-CCE9431645EC}">
                        <a14:shadowObscured xmlns:a14="http://schemas.microsoft.com/office/drawing/2010/main"/>
                      </a:ext>
                    </a:extLst>
                  </pic:spPr>
                </pic:pic>
              </a:graphicData>
            </a:graphic>
          </wp:inline>
        </w:drawing>
      </w:r>
    </w:p>
    <w:p w:rsidR="00B37C25" w:rsidRDefault="00B37C25" w:rsidP="00E957A2">
      <w:r w:rsidRPr="00ED39DD">
        <w:t xml:space="preserve">The mean age of the subjects was similar across the </w:t>
      </w:r>
      <w:r w:rsidR="009B2F3C">
        <w:t>Phase III</w:t>
      </w:r>
      <w:r w:rsidRPr="00ED39DD">
        <w:t xml:space="preserve"> studies, ranging from 55.1 to</w:t>
      </w:r>
      <w:r>
        <w:t xml:space="preserve"> </w:t>
      </w:r>
      <w:r w:rsidRPr="00ED39DD">
        <w:t>59.1</w:t>
      </w:r>
      <w:r w:rsidR="00F51AAD">
        <w:t> </w:t>
      </w:r>
      <w:r w:rsidRPr="00ED39DD">
        <w:t>years</w:t>
      </w:r>
      <w:r>
        <w:t xml:space="preserve"> (</w:t>
      </w:r>
      <w:r w:rsidRPr="00ED39DD">
        <w:t xml:space="preserve">16.2% to 29.9% were </w:t>
      </w:r>
      <w:r w:rsidR="00884A9A">
        <w:rPr>
          <w:rFonts w:cs="Symbol"/>
        </w:rPr>
        <w:t>≥</w:t>
      </w:r>
      <w:r w:rsidR="00F7529C" w:rsidRPr="00E957A2">
        <w:t xml:space="preserve"> </w:t>
      </w:r>
      <w:r w:rsidRPr="00ED39DD">
        <w:t>65 years of age and 2.3%</w:t>
      </w:r>
      <w:r>
        <w:t xml:space="preserve"> </w:t>
      </w:r>
      <w:r w:rsidRPr="00ED39DD">
        <w:t xml:space="preserve">to 2.8% of subjects were </w:t>
      </w:r>
      <w:r w:rsidR="00884A9A">
        <w:rPr>
          <w:rFonts w:cs="Symbol"/>
        </w:rPr>
        <w:t>≥</w:t>
      </w:r>
      <w:r w:rsidR="00F51AAD">
        <w:rPr>
          <w:u w:val="single"/>
        </w:rPr>
        <w:t> </w:t>
      </w:r>
      <w:r w:rsidRPr="00ED39DD">
        <w:t>75</w:t>
      </w:r>
      <w:r w:rsidR="00F51AAD">
        <w:t> </w:t>
      </w:r>
      <w:r w:rsidRPr="00ED39DD">
        <w:t>years of age</w:t>
      </w:r>
      <w:r>
        <w:t>)</w:t>
      </w:r>
      <w:r w:rsidRPr="00ED39DD">
        <w:t xml:space="preserve">. </w:t>
      </w:r>
      <w:r>
        <w:t>Majority of subjects were m</w:t>
      </w:r>
      <w:r w:rsidRPr="00ED39DD">
        <w:t>ales</w:t>
      </w:r>
      <w:r>
        <w:t xml:space="preserve"> (</w:t>
      </w:r>
      <w:r w:rsidRPr="00ED39DD">
        <w:t>53.9% to 57.4%</w:t>
      </w:r>
      <w:r>
        <w:t>), White (</w:t>
      </w:r>
      <w:r w:rsidRPr="00ED39DD">
        <w:t>72.9% to</w:t>
      </w:r>
      <w:r>
        <w:t xml:space="preserve"> </w:t>
      </w:r>
      <w:r w:rsidRPr="00ED39DD">
        <w:t>90.4%</w:t>
      </w:r>
      <w:r>
        <w:t xml:space="preserve">) and from </w:t>
      </w:r>
      <w:r w:rsidRPr="00ED39DD">
        <w:t>either North America (excluding Central America) or Europe</w:t>
      </w:r>
      <w:r>
        <w:t xml:space="preserve"> </w:t>
      </w:r>
      <w:r w:rsidRPr="00ED39DD">
        <w:t>(including Russia).</w:t>
      </w:r>
      <w:r>
        <w:t xml:space="preserve"> </w:t>
      </w:r>
      <w:r w:rsidRPr="00ED39DD">
        <w:t>At baseline, the mean BMI was similar across all studies, ranging from</w:t>
      </w:r>
      <w:r>
        <w:t xml:space="preserve"> </w:t>
      </w:r>
      <w:r w:rsidRPr="00ED39DD">
        <w:t>30.8 to 32.2 kg/m</w:t>
      </w:r>
      <w:r w:rsidRPr="00ED39DD">
        <w:rPr>
          <w:vertAlign w:val="superscript"/>
        </w:rPr>
        <w:t>2</w:t>
      </w:r>
      <w:r>
        <w:t>. The two</w:t>
      </w:r>
      <w:r w:rsidRPr="00ED39DD">
        <w:t xml:space="preserve"> ertugliflozin and sitagliptin co-administration studies</w:t>
      </w:r>
      <w:r>
        <w:t xml:space="preserve"> </w:t>
      </w:r>
      <w:r w:rsidRPr="00ED39DD">
        <w:t>(P005/1019 and P017/1047) had higher baseline A1C (8.6% and 8.9%, respectively)</w:t>
      </w:r>
      <w:r>
        <w:t xml:space="preserve"> </w:t>
      </w:r>
      <w:r w:rsidRPr="00ED39DD">
        <w:t>and FPG (</w:t>
      </w:r>
      <w:r>
        <w:t>1</w:t>
      </w:r>
      <w:r w:rsidR="00B546FE">
        <w:t>0 mmol</w:t>
      </w:r>
      <w:r>
        <w:t xml:space="preserve">/L </w:t>
      </w:r>
      <w:r w:rsidRPr="00ED39DD">
        <w:t>and</w:t>
      </w:r>
      <w:r>
        <w:t xml:space="preserve"> 1</w:t>
      </w:r>
      <w:r w:rsidR="000E3FEB">
        <w:t xml:space="preserve">1.0 </w:t>
      </w:r>
      <w:r>
        <w:t>mmol/L</w:t>
      </w:r>
      <w:r w:rsidRPr="00ED39DD">
        <w:t>, respectively), compared to the add-on to</w:t>
      </w:r>
      <w:r>
        <w:t xml:space="preserve"> </w:t>
      </w:r>
      <w:r w:rsidRPr="00ED39DD">
        <w:t>metformin and sitagliptin study (</w:t>
      </w:r>
      <w:r w:rsidR="00BC7DA5">
        <w:t>Study P0</w:t>
      </w:r>
      <w:r w:rsidRPr="00ED39DD">
        <w:t xml:space="preserve">06/1015) (8.0% and </w:t>
      </w:r>
      <w:r>
        <w:t>9.4</w:t>
      </w:r>
      <w:r w:rsidR="00884A9A">
        <w:t xml:space="preserve"> </w:t>
      </w:r>
      <w:r>
        <w:t>mmol/L</w:t>
      </w:r>
      <w:r w:rsidRPr="00ED39DD">
        <w:t>). The higher</w:t>
      </w:r>
      <w:r>
        <w:t xml:space="preserve"> </w:t>
      </w:r>
      <w:r w:rsidRPr="00ED39DD">
        <w:t>mean baseline A1C values in Studies P005/1019 and P017/1047 compared to</w:t>
      </w:r>
      <w:r>
        <w:t xml:space="preserve"> </w:t>
      </w:r>
      <w:r w:rsidR="00BC7DA5">
        <w:t>Study P0</w:t>
      </w:r>
      <w:r w:rsidRPr="00ED39DD">
        <w:t>06/1015 were the result of the study-specific A1C entry criteria which were</w:t>
      </w:r>
      <w:r>
        <w:t xml:space="preserve"> </w:t>
      </w:r>
      <w:r w:rsidRPr="00ED39DD">
        <w:t>appropriate given the initiation of 2 agents simultaneously. The mean baseline eGFR was</w:t>
      </w:r>
      <w:r>
        <w:t xml:space="preserve"> </w:t>
      </w:r>
      <w:r w:rsidRPr="00ED39DD">
        <w:t>similar across the 3 studies, ranging from 87.9 to 92.4 mL/min/1.73 m</w:t>
      </w:r>
      <w:r w:rsidRPr="00ED39DD">
        <w:rPr>
          <w:vertAlign w:val="superscript"/>
        </w:rPr>
        <w:t>2</w:t>
      </w:r>
      <w:r w:rsidRPr="00ED39DD">
        <w:t>.</w:t>
      </w:r>
      <w:r>
        <w:t xml:space="preserve"> </w:t>
      </w:r>
      <w:r w:rsidRPr="00ED39DD">
        <w:t>The average duration of T2DM was 9.5 years for the subjects in the add-on to metformin and</w:t>
      </w:r>
      <w:r>
        <w:t xml:space="preserve"> </w:t>
      </w:r>
      <w:r w:rsidRPr="00ED39DD">
        <w:t>sitagliptin study (</w:t>
      </w:r>
      <w:r w:rsidR="00BC7DA5">
        <w:t>Study P0</w:t>
      </w:r>
      <w:r w:rsidRPr="00ED39DD">
        <w:t>06/1015),</w:t>
      </w:r>
      <w:r>
        <w:t xml:space="preserve"> which was </w:t>
      </w:r>
      <w:r w:rsidRPr="00ED39DD">
        <w:t>longer than the 2 ertugliflozin/sitagliptin</w:t>
      </w:r>
      <w:r>
        <w:t xml:space="preserve"> </w:t>
      </w:r>
      <w:r w:rsidRPr="00ED39DD">
        <w:t>co-administration studies (Studies P005/1019 and P017/1047), which were 6.9 years and</w:t>
      </w:r>
      <w:r>
        <w:t xml:space="preserve"> </w:t>
      </w:r>
      <w:r w:rsidRPr="00ED39DD">
        <w:t>6.3 years, respectively. The longer duration of T2DM was consistent with the finding that</w:t>
      </w:r>
      <w:r>
        <w:t xml:space="preserve"> </w:t>
      </w:r>
      <w:r w:rsidRPr="00ED39DD">
        <w:t xml:space="preserve">the subjects in </w:t>
      </w:r>
      <w:r w:rsidR="00BC7DA5">
        <w:t>Study P0</w:t>
      </w:r>
      <w:r w:rsidRPr="00ED39DD">
        <w:t>06/1015 also had higher rates of diabetic microvascular</w:t>
      </w:r>
      <w:r>
        <w:t xml:space="preserve"> </w:t>
      </w:r>
      <w:r w:rsidRPr="00ED39DD">
        <w:t>complications and more prevalent use of anti-hypertensive and lipid-lowering medications at</w:t>
      </w:r>
      <w:r>
        <w:t xml:space="preserve"> </w:t>
      </w:r>
      <w:r w:rsidRPr="00144616">
        <w:t xml:space="preserve">baseline (Table </w:t>
      </w:r>
      <w:r w:rsidR="00144616" w:rsidRPr="00144616">
        <w:t>5</w:t>
      </w:r>
      <w:r w:rsidRPr="00144616">
        <w:t>). Overall, the demographics and baseline characteristics of the subjects across the 3 studies generally</w:t>
      </w:r>
      <w:r w:rsidRPr="00ED39DD">
        <w:t xml:space="preserve"> reflect </w:t>
      </w:r>
      <w:r>
        <w:t xml:space="preserve">the target patient population of </w:t>
      </w:r>
      <w:r w:rsidRPr="00ED39DD">
        <w:t xml:space="preserve">patients with T2DM who may </w:t>
      </w:r>
      <w:r>
        <w:t>require</w:t>
      </w:r>
      <w:r w:rsidR="006F48AD">
        <w:t xml:space="preserve"> </w:t>
      </w:r>
      <w:r w:rsidRPr="00ED39DD">
        <w:t>ertugliflozin and</w:t>
      </w:r>
      <w:r>
        <w:t xml:space="preserve"> </w:t>
      </w:r>
      <w:r w:rsidRPr="00ED39DD">
        <w:t>sitagliptin combination treatment.</w:t>
      </w:r>
    </w:p>
    <w:p w:rsidR="00144616" w:rsidRDefault="00144616" w:rsidP="00144616">
      <w:pPr>
        <w:pStyle w:val="Tabletitle"/>
        <w:keepLines/>
      </w:pPr>
      <w:bookmarkStart w:id="235" w:name="_Toc504036237"/>
      <w:r>
        <w:lastRenderedPageBreak/>
        <w:t>Table 5:</w:t>
      </w:r>
      <w:bookmarkEnd w:id="235"/>
      <w:r>
        <w:t xml:space="preserve"> B</w:t>
      </w:r>
      <w:r w:rsidRPr="00144616">
        <w:t>aseline characteristics</w:t>
      </w:r>
      <w:r w:rsidR="00F51AAD">
        <w:t>;</w:t>
      </w:r>
      <w:r w:rsidRPr="00144616">
        <w:t xml:space="preserve"> study by study com</w:t>
      </w:r>
      <w:r>
        <w:t>parison all subjects treated e</w:t>
      </w:r>
      <w:r w:rsidRPr="00144616">
        <w:t>rtugliflozin / sitagliptin studies</w:t>
      </w:r>
    </w:p>
    <w:p w:rsidR="00144616" w:rsidRDefault="00AF7F50" w:rsidP="004B7746">
      <w:r>
        <w:rPr>
          <w:noProof/>
          <w:lang w:eastAsia="en-AU"/>
        </w:rPr>
        <w:drawing>
          <wp:inline distT="0" distB="0" distL="0" distR="0" wp14:anchorId="0E64F793" wp14:editId="527A7940">
            <wp:extent cx="4743450" cy="8162925"/>
            <wp:effectExtent l="0" t="0" r="0" b="9525"/>
            <wp:docPr id="5" name="Picture 5" descr="Baseline characteristics: study by study comparison all subjects treated ertugliflozin / sitaglipt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4743450" cy="8162925"/>
                    </a:xfrm>
                    <a:prstGeom prst="rect">
                      <a:avLst/>
                    </a:prstGeom>
                  </pic:spPr>
                </pic:pic>
              </a:graphicData>
            </a:graphic>
          </wp:inline>
        </w:drawing>
      </w:r>
    </w:p>
    <w:p w:rsidR="00AF7F50" w:rsidRDefault="00AF7F50" w:rsidP="00AF7F50">
      <w:pPr>
        <w:pStyle w:val="Tabletitle"/>
      </w:pPr>
      <w:r>
        <w:lastRenderedPageBreak/>
        <w:t>Table 5 B</w:t>
      </w:r>
      <w:r w:rsidRPr="00144616">
        <w:t>aseline characteristics</w:t>
      </w:r>
      <w:r w:rsidR="00F51AAD">
        <w:t>;</w:t>
      </w:r>
      <w:r w:rsidR="00F51AAD" w:rsidRPr="00144616">
        <w:t xml:space="preserve"> </w:t>
      </w:r>
      <w:r w:rsidRPr="00144616">
        <w:t>study by study com</w:t>
      </w:r>
      <w:r>
        <w:t>parison all subjects treated e</w:t>
      </w:r>
      <w:r w:rsidRPr="00144616">
        <w:t>rtugliflozin / sitagliptin studies</w:t>
      </w:r>
    </w:p>
    <w:p w:rsidR="00144616" w:rsidRDefault="00AF7F50" w:rsidP="00144616">
      <w:r>
        <w:rPr>
          <w:noProof/>
          <w:lang w:eastAsia="en-AU"/>
        </w:rPr>
        <w:drawing>
          <wp:inline distT="0" distB="0" distL="0" distR="0" wp14:anchorId="5B852257" wp14:editId="1D833C19">
            <wp:extent cx="4276725" cy="8225235"/>
            <wp:effectExtent l="19050" t="19050" r="9525" b="23495"/>
            <wp:docPr id="6" name="Picture 6" descr="Baseline characteristics: study by study comparison all subjects treated ertugliflozin / sitaglipt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1826" t="839"/>
                    <a:stretch/>
                  </pic:blipFill>
                  <pic:spPr bwMode="auto">
                    <a:xfrm>
                      <a:off x="0" y="0"/>
                      <a:ext cx="4276725" cy="82252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AF7F50" w:rsidRPr="00AF7F50" w:rsidRDefault="00B37C25" w:rsidP="00E957A2">
      <w:r w:rsidRPr="0057719F">
        <w:lastRenderedPageBreak/>
        <w:t xml:space="preserve">All 3 studies </w:t>
      </w:r>
      <w:r w:rsidRPr="00AF7F50">
        <w:t xml:space="preserve">achieved statistical significance for the primary endpoint of </w:t>
      </w:r>
      <w:r w:rsidR="00F51AAD" w:rsidRPr="00AF7F50">
        <w:t>A1</w:t>
      </w:r>
      <w:r w:rsidR="00F51AAD">
        <w:t>c</w:t>
      </w:r>
      <w:r w:rsidR="00F51AAD" w:rsidRPr="00AF7F50">
        <w:t xml:space="preserve"> </w:t>
      </w:r>
      <w:r w:rsidRPr="00AF7F50">
        <w:t xml:space="preserve">reduction from baseline at Week 26 (Table </w:t>
      </w:r>
      <w:r w:rsidR="00AF7F50" w:rsidRPr="00AF7F50">
        <w:t>6</w:t>
      </w:r>
      <w:r w:rsidRPr="00AF7F50">
        <w:t>).</w:t>
      </w:r>
    </w:p>
    <w:p w:rsidR="00AF7F50" w:rsidRPr="00AF7F50" w:rsidRDefault="00AF7F50" w:rsidP="00AF7F50">
      <w:pPr>
        <w:pStyle w:val="Tabletitle"/>
      </w:pPr>
      <w:bookmarkStart w:id="236" w:name="_Ref493674699"/>
      <w:bookmarkStart w:id="237" w:name="_Toc504036239"/>
      <w:r w:rsidRPr="00AF7F50">
        <w:t xml:space="preserve">Table 6: </w:t>
      </w:r>
      <w:r w:rsidR="00F51AAD">
        <w:t>Hb</w:t>
      </w:r>
      <w:r w:rsidRPr="00AF7F50">
        <w:t>A1</w:t>
      </w:r>
      <w:r w:rsidR="00F51AAD">
        <w:t>c</w:t>
      </w:r>
      <w:r w:rsidRPr="00AF7F50">
        <w:t xml:space="preserve"> (%)</w:t>
      </w:r>
      <w:r w:rsidR="00F51AAD">
        <w:t>;</w:t>
      </w:r>
      <w:r w:rsidRPr="00AF7F50">
        <w:t xml:space="preserve"> Change from </w:t>
      </w:r>
      <w:r w:rsidR="00F51AAD">
        <w:t>B</w:t>
      </w:r>
      <w:r w:rsidR="00F51AAD" w:rsidRPr="00AF7F50">
        <w:t xml:space="preserve">aseline </w:t>
      </w:r>
      <w:r w:rsidRPr="00AF7F50">
        <w:t>at primary time</w:t>
      </w:r>
      <w:r>
        <w:t>-</w:t>
      </w:r>
      <w:r w:rsidRPr="00AF7F50">
        <w:t>point by study</w:t>
      </w:r>
      <w:r w:rsidR="00F51AAD">
        <w:t xml:space="preserve">. </w:t>
      </w:r>
      <w:r w:rsidRPr="00AF7F50">
        <w:t>FAS</w:t>
      </w:r>
      <w:r w:rsidR="00F51AAD">
        <w:t>: e</w:t>
      </w:r>
      <w:r w:rsidRPr="00AF7F50">
        <w:t xml:space="preserve">xcluding </w:t>
      </w:r>
      <w:r w:rsidR="00F51AAD">
        <w:t>r</w:t>
      </w:r>
      <w:r w:rsidR="00F51AAD" w:rsidRPr="00AF7F50">
        <w:t xml:space="preserve">escue </w:t>
      </w:r>
      <w:r w:rsidR="00F51AAD">
        <w:t>a</w:t>
      </w:r>
      <w:r w:rsidR="00F51AAD" w:rsidRPr="00AF7F50">
        <w:t>pproach</w:t>
      </w:r>
      <w:r w:rsidR="00F51AAD">
        <w:t>;</w:t>
      </w:r>
      <w:r w:rsidR="00F51AAD" w:rsidRPr="00AF7F50">
        <w:t xml:space="preserve"> </w:t>
      </w:r>
      <w:r w:rsidR="00F51AAD">
        <w:t>e</w:t>
      </w:r>
      <w:r w:rsidRPr="00AF7F50">
        <w:t>rtugliflozin / sitagliptin studies</w:t>
      </w:r>
      <w:bookmarkEnd w:id="236"/>
      <w:bookmarkEnd w:id="237"/>
    </w:p>
    <w:p w:rsidR="00AF7F50" w:rsidRDefault="00AF7F50" w:rsidP="00AF7F50">
      <w:r>
        <w:rPr>
          <w:noProof/>
          <w:lang w:eastAsia="en-AU"/>
        </w:rPr>
        <w:drawing>
          <wp:inline distT="0" distB="0" distL="0" distR="0" wp14:anchorId="4EA5526A" wp14:editId="3757835A">
            <wp:extent cx="5215738" cy="3401007"/>
            <wp:effectExtent l="0" t="0" r="4445" b="9525"/>
            <wp:docPr id="66" name="Picture 66" descr="A1C (%) Change from baseline at primary timepoint by study FAS Excluding Rescue Approach. Ertugliflozin / sitaglipt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214703" cy="3400332"/>
                    </a:xfrm>
                    <a:prstGeom prst="rect">
                      <a:avLst/>
                    </a:prstGeom>
                    <a:noFill/>
                    <a:ln>
                      <a:noFill/>
                    </a:ln>
                  </pic:spPr>
                </pic:pic>
              </a:graphicData>
            </a:graphic>
          </wp:inline>
        </w:drawing>
      </w:r>
    </w:p>
    <w:p w:rsidR="00B37C25" w:rsidRDefault="00B37C25" w:rsidP="00E957A2">
      <w:r w:rsidRPr="0057719F">
        <w:t xml:space="preserve">In the ertugliflozin plus sitagliptin factorial study in subjects </w:t>
      </w:r>
      <w:r>
        <w:t xml:space="preserve">with mean </w:t>
      </w:r>
      <w:r w:rsidRPr="0057719F">
        <w:t>baseline A1C of 8.6% and on background</w:t>
      </w:r>
      <w:r>
        <w:t xml:space="preserve"> </w:t>
      </w:r>
      <w:r w:rsidRPr="0057719F">
        <w:t>metformin monotherapy (</w:t>
      </w:r>
      <w:r w:rsidR="00F51AAD">
        <w:t xml:space="preserve">Study </w:t>
      </w:r>
      <w:r w:rsidRPr="0057719F">
        <w:t>P005/1019), co-administration of</w:t>
      </w:r>
      <w:r>
        <w:t xml:space="preserve"> </w:t>
      </w:r>
      <w:r w:rsidRPr="0057719F">
        <w:t>E15/S100 and E5/S100 provided A1C reduction from baseline of 1.52% and 1.49%,</w:t>
      </w:r>
      <w:r>
        <w:t xml:space="preserve"> </w:t>
      </w:r>
      <w:r w:rsidRPr="0057719F">
        <w:t>respectively</w:t>
      </w:r>
      <w:r>
        <w:t xml:space="preserve"> which was significantly greater </w:t>
      </w:r>
      <w:r w:rsidRPr="0057719F">
        <w:t>(p</w:t>
      </w:r>
      <w:r w:rsidR="00884A9A">
        <w:t xml:space="preserve"> </w:t>
      </w:r>
      <w:r w:rsidRPr="0057719F">
        <w:t>&lt;</w:t>
      </w:r>
      <w:r w:rsidR="00884A9A">
        <w:t xml:space="preserve"> </w:t>
      </w:r>
      <w:r w:rsidRPr="0057719F">
        <w:t>0.001) compared</w:t>
      </w:r>
      <w:r>
        <w:t xml:space="preserve"> </w:t>
      </w:r>
      <w:r w:rsidRPr="0057719F">
        <w:t xml:space="preserve">to each corresponding ertugliflozin </w:t>
      </w:r>
      <w:r>
        <w:t>dose alone or sitagliptin alone.</w:t>
      </w:r>
      <w:r w:rsidR="006F48AD">
        <w:t xml:space="preserve"> </w:t>
      </w:r>
      <w:r w:rsidRPr="0057719F">
        <w:t>In the ertugliflozin plus sitagliptin initial combination study (</w:t>
      </w:r>
      <w:r w:rsidR="00F51AAD">
        <w:t xml:space="preserve">Study </w:t>
      </w:r>
      <w:r w:rsidRPr="0057719F">
        <w:t>P017/1047)</w:t>
      </w:r>
      <w:r>
        <w:t xml:space="preserve"> </w:t>
      </w:r>
      <w:r w:rsidRPr="0057719F">
        <w:t xml:space="preserve">in subjects who were on diet and exercise alone </w:t>
      </w:r>
      <w:r>
        <w:t xml:space="preserve">with mean </w:t>
      </w:r>
      <w:r w:rsidRPr="0057719F">
        <w:t>baseline A1C of 8.9%</w:t>
      </w:r>
      <w:r>
        <w:t xml:space="preserve">, </w:t>
      </w:r>
      <w:r w:rsidRPr="0057719F">
        <w:t xml:space="preserve">co-administration of E15/S100 and E5/S100 provided </w:t>
      </w:r>
      <w:r>
        <w:t>significantly greater (p</w:t>
      </w:r>
      <w:r w:rsidR="00884A9A">
        <w:t xml:space="preserve"> </w:t>
      </w:r>
      <w:r>
        <w:t>&lt;</w:t>
      </w:r>
      <w:r w:rsidR="00884A9A">
        <w:t xml:space="preserve"> </w:t>
      </w:r>
      <w:r>
        <w:t>0.001)</w:t>
      </w:r>
      <w:r w:rsidR="006F48AD">
        <w:t xml:space="preserve"> </w:t>
      </w:r>
      <w:r w:rsidRPr="0057719F">
        <w:t xml:space="preserve">A1C reductions from baseline </w:t>
      </w:r>
      <w:r>
        <w:t>compared with placebo (-0.44%,</w:t>
      </w:r>
      <w:r w:rsidR="000E01BE">
        <w:t xml:space="preserve"> </w:t>
      </w:r>
      <w:r>
        <w:t>-1.60 and -</w:t>
      </w:r>
      <w:r w:rsidRPr="0057719F">
        <w:t>1.68%</w:t>
      </w:r>
      <w:r>
        <w:t xml:space="preserve"> with placebo E5/S10</w:t>
      </w:r>
      <w:r w:rsidR="006F48AD">
        <w:t>0 mg</w:t>
      </w:r>
      <w:r>
        <w:t xml:space="preserve"> and E15/S10</w:t>
      </w:r>
      <w:r w:rsidR="006F48AD">
        <w:t>0 mg</w:t>
      </w:r>
      <w:r>
        <w:t xml:space="preserve">, respectively). </w:t>
      </w:r>
      <w:r w:rsidRPr="0057719F">
        <w:t>In the add-on to metformin and sitagliptin study (</w:t>
      </w:r>
      <w:r w:rsidR="002E5CE6">
        <w:t xml:space="preserve">Study </w:t>
      </w:r>
      <w:r w:rsidRPr="0057719F">
        <w:t>P006/1015)</w:t>
      </w:r>
      <w:r>
        <w:t xml:space="preserve"> </w:t>
      </w:r>
      <w:r w:rsidRPr="0057719F">
        <w:t>in</w:t>
      </w:r>
      <w:r>
        <w:t xml:space="preserve"> </w:t>
      </w:r>
      <w:r w:rsidRPr="0057719F">
        <w:t xml:space="preserve">subjects who were on metformin and sitagliptin dual therapy and had </w:t>
      </w:r>
      <w:r>
        <w:t xml:space="preserve">mean </w:t>
      </w:r>
      <w:r w:rsidRPr="0057719F">
        <w:t>baseline A1C</w:t>
      </w:r>
      <w:r>
        <w:t xml:space="preserve"> </w:t>
      </w:r>
      <w:r w:rsidRPr="0057719F">
        <w:t>of 8.0%, ertugliflozin 15 mg and</w:t>
      </w:r>
      <w:r>
        <w:t xml:space="preserve"> </w:t>
      </w:r>
      <w:r w:rsidRPr="0057719F">
        <w:t xml:space="preserve">5 mg provided </w:t>
      </w:r>
      <w:r>
        <w:t>significantly greater (p</w:t>
      </w:r>
      <w:r w:rsidR="00884A9A">
        <w:t xml:space="preserve"> </w:t>
      </w:r>
      <w:r>
        <w:t>&lt;</w:t>
      </w:r>
      <w:r w:rsidR="00884A9A">
        <w:t xml:space="preserve"> </w:t>
      </w:r>
      <w:r>
        <w:t>0.001)</w:t>
      </w:r>
      <w:r w:rsidR="006F48AD">
        <w:t xml:space="preserve"> </w:t>
      </w:r>
      <w:r w:rsidRPr="0057719F">
        <w:t xml:space="preserve">A1C reductions from baseline </w:t>
      </w:r>
      <w:r>
        <w:t>compared with placebo ( -0.09%, -0.78 and -0.86</w:t>
      </w:r>
      <w:r w:rsidRPr="0057719F">
        <w:t>%</w:t>
      </w:r>
      <w:r>
        <w:t xml:space="preserve"> with placebo, </w:t>
      </w:r>
      <w:r w:rsidR="004B0649">
        <w:t>ertugliflozin</w:t>
      </w:r>
      <w:r>
        <w:t xml:space="preserve"> </w:t>
      </w:r>
      <w:r w:rsidR="006F48AD">
        <w:t>5 mg</w:t>
      </w:r>
      <w:r>
        <w:t xml:space="preserve"> and 1</w:t>
      </w:r>
      <w:r w:rsidR="006F48AD">
        <w:t>5 mg</w:t>
      </w:r>
      <w:r>
        <w:t>, respectively).</w:t>
      </w:r>
    </w:p>
    <w:p w:rsidR="00B37C25" w:rsidRDefault="00B37C25" w:rsidP="00E957A2">
      <w:r w:rsidRPr="00C21617">
        <w:t>The proportion of subjects with</w:t>
      </w:r>
      <w:r>
        <w:t xml:space="preserve"> A1C &lt;</w:t>
      </w:r>
      <w:r w:rsidR="00884A9A">
        <w:t xml:space="preserve"> </w:t>
      </w:r>
      <w:r>
        <w:t>7.0% at Week 26 was analys</w:t>
      </w:r>
      <w:r w:rsidRPr="00C21617">
        <w:t>ed in all studies as a</w:t>
      </w:r>
      <w:r>
        <w:t xml:space="preserve"> </w:t>
      </w:r>
      <w:r w:rsidRPr="00C21617">
        <w:t xml:space="preserve">secondary efficacy </w:t>
      </w:r>
      <w:r w:rsidRPr="000E01BE">
        <w:t>endpoint (Table 7). In the ertugliflozin plus sitagliptin factorial study (</w:t>
      </w:r>
      <w:r w:rsidR="002E5CE6">
        <w:t>Study </w:t>
      </w:r>
      <w:r w:rsidRPr="000E01BE">
        <w:t>P005/1019), co-administration of E5/S100</w:t>
      </w:r>
      <w:r w:rsidRPr="00C21617">
        <w:t xml:space="preserve"> and E</w:t>
      </w:r>
      <w:r>
        <w:t>1</w:t>
      </w:r>
      <w:r w:rsidRPr="00C21617">
        <w:t xml:space="preserve">5/S100 resulted in 52.3% </w:t>
      </w:r>
      <w:r>
        <w:t xml:space="preserve">and </w:t>
      </w:r>
      <w:r w:rsidRPr="00C21617">
        <w:t>49.2% of subjects, respectively, reaching the</w:t>
      </w:r>
      <w:r>
        <w:t xml:space="preserve"> </w:t>
      </w:r>
      <w:r w:rsidRPr="00C21617">
        <w:t>A1C goal of &lt;</w:t>
      </w:r>
      <w:r w:rsidR="00884A9A">
        <w:t xml:space="preserve"> </w:t>
      </w:r>
      <w:r w:rsidRPr="00C21617">
        <w:t xml:space="preserve">7.0% </w:t>
      </w:r>
      <w:r>
        <w:t xml:space="preserve">which was </w:t>
      </w:r>
      <w:r w:rsidRPr="00C21617">
        <w:t>significantly higher than those in each</w:t>
      </w:r>
      <w:r>
        <w:t xml:space="preserve"> </w:t>
      </w:r>
      <w:r w:rsidRPr="00C21617">
        <w:t>corresponding ertugliflozin or sitagliptin alone group (ranging from 26.4% to 32.8%).</w:t>
      </w:r>
      <w:r>
        <w:t xml:space="preserve"> </w:t>
      </w:r>
      <w:r w:rsidRPr="00C21617">
        <w:t>In the ertugliflozin plus sitagliptin initial combination study (</w:t>
      </w:r>
      <w:r w:rsidR="002E5CE6">
        <w:t xml:space="preserve">Study </w:t>
      </w:r>
      <w:r w:rsidRPr="00C21617">
        <w:t>P017/1047),</w:t>
      </w:r>
      <w:r>
        <w:t xml:space="preserve"> </w:t>
      </w:r>
      <w:r w:rsidRPr="00C21617">
        <w:t>co</w:t>
      </w:r>
      <w:r w:rsidR="002E5CE6">
        <w:noBreakHyphen/>
      </w:r>
      <w:r w:rsidRPr="00C21617">
        <w:t>administration of E5/S100 and E</w:t>
      </w:r>
      <w:r>
        <w:t>1</w:t>
      </w:r>
      <w:r w:rsidRPr="00C21617">
        <w:t>5/S100 resulted in significantly higher proportions of subjects with A1C &lt;</w:t>
      </w:r>
      <w:r w:rsidR="00884A9A">
        <w:t xml:space="preserve"> </w:t>
      </w:r>
      <w:r w:rsidRPr="00C21617">
        <w:t>7.0% compared to</w:t>
      </w:r>
      <w:r>
        <w:t xml:space="preserve"> </w:t>
      </w:r>
      <w:r w:rsidRPr="00C21617">
        <w:t xml:space="preserve">placebo </w:t>
      </w:r>
      <w:r>
        <w:t>(</w:t>
      </w:r>
      <w:r w:rsidRPr="00C21617">
        <w:t>35.7%</w:t>
      </w:r>
      <w:r>
        <w:t xml:space="preserve">, </w:t>
      </w:r>
      <w:r w:rsidRPr="00C21617">
        <w:t>31.3%</w:t>
      </w:r>
      <w:r>
        <w:t xml:space="preserve">, and 8.3% with E5/S100, E15/S100 and placebo, </w:t>
      </w:r>
      <w:r w:rsidRPr="00C21617">
        <w:t>respectively</w:t>
      </w:r>
      <w:r>
        <w:t xml:space="preserve">). </w:t>
      </w:r>
      <w:r w:rsidRPr="00C21617">
        <w:t>In the add-on to metformin and sitagliptin study (</w:t>
      </w:r>
      <w:r w:rsidR="00BC7DA5">
        <w:t>Study</w:t>
      </w:r>
      <w:r w:rsidR="002E5CE6">
        <w:t> </w:t>
      </w:r>
      <w:r w:rsidR="00BC7DA5">
        <w:t>P0</w:t>
      </w:r>
      <w:r w:rsidRPr="00C21617">
        <w:t>06/1015), ertugliflozin 5 mg and</w:t>
      </w:r>
      <w:r>
        <w:t xml:space="preserve"> 1</w:t>
      </w:r>
      <w:r w:rsidRPr="00C21617">
        <w:t>5 mg resulted in significantly higher proportions of subjects with A1C &lt;</w:t>
      </w:r>
      <w:r w:rsidR="00884A9A">
        <w:t xml:space="preserve"> </w:t>
      </w:r>
      <w:r w:rsidRPr="00C21617">
        <w:t>7.0% compared to</w:t>
      </w:r>
      <w:r>
        <w:t xml:space="preserve"> </w:t>
      </w:r>
      <w:r w:rsidRPr="00C21617">
        <w:t xml:space="preserve">placebo </w:t>
      </w:r>
      <w:r>
        <w:t>(</w:t>
      </w:r>
      <w:r w:rsidRPr="00C21617">
        <w:t>32.1%,</w:t>
      </w:r>
      <w:r>
        <w:t xml:space="preserve"> </w:t>
      </w:r>
      <w:r w:rsidRPr="00C21617">
        <w:t>39.9% and 17.0%</w:t>
      </w:r>
      <w:r>
        <w:t xml:space="preserve"> in ertugliflozin </w:t>
      </w:r>
      <w:r w:rsidR="006F48AD">
        <w:t>5 mg</w:t>
      </w:r>
      <w:r>
        <w:t>, 1</w:t>
      </w:r>
      <w:r w:rsidR="006F48AD">
        <w:t>5 mg</w:t>
      </w:r>
      <w:r>
        <w:t xml:space="preserve"> and placebo groups, </w:t>
      </w:r>
      <w:r w:rsidRPr="00C21617">
        <w:t>respectively</w:t>
      </w:r>
      <w:r>
        <w:t>).</w:t>
      </w:r>
    </w:p>
    <w:p w:rsidR="000E01BE" w:rsidRDefault="000E01BE" w:rsidP="000E01BE">
      <w:pPr>
        <w:pStyle w:val="Tabletitle"/>
      </w:pPr>
      <w:bookmarkStart w:id="238" w:name="_Ref493674702"/>
      <w:bookmarkStart w:id="239" w:name="_Toc504036240"/>
      <w:r>
        <w:lastRenderedPageBreak/>
        <w:t xml:space="preserve">Table 7: Analysis of subjects with </w:t>
      </w:r>
      <w:r w:rsidR="002E5CE6">
        <w:t>Hb</w:t>
      </w:r>
      <w:r>
        <w:t>A1</w:t>
      </w:r>
      <w:r w:rsidR="002E5CE6">
        <w:t>c</w:t>
      </w:r>
      <w:r>
        <w:t xml:space="preserve"> &lt;</w:t>
      </w:r>
      <w:r w:rsidR="00884A9A">
        <w:t xml:space="preserve"> </w:t>
      </w:r>
      <w:r>
        <w:t>7.0% at primary time-point by study</w:t>
      </w:r>
      <w:r w:rsidR="002E5CE6">
        <w:t>;</w:t>
      </w:r>
      <w:r>
        <w:t xml:space="preserve"> FAS: </w:t>
      </w:r>
      <w:r w:rsidR="002E5CE6">
        <w:t>e</w:t>
      </w:r>
      <w:r>
        <w:t xml:space="preserve">xcluding </w:t>
      </w:r>
      <w:r w:rsidR="002E5CE6">
        <w:t>r</w:t>
      </w:r>
      <w:r>
        <w:t xml:space="preserve">escue </w:t>
      </w:r>
      <w:r w:rsidR="002E5CE6">
        <w:t>a</w:t>
      </w:r>
      <w:r>
        <w:t>pproach</w:t>
      </w:r>
      <w:r w:rsidR="002E5CE6">
        <w:t>;</w:t>
      </w:r>
      <w:r>
        <w:t xml:space="preserve"> </w:t>
      </w:r>
      <w:r w:rsidR="002E5CE6">
        <w:t>e</w:t>
      </w:r>
      <w:r>
        <w:t>rtugliflozin / sitagliptin studies</w:t>
      </w:r>
      <w:bookmarkEnd w:id="238"/>
      <w:bookmarkEnd w:id="239"/>
    </w:p>
    <w:p w:rsidR="000E01BE" w:rsidRDefault="000E01BE" w:rsidP="000E01BE">
      <w:pPr>
        <w:autoSpaceDE w:val="0"/>
        <w:autoSpaceDN w:val="0"/>
        <w:adjustRightInd w:val="0"/>
        <w:spacing w:before="0" w:line="240" w:lineRule="auto"/>
        <w:rPr>
          <w:rFonts w:asciiTheme="minorHAnsi" w:eastAsia="TimesNewRoman" w:hAnsiTheme="minorHAnsi" w:cs="TimesNewRoman"/>
          <w:color w:val="000000"/>
        </w:rPr>
      </w:pPr>
      <w:r>
        <w:t xml:space="preserve"> </w:t>
      </w:r>
      <w:r>
        <w:rPr>
          <w:noProof/>
          <w:lang w:eastAsia="en-AU"/>
        </w:rPr>
        <w:drawing>
          <wp:inline distT="0" distB="0" distL="0" distR="0" wp14:anchorId="3356DB2E" wp14:editId="26233221">
            <wp:extent cx="4988966" cy="3534828"/>
            <wp:effectExtent l="0" t="0" r="2540" b="8890"/>
            <wp:docPr id="67" name="Picture 67" descr="Analysis of subjects with A1C &lt;7.0% at primary timepoint by study FAS: Excluding Rescue Approach. Ertugliflozin / sitaglipt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990204" cy="3535705"/>
                    </a:xfrm>
                    <a:prstGeom prst="rect">
                      <a:avLst/>
                    </a:prstGeom>
                    <a:noFill/>
                    <a:ln>
                      <a:noFill/>
                    </a:ln>
                  </pic:spPr>
                </pic:pic>
              </a:graphicData>
            </a:graphic>
          </wp:inline>
        </w:drawing>
      </w:r>
    </w:p>
    <w:p w:rsidR="00884A9A" w:rsidRDefault="00B37C25" w:rsidP="000E01BE">
      <w:pPr>
        <w:pStyle w:val="Comment"/>
      </w:pPr>
      <w:r w:rsidRPr="000E01BE">
        <w:rPr>
          <w:b/>
        </w:rPr>
        <w:t>Comment</w:t>
      </w:r>
      <w:r w:rsidRPr="00B67429">
        <w:t>:</w:t>
      </w:r>
      <w:r w:rsidR="00884A9A">
        <w:t xml:space="preserve"> </w:t>
      </w:r>
      <w:r w:rsidRPr="00B67429">
        <w:t xml:space="preserve">It is important to note that the only study which showed higher proportion of subjects </w:t>
      </w:r>
      <w:r w:rsidRPr="003734D3">
        <w:t>with A1C &lt;</w:t>
      </w:r>
      <w:r w:rsidR="00884A9A">
        <w:t xml:space="preserve"> </w:t>
      </w:r>
      <w:r w:rsidRPr="003734D3">
        <w:t>7% for the ertugliflo</w:t>
      </w:r>
      <w:r>
        <w:t>z</w:t>
      </w:r>
      <w:r w:rsidRPr="00B67429">
        <w:t>in 1</w:t>
      </w:r>
      <w:r w:rsidR="006F48AD">
        <w:t>5 mg</w:t>
      </w:r>
      <w:r w:rsidRPr="00B67429">
        <w:t xml:space="preserve"> compared to the </w:t>
      </w:r>
      <w:r w:rsidR="006F48AD">
        <w:t>5 mg</w:t>
      </w:r>
      <w:r w:rsidRPr="00B67429">
        <w:t xml:space="preserve"> dose was the add-on to metformin and sitagliptin study (</w:t>
      </w:r>
      <w:r w:rsidR="00BC7DA5">
        <w:t>Study P0</w:t>
      </w:r>
      <w:r w:rsidRPr="00B67429">
        <w:t>06/1015) which enrolled subjects with lower mean baseline A1C compared to the other two studies. The 2 studies which involved combination treatment with ertugliflozin+sitagliptin and involved subjects with higher baseline A1C did not show a dose response for ertugliflozin</w:t>
      </w:r>
      <w:r w:rsidR="00884A9A">
        <w:t>.</w:t>
      </w:r>
    </w:p>
    <w:p w:rsidR="00884A9A" w:rsidRDefault="00B37C25" w:rsidP="00E957A2">
      <w:pPr>
        <w:rPr>
          <w:color w:val="000000"/>
        </w:rPr>
      </w:pPr>
      <w:r w:rsidRPr="00C21617">
        <w:t>Significant FPG reductions from baseline were observed with ertugliflozin co-administration</w:t>
      </w:r>
      <w:r>
        <w:t xml:space="preserve"> </w:t>
      </w:r>
      <w:r w:rsidRPr="00C21617">
        <w:t>with or as add-on to sitagliptin treatment groups in all 3 studies</w:t>
      </w:r>
      <w:r>
        <w:t xml:space="preserve">. </w:t>
      </w:r>
      <w:r w:rsidRPr="00564652">
        <w:rPr>
          <w:color w:val="000000"/>
        </w:rPr>
        <w:t>In the ertugliflozin plus sitagliptin factorial study (</w:t>
      </w:r>
      <w:r w:rsidR="002E5CE6">
        <w:t xml:space="preserve">Study </w:t>
      </w:r>
      <w:r w:rsidRPr="00564652">
        <w:rPr>
          <w:color w:val="000000"/>
        </w:rPr>
        <w:t>P005/1019), t</w:t>
      </w:r>
      <w:r w:rsidRPr="008054DF">
        <w:t>he LSM reductions from</w:t>
      </w:r>
      <w:r>
        <w:t xml:space="preserve"> </w:t>
      </w:r>
      <w:r w:rsidRPr="008054DF">
        <w:t>baseline in FPG at Week 26 were significantly greater in the E15/S100 and E5/S100 groups</w:t>
      </w:r>
      <w:r>
        <w:t xml:space="preserve"> </w:t>
      </w:r>
      <w:r w:rsidRPr="008054DF">
        <w:t>than in the placebo group (p</w:t>
      </w:r>
      <w:r w:rsidR="00884A9A">
        <w:t> </w:t>
      </w:r>
      <w:r w:rsidRPr="008054DF">
        <w:t>&lt;</w:t>
      </w:r>
      <w:r w:rsidR="00884A9A">
        <w:t> </w:t>
      </w:r>
      <w:r w:rsidRPr="008054DF">
        <w:t>0.001 for both comparisons) and were numerically greater in</w:t>
      </w:r>
      <w:r>
        <w:t xml:space="preserve"> </w:t>
      </w:r>
      <w:r w:rsidRPr="008054DF">
        <w:t>the E15/S100 group than in the E5/S100 group.</w:t>
      </w:r>
      <w:r>
        <w:t xml:space="preserve"> Similar significant reductions in FPG compared with placebo were observed i</w:t>
      </w:r>
      <w:r w:rsidRPr="00C21617">
        <w:rPr>
          <w:color w:val="000000"/>
        </w:rPr>
        <w:t>n the add-on to metformin and sitagliptin</w:t>
      </w:r>
      <w:r>
        <w:rPr>
          <w:color w:val="000000"/>
        </w:rPr>
        <w:t xml:space="preserve"> and </w:t>
      </w:r>
      <w:r w:rsidRPr="00C21617">
        <w:rPr>
          <w:color w:val="000000"/>
        </w:rPr>
        <w:t>the ertugliflozin plus sitagliptin initial combination stud</w:t>
      </w:r>
      <w:r>
        <w:rPr>
          <w:color w:val="000000"/>
        </w:rPr>
        <w:t>ies</w:t>
      </w:r>
      <w:r w:rsidRPr="00C21617">
        <w:rPr>
          <w:color w:val="000000"/>
        </w:rPr>
        <w:t xml:space="preserve"> (</w:t>
      </w:r>
      <w:r w:rsidR="002E5CE6">
        <w:t xml:space="preserve">Studies </w:t>
      </w:r>
      <w:r>
        <w:rPr>
          <w:color w:val="000000"/>
        </w:rPr>
        <w:t xml:space="preserve">P005/1006 and </w:t>
      </w:r>
      <w:r w:rsidRPr="00C21617">
        <w:rPr>
          <w:color w:val="000000"/>
        </w:rPr>
        <w:t>P017/1047)</w:t>
      </w:r>
      <w:r w:rsidR="004B0649" w:rsidRPr="00C21617">
        <w:rPr>
          <w:color w:val="000000"/>
        </w:rPr>
        <w:t>;</w:t>
      </w:r>
      <w:r>
        <w:rPr>
          <w:color w:val="000000"/>
        </w:rPr>
        <w:t xml:space="preserve"> with numerically greater reductions in FPG observed with the higher ertugliflozin 1</w:t>
      </w:r>
      <w:r w:rsidR="006F48AD">
        <w:rPr>
          <w:color w:val="000000"/>
        </w:rPr>
        <w:t>5 mg</w:t>
      </w:r>
      <w:r>
        <w:rPr>
          <w:color w:val="000000"/>
        </w:rPr>
        <w:t xml:space="preserve"> dose compared to the </w:t>
      </w:r>
      <w:r w:rsidR="006F48AD">
        <w:rPr>
          <w:color w:val="000000"/>
        </w:rPr>
        <w:t>5 mg</w:t>
      </w:r>
      <w:r>
        <w:rPr>
          <w:color w:val="000000"/>
        </w:rPr>
        <w:t xml:space="preserve"> dose </w:t>
      </w:r>
      <w:r w:rsidRPr="000E01BE">
        <w:rPr>
          <w:color w:val="000000"/>
        </w:rPr>
        <w:t xml:space="preserve">(Table </w:t>
      </w:r>
      <w:r w:rsidR="000E01BE" w:rsidRPr="000E01BE">
        <w:rPr>
          <w:color w:val="000000"/>
        </w:rPr>
        <w:t>8</w:t>
      </w:r>
      <w:r w:rsidRPr="000E01BE">
        <w:rPr>
          <w:color w:val="000000"/>
        </w:rPr>
        <w:t>)</w:t>
      </w:r>
      <w:r w:rsidR="00884A9A">
        <w:rPr>
          <w:color w:val="000000"/>
        </w:rPr>
        <w:t>.</w:t>
      </w:r>
    </w:p>
    <w:p w:rsidR="00B37C25" w:rsidRPr="00BC7DA5" w:rsidRDefault="00B37C25" w:rsidP="00E957A2">
      <w:r w:rsidRPr="000E01BE">
        <w:t xml:space="preserve">In </w:t>
      </w:r>
      <w:r w:rsidR="00BC7DA5">
        <w:t>Study P0</w:t>
      </w:r>
      <w:r w:rsidRPr="000E01BE">
        <w:t xml:space="preserve">17/1047, reductions from baseline in </w:t>
      </w:r>
      <w:r w:rsidR="000E01BE" w:rsidRPr="000E01BE">
        <w:t>2 h PPG</w:t>
      </w:r>
      <w:r w:rsidRPr="000E01BE">
        <w:t xml:space="preserve"> at Week 26 were observed with</w:t>
      </w:r>
      <w:r w:rsidRPr="00136A6F">
        <w:t xml:space="preserve"> ertugliflozin 15 mg</w:t>
      </w:r>
      <w:r>
        <w:t xml:space="preserve"> </w:t>
      </w:r>
      <w:r w:rsidRPr="00136A6F">
        <w:t xml:space="preserve">and 5 mg in combination with </w:t>
      </w:r>
      <w:r w:rsidRPr="00BC7DA5">
        <w:t>sitagliptin</w:t>
      </w:r>
      <w:r w:rsidR="006F48AD" w:rsidRPr="00BC7DA5">
        <w:t xml:space="preserve"> </w:t>
      </w:r>
      <w:r w:rsidRPr="00BC7DA5">
        <w:t xml:space="preserve">(Table </w:t>
      </w:r>
      <w:r w:rsidR="00BC7DA5" w:rsidRPr="00BC7DA5">
        <w:t>9</w:t>
      </w:r>
      <w:r w:rsidR="000E01BE" w:rsidRPr="00BC7DA5">
        <w:t>).</w:t>
      </w:r>
    </w:p>
    <w:p w:rsidR="000E01BE" w:rsidRDefault="000E01BE" w:rsidP="000E01BE">
      <w:pPr>
        <w:pStyle w:val="Tabletitle"/>
      </w:pPr>
      <w:bookmarkStart w:id="240" w:name="_Ref503359876"/>
      <w:bookmarkStart w:id="241" w:name="_Toc504036241"/>
      <w:r>
        <w:lastRenderedPageBreak/>
        <w:t xml:space="preserve">Table 8: Change from </w:t>
      </w:r>
      <w:r w:rsidR="002E5CE6">
        <w:t xml:space="preserve">Baseline </w:t>
      </w:r>
      <w:r>
        <w:t>in FPG (mmol/L) in the 3 pivotal Phase III studies</w:t>
      </w:r>
      <w:bookmarkEnd w:id="240"/>
      <w:bookmarkEnd w:id="241"/>
    </w:p>
    <w:p w:rsidR="000E01BE" w:rsidRDefault="000E01BE" w:rsidP="000E01BE">
      <w:r>
        <w:rPr>
          <w:noProof/>
          <w:lang w:eastAsia="en-AU"/>
        </w:rPr>
        <w:drawing>
          <wp:inline distT="0" distB="0" distL="0" distR="0" wp14:anchorId="2F46DB3B" wp14:editId="4C552599">
            <wp:extent cx="5731510" cy="6137492"/>
            <wp:effectExtent l="0" t="0" r="2540" b="0"/>
            <wp:docPr id="7" name="Picture 7" descr="Change from baseline in FPG (mmol/L) in the 3 pivotal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6137492"/>
                    </a:xfrm>
                    <a:prstGeom prst="rect">
                      <a:avLst/>
                    </a:prstGeom>
                  </pic:spPr>
                </pic:pic>
              </a:graphicData>
            </a:graphic>
          </wp:inline>
        </w:drawing>
      </w:r>
    </w:p>
    <w:p w:rsidR="00BC7DA5" w:rsidRPr="00DE7072" w:rsidRDefault="00BC7DA5" w:rsidP="00BC7DA5">
      <w:pPr>
        <w:pStyle w:val="Tabletitle"/>
      </w:pPr>
      <w:bookmarkStart w:id="242" w:name="_Ref503359878"/>
      <w:bookmarkStart w:id="243" w:name="_Toc504036242"/>
      <w:r>
        <w:t xml:space="preserve">Table 9: </w:t>
      </w:r>
      <w:r w:rsidR="002E5CE6">
        <w:t xml:space="preserve">Study P017/1047 </w:t>
      </w:r>
      <w:r>
        <w:t xml:space="preserve">Change in 2 hours PPG (mmol/L) at </w:t>
      </w:r>
      <w:r w:rsidR="002E5CE6">
        <w:t>W</w:t>
      </w:r>
      <w:r>
        <w:t>eek 26</w:t>
      </w:r>
      <w:bookmarkEnd w:id="242"/>
      <w:bookmarkEnd w:id="243"/>
    </w:p>
    <w:p w:rsidR="00BC7DA5" w:rsidRPr="00DE7072" w:rsidRDefault="00BC7DA5" w:rsidP="004B7746">
      <w:r w:rsidRPr="00DE7072">
        <w:rPr>
          <w:noProof/>
          <w:lang w:eastAsia="en-AU"/>
        </w:rPr>
        <w:drawing>
          <wp:inline distT="0" distB="0" distL="0" distR="0" wp14:anchorId="67866A1E" wp14:editId="2AA1EDFF">
            <wp:extent cx="5731510" cy="1808441"/>
            <wp:effectExtent l="0" t="0" r="2540" b="1905"/>
            <wp:docPr id="427" name="Picture 427" descr="Change in 2 hours PPG (mmol/L) at week 26 in study P017/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731510" cy="1808441"/>
                    </a:xfrm>
                    <a:prstGeom prst="rect">
                      <a:avLst/>
                    </a:prstGeom>
                    <a:noFill/>
                    <a:ln>
                      <a:noFill/>
                    </a:ln>
                  </pic:spPr>
                </pic:pic>
              </a:graphicData>
            </a:graphic>
          </wp:inline>
        </w:drawing>
      </w:r>
    </w:p>
    <w:p w:rsidR="00B37C25" w:rsidRPr="00BC7DA5" w:rsidRDefault="00B37C25" w:rsidP="00E957A2">
      <w:r w:rsidRPr="00136A6F">
        <w:lastRenderedPageBreak/>
        <w:t>Across the 3 studies, ertugliflozin resulted in body weight comparator-adjusted reductions of</w:t>
      </w:r>
      <w:r>
        <w:t xml:space="preserve"> </w:t>
      </w:r>
      <w:r w:rsidRPr="00136A6F">
        <w:t xml:space="preserve">1.72 kg to 2.27 kg. The body weight reductions were generally consistent </w:t>
      </w:r>
      <w:r w:rsidRPr="00BC7DA5">
        <w:t xml:space="preserve">whether ertugliflozin was co-initiated with sitagliptin or added on to a sitagliptin containing regimen (Table </w:t>
      </w:r>
      <w:r w:rsidR="00BC7DA5" w:rsidRPr="00BC7DA5">
        <w:t>10</w:t>
      </w:r>
      <w:r w:rsidRPr="00BC7DA5">
        <w:t xml:space="preserve">). Significant SBP reductions from baseline were observed with ertugliflozin in all 3 studies despite different background medications and independent of whether ertugliflozin was added-on to or co-initiated with sitagliptin (Table </w:t>
      </w:r>
      <w:r w:rsidR="00BC7DA5" w:rsidRPr="00BC7DA5">
        <w:t>11</w:t>
      </w:r>
      <w:r w:rsidRPr="00BC7DA5">
        <w:t xml:space="preserve">). In all 3 studies, the proportions of subjects receiving glycaemic rescue therapy in the ertugliflozin and sitagliptin combination groups were low, ranging from 0% to 6.1%. In the 2 placebo-controlled studies (Studies P006/1015 and P017/1047), higher proportions of subjects were rescued in the placebo arms (Table </w:t>
      </w:r>
      <w:r w:rsidR="00BC7DA5" w:rsidRPr="00BC7DA5">
        <w:t>12</w:t>
      </w:r>
      <w:r w:rsidRPr="00BC7DA5">
        <w:t>).</w:t>
      </w:r>
    </w:p>
    <w:p w:rsidR="00BC7DA5" w:rsidRDefault="00BC7DA5" w:rsidP="00BC7DA5">
      <w:pPr>
        <w:pStyle w:val="Tabletitle"/>
      </w:pPr>
      <w:bookmarkStart w:id="244" w:name="_Ref493674705"/>
      <w:bookmarkStart w:id="245" w:name="_Toc504036243"/>
      <w:r>
        <w:t>Table 10: Body weight (kg)</w:t>
      </w:r>
      <w:r w:rsidR="002E5CE6">
        <w:t>;</w:t>
      </w:r>
      <w:r>
        <w:t xml:space="preserve"> Change from </w:t>
      </w:r>
      <w:r w:rsidR="002E5CE6">
        <w:t xml:space="preserve">Baseline </w:t>
      </w:r>
      <w:r>
        <w:t>at primary time</w:t>
      </w:r>
      <w:r w:rsidR="004B0649">
        <w:t>-</w:t>
      </w:r>
      <w:r>
        <w:t>point by study</w:t>
      </w:r>
      <w:r w:rsidR="002E5CE6">
        <w:t>;</w:t>
      </w:r>
      <w:r>
        <w:t xml:space="preserve"> FAS</w:t>
      </w:r>
      <w:r w:rsidR="002E5CE6">
        <w:t>: e</w:t>
      </w:r>
      <w:r>
        <w:t xml:space="preserve">xcluding </w:t>
      </w:r>
      <w:r w:rsidR="002E5CE6">
        <w:t>rescue approach; e</w:t>
      </w:r>
      <w:r>
        <w:t>rtugliflozin / sitagliptin studies</w:t>
      </w:r>
      <w:bookmarkEnd w:id="244"/>
      <w:bookmarkEnd w:id="245"/>
    </w:p>
    <w:p w:rsidR="00BC7DA5" w:rsidRDefault="00BC7DA5" w:rsidP="00BC7DA5">
      <w:r>
        <w:rPr>
          <w:noProof/>
          <w:lang w:eastAsia="en-AU"/>
        </w:rPr>
        <w:drawing>
          <wp:inline distT="0" distB="0" distL="0" distR="0" wp14:anchorId="19A0A4DC" wp14:editId="42E1525B">
            <wp:extent cx="5071873" cy="2981405"/>
            <wp:effectExtent l="0" t="0" r="0" b="9525"/>
            <wp:docPr id="68" name="Picture 68" descr="Body weight (kg) Change from baseline at primary timepoint by study FAS Excluding Rescue Approach Ertugliflozin / sitaglipt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5071184" cy="2981000"/>
                    </a:xfrm>
                    <a:prstGeom prst="rect">
                      <a:avLst/>
                    </a:prstGeom>
                    <a:noFill/>
                    <a:ln>
                      <a:noFill/>
                    </a:ln>
                  </pic:spPr>
                </pic:pic>
              </a:graphicData>
            </a:graphic>
          </wp:inline>
        </w:drawing>
      </w:r>
    </w:p>
    <w:p w:rsidR="00BC7DA5" w:rsidRDefault="00BC7DA5" w:rsidP="00BC7DA5">
      <w:pPr>
        <w:pStyle w:val="Tabletitle"/>
      </w:pPr>
      <w:bookmarkStart w:id="246" w:name="_Ref493674708"/>
      <w:bookmarkStart w:id="247" w:name="_Toc504036244"/>
      <w:r>
        <w:t>Table 11: Sitting SBP (mmHg)</w:t>
      </w:r>
      <w:r w:rsidR="002E5CE6">
        <w:t>;</w:t>
      </w:r>
      <w:r>
        <w:t xml:space="preserve"> Change from </w:t>
      </w:r>
      <w:r w:rsidR="002E5CE6">
        <w:t>B</w:t>
      </w:r>
      <w:r>
        <w:t>aseline at primary time-point by study</w:t>
      </w:r>
      <w:r w:rsidR="002E5CE6">
        <w:t>;</w:t>
      </w:r>
      <w:r>
        <w:t xml:space="preserve"> FAS: </w:t>
      </w:r>
      <w:r w:rsidR="004B7746">
        <w:t xml:space="preserve">excluding rescue approach; </w:t>
      </w:r>
      <w:r w:rsidR="002E5CE6">
        <w:t xml:space="preserve">rtugliflozin </w:t>
      </w:r>
      <w:r>
        <w:t>/ sitagliptin studies</w:t>
      </w:r>
      <w:bookmarkEnd w:id="246"/>
      <w:bookmarkEnd w:id="247"/>
    </w:p>
    <w:p w:rsidR="00BC7DA5" w:rsidRDefault="00BC7DA5" w:rsidP="00BC7DA5">
      <w:r>
        <w:rPr>
          <w:noProof/>
          <w:lang w:eastAsia="en-AU"/>
        </w:rPr>
        <w:drawing>
          <wp:inline distT="0" distB="0" distL="0" distR="0" wp14:anchorId="59213D02" wp14:editId="6B2E484C">
            <wp:extent cx="5197102" cy="3096666"/>
            <wp:effectExtent l="0" t="0" r="3810" b="8890"/>
            <wp:docPr id="69" name="Picture 69" descr="Sitting SBP (mmHg) Change from baseline at primary time-point by study FAS: Excluding Rescue Approach Ertugliflozin / sitaglipt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734"/>
                    <a:stretch/>
                  </pic:blipFill>
                  <pic:spPr bwMode="auto">
                    <a:xfrm>
                      <a:off x="0" y="0"/>
                      <a:ext cx="5199203" cy="3097918"/>
                    </a:xfrm>
                    <a:prstGeom prst="rect">
                      <a:avLst/>
                    </a:prstGeom>
                    <a:noFill/>
                    <a:ln>
                      <a:noFill/>
                    </a:ln>
                    <a:extLst>
                      <a:ext uri="{53640926-AAD7-44D8-BBD7-CCE9431645EC}">
                        <a14:shadowObscured xmlns:a14="http://schemas.microsoft.com/office/drawing/2010/main"/>
                      </a:ext>
                    </a:extLst>
                  </pic:spPr>
                </pic:pic>
              </a:graphicData>
            </a:graphic>
          </wp:inline>
        </w:drawing>
      </w:r>
    </w:p>
    <w:p w:rsidR="00BC7DA5" w:rsidRDefault="00BC7DA5" w:rsidP="00BC7DA5">
      <w:pPr>
        <w:pStyle w:val="Tabletitle"/>
      </w:pPr>
      <w:bookmarkStart w:id="248" w:name="_Ref493674710"/>
      <w:bookmarkStart w:id="249" w:name="_Toc504036245"/>
      <w:r>
        <w:lastRenderedPageBreak/>
        <w:t>Table 12: Analysis of time to glycaemic rescue at primary time</w:t>
      </w:r>
      <w:r w:rsidR="004B0649">
        <w:t>-</w:t>
      </w:r>
      <w:r>
        <w:t>point by study All Subjects Treated Ertugliflozin / sitagliptin studies</w:t>
      </w:r>
      <w:bookmarkEnd w:id="248"/>
      <w:bookmarkEnd w:id="249"/>
    </w:p>
    <w:p w:rsidR="00BC7DA5" w:rsidRDefault="00BC7DA5" w:rsidP="00BC7DA5">
      <w:r>
        <w:t xml:space="preserve"> </w:t>
      </w:r>
      <w:r>
        <w:rPr>
          <w:noProof/>
          <w:lang w:eastAsia="en-AU"/>
        </w:rPr>
        <w:drawing>
          <wp:inline distT="0" distB="0" distL="0" distR="0" wp14:anchorId="69986BE4" wp14:editId="176FF368">
            <wp:extent cx="5345908" cy="3258030"/>
            <wp:effectExtent l="0" t="0" r="7620" b="0"/>
            <wp:docPr id="70" name="Picture 70" descr="Analysis of time to glycaemic rescue at primary timepoint by study All Subjects Treated Ertugliflozin / sitaglipti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a:lum bright="-20000" contrast="40000"/>
                      <a:extLst>
                        <a:ext uri="{28A0092B-C50C-407E-A947-70E740481C1C}">
                          <a14:useLocalDpi xmlns:a14="http://schemas.microsoft.com/office/drawing/2010/main" val="0"/>
                        </a:ext>
                      </a:extLst>
                    </a:blip>
                    <a:srcRect l="1417"/>
                    <a:stretch/>
                  </pic:blipFill>
                  <pic:spPr bwMode="auto">
                    <a:xfrm>
                      <a:off x="0" y="0"/>
                      <a:ext cx="5359356" cy="3266226"/>
                    </a:xfrm>
                    <a:prstGeom prst="rect">
                      <a:avLst/>
                    </a:prstGeom>
                    <a:noFill/>
                    <a:ln>
                      <a:noFill/>
                    </a:ln>
                    <a:extLst>
                      <a:ext uri="{53640926-AAD7-44D8-BBD7-CCE9431645EC}">
                        <a14:shadowObscured xmlns:a14="http://schemas.microsoft.com/office/drawing/2010/main"/>
                      </a:ext>
                    </a:extLst>
                  </pic:spPr>
                </pic:pic>
              </a:graphicData>
            </a:graphic>
          </wp:inline>
        </w:drawing>
      </w:r>
    </w:p>
    <w:p w:rsidR="00B37C25" w:rsidRPr="00300796" w:rsidRDefault="00B37C25" w:rsidP="00BC7DA5">
      <w:pPr>
        <w:pStyle w:val="Heading3"/>
      </w:pPr>
      <w:bookmarkStart w:id="250" w:name="_Toc504036131"/>
      <w:bookmarkStart w:id="251" w:name="_Toc4573585"/>
      <w:r w:rsidRPr="00300796">
        <w:t>Other efficacy studies</w:t>
      </w:r>
      <w:bookmarkEnd w:id="223"/>
      <w:bookmarkEnd w:id="224"/>
      <w:bookmarkEnd w:id="225"/>
      <w:bookmarkEnd w:id="226"/>
      <w:bookmarkEnd w:id="227"/>
      <w:bookmarkEnd w:id="228"/>
      <w:bookmarkEnd w:id="229"/>
      <w:bookmarkEnd w:id="230"/>
      <w:bookmarkEnd w:id="250"/>
      <w:bookmarkEnd w:id="251"/>
    </w:p>
    <w:bookmarkEnd w:id="231"/>
    <w:bookmarkEnd w:id="232"/>
    <w:p w:rsidR="00884A9A" w:rsidRDefault="00B37C25" w:rsidP="00B37C25">
      <w:pPr>
        <w:spacing w:before="0" w:line="240" w:lineRule="auto"/>
        <w:rPr>
          <w:lang w:eastAsia="ja-JP"/>
        </w:rPr>
      </w:pPr>
      <w:r>
        <w:rPr>
          <w:lang w:eastAsia="ja-JP"/>
        </w:rPr>
        <w:t xml:space="preserve">Refer to the Steglatro report for details regarding the other four </w:t>
      </w:r>
      <w:r w:rsidR="009B2F3C">
        <w:rPr>
          <w:lang w:eastAsia="ja-JP"/>
        </w:rPr>
        <w:t>Phase III</w:t>
      </w:r>
      <w:r>
        <w:rPr>
          <w:lang w:eastAsia="ja-JP"/>
        </w:rPr>
        <w:t xml:space="preserve"> studies in the ertugliflozin clinical program</w:t>
      </w:r>
      <w:r w:rsidR="002E5CE6">
        <w:rPr>
          <w:lang w:eastAsia="ja-JP"/>
        </w:rPr>
        <w:t xml:space="preserve"> (available as Attachment 2)</w:t>
      </w:r>
      <w:bookmarkStart w:id="252" w:name="_Toc241374312"/>
      <w:bookmarkStart w:id="253" w:name="_Toc272414656"/>
      <w:bookmarkStart w:id="254" w:name="_Toc290888507"/>
      <w:bookmarkStart w:id="255" w:name="_Toc416353723"/>
      <w:bookmarkStart w:id="256" w:name="_Toc421005271"/>
      <w:bookmarkStart w:id="257" w:name="_Toc432079153"/>
      <w:bookmarkStart w:id="258" w:name="_Toc432080726"/>
      <w:bookmarkStart w:id="259" w:name="_Toc504036132"/>
      <w:r w:rsidR="00884A9A">
        <w:rPr>
          <w:lang w:eastAsia="ja-JP"/>
        </w:rPr>
        <w:t>.</w:t>
      </w:r>
    </w:p>
    <w:p w:rsidR="00B37C25" w:rsidRPr="005632DC" w:rsidRDefault="00B37C25" w:rsidP="00BC7DA5">
      <w:pPr>
        <w:pStyle w:val="Heading3"/>
      </w:pPr>
      <w:bookmarkStart w:id="260" w:name="_Toc4573586"/>
      <w:r w:rsidRPr="005632DC">
        <w:t>Analyses performed</w:t>
      </w:r>
      <w:r>
        <w:t xml:space="preserve"> across trials pooled and meta</w:t>
      </w:r>
      <w:r w:rsidR="00884A9A">
        <w:t>-</w:t>
      </w:r>
      <w:r w:rsidRPr="005632DC">
        <w:t>analyses</w:t>
      </w:r>
      <w:bookmarkEnd w:id="252"/>
      <w:bookmarkEnd w:id="253"/>
      <w:bookmarkEnd w:id="254"/>
      <w:bookmarkEnd w:id="255"/>
      <w:bookmarkEnd w:id="256"/>
      <w:bookmarkEnd w:id="257"/>
      <w:bookmarkEnd w:id="258"/>
      <w:bookmarkEnd w:id="259"/>
      <w:bookmarkEnd w:id="260"/>
    </w:p>
    <w:p w:rsidR="00884A9A" w:rsidRDefault="00B37C25" w:rsidP="00E957A2">
      <w:bookmarkStart w:id="261" w:name="_Ref271126605"/>
      <w:bookmarkStart w:id="262" w:name="_Toc272414657"/>
      <w:bookmarkStart w:id="263" w:name="_Toc290888508"/>
      <w:bookmarkStart w:id="264" w:name="_Toc416353724"/>
      <w:bookmarkStart w:id="265" w:name="_Toc421005272"/>
      <w:bookmarkStart w:id="266" w:name="_Toc432079154"/>
      <w:bookmarkStart w:id="267" w:name="_Toc432080727"/>
      <w:r>
        <w:rPr>
          <w:rFonts w:eastAsiaTheme="minorHAnsi"/>
        </w:rPr>
        <w:t>D</w:t>
      </w:r>
      <w:r w:rsidRPr="004F6501">
        <w:rPr>
          <w:rFonts w:eastAsiaTheme="minorHAnsi"/>
        </w:rPr>
        <w:t>ata from the 3 individual studies were not</w:t>
      </w:r>
      <w:r>
        <w:rPr>
          <w:rFonts w:eastAsiaTheme="minorHAnsi"/>
        </w:rPr>
        <w:t xml:space="preserve"> </w:t>
      </w:r>
      <w:r w:rsidRPr="004F6501">
        <w:rPr>
          <w:rFonts w:eastAsiaTheme="minorHAnsi"/>
        </w:rPr>
        <w:t>pooled for analysis</w:t>
      </w:r>
      <w:r>
        <w:rPr>
          <w:rFonts w:eastAsiaTheme="minorHAnsi" w:cs="ArialMT"/>
        </w:rPr>
        <w:t xml:space="preserve"> due to </w:t>
      </w:r>
      <w:r w:rsidRPr="004F6501">
        <w:rPr>
          <w:rFonts w:eastAsiaTheme="minorHAnsi"/>
        </w:rPr>
        <w:t>differences in study designs</w:t>
      </w:r>
      <w:r>
        <w:rPr>
          <w:rFonts w:eastAsiaTheme="minorHAnsi"/>
        </w:rPr>
        <w:t xml:space="preserve"> and patient populations. </w:t>
      </w:r>
      <w:r w:rsidRPr="00FC7F96">
        <w:t>In</w:t>
      </w:r>
      <w:r>
        <w:t xml:space="preserve"> </w:t>
      </w:r>
      <w:r w:rsidRPr="00FC7F96">
        <w:t xml:space="preserve">study-specific subgroup analyses for Studies P005/1019 and P017/1047, the </w:t>
      </w:r>
      <w:r w:rsidR="002E5CE6" w:rsidRPr="00FC7F96">
        <w:t>A1</w:t>
      </w:r>
      <w:r w:rsidR="002E5CE6">
        <w:t>c</w:t>
      </w:r>
      <w:r w:rsidR="002E5CE6" w:rsidRPr="00FC7F96">
        <w:t xml:space="preserve"> </w:t>
      </w:r>
      <w:r w:rsidRPr="00FC7F96">
        <w:t>reduction</w:t>
      </w:r>
      <w:r>
        <w:t xml:space="preserve"> </w:t>
      </w:r>
      <w:r w:rsidRPr="00FC7F96">
        <w:t>with ertugliflozin in combination with sitagliptin was consistent across age, gender, race,</w:t>
      </w:r>
      <w:r>
        <w:t xml:space="preserve"> ethnicity</w:t>
      </w:r>
      <w:r w:rsidRPr="00FC7F96">
        <w:t xml:space="preserve"> and baseline </w:t>
      </w:r>
      <w:r w:rsidR="002E5CE6" w:rsidRPr="00FC7F96">
        <w:t>A1</w:t>
      </w:r>
      <w:r w:rsidR="002E5CE6">
        <w:t>c</w:t>
      </w:r>
      <w:r w:rsidR="002E5CE6" w:rsidRPr="00FC7F96">
        <w:t xml:space="preserve"> </w:t>
      </w:r>
      <w:r w:rsidRPr="00FC7F96">
        <w:t>subgroups</w:t>
      </w:r>
      <w:bookmarkStart w:id="268" w:name="_Toc504036133"/>
      <w:r w:rsidR="00884A9A">
        <w:t>.</w:t>
      </w:r>
    </w:p>
    <w:p w:rsidR="00B37C25" w:rsidRPr="005632DC" w:rsidRDefault="00B37C25" w:rsidP="00D53EC4">
      <w:pPr>
        <w:pStyle w:val="Heading3"/>
      </w:pPr>
      <w:bookmarkStart w:id="269" w:name="_Toc4573587"/>
      <w:r w:rsidRPr="005632DC">
        <w:t>Evaluator’s conclusions on clinical efficacy</w:t>
      </w:r>
      <w:bookmarkEnd w:id="261"/>
      <w:bookmarkEnd w:id="262"/>
      <w:bookmarkEnd w:id="263"/>
      <w:bookmarkEnd w:id="264"/>
      <w:bookmarkEnd w:id="265"/>
      <w:bookmarkEnd w:id="266"/>
      <w:bookmarkEnd w:id="267"/>
      <w:bookmarkEnd w:id="268"/>
      <w:bookmarkEnd w:id="269"/>
    </w:p>
    <w:p w:rsidR="00B37C25" w:rsidRDefault="00B37C25" w:rsidP="00E957A2">
      <w:r w:rsidRPr="00E85047">
        <w:t xml:space="preserve">Dual therapy with ertugliflozin and sitagliptin provides </w:t>
      </w:r>
      <w:r>
        <w:t>two</w:t>
      </w:r>
      <w:r w:rsidRPr="00E85047">
        <w:t xml:space="preserve"> AHAs with different mechanisms</w:t>
      </w:r>
      <w:r>
        <w:t xml:space="preserve"> </w:t>
      </w:r>
      <w:r w:rsidRPr="00E85047">
        <w:t>of</w:t>
      </w:r>
      <w:r>
        <w:t xml:space="preserve"> </w:t>
      </w:r>
      <w:r w:rsidRPr="00E85047">
        <w:t xml:space="preserve">action neither of which </w:t>
      </w:r>
      <w:r>
        <w:t xml:space="preserve">are </w:t>
      </w:r>
      <w:r w:rsidRPr="00E85047">
        <w:t>associated with hypoglycaemia nor weight gain. Ertugliflozin</w:t>
      </w:r>
      <w:r>
        <w:t xml:space="preserve"> </w:t>
      </w:r>
      <w:r w:rsidRPr="00E85047">
        <w:t>inhibits renal glucose reabsorption, resulting in urinary glucose excretion, and thereby</w:t>
      </w:r>
      <w:r>
        <w:t xml:space="preserve"> </w:t>
      </w:r>
      <w:r w:rsidRPr="00E85047">
        <w:t xml:space="preserve">reducing plasma glucose and </w:t>
      </w:r>
      <w:r w:rsidR="002E5CE6" w:rsidRPr="00E85047">
        <w:t>A1</w:t>
      </w:r>
      <w:r w:rsidR="002E5CE6">
        <w:t>c</w:t>
      </w:r>
      <w:r w:rsidRPr="00E85047">
        <w:t>. Sitagliptin enhances the incretin axis, thereby increasing</w:t>
      </w:r>
      <w:r>
        <w:t xml:space="preserve"> </w:t>
      </w:r>
      <w:r w:rsidRPr="00E85047">
        <w:t>insulin secretion and reducing glucagon concentrations, and, in turn, lowering hepatic</w:t>
      </w:r>
      <w:r>
        <w:t xml:space="preserve"> </w:t>
      </w:r>
      <w:r w:rsidRPr="00E85047">
        <w:t>glucose production. Combining these agents provides complementary mechanisms leading</w:t>
      </w:r>
      <w:r>
        <w:t xml:space="preserve"> </w:t>
      </w:r>
      <w:r w:rsidRPr="00E85047">
        <w:t>to robust glucose-lowering efficacy, with low risk for hypoglycaemia.</w:t>
      </w:r>
    </w:p>
    <w:p w:rsidR="00B37C25" w:rsidRPr="00FE7DC4" w:rsidRDefault="00B37C25" w:rsidP="00E957A2">
      <w:r>
        <w:t xml:space="preserve">The efficacy of proposed FDC of ertugliflozin+sitagliptin was evaluated in 3 pivotal </w:t>
      </w:r>
      <w:r w:rsidR="009B2F3C">
        <w:t>Phase III</w:t>
      </w:r>
      <w:r>
        <w:t xml:space="preserve"> studies involving 1987 subjects (495 and 497 received combination treatment with E5/S100 and E15/S100, respectively</w:t>
      </w:r>
      <w:r w:rsidRPr="00FE7DC4">
        <w:t xml:space="preserve">). </w:t>
      </w:r>
      <w:r w:rsidRPr="006D18CC">
        <w:rPr>
          <w:rFonts w:eastAsiaTheme="minorHAnsi" w:cs="Calibri"/>
          <w:color w:val="000000"/>
        </w:rPr>
        <w:t xml:space="preserve">The three </w:t>
      </w:r>
      <w:r w:rsidR="009B2F3C">
        <w:rPr>
          <w:rFonts w:eastAsiaTheme="minorHAnsi" w:cs="Calibri"/>
          <w:color w:val="000000"/>
        </w:rPr>
        <w:t>Phase III</w:t>
      </w:r>
      <w:r w:rsidRPr="006D18CC">
        <w:rPr>
          <w:rFonts w:eastAsiaTheme="minorHAnsi" w:cs="Calibri"/>
          <w:color w:val="000000"/>
        </w:rPr>
        <w:t xml:space="preserve"> studies supporting this FDC were conducted using ertugliflozin and sitagliptin administered as separate tablets, and bridging to the FDC formulation is therefore provided via bioequivalence (BE) studies comparing the FDC to co</w:t>
      </w:r>
      <w:r w:rsidR="00C14E6F">
        <w:rPr>
          <w:rFonts w:eastAsiaTheme="minorHAnsi" w:cs="Calibri"/>
          <w:color w:val="000000"/>
        </w:rPr>
        <w:noBreakHyphen/>
      </w:r>
      <w:r w:rsidRPr="006D18CC">
        <w:rPr>
          <w:rFonts w:eastAsiaTheme="minorHAnsi" w:cs="Calibri"/>
          <w:color w:val="000000"/>
        </w:rPr>
        <w:t>administration of individual components.</w:t>
      </w:r>
      <w:r>
        <w:rPr>
          <w:rFonts w:eastAsiaTheme="minorHAnsi" w:cs="Calibri"/>
          <w:color w:val="000000"/>
        </w:rPr>
        <w:t xml:space="preserve"> Extrapolation of the results obtained from the 3</w:t>
      </w:r>
      <w:r w:rsidR="00C14E6F">
        <w:rPr>
          <w:rFonts w:eastAsiaTheme="minorHAnsi" w:cs="Calibri"/>
          <w:color w:val="000000"/>
        </w:rPr>
        <w:t> </w:t>
      </w:r>
      <w:r w:rsidR="009B2F3C">
        <w:rPr>
          <w:rFonts w:eastAsiaTheme="minorHAnsi" w:cs="Calibri"/>
          <w:color w:val="000000"/>
        </w:rPr>
        <w:t>Phase III</w:t>
      </w:r>
      <w:r>
        <w:rPr>
          <w:rFonts w:eastAsiaTheme="minorHAnsi" w:cs="Calibri"/>
          <w:color w:val="000000"/>
        </w:rPr>
        <w:t xml:space="preserve"> studies as evidence for proposed FDC formulation is justified as bioequivalence between the proposed FDCs and co-administration of ertugliflozin+sitagliptin was proven. All 3 </w:t>
      </w:r>
      <w:r>
        <w:rPr>
          <w:rFonts w:eastAsiaTheme="minorHAnsi" w:cs="Calibri"/>
          <w:color w:val="000000"/>
        </w:rPr>
        <w:lastRenderedPageBreak/>
        <w:t>studies were well-conducted according to TGA adopted EMEA guidelines for evaluation of drugs for treatment of T2DM as well as guidelines related to development of FDCs. The target population evaluated in the 3 studies was representative of the proposed target patient population of T2DM patients who may require treatment with ertugliflozin and sitagliptin.</w:t>
      </w:r>
    </w:p>
    <w:p w:rsidR="00884A9A" w:rsidRDefault="00B37C25" w:rsidP="00E957A2">
      <w:pPr>
        <w:rPr>
          <w:rFonts w:eastAsiaTheme="minorHAnsi"/>
        </w:rPr>
      </w:pPr>
      <w:r w:rsidRPr="000F7357">
        <w:t>Co-administration of ertugliflozin (15 mg and 5 mg) with sitagliptin provides clinically</w:t>
      </w:r>
      <w:r>
        <w:t xml:space="preserve"> </w:t>
      </w:r>
      <w:r w:rsidRPr="000F7357">
        <w:t>meaningful improvements in glyc</w:t>
      </w:r>
      <w:r>
        <w:t>a</w:t>
      </w:r>
      <w:r w:rsidRPr="000F7357">
        <w:t>emic parameters (A1C, FPG, and proportion of patients</w:t>
      </w:r>
      <w:r>
        <w:t xml:space="preserve"> </w:t>
      </w:r>
      <w:r w:rsidRPr="000F7357">
        <w:t>with A1C &lt;</w:t>
      </w:r>
      <w:r w:rsidR="00884A9A">
        <w:t xml:space="preserve"> </w:t>
      </w:r>
      <w:r w:rsidRPr="000F7357">
        <w:t xml:space="preserve">7.0%) compared to either sitagliptin alone or the </w:t>
      </w:r>
      <w:r w:rsidRPr="00D53EC4">
        <w:t>corresponding dose of ertugliflozin alone in 1233 subjects with inadequate control on metformin (P005/ 1019). Co-administration of ertugliflozin (15 mg and 5 mg) with sitagliptin provides greater body weight</w:t>
      </w:r>
      <w:r w:rsidRPr="000F7357">
        <w:t xml:space="preserve"> and SBP</w:t>
      </w:r>
      <w:r>
        <w:t xml:space="preserve"> </w:t>
      </w:r>
      <w:r w:rsidRPr="000F7357">
        <w:t>reductions, compared to sitagliptin alone in subjects with inadequate control on</w:t>
      </w:r>
      <w:r>
        <w:t xml:space="preserve"> </w:t>
      </w:r>
      <w:r w:rsidRPr="000F7357">
        <w:t>metformin.</w:t>
      </w:r>
      <w:r>
        <w:rPr>
          <w:rFonts w:eastAsiaTheme="minorHAnsi"/>
        </w:rPr>
        <w:t xml:space="preserve"> N</w:t>
      </w:r>
      <w:r w:rsidRPr="006A0A97">
        <w:rPr>
          <w:rFonts w:eastAsiaTheme="minorHAnsi"/>
        </w:rPr>
        <w:t>o meaningful difference was observed between the 2</w:t>
      </w:r>
      <w:r>
        <w:rPr>
          <w:rFonts w:eastAsiaTheme="minorHAnsi"/>
        </w:rPr>
        <w:t xml:space="preserve"> </w:t>
      </w:r>
      <w:r w:rsidRPr="006A0A97">
        <w:rPr>
          <w:rFonts w:eastAsiaTheme="minorHAnsi"/>
        </w:rPr>
        <w:t>co</w:t>
      </w:r>
      <w:r>
        <w:rPr>
          <w:rFonts w:eastAsiaTheme="minorHAnsi"/>
        </w:rPr>
        <w:t>-</w:t>
      </w:r>
      <w:r w:rsidRPr="006A0A97">
        <w:rPr>
          <w:rFonts w:eastAsiaTheme="minorHAnsi"/>
        </w:rPr>
        <w:t>administration groups</w:t>
      </w:r>
      <w:r>
        <w:rPr>
          <w:rFonts w:eastAsiaTheme="minorHAnsi"/>
        </w:rPr>
        <w:t xml:space="preserve"> (E15/S100 and E5/S100)</w:t>
      </w:r>
      <w:r w:rsidRPr="002810CD">
        <w:rPr>
          <w:rFonts w:eastAsiaTheme="minorHAnsi"/>
        </w:rPr>
        <w:t xml:space="preserve"> </w:t>
      </w:r>
      <w:r>
        <w:rPr>
          <w:rFonts w:eastAsiaTheme="minorHAnsi"/>
        </w:rPr>
        <w:t>for A1C</w:t>
      </w:r>
      <w:r w:rsidR="00884A9A">
        <w:rPr>
          <w:rFonts w:eastAsiaTheme="minorHAnsi"/>
        </w:rPr>
        <w:t xml:space="preserve"> </w:t>
      </w:r>
      <w:r>
        <w:rPr>
          <w:rFonts w:eastAsiaTheme="minorHAnsi"/>
        </w:rPr>
        <w:t>related endpoints, although th</w:t>
      </w:r>
      <w:r w:rsidRPr="006A0A97">
        <w:rPr>
          <w:rFonts w:eastAsiaTheme="minorHAnsi"/>
        </w:rPr>
        <w:t>ere was a trend toward better efficacy for E15/S100 relative to</w:t>
      </w:r>
      <w:r>
        <w:rPr>
          <w:rFonts w:eastAsiaTheme="minorHAnsi"/>
        </w:rPr>
        <w:t xml:space="preserve"> </w:t>
      </w:r>
      <w:r w:rsidRPr="006A0A97">
        <w:rPr>
          <w:rFonts w:eastAsiaTheme="minorHAnsi"/>
        </w:rPr>
        <w:t xml:space="preserve">E5/S100 for FPG and </w:t>
      </w:r>
      <w:r w:rsidR="000E01BE">
        <w:rPr>
          <w:rFonts w:eastAsiaTheme="minorHAnsi"/>
        </w:rPr>
        <w:t>2 h PPG</w:t>
      </w:r>
      <w:r>
        <w:rPr>
          <w:rFonts w:eastAsiaTheme="minorHAnsi"/>
        </w:rPr>
        <w:t xml:space="preserve">. However, interpretation was limited as this </w:t>
      </w:r>
      <w:r w:rsidRPr="006A0A97">
        <w:rPr>
          <w:rFonts w:eastAsiaTheme="minorHAnsi"/>
        </w:rPr>
        <w:t>study was not powered to detect differences between the 2 combination</w:t>
      </w:r>
      <w:r>
        <w:rPr>
          <w:rFonts w:eastAsiaTheme="minorHAnsi"/>
        </w:rPr>
        <w:t xml:space="preserve"> </w:t>
      </w:r>
      <w:r w:rsidRPr="006A0A97">
        <w:rPr>
          <w:rFonts w:eastAsiaTheme="minorHAnsi"/>
        </w:rPr>
        <w:t>groups</w:t>
      </w:r>
      <w:r w:rsidR="00884A9A">
        <w:rPr>
          <w:rFonts w:eastAsiaTheme="minorHAnsi"/>
        </w:rPr>
        <w:t>.</w:t>
      </w:r>
    </w:p>
    <w:p w:rsidR="00B37C25" w:rsidRDefault="00B37C25" w:rsidP="00E957A2">
      <w:r>
        <w:t>T</w:t>
      </w:r>
      <w:r w:rsidRPr="00E85047">
        <w:t>reatment with</w:t>
      </w:r>
      <w:r>
        <w:t xml:space="preserve"> </w:t>
      </w:r>
      <w:r w:rsidRPr="00E85047">
        <w:t xml:space="preserve">the initial combination of ertugliflozin (5 mg </w:t>
      </w:r>
      <w:r w:rsidR="00D53EC4">
        <w:t>QD</w:t>
      </w:r>
      <w:r w:rsidRPr="00E85047">
        <w:t xml:space="preserve"> or 15 mg </w:t>
      </w:r>
      <w:r w:rsidR="00D53EC4">
        <w:t>QD</w:t>
      </w:r>
      <w:r w:rsidRPr="00E85047">
        <w:t xml:space="preserve">) and sitagliptin 100 mg </w:t>
      </w:r>
      <w:r w:rsidR="00D53EC4">
        <w:t>QD</w:t>
      </w:r>
      <w:r>
        <w:t xml:space="preserve"> for 26 weeks p</w:t>
      </w:r>
      <w:r w:rsidRPr="00E85047">
        <w:t xml:space="preserve">rovides clinically meaningful </w:t>
      </w:r>
      <w:r w:rsidRPr="000F7357">
        <w:rPr>
          <w:rFonts w:eastAsia="TimesNewRoman" w:cs="TimesNewRoman"/>
        </w:rPr>
        <w:t>improvements in glyc</w:t>
      </w:r>
      <w:r>
        <w:rPr>
          <w:rFonts w:eastAsia="TimesNewRoman" w:cs="TimesNewRoman"/>
        </w:rPr>
        <w:t>a</w:t>
      </w:r>
      <w:r w:rsidRPr="000F7357">
        <w:rPr>
          <w:rFonts w:eastAsia="TimesNewRoman" w:cs="TimesNewRoman"/>
        </w:rPr>
        <w:t xml:space="preserve">emic parameters (A1C, FPG, </w:t>
      </w:r>
      <w:r w:rsidR="000E01BE">
        <w:rPr>
          <w:rFonts w:eastAsia="TimesNewRoman" w:cs="TimesNewRoman"/>
        </w:rPr>
        <w:t>2 h PPG</w:t>
      </w:r>
      <w:r w:rsidRPr="000F7357">
        <w:rPr>
          <w:rFonts w:eastAsia="TimesNewRoman" w:cs="TimesNewRoman"/>
        </w:rPr>
        <w:t>, and</w:t>
      </w:r>
      <w:r>
        <w:rPr>
          <w:rFonts w:eastAsia="TimesNewRoman" w:cs="TimesNewRoman"/>
        </w:rPr>
        <w:t xml:space="preserve"> </w:t>
      </w:r>
      <w:r w:rsidRPr="000F7357">
        <w:rPr>
          <w:rFonts w:eastAsia="TimesNewRoman" w:cs="TimesNewRoman"/>
        </w:rPr>
        <w:t>proportion of patients with A1C &lt;</w:t>
      </w:r>
      <w:r w:rsidR="00884A9A">
        <w:rPr>
          <w:rFonts w:eastAsia="TimesNewRoman" w:cs="TimesNewRoman"/>
        </w:rPr>
        <w:t xml:space="preserve"> </w:t>
      </w:r>
      <w:r w:rsidRPr="000F7357">
        <w:rPr>
          <w:rFonts w:eastAsia="TimesNewRoman" w:cs="TimesNewRoman"/>
        </w:rPr>
        <w:t>7.0%) as well as greater body weight and SBP</w:t>
      </w:r>
      <w:r>
        <w:rPr>
          <w:rFonts w:eastAsia="TimesNewRoman" w:cs="TimesNewRoman"/>
        </w:rPr>
        <w:t xml:space="preserve"> </w:t>
      </w:r>
      <w:r w:rsidRPr="000F7357">
        <w:rPr>
          <w:rFonts w:eastAsia="TimesNewRoman" w:cs="TimesNewRoman"/>
        </w:rPr>
        <w:t xml:space="preserve">reductions, compared to placebo in </w:t>
      </w:r>
      <w:r>
        <w:rPr>
          <w:rFonts w:eastAsia="TimesNewRoman" w:cs="TimesNewRoman"/>
        </w:rPr>
        <w:t xml:space="preserve">291 T2DM </w:t>
      </w:r>
      <w:r w:rsidRPr="000F7357">
        <w:rPr>
          <w:rFonts w:eastAsia="TimesNewRoman" w:cs="TimesNewRoman"/>
        </w:rPr>
        <w:t>subjects with inadequate control on diet and exercise</w:t>
      </w:r>
      <w:r>
        <w:rPr>
          <w:rFonts w:eastAsia="TimesNewRoman" w:cs="TimesNewRoman"/>
        </w:rPr>
        <w:t xml:space="preserve"> </w:t>
      </w:r>
      <w:r w:rsidRPr="00D53EC4">
        <w:rPr>
          <w:rFonts w:eastAsia="TimesNewRoman" w:cs="TimesNewRoman"/>
        </w:rPr>
        <w:t>alone (</w:t>
      </w:r>
      <w:r w:rsidR="00C14E6F">
        <w:rPr>
          <w:rFonts w:eastAsia="TimesNewRoman" w:cs="TimesNewRoman"/>
        </w:rPr>
        <w:t xml:space="preserve">Study </w:t>
      </w:r>
      <w:r w:rsidRPr="00D53EC4">
        <w:rPr>
          <w:rFonts w:eastAsia="TimesNewRoman" w:cs="TimesNewRoman"/>
        </w:rPr>
        <w:t>P017/1047).</w:t>
      </w:r>
      <w:r>
        <w:rPr>
          <w:rFonts w:eastAsia="TimesNewRoman" w:cs="TimesNewRoman"/>
        </w:rPr>
        <w:t xml:space="preserve"> T</w:t>
      </w:r>
      <w:r w:rsidRPr="00E85047">
        <w:t>his study was not designed to formally compare the 5 mg and 15 mg ertugliflozin</w:t>
      </w:r>
      <w:r>
        <w:t xml:space="preserve"> </w:t>
      </w:r>
      <w:r w:rsidRPr="00E85047">
        <w:t xml:space="preserve">doses, there were numerically greater reductions in </w:t>
      </w:r>
      <w:r w:rsidR="00C14E6F" w:rsidRPr="00E85047">
        <w:t>A1</w:t>
      </w:r>
      <w:r w:rsidR="00C14E6F">
        <w:t>c</w:t>
      </w:r>
      <w:r>
        <w:t>, FPG, 2</w:t>
      </w:r>
      <w:r w:rsidR="00C14E6F">
        <w:t> </w:t>
      </w:r>
      <w:r>
        <w:t xml:space="preserve">hour PMG, body weight </w:t>
      </w:r>
      <w:r w:rsidRPr="00E85047">
        <w:t xml:space="preserve">and sitting </w:t>
      </w:r>
      <w:r>
        <w:t xml:space="preserve">SBP </w:t>
      </w:r>
      <w:r w:rsidRPr="00E85047">
        <w:t>with the E15/S100 combination, relative to the E5/S100</w:t>
      </w:r>
      <w:r>
        <w:t xml:space="preserve"> </w:t>
      </w:r>
      <w:r w:rsidRPr="00E85047">
        <w:t>combination</w:t>
      </w:r>
      <w:r>
        <w:t>, although the</w:t>
      </w:r>
      <w:r w:rsidR="006F48AD">
        <w:t xml:space="preserve"> </w:t>
      </w:r>
      <w:r w:rsidRPr="00E85047">
        <w:t>differences between the 2 co</w:t>
      </w:r>
      <w:r>
        <w:t>-</w:t>
      </w:r>
      <w:r w:rsidRPr="00E85047">
        <w:t>administration groups were small for these</w:t>
      </w:r>
      <w:r>
        <w:t xml:space="preserve"> </w:t>
      </w:r>
      <w:r w:rsidRPr="00E85047">
        <w:t>endpoints</w:t>
      </w:r>
      <w:r>
        <w:t>.</w:t>
      </w:r>
    </w:p>
    <w:p w:rsidR="00B37C25" w:rsidRPr="00AD4B5A" w:rsidRDefault="00C14E6F" w:rsidP="00E957A2">
      <w:pPr>
        <w:rPr>
          <w:b/>
          <w:color w:val="000000"/>
        </w:rPr>
      </w:pPr>
      <w:r>
        <w:rPr>
          <w:rFonts w:eastAsia="TimesNewRoman" w:cs="TimesNewRoman"/>
        </w:rPr>
        <w:t xml:space="preserve">Study </w:t>
      </w:r>
      <w:r w:rsidR="00B37C25" w:rsidRPr="00D53EC4">
        <w:rPr>
          <w:rFonts w:eastAsia="TimesNewRoman" w:cs="TimesNewRoman"/>
        </w:rPr>
        <w:t>P006/1015</w:t>
      </w:r>
      <w:r w:rsidR="00B37C25">
        <w:rPr>
          <w:rFonts w:eastAsia="TimesNewRoman" w:cs="TimesNewRoman"/>
        </w:rPr>
        <w:t xml:space="preserve"> </w:t>
      </w:r>
      <w:r w:rsidR="00B37C25">
        <w:t xml:space="preserve">was a well-conducted pivotal </w:t>
      </w:r>
      <w:r w:rsidR="009B2F3C">
        <w:t>Phase III</w:t>
      </w:r>
      <w:r w:rsidR="00B37C25">
        <w:t xml:space="preserve"> study which evaluated the efficacy and safety of </w:t>
      </w:r>
      <w:r w:rsidR="00B37C25" w:rsidRPr="00AD4B5A">
        <w:t>the addition of ertugliflozin</w:t>
      </w:r>
      <w:r w:rsidR="00B37C25">
        <w:t xml:space="preserve"> </w:t>
      </w:r>
      <w:r w:rsidR="00B37C25" w:rsidRPr="00AD4B5A">
        <w:t xml:space="preserve">(5 mg and 15 mg </w:t>
      </w:r>
      <w:r w:rsidR="00D53EC4">
        <w:t>QD</w:t>
      </w:r>
      <w:r w:rsidR="00B37C25" w:rsidRPr="00AD4B5A">
        <w:t xml:space="preserve">) </w:t>
      </w:r>
      <w:r w:rsidR="00B37C25">
        <w:t xml:space="preserve">compared with the </w:t>
      </w:r>
      <w:r w:rsidR="00B37C25" w:rsidRPr="00AD4B5A">
        <w:t>addition of placebo to combination therapy with</w:t>
      </w:r>
      <w:r w:rsidR="00B37C25">
        <w:t xml:space="preserve"> </w:t>
      </w:r>
      <w:r w:rsidR="00B37C25" w:rsidRPr="00AD4B5A">
        <w:t xml:space="preserve">metformin </w:t>
      </w:r>
      <w:r w:rsidR="00F7529C">
        <w:t xml:space="preserve">≥ </w:t>
      </w:r>
      <w:r w:rsidR="00B37C25" w:rsidRPr="00AD4B5A">
        <w:t xml:space="preserve">1500 mg/day and sitagliptin 100 mg </w:t>
      </w:r>
      <w:r w:rsidR="00D53EC4">
        <w:t>QD</w:t>
      </w:r>
      <w:r w:rsidR="00B37C25" w:rsidRPr="00AD4B5A">
        <w:t xml:space="preserve"> in </w:t>
      </w:r>
      <w:r w:rsidR="00B37C25">
        <w:t xml:space="preserve">463 </w:t>
      </w:r>
      <w:r w:rsidR="00B37C25" w:rsidRPr="00AD4B5A">
        <w:t>subjects with T2DM and inadequate</w:t>
      </w:r>
      <w:r w:rsidR="00B37C25">
        <w:t xml:space="preserve"> </w:t>
      </w:r>
      <w:r w:rsidR="00B37C25" w:rsidRPr="00AD4B5A">
        <w:t xml:space="preserve">glycaemic control. </w:t>
      </w:r>
      <w:r w:rsidR="00B37C25">
        <w:rPr>
          <w:rFonts w:eastAsia="TimesNewRoman" w:cs="TimesNewRoman"/>
        </w:rPr>
        <w:t>E</w:t>
      </w:r>
      <w:r w:rsidR="00B37C25" w:rsidRPr="000F7357">
        <w:rPr>
          <w:rFonts w:eastAsia="TimesNewRoman" w:cs="TimesNewRoman"/>
        </w:rPr>
        <w:t>rtugliflozin 15 mg and 5 mg, as add-on to sitagliptin and metformin dual therapy</w:t>
      </w:r>
      <w:r w:rsidR="00B37C25">
        <w:rPr>
          <w:rFonts w:eastAsia="TimesNewRoman" w:cs="TimesNewRoman"/>
        </w:rPr>
        <w:t xml:space="preserve"> </w:t>
      </w:r>
      <w:r w:rsidR="00B37C25" w:rsidRPr="000F7357">
        <w:rPr>
          <w:rFonts w:eastAsia="TimesNewRoman" w:cs="TimesNewRoman"/>
        </w:rPr>
        <w:t>provide</w:t>
      </w:r>
      <w:r w:rsidR="00B37C25">
        <w:rPr>
          <w:rFonts w:eastAsia="TimesNewRoman" w:cs="TimesNewRoman"/>
        </w:rPr>
        <w:t>d</w:t>
      </w:r>
      <w:r w:rsidR="00B37C25" w:rsidRPr="000F7357">
        <w:rPr>
          <w:rFonts w:eastAsia="TimesNewRoman" w:cs="TimesNewRoman"/>
        </w:rPr>
        <w:t xml:space="preserve"> clinically meaningful improvements in glyc</w:t>
      </w:r>
      <w:r w:rsidR="00B37C25">
        <w:rPr>
          <w:rFonts w:eastAsia="TimesNewRoman" w:cs="TimesNewRoman"/>
        </w:rPr>
        <w:t>a</w:t>
      </w:r>
      <w:r w:rsidR="00B37C25" w:rsidRPr="000F7357">
        <w:rPr>
          <w:rFonts w:eastAsia="TimesNewRoman" w:cs="TimesNewRoman"/>
        </w:rPr>
        <w:t>emic control (</w:t>
      </w:r>
      <w:r w:rsidRPr="000F7357">
        <w:rPr>
          <w:rFonts w:eastAsia="TimesNewRoman" w:cs="TimesNewRoman"/>
        </w:rPr>
        <w:t>A1</w:t>
      </w:r>
      <w:r>
        <w:rPr>
          <w:rFonts w:eastAsia="TimesNewRoman" w:cs="TimesNewRoman"/>
        </w:rPr>
        <w:t>c</w:t>
      </w:r>
      <w:r w:rsidR="00B37C25" w:rsidRPr="000F7357">
        <w:rPr>
          <w:rFonts w:eastAsia="TimesNewRoman" w:cs="TimesNewRoman"/>
        </w:rPr>
        <w:t>, FPG, and</w:t>
      </w:r>
      <w:r w:rsidR="00B37C25">
        <w:rPr>
          <w:rFonts w:eastAsia="TimesNewRoman" w:cs="TimesNewRoman"/>
        </w:rPr>
        <w:t xml:space="preserve"> </w:t>
      </w:r>
      <w:r w:rsidR="00B37C25" w:rsidRPr="000F7357">
        <w:rPr>
          <w:rFonts w:eastAsia="TimesNewRoman" w:cs="TimesNewRoman"/>
        </w:rPr>
        <w:t xml:space="preserve">proportion of patients with </w:t>
      </w:r>
      <w:r w:rsidRPr="000F7357">
        <w:rPr>
          <w:rFonts w:eastAsia="TimesNewRoman" w:cs="TimesNewRoman"/>
        </w:rPr>
        <w:t>A1</w:t>
      </w:r>
      <w:r>
        <w:rPr>
          <w:rFonts w:eastAsia="TimesNewRoman" w:cs="TimesNewRoman"/>
        </w:rPr>
        <w:t>c</w:t>
      </w:r>
      <w:r w:rsidRPr="000F7357">
        <w:rPr>
          <w:rFonts w:eastAsia="TimesNewRoman" w:cs="TimesNewRoman"/>
        </w:rPr>
        <w:t xml:space="preserve"> </w:t>
      </w:r>
      <w:r w:rsidR="00B37C25" w:rsidRPr="000F7357">
        <w:rPr>
          <w:rFonts w:eastAsia="TimesNewRoman" w:cs="TimesNewRoman"/>
        </w:rPr>
        <w:t>&lt;</w:t>
      </w:r>
      <w:r w:rsidR="00884A9A">
        <w:rPr>
          <w:rFonts w:eastAsia="TimesNewRoman" w:cs="TimesNewRoman"/>
        </w:rPr>
        <w:t xml:space="preserve"> </w:t>
      </w:r>
      <w:r w:rsidR="00B37C25" w:rsidRPr="000F7357">
        <w:rPr>
          <w:rFonts w:eastAsia="TimesNewRoman" w:cs="TimesNewRoman"/>
        </w:rPr>
        <w:t>7.0%), as well as body weight and SBP reductions</w:t>
      </w:r>
      <w:r w:rsidR="00B37C25">
        <w:rPr>
          <w:rFonts w:eastAsia="TimesNewRoman" w:cs="TimesNewRoman"/>
        </w:rPr>
        <w:t xml:space="preserve"> compared to placebo. </w:t>
      </w:r>
      <w:r w:rsidR="00B37C25">
        <w:t>S</w:t>
      </w:r>
      <w:r w:rsidR="00B37C25" w:rsidRPr="00AD4B5A">
        <w:t xml:space="preserve">ingle-agent or dual therapies </w:t>
      </w:r>
      <w:r w:rsidR="00B37C25">
        <w:t xml:space="preserve">are often found </w:t>
      </w:r>
      <w:r w:rsidR="00B37C25" w:rsidRPr="00AD4B5A">
        <w:t>to be</w:t>
      </w:r>
      <w:r w:rsidR="00B37C25">
        <w:t xml:space="preserve"> </w:t>
      </w:r>
      <w:r w:rsidR="00B37C25" w:rsidRPr="00AD4B5A">
        <w:t>insufficient to control blood glucose over time</w:t>
      </w:r>
      <w:r w:rsidR="00B37C25" w:rsidRPr="00A7258E">
        <w:t xml:space="preserve"> </w:t>
      </w:r>
      <w:r w:rsidR="00B37C25">
        <w:t xml:space="preserve">due to the </w:t>
      </w:r>
      <w:r w:rsidR="00B37C25" w:rsidRPr="00AD4B5A">
        <w:t>progressive nature of diabetes</w:t>
      </w:r>
      <w:r w:rsidR="00B37C25">
        <w:t xml:space="preserve">. </w:t>
      </w:r>
      <w:r w:rsidR="00B37C25" w:rsidRPr="00AD4B5A">
        <w:t>The addition of a third oral antidiabetic</w:t>
      </w:r>
      <w:r w:rsidR="00B37C25">
        <w:t xml:space="preserve"> </w:t>
      </w:r>
      <w:r w:rsidR="00B37C25" w:rsidRPr="00AD4B5A">
        <w:t>agent, with a different mechanism of action is often needed at a certain point of disease</w:t>
      </w:r>
      <w:r w:rsidR="00B37C25">
        <w:t xml:space="preserve"> </w:t>
      </w:r>
      <w:r w:rsidR="00B37C25" w:rsidRPr="00AD4B5A">
        <w:t>progression. Ertugliflozin, with a distinct mechanism-of-action relative to DPP-4</w:t>
      </w:r>
      <w:r w:rsidR="00B37C25">
        <w:t xml:space="preserve"> </w:t>
      </w:r>
      <w:r w:rsidR="00B37C25" w:rsidRPr="00AD4B5A">
        <w:t>inhibitors and metformin, is a reasonable choice as a third</w:t>
      </w:r>
      <w:r>
        <w:t xml:space="preserve"> </w:t>
      </w:r>
      <w:r w:rsidR="00B37C25" w:rsidRPr="00AD4B5A">
        <w:t>line therapy. The study</w:t>
      </w:r>
      <w:r w:rsidR="00B37C25">
        <w:t xml:space="preserve"> </w:t>
      </w:r>
      <w:r w:rsidR="00B37C25" w:rsidRPr="00AD4B5A">
        <w:t xml:space="preserve">population, with a mean duration of diabetes of 9.5 years and mean </w:t>
      </w:r>
      <w:r w:rsidRPr="00AD4B5A">
        <w:t>A1</w:t>
      </w:r>
      <w:r>
        <w:t>c</w:t>
      </w:r>
      <w:r w:rsidRPr="00AD4B5A">
        <w:t xml:space="preserve"> </w:t>
      </w:r>
      <w:r w:rsidR="00B37C25" w:rsidRPr="00AD4B5A">
        <w:t>of 8%</w:t>
      </w:r>
      <w:r w:rsidR="00B37C25">
        <w:t xml:space="preserve"> d</w:t>
      </w:r>
      <w:r w:rsidR="00B37C25" w:rsidRPr="00AD4B5A">
        <w:t>espite</w:t>
      </w:r>
      <w:r w:rsidR="00B37C25">
        <w:t xml:space="preserve"> </w:t>
      </w:r>
      <w:r w:rsidR="00B37C25" w:rsidRPr="00AD4B5A">
        <w:t>combination therapy with metformin and sitagliptin, was representative of patients who may</w:t>
      </w:r>
      <w:r w:rsidR="00B37C25">
        <w:t xml:space="preserve"> </w:t>
      </w:r>
      <w:r w:rsidR="00B37C25" w:rsidRPr="00AD4B5A">
        <w:t>need an additional third-line therapy.</w:t>
      </w:r>
    </w:p>
    <w:p w:rsidR="00B37C25" w:rsidRPr="003650F0" w:rsidRDefault="00D53EC4" w:rsidP="00D53EC4">
      <w:pPr>
        <w:pStyle w:val="Heading4"/>
      </w:pPr>
      <w:r>
        <w:t>Dose-response</w:t>
      </w:r>
    </w:p>
    <w:p w:rsidR="00B37C25" w:rsidRDefault="00B37C25" w:rsidP="00E957A2">
      <w:r w:rsidRPr="003650F0">
        <w:t>Ertugliflozin 15 mg demonstrated a consistent numerically greater glyc</w:t>
      </w:r>
      <w:r>
        <w:t>a</w:t>
      </w:r>
      <w:r w:rsidRPr="003650F0">
        <w:t>emic efficacy</w:t>
      </w:r>
      <w:r>
        <w:t xml:space="preserve"> </w:t>
      </w:r>
      <w:r w:rsidRPr="003650F0">
        <w:t>compared to ertugliflozin 5 mg. In the add-on to</w:t>
      </w:r>
      <w:r>
        <w:t xml:space="preserve"> </w:t>
      </w:r>
      <w:r w:rsidRPr="003650F0">
        <w:t>metformin and sitagliptin</w:t>
      </w:r>
      <w:r w:rsidR="006F48AD">
        <w:t xml:space="preserve"> </w:t>
      </w:r>
      <w:r w:rsidRPr="003650F0">
        <w:t>(</w:t>
      </w:r>
      <w:r w:rsidR="00BC7DA5">
        <w:t>Study P0</w:t>
      </w:r>
      <w:r w:rsidRPr="003650F0">
        <w:t>06/1015), ertugliflozin 15 mg provided numerically</w:t>
      </w:r>
      <w:r>
        <w:t xml:space="preserve"> </w:t>
      </w:r>
      <w:r w:rsidRPr="003650F0">
        <w:t xml:space="preserve">greater A1C and FPG reductions and resulted in a greater proportion of subjects with an </w:t>
      </w:r>
      <w:r w:rsidR="00C14E6F" w:rsidRPr="003650F0">
        <w:t>A1</w:t>
      </w:r>
      <w:r w:rsidR="00C14E6F">
        <w:t xml:space="preserve">c </w:t>
      </w:r>
      <w:r w:rsidRPr="003650F0">
        <w:t>&lt;</w:t>
      </w:r>
      <w:r w:rsidR="00884A9A">
        <w:t xml:space="preserve"> </w:t>
      </w:r>
      <w:r w:rsidRPr="003650F0">
        <w:t xml:space="preserve">7.0% at Week 26 compared to the ertugliflozin 5 mg. </w:t>
      </w:r>
      <w:r>
        <w:t xml:space="preserve">A </w:t>
      </w:r>
      <w:r w:rsidRPr="003650F0">
        <w:t xml:space="preserve">clear difference on </w:t>
      </w:r>
      <w:r w:rsidR="00C14E6F" w:rsidRPr="003650F0">
        <w:t>A1</w:t>
      </w:r>
      <w:r w:rsidR="00C14E6F">
        <w:t xml:space="preserve">c </w:t>
      </w:r>
      <w:r w:rsidRPr="003650F0">
        <w:t>lowering between ertugliflozin 15 mg + sitagliptin 100 mg and ertugliflozin 5 mg +</w:t>
      </w:r>
      <w:r>
        <w:t xml:space="preserve"> </w:t>
      </w:r>
      <w:r w:rsidRPr="003650F0">
        <w:t>sitagliptin 100 mg was not observed in the 2 studies where sitagliptin and ertugliflozin were</w:t>
      </w:r>
      <w:r>
        <w:t xml:space="preserve"> </w:t>
      </w:r>
      <w:r w:rsidRPr="003650F0">
        <w:t>co-initiated</w:t>
      </w:r>
      <w:r>
        <w:t xml:space="preserve"> and in fact the proportion of subjects with </w:t>
      </w:r>
      <w:r w:rsidR="00C14E6F">
        <w:t xml:space="preserve">A1c </w:t>
      </w:r>
      <w:r>
        <w:t>&lt;</w:t>
      </w:r>
      <w:r w:rsidR="00884A9A">
        <w:t xml:space="preserve"> </w:t>
      </w:r>
      <w:r>
        <w:t xml:space="preserve">7% was numerically greater with the lower </w:t>
      </w:r>
      <w:r w:rsidR="006F48AD">
        <w:t>5 mg</w:t>
      </w:r>
      <w:r>
        <w:t xml:space="preserve"> ertugliflozin dose compared to the 1</w:t>
      </w:r>
      <w:r w:rsidR="006F48AD">
        <w:t>5 mg</w:t>
      </w:r>
      <w:r>
        <w:t xml:space="preserve"> dose. </w:t>
      </w:r>
      <w:r w:rsidRPr="003650F0">
        <w:t>A dose-response for weight loss was not clearly observed between co-administration of</w:t>
      </w:r>
      <w:r>
        <w:t xml:space="preserve"> </w:t>
      </w:r>
      <w:r w:rsidRPr="003650F0">
        <w:t>ertugliflozin 15</w:t>
      </w:r>
      <w:r w:rsidR="00C14E6F">
        <w:t> </w:t>
      </w:r>
      <w:r w:rsidRPr="003650F0">
        <w:t>mg/sitagliptin 100 mg and ertugl</w:t>
      </w:r>
      <w:r>
        <w:t>iflozin 5 mg/sitagliptin 100 mg.</w:t>
      </w:r>
    </w:p>
    <w:p w:rsidR="00884A9A" w:rsidRDefault="00B37C25" w:rsidP="00E957A2">
      <w:r>
        <w:t xml:space="preserve">However, </w:t>
      </w:r>
      <w:r w:rsidRPr="003650F0">
        <w:t>reductions in FPG and</w:t>
      </w:r>
      <w:r>
        <w:t xml:space="preserve"> </w:t>
      </w:r>
      <w:r w:rsidR="000E01BE">
        <w:t>2 h PPG</w:t>
      </w:r>
      <w:r w:rsidRPr="003650F0">
        <w:t xml:space="preserve"> were numerically greater for E15/S100 compared to E5/S100 in both</w:t>
      </w:r>
      <w:r>
        <w:t xml:space="preserve"> Studies P005/1019 and P017/1047. Furthermore, e</w:t>
      </w:r>
      <w:r w:rsidRPr="003650F0">
        <w:t xml:space="preserve">rtugliflozin </w:t>
      </w:r>
      <w:r w:rsidRPr="003650F0">
        <w:lastRenderedPageBreak/>
        <w:t>15</w:t>
      </w:r>
      <w:r w:rsidR="00C14E6F">
        <w:t> </w:t>
      </w:r>
      <w:r w:rsidRPr="003650F0">
        <w:t xml:space="preserve">mg/sitagliptin 100 mg </w:t>
      </w:r>
      <w:r>
        <w:t xml:space="preserve">also </w:t>
      </w:r>
      <w:r w:rsidRPr="003650F0">
        <w:t>showed a numerically greater SBP reduction</w:t>
      </w:r>
      <w:r>
        <w:t xml:space="preserve"> </w:t>
      </w:r>
      <w:r w:rsidRPr="003650F0">
        <w:t>compared to ertugliflozin 5 mg/sitagliptin 100 in the 2 studies where the drugs were</w:t>
      </w:r>
      <w:r>
        <w:t xml:space="preserve"> </w:t>
      </w:r>
      <w:r w:rsidRPr="003650F0">
        <w:t>co-initiated. When added on to metformin and sitagliptin, ertugliflozin 15 mg resulted in</w:t>
      </w:r>
      <w:r>
        <w:t xml:space="preserve"> </w:t>
      </w:r>
      <w:r w:rsidRPr="003650F0">
        <w:t>numerically greater reductions in SBP than ertugliflozin 5 mg</w:t>
      </w:r>
      <w:r w:rsidR="00884A9A">
        <w:t>.</w:t>
      </w:r>
    </w:p>
    <w:p w:rsidR="00B37C25" w:rsidRPr="004814C0" w:rsidRDefault="00B37C25" w:rsidP="00D53EC4">
      <w:pPr>
        <w:pStyle w:val="Heading4"/>
      </w:pPr>
      <w:r w:rsidRPr="004814C0">
        <w:t>Lon</w:t>
      </w:r>
      <w:r w:rsidR="00D53EC4">
        <w:t>g-term maintenance of efficacy</w:t>
      </w:r>
    </w:p>
    <w:p w:rsidR="00B37C25" w:rsidRDefault="00B37C25" w:rsidP="00E957A2">
      <w:r w:rsidRPr="004814C0">
        <w:t>The persistence of efficacy for sitagliptin has been demonstrated in a number of clinical</w:t>
      </w:r>
      <w:r>
        <w:t xml:space="preserve"> </w:t>
      </w:r>
      <w:r w:rsidRPr="004814C0">
        <w:t>studies. A 52</w:t>
      </w:r>
      <w:r w:rsidR="00884A9A">
        <w:t xml:space="preserve"> </w:t>
      </w:r>
      <w:r w:rsidRPr="004814C0">
        <w:t>week study showed that efficacy of sitagliptin was sustained for 52 weeks, and</w:t>
      </w:r>
      <w:r>
        <w:t xml:space="preserve"> </w:t>
      </w:r>
      <w:r w:rsidRPr="004814C0">
        <w:t>is presented in the sitagliptin label. The extension</w:t>
      </w:r>
      <w:r>
        <w:t xml:space="preserve"> </w:t>
      </w:r>
      <w:r w:rsidRPr="004814C0">
        <w:t xml:space="preserve">of this study showed that the efficacy of sitagliptin was sustained for 104 </w:t>
      </w:r>
      <w:r w:rsidRPr="00884A9A">
        <w:t xml:space="preserve">weeks (Seck, 2010). Ertugliflozin co-administered with sitagliptin demonstrated stable </w:t>
      </w:r>
      <w:r w:rsidR="00C14E6F" w:rsidRPr="00884A9A">
        <w:t>A1</w:t>
      </w:r>
      <w:r w:rsidR="00C14E6F">
        <w:t>c</w:t>
      </w:r>
      <w:r w:rsidR="00C14E6F" w:rsidRPr="00884A9A">
        <w:t xml:space="preserve"> </w:t>
      </w:r>
      <w:r w:rsidRPr="00884A9A">
        <w:t>lowering over a period</w:t>
      </w:r>
      <w:r w:rsidRPr="004814C0">
        <w:t xml:space="preserve"> of 26 weeks when compared to placebo (</w:t>
      </w:r>
      <w:r w:rsidR="00BC7DA5">
        <w:t>Study P0</w:t>
      </w:r>
      <w:r w:rsidRPr="004814C0">
        <w:t>17/1047) and when</w:t>
      </w:r>
      <w:r>
        <w:t xml:space="preserve"> </w:t>
      </w:r>
      <w:r w:rsidRPr="004814C0">
        <w:t xml:space="preserve">compared to each individual agent (ertugliflozin alone or sitagliptin alone; </w:t>
      </w:r>
      <w:r w:rsidR="00BC7DA5">
        <w:t>Study P0</w:t>
      </w:r>
      <w:r w:rsidRPr="004814C0">
        <w:t>05/1019).</w:t>
      </w:r>
      <w:r>
        <w:t xml:space="preserve"> </w:t>
      </w:r>
      <w:r w:rsidRPr="004814C0">
        <w:t>Similar observations were made for FPG</w:t>
      </w:r>
      <w:r>
        <w:t xml:space="preserve"> and lowering of body weight and SBP</w:t>
      </w:r>
      <w:r w:rsidRPr="004814C0">
        <w:t xml:space="preserve"> in these studies. These data combined with the</w:t>
      </w:r>
      <w:r>
        <w:t xml:space="preserve"> </w:t>
      </w:r>
      <w:r w:rsidRPr="004814C0">
        <w:t>efficacy durability data for sitagliptin suggest that co-administration of ertugliflozin and</w:t>
      </w:r>
      <w:r>
        <w:t xml:space="preserve"> </w:t>
      </w:r>
      <w:r w:rsidRPr="004814C0">
        <w:t xml:space="preserve">sitagliptin will </w:t>
      </w:r>
      <w:r>
        <w:t xml:space="preserve">have beneficial effects on glycaemic parameters and other endpoints such as reduction in body weight and SBP </w:t>
      </w:r>
      <w:r w:rsidRPr="004814C0">
        <w:t>to at least 26 weeks</w:t>
      </w:r>
      <w:r>
        <w:t>. However, there is no evidence to confirm efficacy of proposed FDC beyond 26 weeks at this stage.</w:t>
      </w:r>
    </w:p>
    <w:p w:rsidR="00B37C25" w:rsidRDefault="00B37C25" w:rsidP="00D53EC4">
      <w:pPr>
        <w:pStyle w:val="Heading2"/>
      </w:pPr>
      <w:bookmarkStart w:id="270" w:name="_Toc504036134"/>
      <w:bookmarkStart w:id="271" w:name="_Toc4573588"/>
      <w:r>
        <w:t>Clinical safety</w:t>
      </w:r>
      <w:bookmarkEnd w:id="270"/>
      <w:bookmarkEnd w:id="271"/>
    </w:p>
    <w:p w:rsidR="00B37C25" w:rsidRDefault="00B37C25">
      <w:pPr>
        <w:pStyle w:val="Heading3"/>
      </w:pPr>
      <w:bookmarkStart w:id="272" w:name="_Toc272414659"/>
      <w:bookmarkStart w:id="273" w:name="_Toc290888510"/>
      <w:bookmarkStart w:id="274" w:name="_Toc416353726"/>
      <w:bookmarkStart w:id="275" w:name="_Toc421005274"/>
      <w:bookmarkStart w:id="276" w:name="_Toc432079156"/>
      <w:bookmarkStart w:id="277" w:name="_Toc432080729"/>
      <w:bookmarkStart w:id="278" w:name="_Toc504036135"/>
      <w:bookmarkStart w:id="279" w:name="_Toc4573589"/>
      <w:r w:rsidRPr="00545B14">
        <w:t>Studies providing evaluable safety data</w:t>
      </w:r>
      <w:bookmarkEnd w:id="272"/>
      <w:bookmarkEnd w:id="273"/>
      <w:bookmarkEnd w:id="274"/>
      <w:bookmarkEnd w:id="275"/>
      <w:bookmarkEnd w:id="276"/>
      <w:bookmarkEnd w:id="277"/>
      <w:bookmarkEnd w:id="278"/>
      <w:bookmarkEnd w:id="279"/>
    </w:p>
    <w:p w:rsidR="00B37C25" w:rsidRPr="007F3BC6" w:rsidRDefault="00B37C25" w:rsidP="00E957A2">
      <w:pPr>
        <w:rPr>
          <w:lang w:eastAsia="ja-JP"/>
        </w:rPr>
      </w:pPr>
      <w:r>
        <w:t xml:space="preserve">Data for </w:t>
      </w:r>
      <w:r w:rsidRPr="007F3BC6">
        <w:t>the safety and</w:t>
      </w:r>
      <w:r>
        <w:t xml:space="preserve"> </w:t>
      </w:r>
      <w:r w:rsidRPr="007F3BC6">
        <w:t xml:space="preserve">tolerability of the ertugliflozin/sitagliptin FDC </w:t>
      </w:r>
      <w:r>
        <w:t>wa</w:t>
      </w:r>
      <w:r w:rsidRPr="007F3BC6">
        <w:t>s based upon 3</w:t>
      </w:r>
      <w:r w:rsidR="00C14E6F">
        <w:t> </w:t>
      </w:r>
      <w:r w:rsidR="009B2F3C">
        <w:t>Phase</w:t>
      </w:r>
      <w:r w:rsidR="00C14E6F">
        <w:t> </w:t>
      </w:r>
      <w:r w:rsidR="009B2F3C">
        <w:t>III</w:t>
      </w:r>
      <w:r w:rsidRPr="007F3BC6">
        <w:t xml:space="preserve"> clinical studies of</w:t>
      </w:r>
      <w:r>
        <w:t xml:space="preserve"> </w:t>
      </w:r>
      <w:r w:rsidRPr="007F3BC6">
        <w:t>ertugliflozin administered in combinatio</w:t>
      </w:r>
      <w:r>
        <w:t xml:space="preserve">n with sitagliptin, including one </w:t>
      </w:r>
      <w:r w:rsidRPr="007F3BC6">
        <w:t>factorial study</w:t>
      </w:r>
      <w:r>
        <w:t xml:space="preserve"> </w:t>
      </w:r>
      <w:r w:rsidRPr="007F3BC6">
        <w:t>(</w:t>
      </w:r>
      <w:r w:rsidR="00C14E6F">
        <w:t xml:space="preserve">Study </w:t>
      </w:r>
      <w:r w:rsidRPr="007F3BC6">
        <w:t xml:space="preserve">P005/1019) and </w:t>
      </w:r>
      <w:r>
        <w:t>two</w:t>
      </w:r>
      <w:r w:rsidRPr="007F3BC6">
        <w:t xml:space="preserve"> placebo-controlled studies (</w:t>
      </w:r>
      <w:r w:rsidR="00C14E6F">
        <w:t xml:space="preserve">Studies </w:t>
      </w:r>
      <w:r w:rsidRPr="007F3BC6">
        <w:t>P006/1015 and</w:t>
      </w:r>
      <w:r>
        <w:t xml:space="preserve"> </w:t>
      </w:r>
      <w:r w:rsidRPr="007F3BC6">
        <w:t>P017/1047).</w:t>
      </w:r>
    </w:p>
    <w:p w:rsidR="00B37C25" w:rsidRDefault="00B37C25" w:rsidP="00E957A2">
      <w:r w:rsidRPr="007F3BC6">
        <w:t>Due to differences in study design and patient populations, safety data from the</w:t>
      </w:r>
      <w:r>
        <w:t xml:space="preserve"> </w:t>
      </w:r>
      <w:r w:rsidRPr="007F3BC6">
        <w:t>3 individual studies were not pooled for analysis, and therefore, data are presented from the</w:t>
      </w:r>
      <w:r>
        <w:t xml:space="preserve"> </w:t>
      </w:r>
      <w:r w:rsidRPr="007F3BC6">
        <w:t>individual studies.</w:t>
      </w:r>
    </w:p>
    <w:p w:rsidR="00B37C25" w:rsidRPr="00C3572A" w:rsidRDefault="00B37C25" w:rsidP="00D53EC4">
      <w:pPr>
        <w:pStyle w:val="Heading3"/>
      </w:pPr>
      <w:bookmarkStart w:id="280" w:name="_Toc421005275"/>
      <w:bookmarkStart w:id="281" w:name="_Toc432079157"/>
      <w:bookmarkStart w:id="282" w:name="_Toc432080730"/>
      <w:bookmarkStart w:id="283" w:name="_Toc504036136"/>
      <w:bookmarkStart w:id="284" w:name="_Toc4573590"/>
      <w:r>
        <w:t>P</w:t>
      </w:r>
      <w:r w:rsidRPr="00C3572A">
        <w:t>ivotal studies that assessed safety as the sole primary outcome</w:t>
      </w:r>
      <w:bookmarkEnd w:id="280"/>
      <w:bookmarkEnd w:id="281"/>
      <w:bookmarkEnd w:id="282"/>
      <w:bookmarkEnd w:id="283"/>
      <w:bookmarkEnd w:id="284"/>
    </w:p>
    <w:p w:rsidR="00B37C25" w:rsidRDefault="00B37C25" w:rsidP="00B37C25">
      <w:pPr>
        <w:spacing w:before="0" w:line="240" w:lineRule="auto"/>
        <w:rPr>
          <w:lang w:eastAsia="ja-JP"/>
        </w:rPr>
      </w:pPr>
      <w:bookmarkStart w:id="285" w:name="_Ref268776745"/>
      <w:bookmarkStart w:id="286" w:name="_Toc421005276"/>
      <w:bookmarkStart w:id="287" w:name="_Toc432079158"/>
      <w:bookmarkStart w:id="288" w:name="_Toc432080731"/>
      <w:r>
        <w:rPr>
          <w:lang w:eastAsia="ja-JP"/>
        </w:rPr>
        <w:t>None.</w:t>
      </w:r>
    </w:p>
    <w:p w:rsidR="00B37C25" w:rsidRDefault="00B37C25" w:rsidP="00D53EC4">
      <w:pPr>
        <w:pStyle w:val="Heading3"/>
      </w:pPr>
      <w:bookmarkStart w:id="289" w:name="_Toc504036137"/>
      <w:bookmarkStart w:id="290" w:name="_Toc4573591"/>
      <w:r w:rsidRPr="00545B14">
        <w:t xml:space="preserve">Pivotal </w:t>
      </w:r>
      <w:r>
        <w:t xml:space="preserve">and/or main </w:t>
      </w:r>
      <w:r w:rsidRPr="00545B14">
        <w:t>efficacy studies</w:t>
      </w:r>
      <w:bookmarkEnd w:id="285"/>
      <w:bookmarkEnd w:id="286"/>
      <w:bookmarkEnd w:id="287"/>
      <w:bookmarkEnd w:id="288"/>
      <w:bookmarkEnd w:id="289"/>
      <w:bookmarkEnd w:id="290"/>
    </w:p>
    <w:p w:rsidR="00884A9A" w:rsidRDefault="00B37C25" w:rsidP="00E957A2">
      <w:r w:rsidRPr="00362C70">
        <w:t>Safety evaluat</w:t>
      </w:r>
      <w:r>
        <w:t xml:space="preserve">ions in all three </w:t>
      </w:r>
      <w:r w:rsidR="009B2F3C">
        <w:t>Phase III</w:t>
      </w:r>
      <w:r>
        <w:t xml:space="preserve"> studies </w:t>
      </w:r>
      <w:r w:rsidRPr="00362C70">
        <w:t>included the collection of adverse events</w:t>
      </w:r>
      <w:r>
        <w:t xml:space="preserve"> (AEs)</w:t>
      </w:r>
      <w:r w:rsidRPr="00362C70">
        <w:t>, laboratory tests (h</w:t>
      </w:r>
      <w:r>
        <w:t>aematology, chemistry</w:t>
      </w:r>
      <w:r w:rsidRPr="00362C70">
        <w:t xml:space="preserve"> and urinalysis), sitting blood pressure, orthostatic blood pressure (supine to standing), pulse</w:t>
      </w:r>
      <w:r>
        <w:t xml:space="preserve"> </w:t>
      </w:r>
      <w:r w:rsidRPr="00362C70">
        <w:t>rate (sitting, supine and standing), centrally-read 12-lead ECGs, physical examinations, and</w:t>
      </w:r>
      <w:r>
        <w:t xml:space="preserve"> </w:t>
      </w:r>
      <w:r w:rsidRPr="00362C70">
        <w:t xml:space="preserve">self-monitored blood glucose. CV, fracture, pancreatitis, renal and hepatic events in the 3 </w:t>
      </w:r>
      <w:r w:rsidR="009B2F3C">
        <w:t>Phase III</w:t>
      </w:r>
      <w:r w:rsidRPr="00362C70">
        <w:t xml:space="preserve"> studies as well as in the broader ertugliflozin development program, were subject to adjudication by 5 separate clinical adjudication committees</w:t>
      </w:r>
      <w:r w:rsidR="00884A9A">
        <w:t>.</w:t>
      </w:r>
    </w:p>
    <w:p w:rsidR="00B37C25" w:rsidRDefault="00C14E6F" w:rsidP="00E957A2">
      <w:r>
        <w:t xml:space="preserve">Study </w:t>
      </w:r>
      <w:r w:rsidR="00B37C25" w:rsidRPr="00362C70">
        <w:t>P005/1019</w:t>
      </w:r>
      <w:r>
        <w:t>, af</w:t>
      </w:r>
      <w:r w:rsidR="00B37C25" w:rsidRPr="00362C70">
        <w:t xml:space="preserve">actorial </w:t>
      </w:r>
      <w:r>
        <w:t>s</w:t>
      </w:r>
      <w:r w:rsidR="00B37C25" w:rsidRPr="00362C70">
        <w:t>tudy, which directly compared the safety and tolerability of ertugliflozin and</w:t>
      </w:r>
      <w:r w:rsidR="00B37C25">
        <w:t xml:space="preserve"> </w:t>
      </w:r>
      <w:r w:rsidR="00B37C25" w:rsidRPr="00362C70">
        <w:t>sitagliptin co-administration therapy to each individual treatment on a background of</w:t>
      </w:r>
      <w:r w:rsidR="00B37C25">
        <w:t xml:space="preserve"> </w:t>
      </w:r>
      <w:r w:rsidR="00B37C25" w:rsidRPr="00362C70">
        <w:t>metformin. Studies P006/1015 and P017/1047 provide safety and tolerability data in</w:t>
      </w:r>
      <w:r w:rsidR="00B37C25">
        <w:t xml:space="preserve"> </w:t>
      </w:r>
      <w:r w:rsidR="00B37C25" w:rsidRPr="00362C70">
        <w:t xml:space="preserve">2 additional settings: the use of ertugliflozin on a background of dual therapy </w:t>
      </w:r>
      <w:r w:rsidR="00B37C25">
        <w:t xml:space="preserve">with metformin </w:t>
      </w:r>
      <w:r w:rsidR="00B37C25" w:rsidRPr="00362C70">
        <w:t>and sitagliptin (</w:t>
      </w:r>
      <w:r w:rsidR="00BC7DA5">
        <w:t>Study P0</w:t>
      </w:r>
      <w:r w:rsidR="00B37C25" w:rsidRPr="00362C70">
        <w:t>06/1015) and as initial combination therapy with sitagliptin</w:t>
      </w:r>
      <w:r w:rsidR="00B37C25">
        <w:t xml:space="preserve"> </w:t>
      </w:r>
      <w:r w:rsidR="00B37C25" w:rsidRPr="00362C70">
        <w:t>(</w:t>
      </w:r>
      <w:r w:rsidR="00BC7DA5">
        <w:t>Study P0</w:t>
      </w:r>
      <w:r w:rsidR="00B37C25" w:rsidRPr="00362C70">
        <w:t>17/1047) in subjects with inadequate control on diet and exercise alone</w:t>
      </w:r>
      <w:r w:rsidR="00B37C25">
        <w:t>.</w:t>
      </w:r>
    </w:p>
    <w:p w:rsidR="00B37C25" w:rsidRPr="00884A9A" w:rsidRDefault="00B37C25" w:rsidP="00E957A2">
      <w:r w:rsidRPr="00362C70">
        <w:lastRenderedPageBreak/>
        <w:t>Analyses were performed in the All Subjects as Treated (ASaT) population, consisting of all</w:t>
      </w:r>
      <w:r>
        <w:t xml:space="preserve"> randomised</w:t>
      </w:r>
      <w:r w:rsidRPr="00362C70">
        <w:t xml:space="preserve"> subjects who received at least 1 dose of study medication</w:t>
      </w:r>
      <w:r>
        <w:t xml:space="preserve">. </w:t>
      </w:r>
      <w:r w:rsidRPr="00362C70">
        <w:t xml:space="preserve">Since initiation of </w:t>
      </w:r>
      <w:r>
        <w:t>glycaemic</w:t>
      </w:r>
      <w:r w:rsidRPr="00362C70">
        <w:t xml:space="preserve"> rescue therapy had the potential to confound certain safety</w:t>
      </w:r>
      <w:r>
        <w:t xml:space="preserve"> </w:t>
      </w:r>
      <w:r w:rsidRPr="00362C70">
        <w:t>assessments, some analyses were approached in 2 ways</w:t>
      </w:r>
      <w:r w:rsidR="00C14E6F">
        <w:t xml:space="preserve">, </w:t>
      </w:r>
      <w:r w:rsidRPr="00362C70">
        <w:t>excluding and including data after</w:t>
      </w:r>
      <w:r>
        <w:t xml:space="preserve"> </w:t>
      </w:r>
      <w:r w:rsidRPr="00362C70">
        <w:t xml:space="preserve">initiation of </w:t>
      </w:r>
      <w:r>
        <w:t>glycaemic</w:t>
      </w:r>
      <w:r w:rsidRPr="00362C70">
        <w:t xml:space="preserve"> rescue therapy. The excluding rescue approach censors data collected</w:t>
      </w:r>
      <w:r>
        <w:t xml:space="preserve"> </w:t>
      </w:r>
      <w:r w:rsidRPr="00362C70">
        <w:t xml:space="preserve">after the initiation of </w:t>
      </w:r>
      <w:r>
        <w:t>glycaemic</w:t>
      </w:r>
      <w:r w:rsidRPr="00362C70">
        <w:t xml:space="preserve"> rescue therapy, whereas the including rescue approach</w:t>
      </w:r>
      <w:r>
        <w:t xml:space="preserve"> </w:t>
      </w:r>
      <w:r w:rsidRPr="00362C70">
        <w:t xml:space="preserve">includes data regardless of </w:t>
      </w:r>
      <w:r>
        <w:t>glycaemic</w:t>
      </w:r>
      <w:r w:rsidRPr="00362C70">
        <w:t xml:space="preserve"> rescue therapy initiation. Except for assessments of hypoglycaemia, the </w:t>
      </w:r>
      <w:r w:rsidR="00330A13">
        <w:t>‘</w:t>
      </w:r>
      <w:r w:rsidRPr="00362C70">
        <w:t>including rescue approach</w:t>
      </w:r>
      <w:r w:rsidR="00330A13">
        <w:t>’</w:t>
      </w:r>
      <w:r w:rsidRPr="00362C70">
        <w:t xml:space="preserve"> was the primary approach for all safety endpoints. In each of the 3</w:t>
      </w:r>
      <w:r w:rsidR="00C14E6F">
        <w:t> </w:t>
      </w:r>
      <w:r w:rsidR="009B2F3C">
        <w:t>Phase III</w:t>
      </w:r>
      <w:r w:rsidRPr="00362C70">
        <w:t xml:space="preserve"> studies in this SCS, the analysis of safety data followed a tiered</w:t>
      </w:r>
      <w:r>
        <w:t xml:space="preserve"> </w:t>
      </w:r>
      <w:r w:rsidRPr="00362C70">
        <w:t xml:space="preserve">approach. The tiers differed with respect to the analyses that were performed. Tier 1 </w:t>
      </w:r>
      <w:r>
        <w:t xml:space="preserve">AEs </w:t>
      </w:r>
      <w:r w:rsidRPr="00362C70">
        <w:t xml:space="preserve">were pre-specified and included symptomatic hypoglycaemia, </w:t>
      </w:r>
      <w:r>
        <w:t xml:space="preserve">AEs </w:t>
      </w:r>
      <w:r w:rsidRPr="00362C70">
        <w:t>associated with urinary tract infection, male and female genital mycotic infection and</w:t>
      </w:r>
      <w:r>
        <w:t xml:space="preserve"> </w:t>
      </w:r>
      <w:r w:rsidRPr="00362C70">
        <w:t>hypovolemia. For these Tier 1 events, inferential testing provided statistical significance</w:t>
      </w:r>
      <w:r>
        <w:t xml:space="preserve"> </w:t>
      </w:r>
      <w:r w:rsidRPr="00362C70">
        <w:t>levels for between-group comparisons. Other safety parameters were considered Tier 2 or</w:t>
      </w:r>
      <w:r>
        <w:t xml:space="preserve"> </w:t>
      </w:r>
      <w:r w:rsidRPr="00362C70">
        <w:t>Tier 3. Tier 2 parameters were assessed via point estimates with 95% CIs provided for</w:t>
      </w:r>
      <w:r>
        <w:t xml:space="preserve"> </w:t>
      </w:r>
      <w:r w:rsidRPr="00362C70">
        <w:t>between-group comparisons; only point estimates by treatment group were provided for</w:t>
      </w:r>
      <w:r>
        <w:t xml:space="preserve"> </w:t>
      </w:r>
      <w:r w:rsidRPr="00362C70">
        <w:t xml:space="preserve">Tier 3 </w:t>
      </w:r>
      <w:r>
        <w:t xml:space="preserve">AEs </w:t>
      </w:r>
      <w:r w:rsidRPr="00362C70">
        <w:t xml:space="preserve">and PDLC laboratory </w:t>
      </w:r>
      <w:r w:rsidRPr="00884A9A">
        <w:t xml:space="preserve">parameters (Table </w:t>
      </w:r>
      <w:r w:rsidR="00D53EC4" w:rsidRPr="00E957A2">
        <w:t>13</w:t>
      </w:r>
      <w:r w:rsidRPr="00E957A2">
        <w:t>).</w:t>
      </w:r>
    </w:p>
    <w:p w:rsidR="00D53EC4" w:rsidRDefault="00D53EC4" w:rsidP="00D53EC4">
      <w:pPr>
        <w:pStyle w:val="Tabletitle"/>
      </w:pPr>
      <w:bookmarkStart w:id="291" w:name="_Ref493674713"/>
      <w:bookmarkStart w:id="292" w:name="_Toc504036246"/>
      <w:r>
        <w:t xml:space="preserve">Table 13: </w:t>
      </w:r>
      <w:r w:rsidR="00C14E6F">
        <w:t xml:space="preserve">Studies P005/1019, P006/1015 and P017/1047 </w:t>
      </w:r>
      <w:r>
        <w:t>Analysis strategy for safety parameters</w:t>
      </w:r>
      <w:bookmarkEnd w:id="291"/>
      <w:bookmarkEnd w:id="292"/>
    </w:p>
    <w:p w:rsidR="00D53EC4" w:rsidRDefault="00F7529C" w:rsidP="00D53EC4">
      <w:r>
        <w:t xml:space="preserve"> </w:t>
      </w:r>
      <w:r w:rsidR="00D53EC4">
        <w:rPr>
          <w:noProof/>
          <w:lang w:eastAsia="en-AU"/>
        </w:rPr>
        <w:drawing>
          <wp:inline distT="0" distB="0" distL="0" distR="0" wp14:anchorId="3CD98DA3" wp14:editId="011B6A2E">
            <wp:extent cx="4696358" cy="3953086"/>
            <wp:effectExtent l="19050" t="19050" r="28575" b="9525"/>
            <wp:docPr id="77" name="Picture 77" descr="Analysis strategy for safety parameters in Studies P005/1019, P006/1015 and P017/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4699955" cy="3956114"/>
                    </a:xfrm>
                    <a:prstGeom prst="rect">
                      <a:avLst/>
                    </a:prstGeom>
                    <a:noFill/>
                    <a:ln w="12700">
                      <a:solidFill>
                        <a:schemeClr val="tx1"/>
                      </a:solidFill>
                    </a:ln>
                  </pic:spPr>
                </pic:pic>
              </a:graphicData>
            </a:graphic>
          </wp:inline>
        </w:drawing>
      </w:r>
    </w:p>
    <w:p w:rsidR="00B37C25" w:rsidRDefault="00B37C25" w:rsidP="00447B4A">
      <w:pPr>
        <w:pStyle w:val="Heading3"/>
      </w:pPr>
      <w:bookmarkStart w:id="293" w:name="_Toc421005277"/>
      <w:bookmarkStart w:id="294" w:name="_Toc432079159"/>
      <w:bookmarkStart w:id="295" w:name="_Toc432080732"/>
      <w:bookmarkStart w:id="296" w:name="_Toc504036138"/>
      <w:bookmarkStart w:id="297" w:name="_Toc4573592"/>
      <w:r>
        <w:t>Other</w:t>
      </w:r>
      <w:r w:rsidRPr="00545B14">
        <w:t xml:space="preserve"> studies</w:t>
      </w:r>
      <w:bookmarkEnd w:id="293"/>
      <w:bookmarkEnd w:id="294"/>
      <w:bookmarkEnd w:id="295"/>
      <w:bookmarkEnd w:id="296"/>
      <w:bookmarkEnd w:id="297"/>
    </w:p>
    <w:p w:rsidR="00B37C25" w:rsidRDefault="00B37C25" w:rsidP="00447B4A">
      <w:pPr>
        <w:pStyle w:val="Heading4"/>
      </w:pPr>
      <w:r w:rsidRPr="00073FEC">
        <w:t>Studies evaluable for safety only</w:t>
      </w:r>
    </w:p>
    <w:p w:rsidR="00B37C25" w:rsidRDefault="00D53EC4" w:rsidP="00B37C25">
      <w:pPr>
        <w:spacing w:before="0" w:line="240" w:lineRule="auto"/>
        <w:rPr>
          <w:lang w:eastAsia="ja-JP"/>
        </w:rPr>
      </w:pPr>
      <w:bookmarkStart w:id="298" w:name="_Ref269204367"/>
      <w:bookmarkStart w:id="299" w:name="_Ref271195835"/>
      <w:bookmarkStart w:id="300" w:name="_Ref271195841"/>
      <w:bookmarkStart w:id="301" w:name="_Toc272414660"/>
      <w:bookmarkStart w:id="302" w:name="_Toc290888511"/>
      <w:bookmarkStart w:id="303" w:name="_Toc416353727"/>
      <w:bookmarkStart w:id="304" w:name="_Toc421005283"/>
      <w:bookmarkStart w:id="305" w:name="_Toc432079160"/>
      <w:bookmarkStart w:id="306" w:name="_Toc432080733"/>
      <w:r>
        <w:rPr>
          <w:lang w:eastAsia="ja-JP"/>
        </w:rPr>
        <w:t>None.</w:t>
      </w:r>
    </w:p>
    <w:p w:rsidR="00B37C25" w:rsidRDefault="00B37C25" w:rsidP="00447B4A">
      <w:pPr>
        <w:pStyle w:val="Heading3"/>
      </w:pPr>
      <w:bookmarkStart w:id="307" w:name="_Toc504036139"/>
      <w:bookmarkStart w:id="308" w:name="_Toc4573593"/>
      <w:r>
        <w:t>Studies that assessed safety as the sole</w:t>
      </w:r>
      <w:r w:rsidRPr="00545B14">
        <w:t xml:space="preserve"> primary outcome</w:t>
      </w:r>
      <w:bookmarkEnd w:id="298"/>
      <w:bookmarkEnd w:id="299"/>
      <w:bookmarkEnd w:id="300"/>
      <w:bookmarkEnd w:id="301"/>
      <w:bookmarkEnd w:id="302"/>
      <w:bookmarkEnd w:id="303"/>
      <w:bookmarkEnd w:id="304"/>
      <w:bookmarkEnd w:id="305"/>
      <w:bookmarkEnd w:id="306"/>
      <w:bookmarkEnd w:id="307"/>
      <w:bookmarkEnd w:id="308"/>
    </w:p>
    <w:p w:rsidR="00B37C25" w:rsidRDefault="00B37C25" w:rsidP="00B37C25">
      <w:pPr>
        <w:spacing w:before="0" w:line="240" w:lineRule="auto"/>
        <w:rPr>
          <w:lang w:eastAsia="ja-JP"/>
        </w:rPr>
      </w:pPr>
      <w:r>
        <w:rPr>
          <w:lang w:eastAsia="ja-JP"/>
        </w:rPr>
        <w:t>None.</w:t>
      </w:r>
    </w:p>
    <w:p w:rsidR="00B37C25" w:rsidRDefault="00B37C25" w:rsidP="00447B4A">
      <w:pPr>
        <w:pStyle w:val="Heading3"/>
      </w:pPr>
      <w:bookmarkStart w:id="309" w:name="_Toc241374318"/>
      <w:bookmarkStart w:id="310" w:name="_Ref271196630"/>
      <w:bookmarkStart w:id="311" w:name="_Toc272414662"/>
      <w:bookmarkStart w:id="312" w:name="_Toc290888526"/>
      <w:bookmarkStart w:id="313" w:name="_Toc416353742"/>
      <w:bookmarkStart w:id="314" w:name="_Toc421005285"/>
      <w:bookmarkStart w:id="315" w:name="_Toc432079162"/>
      <w:bookmarkStart w:id="316" w:name="_Toc432080735"/>
      <w:bookmarkStart w:id="317" w:name="_Toc504036140"/>
      <w:bookmarkStart w:id="318" w:name="_Toc4573594"/>
      <w:r w:rsidRPr="00545B14">
        <w:lastRenderedPageBreak/>
        <w:t>Patient exposure</w:t>
      </w:r>
      <w:bookmarkEnd w:id="309"/>
      <w:bookmarkEnd w:id="310"/>
      <w:bookmarkEnd w:id="311"/>
      <w:bookmarkEnd w:id="312"/>
      <w:bookmarkEnd w:id="313"/>
      <w:bookmarkEnd w:id="314"/>
      <w:bookmarkEnd w:id="315"/>
      <w:bookmarkEnd w:id="316"/>
      <w:bookmarkEnd w:id="317"/>
      <w:bookmarkEnd w:id="318"/>
    </w:p>
    <w:p w:rsidR="00884A9A" w:rsidRDefault="00B37C25" w:rsidP="00E957A2">
      <w:r w:rsidRPr="00995FB3">
        <w:t xml:space="preserve">Overall, 1985 subjects were </w:t>
      </w:r>
      <w:r>
        <w:t>randomised</w:t>
      </w:r>
      <w:r w:rsidRPr="00995FB3">
        <w:t xml:space="preserve"> and received at least 1 dose of study</w:t>
      </w:r>
      <w:r>
        <w:t xml:space="preserve"> </w:t>
      </w:r>
      <w:r w:rsidRPr="00995FB3">
        <w:t xml:space="preserve">medication, including 990 subjects </w:t>
      </w:r>
      <w:r>
        <w:t>randomised</w:t>
      </w:r>
      <w:r w:rsidRPr="00995FB3">
        <w:t xml:space="preserve"> to co-administration treatment with</w:t>
      </w:r>
      <w:r>
        <w:t xml:space="preserve"> </w:t>
      </w:r>
      <w:r w:rsidRPr="00995FB3">
        <w:t>ertugliflozin and sitagliptin (Studies P005/1019 and P017/1047), or to ertugliflozin on a</w:t>
      </w:r>
      <w:r>
        <w:t xml:space="preserve"> </w:t>
      </w:r>
      <w:r w:rsidRPr="00995FB3">
        <w:t>background of metformin and sitagliptin therapy (</w:t>
      </w:r>
      <w:r w:rsidR="00BC7DA5">
        <w:t>Study P0</w:t>
      </w:r>
      <w:r w:rsidRPr="00995FB3">
        <w:t>06/1015). In these 3 studies, the</w:t>
      </w:r>
      <w:r>
        <w:t xml:space="preserve"> </w:t>
      </w:r>
      <w:r w:rsidRPr="00995FB3">
        <w:t xml:space="preserve">number of subjects </w:t>
      </w:r>
      <w:r>
        <w:t>randomised</w:t>
      </w:r>
      <w:r w:rsidRPr="00995FB3">
        <w:t xml:space="preserve"> to treatment with ertugliflozin 5 mg (497 subjects) or</w:t>
      </w:r>
      <w:r>
        <w:t xml:space="preserve"> </w:t>
      </w:r>
      <w:r w:rsidRPr="00995FB3">
        <w:t>ertugliflozin 15 mg (493 subjects) in co-administration with sitagliptin or as add-on therapy</w:t>
      </w:r>
      <w:r>
        <w:t xml:space="preserve"> </w:t>
      </w:r>
      <w:r w:rsidRPr="00995FB3">
        <w:t>was evenly distributed. The remaining 995 subjects received treatment with ertugliflozin</w:t>
      </w:r>
      <w:r>
        <w:t xml:space="preserve"> </w:t>
      </w:r>
      <w:r w:rsidRPr="00995FB3">
        <w:t>alone (5 mg or 15 mg; n</w:t>
      </w:r>
      <w:r w:rsidR="00C14E6F">
        <w:t> </w:t>
      </w:r>
      <w:r w:rsidRPr="00995FB3">
        <w:t>=</w:t>
      </w:r>
      <w:r w:rsidR="00C14E6F">
        <w:t> </w:t>
      </w:r>
      <w:r w:rsidRPr="00995FB3">
        <w:t>498), sitagliptin 100 mg alone (n = 247) or placebo (n = 250)</w:t>
      </w:r>
      <w:r w:rsidR="00884A9A">
        <w:t>.</w:t>
      </w:r>
    </w:p>
    <w:p w:rsidR="00B37C25" w:rsidRDefault="00B37C25" w:rsidP="00E957A2">
      <w:r w:rsidRPr="00995FB3">
        <w:t>Over the 26-Week treatment period for each study (reflecting Phase A of Studies P005/1019</w:t>
      </w:r>
      <w:r>
        <w:t xml:space="preserve"> </w:t>
      </w:r>
      <w:r w:rsidRPr="00995FB3">
        <w:t xml:space="preserve">and P006/1015 and the completed treatment period of </w:t>
      </w:r>
      <w:r w:rsidR="00BC7DA5">
        <w:t>Study P0</w:t>
      </w:r>
      <w:r w:rsidRPr="00995FB3">
        <w:t>17/1047), the mean duration</w:t>
      </w:r>
      <w:r>
        <w:t xml:space="preserve"> </w:t>
      </w:r>
      <w:r w:rsidRPr="00995FB3">
        <w:t>of exposure in each treatment group across the 3 studies was similar (170.9 days to</w:t>
      </w:r>
      <w:r>
        <w:t xml:space="preserve"> </w:t>
      </w:r>
      <w:r w:rsidRPr="00995FB3">
        <w:t xml:space="preserve">174.0 days), with the exception of the placebo group in </w:t>
      </w:r>
      <w:r w:rsidR="00BC7DA5">
        <w:t>Study P0</w:t>
      </w:r>
      <w:r w:rsidRPr="00995FB3">
        <w:t>17/</w:t>
      </w:r>
      <w:r w:rsidRPr="00447B4A">
        <w:t xml:space="preserve">1047 (Table </w:t>
      </w:r>
      <w:r w:rsidR="00447B4A" w:rsidRPr="00447B4A">
        <w:t>14</w:t>
      </w:r>
      <w:r w:rsidRPr="00447B4A">
        <w:t>),</w:t>
      </w:r>
      <w:r w:rsidRPr="00995FB3">
        <w:t xml:space="preserve"> in which the mean</w:t>
      </w:r>
      <w:r>
        <w:t xml:space="preserve"> </w:t>
      </w:r>
      <w:r w:rsidRPr="00995FB3">
        <w:t>duration of exposure was 157.8 days, primarily due to a numerically higher proportion of subjects in this study who prematurely discontinued study medication</w:t>
      </w:r>
      <w:r>
        <w:t xml:space="preserve">. The subject disposition and baseline characteristics of the patients in the three </w:t>
      </w:r>
      <w:r w:rsidR="009B2F3C">
        <w:t>Phase III</w:t>
      </w:r>
      <w:r>
        <w:t xml:space="preserve"> studies have been sum</w:t>
      </w:r>
      <w:r w:rsidR="00447B4A">
        <w:t>marised in the Steglatro report</w:t>
      </w:r>
      <w:r>
        <w:t>.</w:t>
      </w:r>
    </w:p>
    <w:p w:rsidR="00447B4A" w:rsidRDefault="00447B4A" w:rsidP="00447B4A">
      <w:pPr>
        <w:pStyle w:val="Tabletitle"/>
      </w:pPr>
      <w:bookmarkStart w:id="319" w:name="_Ref493674716"/>
      <w:bookmarkStart w:id="320" w:name="_Toc504036247"/>
      <w:r>
        <w:t>Table 14: Exposure to study medication by study, in all subjects as treated population, including rescue approach</w:t>
      </w:r>
      <w:bookmarkEnd w:id="319"/>
      <w:bookmarkEnd w:id="320"/>
    </w:p>
    <w:p w:rsidR="00447B4A" w:rsidRDefault="00447B4A" w:rsidP="00447B4A">
      <w:r>
        <w:rPr>
          <w:noProof/>
          <w:lang w:eastAsia="en-AU"/>
        </w:rPr>
        <w:drawing>
          <wp:inline distT="0" distB="0" distL="0" distR="0" wp14:anchorId="13C51086" wp14:editId="0A17A5CC">
            <wp:extent cx="5731510" cy="2347958"/>
            <wp:effectExtent l="0" t="0" r="2540" b="0"/>
            <wp:docPr id="78" name="Picture 78" descr="Exposure to study medication by study, in all subjects as treated population,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731510" cy="2347958"/>
                    </a:xfrm>
                    <a:prstGeom prst="rect">
                      <a:avLst/>
                    </a:prstGeom>
                    <a:noFill/>
                    <a:ln>
                      <a:noFill/>
                    </a:ln>
                  </pic:spPr>
                </pic:pic>
              </a:graphicData>
            </a:graphic>
          </wp:inline>
        </w:drawing>
      </w:r>
    </w:p>
    <w:p w:rsidR="00884A9A" w:rsidRDefault="00B37C25" w:rsidP="00E957A2">
      <w:r>
        <w:t xml:space="preserve">In the ertugliflozin+sitagliptin factorial </w:t>
      </w:r>
      <w:r w:rsidR="00BC7DA5">
        <w:t>Study P0</w:t>
      </w:r>
      <w:r>
        <w:t xml:space="preserve">05/1019, a </w:t>
      </w:r>
      <w:r w:rsidRPr="00D9694C">
        <w:t>numerically higher</w:t>
      </w:r>
      <w:r>
        <w:t xml:space="preserve"> </w:t>
      </w:r>
      <w:r w:rsidRPr="00D9694C">
        <w:t xml:space="preserve">proportion of subjects in the </w:t>
      </w:r>
      <w:r w:rsidRPr="00027A58">
        <w:t xml:space="preserve">E15/S100 group discontinued study medication for an AE relative to the 4 other groups; the proportions of subjects who discontinued study medication for other reasons were generally similar between groups. In the add-on to metformin+sitagliptin </w:t>
      </w:r>
      <w:r w:rsidR="00BC7DA5">
        <w:t>Study P0</w:t>
      </w:r>
      <w:r w:rsidRPr="00027A58">
        <w:t>06/1015, A numerically higher</w:t>
      </w:r>
      <w:r>
        <w:t xml:space="preserve"> proportion</w:t>
      </w:r>
      <w:r w:rsidR="006F48AD">
        <w:t xml:space="preserve"> </w:t>
      </w:r>
      <w:r w:rsidRPr="00027A58">
        <w:t>of subjects discontinued study medication for an adverse event in the ertugliflozin</w:t>
      </w:r>
      <w:r>
        <w:t xml:space="preserve"> </w:t>
      </w:r>
      <w:r w:rsidRPr="00027A58">
        <w:t>5 mg group (3.2%) than in the ertugliflozin 15 mg and placebo groups (1</w:t>
      </w:r>
      <w:r w:rsidR="00C14E6F">
        <w:t> </w:t>
      </w:r>
      <w:r w:rsidRPr="00027A58">
        <w:t>subject in each</w:t>
      </w:r>
      <w:r>
        <w:t xml:space="preserve"> </w:t>
      </w:r>
      <w:r w:rsidRPr="00027A58">
        <w:t xml:space="preserve">group </w:t>
      </w:r>
      <w:r w:rsidR="00884A9A">
        <w:t>(</w:t>
      </w:r>
      <w:r w:rsidRPr="00027A58">
        <w:t>0.6% and 0.7%, respectively</w:t>
      </w:r>
      <w:r w:rsidR="00884A9A">
        <w:t>)</w:t>
      </w:r>
      <w:r w:rsidRPr="00027A58">
        <w:t xml:space="preserve">. In the ertugliflozin+sitagliptin initial combination </w:t>
      </w:r>
      <w:r w:rsidR="00BC7DA5">
        <w:t>Study P0</w:t>
      </w:r>
      <w:r w:rsidRPr="00027A58">
        <w:t>17/1047, proportion of subjects who</w:t>
      </w:r>
      <w:r>
        <w:t xml:space="preserve"> </w:t>
      </w:r>
      <w:r w:rsidRPr="00027A58">
        <w:t>discontinued study medication was numerically lower in the E5/S100 (8.2%) and E15/S100</w:t>
      </w:r>
      <w:r>
        <w:t xml:space="preserve"> </w:t>
      </w:r>
      <w:r w:rsidRPr="00027A58">
        <w:t>(8.3%) groups than in the placebo group (21.6%), primarily due to a numerically larger</w:t>
      </w:r>
      <w:r>
        <w:t xml:space="preserve"> </w:t>
      </w:r>
      <w:r w:rsidRPr="00027A58">
        <w:t>proportion of subjects in the placebo group who discontinued study medication for</w:t>
      </w:r>
      <w:r>
        <w:t xml:space="preserve"> </w:t>
      </w:r>
      <w:r w:rsidRPr="00027A58">
        <w:t>withdrawal by subject and for lost to follow-up</w:t>
      </w:r>
      <w:bookmarkStart w:id="321" w:name="_Toc241374319"/>
      <w:bookmarkStart w:id="322" w:name="_Ref271044764"/>
      <w:bookmarkStart w:id="323" w:name="_Toc272414663"/>
      <w:bookmarkStart w:id="324" w:name="_Toc290888527"/>
      <w:bookmarkStart w:id="325" w:name="_Toc416353743"/>
      <w:bookmarkStart w:id="326" w:name="_Toc421005286"/>
      <w:bookmarkStart w:id="327" w:name="_Toc432079163"/>
      <w:bookmarkStart w:id="328" w:name="_Toc432080736"/>
      <w:bookmarkStart w:id="329" w:name="_Toc504036141"/>
      <w:r w:rsidR="00884A9A">
        <w:t>.</w:t>
      </w:r>
    </w:p>
    <w:p w:rsidR="00B37C25" w:rsidRPr="00545B14" w:rsidRDefault="00B37C25" w:rsidP="00447B4A">
      <w:pPr>
        <w:pStyle w:val="Heading3"/>
      </w:pPr>
      <w:bookmarkStart w:id="330" w:name="_Toc4573595"/>
      <w:r w:rsidRPr="00545B14">
        <w:lastRenderedPageBreak/>
        <w:t>Adverse events</w:t>
      </w:r>
      <w:bookmarkEnd w:id="321"/>
      <w:bookmarkEnd w:id="322"/>
      <w:bookmarkEnd w:id="323"/>
      <w:bookmarkEnd w:id="324"/>
      <w:bookmarkEnd w:id="325"/>
      <w:bookmarkEnd w:id="326"/>
      <w:bookmarkEnd w:id="327"/>
      <w:bookmarkEnd w:id="328"/>
      <w:bookmarkEnd w:id="329"/>
      <w:bookmarkEnd w:id="330"/>
    </w:p>
    <w:p w:rsidR="00B37C25" w:rsidRPr="00545B14" w:rsidRDefault="00B37C25" w:rsidP="00447B4A">
      <w:pPr>
        <w:pStyle w:val="Heading4"/>
      </w:pPr>
      <w:bookmarkStart w:id="331" w:name="_Ref272317284"/>
      <w:bookmarkStart w:id="332" w:name="_Ref272333565"/>
      <w:bookmarkStart w:id="333" w:name="_Toc272414664"/>
      <w:bookmarkStart w:id="334" w:name="_Toc290888528"/>
      <w:bookmarkStart w:id="335" w:name="_Toc416353744"/>
      <w:bookmarkStart w:id="336" w:name="_Toc421005287"/>
      <w:bookmarkStart w:id="337" w:name="_Toc432079164"/>
      <w:bookmarkStart w:id="338" w:name="_Toc432080737"/>
      <w:bookmarkStart w:id="339" w:name="_Toc504036142"/>
      <w:r w:rsidRPr="00545B14">
        <w:t>All adverse events (irrespective of relationship to study treatment)</w:t>
      </w:r>
      <w:bookmarkEnd w:id="331"/>
      <w:bookmarkEnd w:id="332"/>
      <w:bookmarkEnd w:id="333"/>
      <w:bookmarkEnd w:id="334"/>
      <w:bookmarkEnd w:id="335"/>
      <w:bookmarkEnd w:id="336"/>
      <w:bookmarkEnd w:id="337"/>
      <w:bookmarkEnd w:id="338"/>
      <w:bookmarkEnd w:id="339"/>
    </w:p>
    <w:p w:rsidR="00B37C25" w:rsidRPr="00027A58" w:rsidRDefault="00BC7DA5" w:rsidP="00447B4A">
      <w:pPr>
        <w:pStyle w:val="Heading5"/>
        <w:rPr>
          <w:lang w:eastAsia="ja-JP"/>
        </w:rPr>
      </w:pPr>
      <w:bookmarkStart w:id="340" w:name="_Ref272333567"/>
      <w:bookmarkStart w:id="341" w:name="_Toc272414665"/>
      <w:bookmarkStart w:id="342" w:name="_Toc290888529"/>
      <w:bookmarkStart w:id="343" w:name="_Toc416353745"/>
      <w:bookmarkStart w:id="344" w:name="_Toc421005288"/>
      <w:bookmarkStart w:id="345" w:name="_Toc432079165"/>
      <w:bookmarkStart w:id="346" w:name="_Toc432080738"/>
      <w:r>
        <w:rPr>
          <w:lang w:eastAsia="ja-JP"/>
        </w:rPr>
        <w:t>Study P0</w:t>
      </w:r>
      <w:r w:rsidR="00B37C25" w:rsidRPr="00027A58">
        <w:rPr>
          <w:lang w:eastAsia="ja-JP"/>
        </w:rPr>
        <w:t xml:space="preserve">05/1019: </w:t>
      </w:r>
      <w:r w:rsidR="00B37C25" w:rsidRPr="00027A58">
        <w:rPr>
          <w:rFonts w:eastAsia="TimesNewRoman,Bold"/>
        </w:rPr>
        <w:t>Ertugliflozin +Sitagliptin Factorial Study</w:t>
      </w:r>
    </w:p>
    <w:p w:rsidR="00B37C25" w:rsidRDefault="00B37C25" w:rsidP="00E957A2">
      <w:pPr>
        <w:rPr>
          <w:rFonts w:eastAsia="TimesNewRoman" w:cs="TimesNewRoman"/>
        </w:rPr>
      </w:pPr>
      <w:r w:rsidRPr="00F94B66">
        <w:rPr>
          <w:lang w:eastAsia="ja-JP"/>
        </w:rPr>
        <w:t xml:space="preserve">The overall incidence of AEs was similar in the E5/S100 and E15/S100 combination groups relative to the E5, E15 and S100 groups (52%, 43.5%, 42.1%, 45.7% and 46.7% in the E5, E15, S100, E5/S100 and E15/S100 groups, respectively). However, </w:t>
      </w:r>
      <w:r w:rsidRPr="00F94B66">
        <w:rPr>
          <w:rFonts w:eastAsia="TimesNewRoman" w:cs="TimesNewRoman"/>
        </w:rPr>
        <w:t>Gastrointestinal disorders; Respiratory, thoracic and mediastinal</w:t>
      </w:r>
      <w:r>
        <w:rPr>
          <w:rFonts w:eastAsia="TimesNewRoman" w:cs="TimesNewRoman"/>
        </w:rPr>
        <w:t xml:space="preserve"> </w:t>
      </w:r>
      <w:r w:rsidRPr="00F94B66">
        <w:rPr>
          <w:rFonts w:eastAsia="TimesNewRoman" w:cs="TimesNewRoman"/>
        </w:rPr>
        <w:t>disorders; and Skin and subcutaneous tissue disorders S</w:t>
      </w:r>
      <w:r>
        <w:rPr>
          <w:rFonts w:eastAsia="TimesNewRoman" w:cs="TimesNewRoman"/>
        </w:rPr>
        <w:t>OCs showed higher incidence of A</w:t>
      </w:r>
      <w:r w:rsidRPr="00F94B66">
        <w:rPr>
          <w:rFonts w:eastAsia="TimesNewRoman" w:cs="TimesNewRoman"/>
        </w:rPr>
        <w:t xml:space="preserve">Es in the combination (E5/S100 and E15/S100) groups relative to the individual treatment </w:t>
      </w:r>
      <w:r w:rsidRPr="004D2D10">
        <w:rPr>
          <w:rFonts w:eastAsia="TimesNewRoman" w:cs="TimesNewRoman"/>
        </w:rPr>
        <w:t xml:space="preserve">groups (Table </w:t>
      </w:r>
      <w:r w:rsidR="00447B4A" w:rsidRPr="004D2D10">
        <w:rPr>
          <w:rFonts w:eastAsia="TimesNewRoman" w:cs="TimesNewRoman"/>
        </w:rPr>
        <w:t>15</w:t>
      </w:r>
      <w:r w:rsidRPr="004D2D10">
        <w:rPr>
          <w:rFonts w:eastAsia="TimesNewRoman" w:cs="TimesNewRoman"/>
        </w:rPr>
        <w:t>)</w:t>
      </w:r>
      <w:r w:rsidR="00447B4A" w:rsidRPr="004D2D10">
        <w:rPr>
          <w:rFonts w:eastAsia="TimesNewRoman" w:cs="TimesNewRoman"/>
        </w:rPr>
        <w:t>.</w:t>
      </w:r>
      <w:r w:rsidR="004D2D10">
        <w:rPr>
          <w:rFonts w:eastAsia="TimesNewRoman" w:cs="TimesNewRoman"/>
        </w:rPr>
        <w:t xml:space="preserve"> </w:t>
      </w:r>
      <w:r w:rsidRPr="004D2D10">
        <w:rPr>
          <w:rFonts w:eastAsia="TimesNewRoman" w:cs="TimesNewRoman"/>
        </w:rPr>
        <w:t>Among</w:t>
      </w:r>
      <w:r w:rsidRPr="00F94B66">
        <w:rPr>
          <w:rFonts w:eastAsia="TimesNewRoman" w:cs="TimesNewRoman"/>
        </w:rPr>
        <w:t xml:space="preserve"> </w:t>
      </w:r>
      <w:r>
        <w:rPr>
          <w:rFonts w:eastAsia="TimesNewRoman" w:cs="TimesNewRoman"/>
        </w:rPr>
        <w:t xml:space="preserve">AEs </w:t>
      </w:r>
      <w:r w:rsidRPr="00F94B66">
        <w:rPr>
          <w:rFonts w:eastAsia="TimesNewRoman" w:cs="TimesNewRoman"/>
        </w:rPr>
        <w:t xml:space="preserve">that occurred in </w:t>
      </w:r>
      <w:r w:rsidR="00884A9A">
        <w:rPr>
          <w:rFonts w:asciiTheme="minorHAnsi" w:eastAsia="TimesNewRoman" w:hAnsiTheme="minorHAnsi" w:cs="Symbol"/>
        </w:rPr>
        <w:t xml:space="preserve">≥ </w:t>
      </w:r>
      <w:r w:rsidRPr="00F94B66">
        <w:rPr>
          <w:rFonts w:eastAsia="TimesNewRoman" w:cs="TimesNewRoman"/>
        </w:rPr>
        <w:t>2% of subjects in any group,</w:t>
      </w:r>
      <w:r>
        <w:rPr>
          <w:rFonts w:eastAsia="TimesNewRoman" w:cs="TimesNewRoman"/>
        </w:rPr>
        <w:t xml:space="preserve"> </w:t>
      </w:r>
      <w:r w:rsidRPr="00F94B66">
        <w:rPr>
          <w:rFonts w:eastAsia="TimesNewRoman" w:cs="TimesNewRoman"/>
        </w:rPr>
        <w:t>those that occurred at a higher incidence (</w:t>
      </w:r>
      <w:r w:rsidR="00447B4A">
        <w:rPr>
          <w:rFonts w:eastAsia="TimesNewRoman" w:cs="TimesNewRoman"/>
        </w:rPr>
        <w:t>that is,</w:t>
      </w:r>
      <w:r w:rsidRPr="00F94B66">
        <w:rPr>
          <w:rFonts w:eastAsia="TimesNewRoman" w:cs="TimesNewRoman"/>
        </w:rPr>
        <w:t xml:space="preserve"> 95% CI excluded 0) in a co-administration</w:t>
      </w:r>
      <w:r>
        <w:rPr>
          <w:rFonts w:eastAsia="TimesNewRoman" w:cs="TimesNewRoman"/>
        </w:rPr>
        <w:t xml:space="preserve"> </w:t>
      </w:r>
      <w:r w:rsidRPr="00F94B66">
        <w:rPr>
          <w:rFonts w:eastAsia="TimesNewRoman" w:cs="TimesNewRoman"/>
        </w:rPr>
        <w:t>group relative to the individual treatments at corresponding doses were vulvovaginal mycotic</w:t>
      </w:r>
      <w:r>
        <w:rPr>
          <w:rFonts w:eastAsia="TimesNewRoman" w:cs="TimesNewRoman"/>
        </w:rPr>
        <w:t xml:space="preserve"> </w:t>
      </w:r>
      <w:r w:rsidRPr="00F94B66">
        <w:rPr>
          <w:rFonts w:eastAsia="TimesNewRoman" w:cs="TimesNewRoman"/>
        </w:rPr>
        <w:t>infection (higher incidence for E5/S100</w:t>
      </w:r>
      <w:r w:rsidR="00447B4A">
        <w:rPr>
          <w:rFonts w:eastAsia="TimesNewRoman" w:cs="TimesNewRoman"/>
        </w:rPr>
        <w:t xml:space="preserve"> versus </w:t>
      </w:r>
      <w:r w:rsidRPr="00F94B66">
        <w:rPr>
          <w:rFonts w:eastAsia="TimesNewRoman" w:cs="TimesNewRoman"/>
        </w:rPr>
        <w:t>S100) and hypoglycaemia (higher incidence for</w:t>
      </w:r>
      <w:r>
        <w:rPr>
          <w:rFonts w:eastAsia="TimesNewRoman" w:cs="TimesNewRoman"/>
        </w:rPr>
        <w:t xml:space="preserve"> </w:t>
      </w:r>
      <w:r w:rsidRPr="00F94B66">
        <w:rPr>
          <w:rFonts w:eastAsia="TimesNewRoman" w:cs="TimesNewRoman"/>
        </w:rPr>
        <w:t>E15/S100</w:t>
      </w:r>
      <w:r w:rsidR="00447B4A">
        <w:rPr>
          <w:rFonts w:eastAsia="TimesNewRoman" w:cs="TimesNewRoman"/>
        </w:rPr>
        <w:t xml:space="preserve"> versus </w:t>
      </w:r>
      <w:r w:rsidRPr="00F94B66">
        <w:rPr>
          <w:rFonts w:eastAsia="TimesNewRoman" w:cs="TimesNewRoman"/>
        </w:rPr>
        <w:t xml:space="preserve">S100 in analyses including and excluding results after glycaemic </w:t>
      </w:r>
      <w:r w:rsidRPr="004D2D10">
        <w:rPr>
          <w:rFonts w:eastAsia="TimesNewRoman" w:cs="TimesNewRoman"/>
        </w:rPr>
        <w:t>rescue). The</w:t>
      </w:r>
      <w:r w:rsidRPr="00F94B66">
        <w:rPr>
          <w:rFonts w:eastAsia="TimesNewRoman" w:cs="TimesNewRoman"/>
        </w:rPr>
        <w:t xml:space="preserve"> incidence of </w:t>
      </w:r>
      <w:r>
        <w:rPr>
          <w:rFonts w:eastAsia="TimesNewRoman" w:cs="TimesNewRoman"/>
        </w:rPr>
        <w:t xml:space="preserve">AEs </w:t>
      </w:r>
      <w:r w:rsidRPr="00F94B66">
        <w:rPr>
          <w:rFonts w:eastAsia="TimesNewRoman" w:cs="TimesNewRoman"/>
        </w:rPr>
        <w:t>of gastroenteritis was higher in the E5/S100 group</w:t>
      </w:r>
      <w:r>
        <w:rPr>
          <w:rFonts w:eastAsia="TimesNewRoman" w:cs="TimesNewRoman"/>
        </w:rPr>
        <w:t xml:space="preserve"> </w:t>
      </w:r>
      <w:r w:rsidRPr="00F94B66">
        <w:rPr>
          <w:rFonts w:eastAsia="TimesNewRoman" w:cs="TimesNewRoman"/>
        </w:rPr>
        <w:t>(4</w:t>
      </w:r>
      <w:r w:rsidR="00C14E6F">
        <w:rPr>
          <w:rFonts w:eastAsia="TimesNewRoman" w:cs="TimesNewRoman"/>
        </w:rPr>
        <w:t> </w:t>
      </w:r>
      <w:r w:rsidRPr="00F94B66">
        <w:rPr>
          <w:rFonts w:eastAsia="TimesNewRoman" w:cs="TimesNewRoman"/>
        </w:rPr>
        <w:t xml:space="preserve">subjects </w:t>
      </w:r>
      <w:r w:rsidR="00884A9A">
        <w:rPr>
          <w:rFonts w:eastAsia="TimesNewRoman" w:cs="TimesNewRoman"/>
        </w:rPr>
        <w:t>(</w:t>
      </w:r>
      <w:r w:rsidRPr="00F94B66">
        <w:rPr>
          <w:rFonts w:eastAsia="TimesNewRoman" w:cs="TimesNewRoman"/>
        </w:rPr>
        <w:t>1.6%</w:t>
      </w:r>
      <w:r w:rsidR="00884A9A">
        <w:rPr>
          <w:rFonts w:eastAsia="TimesNewRoman" w:cs="TimesNewRoman"/>
        </w:rPr>
        <w:t>)</w:t>
      </w:r>
      <w:r w:rsidRPr="00F94B66">
        <w:rPr>
          <w:rFonts w:eastAsia="TimesNewRoman" w:cs="TimesNewRoman"/>
        </w:rPr>
        <w:t>) than in the E5 group, in which no cases were reported. However, the</w:t>
      </w:r>
      <w:r>
        <w:rPr>
          <w:rFonts w:eastAsia="TimesNewRoman" w:cs="TimesNewRoman"/>
        </w:rPr>
        <w:t xml:space="preserve"> </w:t>
      </w:r>
      <w:r w:rsidRPr="00F94B66">
        <w:rPr>
          <w:rFonts w:eastAsia="TimesNewRoman" w:cs="TimesNewRoman"/>
        </w:rPr>
        <w:t xml:space="preserve">incidence of </w:t>
      </w:r>
      <w:r>
        <w:rPr>
          <w:rFonts w:eastAsia="TimesNewRoman" w:cs="TimesNewRoman"/>
        </w:rPr>
        <w:t xml:space="preserve">AEs </w:t>
      </w:r>
      <w:r w:rsidRPr="00F94B66">
        <w:rPr>
          <w:rFonts w:eastAsia="TimesNewRoman" w:cs="TimesNewRoman"/>
        </w:rPr>
        <w:t xml:space="preserve">of gastroenteritis in the 3 other groups (2 subjects </w:t>
      </w:r>
      <w:r w:rsidR="00884A9A">
        <w:rPr>
          <w:rFonts w:eastAsia="TimesNewRoman" w:cs="TimesNewRoman"/>
        </w:rPr>
        <w:t>(</w:t>
      </w:r>
      <w:r w:rsidRPr="00F94B66">
        <w:rPr>
          <w:rFonts w:eastAsia="TimesNewRoman" w:cs="TimesNewRoman"/>
        </w:rPr>
        <w:t>0.8%</w:t>
      </w:r>
      <w:r w:rsidR="00884A9A">
        <w:rPr>
          <w:rFonts w:eastAsia="TimesNewRoman" w:cs="TimesNewRoman"/>
        </w:rPr>
        <w:t>)</w:t>
      </w:r>
      <w:r w:rsidRPr="00F94B66">
        <w:rPr>
          <w:rFonts w:eastAsia="TimesNewRoman" w:cs="TimesNewRoman"/>
        </w:rPr>
        <w:t xml:space="preserve"> in the</w:t>
      </w:r>
      <w:r>
        <w:rPr>
          <w:rFonts w:eastAsia="TimesNewRoman" w:cs="TimesNewRoman"/>
        </w:rPr>
        <w:t xml:space="preserve"> </w:t>
      </w:r>
      <w:r w:rsidRPr="00F94B66">
        <w:rPr>
          <w:rFonts w:eastAsia="TimesNewRoman" w:cs="TimesNewRoman"/>
        </w:rPr>
        <w:t xml:space="preserve">E15 group and 3 subjects </w:t>
      </w:r>
      <w:r w:rsidR="00884A9A">
        <w:rPr>
          <w:rFonts w:eastAsia="TimesNewRoman" w:cs="TimesNewRoman"/>
        </w:rPr>
        <w:t>(</w:t>
      </w:r>
      <w:r w:rsidRPr="00F94B66">
        <w:rPr>
          <w:rFonts w:eastAsia="TimesNewRoman" w:cs="TimesNewRoman"/>
        </w:rPr>
        <w:t>1.2%</w:t>
      </w:r>
      <w:r w:rsidR="00884A9A">
        <w:rPr>
          <w:rFonts w:eastAsia="TimesNewRoman" w:cs="TimesNewRoman"/>
        </w:rPr>
        <w:t>)</w:t>
      </w:r>
      <w:r w:rsidRPr="00F94B66">
        <w:rPr>
          <w:rFonts w:eastAsia="TimesNewRoman" w:cs="TimesNewRoman"/>
        </w:rPr>
        <w:t xml:space="preserve"> each in the E15/S100 and S100 groups) were similar to tha</w:t>
      </w:r>
      <w:r>
        <w:rPr>
          <w:rFonts w:eastAsia="TimesNewRoman" w:cs="TimesNewRoman"/>
        </w:rPr>
        <w:t xml:space="preserve">t </w:t>
      </w:r>
      <w:r w:rsidRPr="00F94B66">
        <w:rPr>
          <w:rFonts w:eastAsia="TimesNewRoman" w:cs="TimesNewRoman"/>
        </w:rPr>
        <w:t>in the E5/S100 group. Adverse events of gastroenteritis in the E5/S100 group, as well as in</w:t>
      </w:r>
      <w:r>
        <w:rPr>
          <w:rFonts w:eastAsia="TimesNewRoman" w:cs="TimesNewRoman"/>
        </w:rPr>
        <w:t xml:space="preserve"> </w:t>
      </w:r>
      <w:r w:rsidRPr="00F94B66">
        <w:rPr>
          <w:rFonts w:eastAsia="TimesNewRoman" w:cs="TimesNewRoman"/>
        </w:rPr>
        <w:t>the 3 other groups with at least 1 event reported, were all mild or moderate, non-serious, and</w:t>
      </w:r>
      <w:r>
        <w:rPr>
          <w:rFonts w:eastAsia="TimesNewRoman" w:cs="TimesNewRoman"/>
        </w:rPr>
        <w:t xml:space="preserve"> </w:t>
      </w:r>
      <w:r w:rsidRPr="00F94B66">
        <w:rPr>
          <w:rFonts w:eastAsia="TimesNewRoman" w:cs="TimesNewRoman"/>
        </w:rPr>
        <w:t>none resulted in discontinuation of study medication.</w:t>
      </w:r>
      <w:r>
        <w:rPr>
          <w:rFonts w:eastAsia="TimesNewRoman" w:cs="TimesNewRoman"/>
        </w:rPr>
        <w:t xml:space="preserve"> </w:t>
      </w:r>
      <w:r w:rsidRPr="00F94B66">
        <w:rPr>
          <w:rFonts w:eastAsia="TimesNewRoman" w:cs="TimesNewRoman"/>
        </w:rPr>
        <w:t xml:space="preserve">The incidence of hyperuricemia was higher in the E5/S100 group (4 subjects </w:t>
      </w:r>
      <w:r w:rsidR="00884A9A">
        <w:rPr>
          <w:rFonts w:eastAsia="TimesNewRoman" w:cs="TimesNewRoman"/>
        </w:rPr>
        <w:t>(</w:t>
      </w:r>
      <w:r w:rsidRPr="00F94B66">
        <w:rPr>
          <w:rFonts w:eastAsia="TimesNewRoman" w:cs="TimesNewRoman"/>
        </w:rPr>
        <w:t>1.6%</w:t>
      </w:r>
      <w:r w:rsidR="00884A9A">
        <w:rPr>
          <w:rFonts w:eastAsia="TimesNewRoman" w:cs="TimesNewRoman"/>
        </w:rPr>
        <w:t>)</w:t>
      </w:r>
      <w:r w:rsidRPr="00F94B66">
        <w:rPr>
          <w:rFonts w:eastAsia="TimesNewRoman" w:cs="TimesNewRoman"/>
        </w:rPr>
        <w:t>) than in</w:t>
      </w:r>
      <w:r>
        <w:rPr>
          <w:rFonts w:eastAsia="TimesNewRoman" w:cs="TimesNewRoman"/>
        </w:rPr>
        <w:t xml:space="preserve"> </w:t>
      </w:r>
      <w:r w:rsidRPr="00F94B66">
        <w:rPr>
          <w:rFonts w:eastAsia="TimesNewRoman" w:cs="TimesNewRoman"/>
        </w:rPr>
        <w:t>the E5 group, in which no cases were reported, but similar to the S100 group (3 subjects</w:t>
      </w:r>
      <w:r>
        <w:rPr>
          <w:rFonts w:eastAsia="TimesNewRoman" w:cs="TimesNewRoman"/>
        </w:rPr>
        <w:t xml:space="preserve"> </w:t>
      </w:r>
      <w:r w:rsidR="00884A9A">
        <w:rPr>
          <w:rFonts w:eastAsia="TimesNewRoman" w:cs="TimesNewRoman"/>
        </w:rPr>
        <w:t>(</w:t>
      </w:r>
      <w:r w:rsidRPr="00F94B66">
        <w:rPr>
          <w:rFonts w:eastAsia="TimesNewRoman" w:cs="TimesNewRoman"/>
        </w:rPr>
        <w:t>1.2%</w:t>
      </w:r>
      <w:r w:rsidR="00884A9A">
        <w:rPr>
          <w:rFonts w:eastAsia="TimesNewRoman" w:cs="TimesNewRoman"/>
        </w:rPr>
        <w:t>)</w:t>
      </w:r>
      <w:r w:rsidRPr="00F94B66">
        <w:rPr>
          <w:rFonts w:eastAsia="TimesNewRoman" w:cs="TimesNewRoman"/>
        </w:rPr>
        <w:t>). No events of hyperuricemia were reported in the E15/S100 group and 1 subject</w:t>
      </w:r>
      <w:r>
        <w:rPr>
          <w:rFonts w:eastAsia="TimesNewRoman" w:cs="TimesNewRoman"/>
        </w:rPr>
        <w:t xml:space="preserve"> </w:t>
      </w:r>
      <w:r w:rsidRPr="00F94B66">
        <w:rPr>
          <w:rFonts w:eastAsia="TimesNewRoman" w:cs="TimesNewRoman"/>
        </w:rPr>
        <w:t xml:space="preserve">(0.4%) in the E15 group had an </w:t>
      </w:r>
      <w:r>
        <w:rPr>
          <w:rFonts w:eastAsia="TimesNewRoman" w:cs="TimesNewRoman"/>
        </w:rPr>
        <w:t xml:space="preserve">AE </w:t>
      </w:r>
      <w:r w:rsidRPr="00F94B66">
        <w:rPr>
          <w:rFonts w:eastAsia="TimesNewRoman" w:cs="TimesNewRoman"/>
        </w:rPr>
        <w:t>of hyperuric</w:t>
      </w:r>
      <w:r w:rsidR="00C14E6F">
        <w:rPr>
          <w:rFonts w:eastAsia="TimesNewRoman" w:cs="TimesNewRoman"/>
        </w:rPr>
        <w:t>a</w:t>
      </w:r>
      <w:r w:rsidRPr="00F94B66">
        <w:rPr>
          <w:rFonts w:eastAsia="TimesNewRoman" w:cs="TimesNewRoman"/>
        </w:rPr>
        <w:t>emia. Other conditions associated</w:t>
      </w:r>
      <w:r>
        <w:rPr>
          <w:rFonts w:eastAsia="TimesNewRoman" w:cs="TimesNewRoman"/>
        </w:rPr>
        <w:t xml:space="preserve"> </w:t>
      </w:r>
      <w:r w:rsidRPr="00F94B66">
        <w:rPr>
          <w:rFonts w:eastAsia="TimesNewRoman" w:cs="TimesNewRoman"/>
        </w:rPr>
        <w:t>with increased uric acid, such as blood uric acid increased, gout, and gouty arthritis occurred</w:t>
      </w:r>
      <w:r>
        <w:rPr>
          <w:rFonts w:eastAsia="TimesNewRoman" w:cs="TimesNewRoman"/>
        </w:rPr>
        <w:t xml:space="preserve"> </w:t>
      </w:r>
      <w:r w:rsidRPr="00F94B66">
        <w:rPr>
          <w:rFonts w:eastAsia="TimesNewRoman" w:cs="TimesNewRoman"/>
        </w:rPr>
        <w:t>infrequently and was balanced across groups.</w:t>
      </w:r>
    </w:p>
    <w:p w:rsidR="00447B4A" w:rsidRDefault="00447B4A" w:rsidP="00447B4A">
      <w:pPr>
        <w:pStyle w:val="Tabletitle"/>
      </w:pPr>
      <w:r w:rsidRPr="00447B4A">
        <w:lastRenderedPageBreak/>
        <w:t xml:space="preserve">Table </w:t>
      </w:r>
      <w:r>
        <w:t>15</w:t>
      </w:r>
      <w:r w:rsidRPr="00447B4A">
        <w:t>:</w:t>
      </w:r>
      <w:r>
        <w:t xml:space="preserve"> </w:t>
      </w:r>
      <w:r w:rsidRPr="00447B4A">
        <w:t xml:space="preserve">Study P005/1019 Subjects with AEs by SOC (incidence </w:t>
      </w:r>
      <w:r w:rsidR="00F7529C">
        <w:t xml:space="preserve">&gt; </w:t>
      </w:r>
      <w:r w:rsidRPr="00447B4A">
        <w:t>0% in 1 or more treatment groups)</w:t>
      </w:r>
      <w:r w:rsidR="00C14E6F">
        <w:t>;</w:t>
      </w:r>
      <w:r w:rsidRPr="00447B4A">
        <w:t xml:space="preserve"> All subjects as treated. Phase A: Including rescue approach</w:t>
      </w:r>
    </w:p>
    <w:p w:rsidR="004D2D10" w:rsidRPr="004D2D10" w:rsidRDefault="00447B4A" w:rsidP="004D2D10">
      <w:pPr>
        <w:autoSpaceDE w:val="0"/>
        <w:autoSpaceDN w:val="0"/>
        <w:adjustRightInd w:val="0"/>
        <w:spacing w:before="0" w:line="240" w:lineRule="auto"/>
        <w:rPr>
          <w:rFonts w:asciiTheme="minorHAnsi" w:hAnsiTheme="minorHAnsi"/>
          <w:b/>
          <w:lang w:eastAsia="ja-JP"/>
        </w:rPr>
      </w:pPr>
      <w:r>
        <w:rPr>
          <w:noProof/>
          <w:lang w:eastAsia="en-AU"/>
        </w:rPr>
        <w:drawing>
          <wp:inline distT="0" distB="0" distL="0" distR="0" wp14:anchorId="48403C2B" wp14:editId="63511087">
            <wp:extent cx="5497785" cy="5106009"/>
            <wp:effectExtent l="0" t="0" r="8255" b="0"/>
            <wp:docPr id="8" name="Picture 8" descr="Study P005/1019. Subjects with AEs by SOC (incidence &gt;0% in 1 or more treatment groups) All subjects as treated. Phase A: In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495322" cy="5103721"/>
                    </a:xfrm>
                    <a:prstGeom prst="rect">
                      <a:avLst/>
                    </a:prstGeom>
                  </pic:spPr>
                </pic:pic>
              </a:graphicData>
            </a:graphic>
          </wp:inline>
        </w:drawing>
      </w:r>
    </w:p>
    <w:p w:rsidR="00B37C25" w:rsidRPr="00027A58" w:rsidRDefault="00BC7DA5" w:rsidP="004D2D10">
      <w:pPr>
        <w:pStyle w:val="Heading5"/>
        <w:rPr>
          <w:lang w:eastAsia="ja-JP"/>
        </w:rPr>
      </w:pPr>
      <w:r>
        <w:rPr>
          <w:lang w:eastAsia="ja-JP"/>
        </w:rPr>
        <w:t>Study P0</w:t>
      </w:r>
      <w:r w:rsidR="00B37C25" w:rsidRPr="00027A58">
        <w:rPr>
          <w:rFonts w:eastAsia="TimesNewRoman,Bold"/>
        </w:rPr>
        <w:t xml:space="preserve">06/1015 </w:t>
      </w:r>
      <w:r w:rsidR="004A75C1" w:rsidRPr="00027A58">
        <w:rPr>
          <w:rFonts w:eastAsia="TimesNewRoman,Bold"/>
        </w:rPr>
        <w:t>add-on to metformin and sitagliptin study</w:t>
      </w:r>
    </w:p>
    <w:p w:rsidR="00B37C25" w:rsidRPr="0049037E" w:rsidRDefault="00B37C25" w:rsidP="00E957A2">
      <w:pPr>
        <w:rPr>
          <w:rFonts w:eastAsia="TimesNewRoman" w:cs="TimesNewRoman"/>
        </w:rPr>
      </w:pPr>
      <w:r w:rsidRPr="0007664B">
        <w:t xml:space="preserve">The overall incidence of AEs was numerically lower in the ertugliflozin groups compared with placebo (48.4%, 41.7% and 43.8% in placebo, ertugliflozin </w:t>
      </w:r>
      <w:r w:rsidR="006F48AD">
        <w:t>5 mg</w:t>
      </w:r>
      <w:r w:rsidRPr="0007664B">
        <w:t xml:space="preserve"> and 1</w:t>
      </w:r>
      <w:r w:rsidR="006F48AD">
        <w:t>5 mg</w:t>
      </w:r>
      <w:r w:rsidRPr="0007664B">
        <w:t xml:space="preserve"> groups, respectively</w:t>
      </w:r>
      <w:r w:rsidRPr="001F2C0F">
        <w:t xml:space="preserve">) (Table </w:t>
      </w:r>
      <w:r w:rsidR="001F2C0F" w:rsidRPr="001F2C0F">
        <w:t>16</w:t>
      </w:r>
      <w:r w:rsidRPr="001F2C0F">
        <w:t xml:space="preserve">). </w:t>
      </w:r>
      <w:r w:rsidRPr="001F2C0F">
        <w:rPr>
          <w:rFonts w:eastAsia="TimesNewRoman" w:cs="TimesNewRoman"/>
        </w:rPr>
        <w:t>Numerically</w:t>
      </w:r>
      <w:r w:rsidRPr="00B72CF4">
        <w:rPr>
          <w:rFonts w:eastAsia="TimesNewRoman" w:cs="TimesNewRoman"/>
        </w:rPr>
        <w:t xml:space="preserve"> higher incidences of </w:t>
      </w:r>
      <w:r>
        <w:rPr>
          <w:rFonts w:eastAsia="TimesNewRoman" w:cs="TimesNewRoman"/>
        </w:rPr>
        <w:t xml:space="preserve">AEs </w:t>
      </w:r>
      <w:r w:rsidRPr="00B72CF4">
        <w:rPr>
          <w:rFonts w:eastAsia="TimesNewRoman" w:cs="TimesNewRoman"/>
        </w:rPr>
        <w:t>of vulvovaginal mycotic</w:t>
      </w:r>
      <w:r>
        <w:rPr>
          <w:rFonts w:eastAsia="TimesNewRoman" w:cs="TimesNewRoman"/>
        </w:rPr>
        <w:t xml:space="preserve"> </w:t>
      </w:r>
      <w:r w:rsidRPr="00B72CF4">
        <w:rPr>
          <w:rFonts w:eastAsia="TimesNewRoman" w:cs="TimesNewRoman"/>
        </w:rPr>
        <w:t>infection</w:t>
      </w:r>
      <w:r>
        <w:rPr>
          <w:rFonts w:eastAsia="TimesNewRoman" w:cs="TimesNewRoman"/>
        </w:rPr>
        <w:t xml:space="preserve"> (0.7%, 2.6% and 3.3% in placebo, ertugliflozin </w:t>
      </w:r>
      <w:r w:rsidR="006F48AD">
        <w:rPr>
          <w:rFonts w:eastAsia="TimesNewRoman" w:cs="TimesNewRoman"/>
        </w:rPr>
        <w:t>5 mg</w:t>
      </w:r>
      <w:r>
        <w:rPr>
          <w:rFonts w:eastAsia="TimesNewRoman" w:cs="TimesNewRoman"/>
        </w:rPr>
        <w:t xml:space="preserve"> and 1</w:t>
      </w:r>
      <w:r w:rsidR="006F48AD">
        <w:rPr>
          <w:rFonts w:eastAsia="TimesNewRoman" w:cs="TimesNewRoman"/>
        </w:rPr>
        <w:t>5 mg</w:t>
      </w:r>
      <w:r>
        <w:rPr>
          <w:rFonts w:eastAsia="TimesNewRoman" w:cs="TimesNewRoman"/>
        </w:rPr>
        <w:t xml:space="preserve"> groups, respectively), b</w:t>
      </w:r>
      <w:r w:rsidRPr="00F82D8D">
        <w:rPr>
          <w:rFonts w:eastAsiaTheme="minorHAnsi"/>
        </w:rPr>
        <w:t>alanoposthitis</w:t>
      </w:r>
      <w:r>
        <w:rPr>
          <w:rFonts w:eastAsiaTheme="minorHAnsi"/>
        </w:rPr>
        <w:t xml:space="preserve">, constipation and cystitis </w:t>
      </w:r>
      <w:r w:rsidRPr="00F82D8D">
        <w:rPr>
          <w:rFonts w:eastAsiaTheme="minorHAnsi"/>
        </w:rPr>
        <w:t>was</w:t>
      </w:r>
      <w:r>
        <w:rPr>
          <w:rFonts w:eastAsiaTheme="minorHAnsi"/>
        </w:rPr>
        <w:t xml:space="preserve"> r</w:t>
      </w:r>
      <w:r w:rsidRPr="00F82D8D">
        <w:rPr>
          <w:rFonts w:eastAsiaTheme="minorHAnsi"/>
        </w:rPr>
        <w:t xml:space="preserve">eported among the 2 ertugliflozin groups </w:t>
      </w:r>
      <w:r>
        <w:rPr>
          <w:rFonts w:eastAsiaTheme="minorHAnsi"/>
        </w:rPr>
        <w:t>co</w:t>
      </w:r>
      <w:r w:rsidR="0049037E">
        <w:rPr>
          <w:rFonts w:eastAsiaTheme="minorHAnsi"/>
        </w:rPr>
        <w:t xml:space="preserve">mpared with the placebo group. </w:t>
      </w:r>
      <w:r w:rsidRPr="00F82D8D">
        <w:rPr>
          <w:rFonts w:eastAsia="TimesNewRoman" w:cs="TimesNewRoman"/>
        </w:rPr>
        <w:t xml:space="preserve">Only small numeric differences were seen in the incidence of other specific AEs, with no evident pattern </w:t>
      </w:r>
      <w:r w:rsidRPr="0049037E">
        <w:rPr>
          <w:rFonts w:eastAsia="TimesNewRoman" w:cs="TimesNewRoman"/>
        </w:rPr>
        <w:t xml:space="preserve">observed (Table </w:t>
      </w:r>
      <w:r w:rsidR="0049037E" w:rsidRPr="0049037E">
        <w:rPr>
          <w:rFonts w:eastAsia="TimesNewRoman" w:cs="TimesNewRoman"/>
        </w:rPr>
        <w:t>17</w:t>
      </w:r>
      <w:r w:rsidR="001F2C0F" w:rsidRPr="0049037E">
        <w:rPr>
          <w:rFonts w:eastAsia="TimesNewRoman" w:cs="TimesNewRoman"/>
        </w:rPr>
        <w:t>).</w:t>
      </w:r>
    </w:p>
    <w:p w:rsidR="001F2C0F" w:rsidRDefault="001F2C0F" w:rsidP="0049037E">
      <w:pPr>
        <w:pStyle w:val="Tabletitle"/>
      </w:pPr>
      <w:bookmarkStart w:id="347" w:name="_Ref493674724"/>
      <w:bookmarkStart w:id="348" w:name="_Toc504036254"/>
      <w:r>
        <w:lastRenderedPageBreak/>
        <w:t>Table 16: Study P006/1015 Analysis of AE summary measures</w:t>
      </w:r>
      <w:r w:rsidR="00C14E6F">
        <w:t>;</w:t>
      </w:r>
      <w:r>
        <w:t xml:space="preserve"> All subjects as treated</w:t>
      </w:r>
      <w:r w:rsidR="00C14E6F">
        <w:t>,</w:t>
      </w:r>
      <w:r>
        <w:t xml:space="preserve"> Phase A: excluding rescue approach</w:t>
      </w:r>
      <w:bookmarkEnd w:id="347"/>
      <w:bookmarkEnd w:id="348"/>
    </w:p>
    <w:p w:rsidR="001F2C0F" w:rsidRDefault="001F2C0F" w:rsidP="00B37C25">
      <w:pPr>
        <w:autoSpaceDE w:val="0"/>
        <w:autoSpaceDN w:val="0"/>
        <w:adjustRightInd w:val="0"/>
        <w:spacing w:before="0" w:line="240" w:lineRule="auto"/>
        <w:rPr>
          <w:rFonts w:asciiTheme="minorHAnsi" w:hAnsiTheme="minorHAnsi"/>
          <w:b/>
          <w:u w:val="single"/>
          <w:lang w:eastAsia="ja-JP"/>
        </w:rPr>
      </w:pPr>
      <w:r>
        <w:rPr>
          <w:noProof/>
          <w:lang w:eastAsia="en-AU"/>
        </w:rPr>
        <w:drawing>
          <wp:inline distT="0" distB="0" distL="0" distR="0" wp14:anchorId="37F3F78A" wp14:editId="256C4393">
            <wp:extent cx="5362575" cy="7848600"/>
            <wp:effectExtent l="0" t="0" r="9525" b="0"/>
            <wp:docPr id="11" name="Picture 11" descr=": Study P006/1015 Analysis of AE summary measures All subjects as treated. Phase A: ex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843"/>
                    <a:stretch/>
                  </pic:blipFill>
                  <pic:spPr bwMode="auto">
                    <a:xfrm>
                      <a:off x="0" y="0"/>
                      <a:ext cx="5362575" cy="7848600"/>
                    </a:xfrm>
                    <a:prstGeom prst="rect">
                      <a:avLst/>
                    </a:prstGeom>
                    <a:ln>
                      <a:noFill/>
                    </a:ln>
                    <a:extLst>
                      <a:ext uri="{53640926-AAD7-44D8-BBD7-CCE9431645EC}">
                        <a14:shadowObscured xmlns:a14="http://schemas.microsoft.com/office/drawing/2010/main"/>
                      </a:ext>
                    </a:extLst>
                  </pic:spPr>
                </pic:pic>
              </a:graphicData>
            </a:graphic>
          </wp:inline>
        </w:drawing>
      </w:r>
    </w:p>
    <w:p w:rsidR="0049037E" w:rsidRPr="00475539" w:rsidRDefault="0049037E" w:rsidP="0049037E">
      <w:pPr>
        <w:pStyle w:val="Tabletitle"/>
      </w:pPr>
      <w:bookmarkStart w:id="349" w:name="_Ref493674727"/>
      <w:bookmarkStart w:id="350" w:name="_Toc504036255"/>
      <w:r>
        <w:lastRenderedPageBreak/>
        <w:t xml:space="preserve">Table 17: Analysis of subjects with AEs (incidence </w:t>
      </w:r>
      <w:r w:rsidR="00884A9A">
        <w:rPr>
          <w:rFonts w:asciiTheme="minorHAnsi" w:eastAsia="TimesNewRoman" w:hAnsiTheme="minorHAnsi" w:cs="Symbol"/>
        </w:rPr>
        <w:t xml:space="preserve">≥ </w:t>
      </w:r>
      <w:r>
        <w:t>4 subjects in 1 or more treatment groups)</w:t>
      </w:r>
      <w:r w:rsidR="00C14E6F">
        <w:t>;</w:t>
      </w:r>
      <w:r>
        <w:t xml:space="preserve"> All subjects as treated Phase A: </w:t>
      </w:r>
      <w:r w:rsidR="00C14E6F">
        <w:t xml:space="preserve">excluding </w:t>
      </w:r>
      <w:r>
        <w:t>rescue approach</w:t>
      </w:r>
      <w:bookmarkEnd w:id="349"/>
      <w:bookmarkEnd w:id="350"/>
    </w:p>
    <w:p w:rsidR="0049037E" w:rsidRPr="00F82D8D" w:rsidRDefault="0049037E" w:rsidP="00B37C25">
      <w:pPr>
        <w:autoSpaceDE w:val="0"/>
        <w:autoSpaceDN w:val="0"/>
        <w:adjustRightInd w:val="0"/>
        <w:spacing w:before="0" w:line="240" w:lineRule="auto"/>
        <w:rPr>
          <w:rFonts w:asciiTheme="minorHAnsi" w:hAnsiTheme="minorHAnsi"/>
          <w:b/>
          <w:u w:val="single"/>
          <w:lang w:eastAsia="ja-JP"/>
        </w:rPr>
      </w:pPr>
      <w:r>
        <w:rPr>
          <w:noProof/>
          <w:lang w:eastAsia="en-AU"/>
        </w:rPr>
        <w:drawing>
          <wp:inline distT="0" distB="0" distL="0" distR="0" wp14:anchorId="45691B18" wp14:editId="6C414680">
            <wp:extent cx="4524375" cy="8001000"/>
            <wp:effectExtent l="0" t="0" r="9525" b="0"/>
            <wp:docPr id="12" name="Picture 12" descr="Analysis of subjects with AEs (incidence &gt;4 subjects in 1 or more treatment groups). All subjects as treated. Phase A: Ex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2621" t="709" r="1613"/>
                    <a:stretch/>
                  </pic:blipFill>
                  <pic:spPr bwMode="auto">
                    <a:xfrm>
                      <a:off x="0" y="0"/>
                      <a:ext cx="4524375" cy="8001000"/>
                    </a:xfrm>
                    <a:prstGeom prst="rect">
                      <a:avLst/>
                    </a:prstGeom>
                    <a:ln>
                      <a:noFill/>
                    </a:ln>
                    <a:extLst>
                      <a:ext uri="{53640926-AAD7-44D8-BBD7-CCE9431645EC}">
                        <a14:shadowObscured xmlns:a14="http://schemas.microsoft.com/office/drawing/2010/main"/>
                      </a:ext>
                    </a:extLst>
                  </pic:spPr>
                </pic:pic>
              </a:graphicData>
            </a:graphic>
          </wp:inline>
        </w:drawing>
      </w:r>
    </w:p>
    <w:p w:rsidR="00B37C25" w:rsidRPr="00027A58" w:rsidRDefault="00BC7DA5" w:rsidP="004D2D10">
      <w:pPr>
        <w:pStyle w:val="Heading5"/>
        <w:rPr>
          <w:rFonts w:eastAsia="TimesNewRoman,Bold"/>
        </w:rPr>
      </w:pPr>
      <w:r>
        <w:rPr>
          <w:lang w:eastAsia="ja-JP"/>
        </w:rPr>
        <w:lastRenderedPageBreak/>
        <w:t>Study P0</w:t>
      </w:r>
      <w:r w:rsidR="00B37C25" w:rsidRPr="00027A58">
        <w:rPr>
          <w:rFonts w:eastAsia="TimesNewRoman,Bold"/>
        </w:rPr>
        <w:t xml:space="preserve">17/1047 </w:t>
      </w:r>
      <w:r w:rsidR="004A75C1" w:rsidRPr="00027A58">
        <w:rPr>
          <w:rFonts w:eastAsia="TimesNewRoman,Bold"/>
        </w:rPr>
        <w:t>ertugliflozin +sitagliptin initial combination study</w:t>
      </w:r>
    </w:p>
    <w:p w:rsidR="00B37C25" w:rsidRDefault="00B37C25" w:rsidP="00E957A2">
      <w:pPr>
        <w:rPr>
          <w:rFonts w:eastAsiaTheme="minorHAnsi"/>
        </w:rPr>
      </w:pPr>
      <w:r w:rsidRPr="005F7B4A">
        <w:t>The incidence of AEs was similar across treatment groups: 42.3%, 4</w:t>
      </w:r>
      <w:r>
        <w:t>4</w:t>
      </w:r>
      <w:r w:rsidRPr="005F7B4A">
        <w:t xml:space="preserve">.9% and 44.8% in placebo, </w:t>
      </w:r>
      <w:r>
        <w:t xml:space="preserve">E5/S100 and E15/S100 </w:t>
      </w:r>
      <w:r w:rsidRPr="005F7B4A">
        <w:t xml:space="preserve">groups, </w:t>
      </w:r>
      <w:r w:rsidRPr="0049037E">
        <w:t xml:space="preserve">respectively (Table </w:t>
      </w:r>
      <w:r w:rsidR="0049037E" w:rsidRPr="0049037E">
        <w:t>18</w:t>
      </w:r>
      <w:r w:rsidRPr="0049037E">
        <w:t xml:space="preserve">). </w:t>
      </w:r>
      <w:r w:rsidRPr="0049037E">
        <w:rPr>
          <w:rFonts w:eastAsiaTheme="minorHAnsi"/>
        </w:rPr>
        <w:t>The differences in incidences of AEs by SOC were generally small between the coadministration and</w:t>
      </w:r>
      <w:r w:rsidRPr="005F7B4A">
        <w:rPr>
          <w:rFonts w:eastAsiaTheme="minorHAnsi"/>
        </w:rPr>
        <w:t xml:space="preserve"> placebo groups. The only SOC where the 95% CI for the</w:t>
      </w:r>
      <w:r>
        <w:rPr>
          <w:rFonts w:eastAsiaTheme="minorHAnsi"/>
        </w:rPr>
        <w:t xml:space="preserve"> </w:t>
      </w:r>
      <w:r w:rsidRPr="005F7B4A">
        <w:rPr>
          <w:rFonts w:eastAsiaTheme="minorHAnsi"/>
        </w:rPr>
        <w:t>between-group difference excluded 0 was the Nervous system disorders SOC</w:t>
      </w:r>
      <w:r>
        <w:rPr>
          <w:rFonts w:eastAsiaTheme="minorHAnsi"/>
        </w:rPr>
        <w:t xml:space="preserve"> with higher incidence in the combination treatment groups (1%, </w:t>
      </w:r>
      <w:r w:rsidRPr="005F7B4A">
        <w:rPr>
          <w:rFonts w:eastAsiaTheme="minorHAnsi"/>
        </w:rPr>
        <w:t>8.2%</w:t>
      </w:r>
      <w:r>
        <w:rPr>
          <w:rFonts w:eastAsiaTheme="minorHAnsi"/>
        </w:rPr>
        <w:t xml:space="preserve"> and 10.4% </w:t>
      </w:r>
      <w:r w:rsidRPr="005F7B4A">
        <w:t xml:space="preserve">in placebo, </w:t>
      </w:r>
      <w:r>
        <w:t xml:space="preserve">E5/S100 and E15/S100 </w:t>
      </w:r>
      <w:r w:rsidRPr="005F7B4A">
        <w:t>groups, respectively</w:t>
      </w:r>
      <w:r>
        <w:rPr>
          <w:rFonts w:eastAsiaTheme="minorHAnsi"/>
        </w:rPr>
        <w:t xml:space="preserve">). </w:t>
      </w:r>
      <w:r w:rsidRPr="005F7B4A">
        <w:rPr>
          <w:rFonts w:eastAsiaTheme="minorHAnsi"/>
        </w:rPr>
        <w:t>The higher incidence of AEs in the E5/S100 group relative to the placebo group was primarily due to headaches (4.1% and 0.0%, respectively). The higher incidence of AEs in the E15/S100 group relative to the placebo group was primarily due to headaches (3.1% and 0.0%, respectively) and dizziness (4.2% and 1.0%, respectively, which includes 1 event of postural dizziness in the E15/S100 group).</w:t>
      </w:r>
      <w:r w:rsidRPr="005F7B4A">
        <w:t xml:space="preserve"> All AEs of headache w</w:t>
      </w:r>
      <w:r>
        <w:t xml:space="preserve">ere mild or moderate </w:t>
      </w:r>
      <w:r w:rsidRPr="005F7B4A">
        <w:t>in intensity and non-serious. None resulted in discontinuation of study medication</w:t>
      </w:r>
      <w:r>
        <w:rPr>
          <w:rFonts w:eastAsiaTheme="minorHAnsi"/>
        </w:rPr>
        <w:t>.</w:t>
      </w:r>
      <w:r w:rsidRPr="005F7B4A">
        <w:rPr>
          <w:rFonts w:eastAsiaTheme="minorHAnsi"/>
        </w:rPr>
        <w:t xml:space="preserve"> The 95% CIs for between-group</w:t>
      </w:r>
      <w:r>
        <w:rPr>
          <w:rFonts w:eastAsiaTheme="minorHAnsi"/>
        </w:rPr>
        <w:t xml:space="preserve"> </w:t>
      </w:r>
      <w:r w:rsidRPr="005F7B4A">
        <w:rPr>
          <w:rFonts w:eastAsiaTheme="minorHAnsi"/>
        </w:rPr>
        <w:t>differences also excluded 0 for 3 specific AEs for which the incidences in the placebo group</w:t>
      </w:r>
      <w:r>
        <w:rPr>
          <w:rFonts w:eastAsiaTheme="minorHAnsi"/>
        </w:rPr>
        <w:t xml:space="preserve"> </w:t>
      </w:r>
      <w:r w:rsidRPr="005F7B4A">
        <w:rPr>
          <w:rFonts w:eastAsiaTheme="minorHAnsi"/>
        </w:rPr>
        <w:t>were higher relative to those in the E5/S100 group (hyperglycaemia) and in the E15/S100</w:t>
      </w:r>
      <w:r>
        <w:rPr>
          <w:rFonts w:eastAsiaTheme="minorHAnsi"/>
        </w:rPr>
        <w:t xml:space="preserve"> </w:t>
      </w:r>
      <w:r w:rsidRPr="005F7B4A">
        <w:rPr>
          <w:rFonts w:eastAsiaTheme="minorHAnsi"/>
        </w:rPr>
        <w:t>group (blood glucose increased and back pain).</w:t>
      </w:r>
      <w:r>
        <w:rPr>
          <w:rFonts w:eastAsiaTheme="minorHAnsi"/>
        </w:rPr>
        <w:t xml:space="preserve"> </w:t>
      </w:r>
      <w:r w:rsidRPr="005F7B4A">
        <w:rPr>
          <w:rFonts w:eastAsiaTheme="minorHAnsi"/>
        </w:rPr>
        <w:t>AEs associated with osmotic diuresis have been associated with SGLT2 inhibition</w:t>
      </w:r>
      <w:r>
        <w:rPr>
          <w:rFonts w:eastAsiaTheme="minorHAnsi"/>
        </w:rPr>
        <w:t xml:space="preserve"> but s</w:t>
      </w:r>
      <w:r w:rsidRPr="005F7B4A">
        <w:rPr>
          <w:rFonts w:eastAsiaTheme="minorHAnsi"/>
        </w:rPr>
        <w:t>uch</w:t>
      </w:r>
      <w:r>
        <w:rPr>
          <w:rFonts w:eastAsiaTheme="minorHAnsi"/>
        </w:rPr>
        <w:t xml:space="preserve"> </w:t>
      </w:r>
      <w:r w:rsidRPr="005F7B4A">
        <w:rPr>
          <w:rFonts w:eastAsiaTheme="minorHAnsi"/>
        </w:rPr>
        <w:t>events were infrequent in this study. One subject in the E5/S100 group had an AE of</w:t>
      </w:r>
      <w:r>
        <w:rPr>
          <w:rFonts w:eastAsiaTheme="minorHAnsi"/>
        </w:rPr>
        <w:t xml:space="preserve"> </w:t>
      </w:r>
      <w:r w:rsidRPr="005F7B4A">
        <w:rPr>
          <w:rFonts w:eastAsiaTheme="minorHAnsi"/>
        </w:rPr>
        <w:t>polyuria, and 1 subject in the E15/S100 group had an AE of micturition urgency</w:t>
      </w:r>
      <w:r w:rsidR="0049037E">
        <w:rPr>
          <w:rFonts w:eastAsiaTheme="minorHAnsi"/>
        </w:rPr>
        <w:t>.</w:t>
      </w:r>
      <w:r w:rsidRPr="005F7B4A">
        <w:rPr>
          <w:rFonts w:eastAsiaTheme="minorHAnsi"/>
          <w:b/>
        </w:rPr>
        <w:t xml:space="preserve"> </w:t>
      </w:r>
      <w:r w:rsidRPr="0048725C">
        <w:rPr>
          <w:rFonts w:eastAsiaTheme="minorHAnsi"/>
        </w:rPr>
        <w:t>All the AEs associated</w:t>
      </w:r>
      <w:r>
        <w:rPr>
          <w:rFonts w:eastAsiaTheme="minorHAnsi"/>
        </w:rPr>
        <w:t xml:space="preserve"> </w:t>
      </w:r>
      <w:r w:rsidRPr="0048725C">
        <w:rPr>
          <w:rFonts w:eastAsiaTheme="minorHAnsi"/>
        </w:rPr>
        <w:t>with hypovolemia were non-serious, and none led to discontinuation of study medication.</w:t>
      </w:r>
      <w:r>
        <w:rPr>
          <w:rFonts w:eastAsiaTheme="minorHAnsi"/>
        </w:rPr>
        <w:t xml:space="preserve"> </w:t>
      </w:r>
      <w:r w:rsidRPr="0048725C">
        <w:rPr>
          <w:rFonts w:eastAsiaTheme="minorHAnsi"/>
        </w:rPr>
        <w:t>One subject in the placebo group had an AE of dehydration, 2 subjects in the E5/S100 group</w:t>
      </w:r>
      <w:r>
        <w:rPr>
          <w:rFonts w:eastAsiaTheme="minorHAnsi"/>
        </w:rPr>
        <w:t xml:space="preserve"> </w:t>
      </w:r>
      <w:r w:rsidRPr="0048725C">
        <w:rPr>
          <w:rFonts w:eastAsiaTheme="minorHAnsi"/>
        </w:rPr>
        <w:t>and 1 subject in the E15/S100 group had an AE of hypotension, and 1 subject in the</w:t>
      </w:r>
      <w:r>
        <w:rPr>
          <w:rFonts w:eastAsiaTheme="minorHAnsi"/>
        </w:rPr>
        <w:t xml:space="preserve"> </w:t>
      </w:r>
      <w:r w:rsidRPr="0048725C">
        <w:rPr>
          <w:rFonts w:eastAsiaTheme="minorHAnsi"/>
        </w:rPr>
        <w:t>E15/S100 group had an AE of dizziness postural. All but one of the AEs associated with</w:t>
      </w:r>
      <w:r>
        <w:rPr>
          <w:rFonts w:eastAsiaTheme="minorHAnsi"/>
        </w:rPr>
        <w:t xml:space="preserve"> </w:t>
      </w:r>
      <w:r w:rsidRPr="0048725C">
        <w:rPr>
          <w:rFonts w:eastAsiaTheme="minorHAnsi"/>
        </w:rPr>
        <w:t>hypovol</w:t>
      </w:r>
      <w:r w:rsidR="00C14E6F">
        <w:rPr>
          <w:rFonts w:eastAsiaTheme="minorHAnsi"/>
        </w:rPr>
        <w:t>a</w:t>
      </w:r>
      <w:r w:rsidRPr="0048725C">
        <w:rPr>
          <w:rFonts w:eastAsiaTheme="minorHAnsi"/>
        </w:rPr>
        <w:t>emia were mild; the AE of hypotension in the su</w:t>
      </w:r>
      <w:r>
        <w:rPr>
          <w:rFonts w:eastAsiaTheme="minorHAnsi"/>
        </w:rPr>
        <w:t xml:space="preserve">bject in the E15/S100 group was </w:t>
      </w:r>
      <w:r w:rsidRPr="0048725C">
        <w:rPr>
          <w:rFonts w:eastAsiaTheme="minorHAnsi"/>
        </w:rPr>
        <w:t>moderate in intensity</w:t>
      </w:r>
      <w:r>
        <w:rPr>
          <w:rFonts w:eastAsiaTheme="minorHAnsi"/>
        </w:rPr>
        <w:t>.</w:t>
      </w:r>
    </w:p>
    <w:p w:rsidR="001F2C0F" w:rsidRDefault="001F2C0F" w:rsidP="001F2C0F">
      <w:pPr>
        <w:pStyle w:val="Tabletitle"/>
      </w:pPr>
      <w:bookmarkStart w:id="351" w:name="_Ref493674732"/>
      <w:bookmarkStart w:id="352" w:name="_Toc504036259"/>
      <w:r>
        <w:lastRenderedPageBreak/>
        <w:t xml:space="preserve">Table </w:t>
      </w:r>
      <w:r w:rsidR="0049037E">
        <w:t>18</w:t>
      </w:r>
      <w:r>
        <w:t>: Study P017/1047 Analysis of AE summary measures</w:t>
      </w:r>
      <w:r w:rsidR="00C14E6F">
        <w:t>;</w:t>
      </w:r>
      <w:r>
        <w:t xml:space="preserve"> All subjects as treated</w:t>
      </w:r>
      <w:r w:rsidR="00C14E6F">
        <w:t>: e</w:t>
      </w:r>
      <w:r>
        <w:t>xcluding rescue approach</w:t>
      </w:r>
      <w:bookmarkEnd w:id="351"/>
      <w:bookmarkEnd w:id="352"/>
    </w:p>
    <w:p w:rsidR="001F2C0F" w:rsidRDefault="001F2C0F" w:rsidP="001F2C0F">
      <w:r>
        <w:rPr>
          <w:noProof/>
          <w:lang w:eastAsia="en-AU"/>
        </w:rPr>
        <w:drawing>
          <wp:inline distT="0" distB="0" distL="0" distR="0" wp14:anchorId="1F3A9416" wp14:editId="254FE5F0">
            <wp:extent cx="5229225" cy="8048625"/>
            <wp:effectExtent l="0" t="0" r="9525" b="9525"/>
            <wp:docPr id="10" name="Picture 10" descr="Study P017/1047. Analysis of AE summary measures. All subjects as treated. Excluding rescu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054"/>
                    <a:stretch/>
                  </pic:blipFill>
                  <pic:spPr bwMode="auto">
                    <a:xfrm>
                      <a:off x="0" y="0"/>
                      <a:ext cx="5229225" cy="8048625"/>
                    </a:xfrm>
                    <a:prstGeom prst="rect">
                      <a:avLst/>
                    </a:prstGeom>
                    <a:ln>
                      <a:noFill/>
                    </a:ln>
                    <a:extLst>
                      <a:ext uri="{53640926-AAD7-44D8-BBD7-CCE9431645EC}">
                        <a14:shadowObscured xmlns:a14="http://schemas.microsoft.com/office/drawing/2010/main"/>
                      </a:ext>
                    </a:extLst>
                  </pic:spPr>
                </pic:pic>
              </a:graphicData>
            </a:graphic>
          </wp:inline>
        </w:drawing>
      </w:r>
    </w:p>
    <w:p w:rsidR="00B37C25" w:rsidRDefault="00B37C25" w:rsidP="0049037E">
      <w:pPr>
        <w:pStyle w:val="Heading4"/>
      </w:pPr>
      <w:bookmarkStart w:id="353" w:name="_Toc504036143"/>
      <w:r w:rsidRPr="00545B14">
        <w:lastRenderedPageBreak/>
        <w:t>Treatment</w:t>
      </w:r>
      <w:r>
        <w:t xml:space="preserve"> </w:t>
      </w:r>
      <w:r w:rsidRPr="00545B14">
        <w:t>related adverse events (adverse drug reactions)</w:t>
      </w:r>
      <w:bookmarkEnd w:id="340"/>
      <w:bookmarkEnd w:id="341"/>
      <w:bookmarkEnd w:id="342"/>
      <w:bookmarkEnd w:id="343"/>
      <w:bookmarkEnd w:id="344"/>
      <w:bookmarkEnd w:id="345"/>
      <w:bookmarkEnd w:id="346"/>
      <w:bookmarkEnd w:id="353"/>
    </w:p>
    <w:p w:rsidR="00B37C25" w:rsidRPr="00027A58" w:rsidRDefault="00BC7DA5" w:rsidP="0049037E">
      <w:pPr>
        <w:pStyle w:val="Heading5"/>
        <w:rPr>
          <w:lang w:eastAsia="ja-JP"/>
        </w:rPr>
      </w:pPr>
      <w:r>
        <w:rPr>
          <w:lang w:eastAsia="ja-JP"/>
        </w:rPr>
        <w:t>Study P0</w:t>
      </w:r>
      <w:r w:rsidR="00B37C25" w:rsidRPr="00027A58">
        <w:rPr>
          <w:lang w:eastAsia="ja-JP"/>
        </w:rPr>
        <w:t xml:space="preserve">05/1019 </w:t>
      </w:r>
      <w:r w:rsidR="004A75C1" w:rsidRPr="00027A58">
        <w:rPr>
          <w:rFonts w:eastAsia="TimesNewRoman,Bold"/>
        </w:rPr>
        <w:t>ertugliflozin +</w:t>
      </w:r>
      <w:r w:rsidR="004A75C1">
        <w:rPr>
          <w:rFonts w:eastAsia="TimesNewRoman,Bold"/>
        </w:rPr>
        <w:t xml:space="preserve"> s</w:t>
      </w:r>
      <w:r w:rsidR="004A75C1" w:rsidRPr="00027A58">
        <w:rPr>
          <w:rFonts w:eastAsia="TimesNewRoman,Bold"/>
        </w:rPr>
        <w:t xml:space="preserve">itagliptin </w:t>
      </w:r>
      <w:r w:rsidR="00C14E6F">
        <w:rPr>
          <w:rFonts w:eastAsia="TimesNewRoman,Bold"/>
        </w:rPr>
        <w:t>f</w:t>
      </w:r>
      <w:r w:rsidR="00C14E6F" w:rsidRPr="00027A58">
        <w:rPr>
          <w:rFonts w:eastAsia="TimesNewRoman,Bold"/>
        </w:rPr>
        <w:t xml:space="preserve">actorial </w:t>
      </w:r>
      <w:r w:rsidR="00C14E6F">
        <w:rPr>
          <w:rFonts w:eastAsia="TimesNewRoman,Bold"/>
        </w:rPr>
        <w:t>s</w:t>
      </w:r>
      <w:r w:rsidR="00C14E6F" w:rsidRPr="00027A58">
        <w:rPr>
          <w:rFonts w:eastAsia="TimesNewRoman,Bold"/>
        </w:rPr>
        <w:t>tudy</w:t>
      </w:r>
    </w:p>
    <w:p w:rsidR="00B37C25" w:rsidRPr="00380522" w:rsidRDefault="00B37C25" w:rsidP="00E957A2">
      <w:pPr>
        <w:rPr>
          <w:lang w:eastAsia="ja-JP"/>
        </w:rPr>
      </w:pPr>
      <w:r w:rsidRPr="00380522">
        <w:t xml:space="preserve">The incidence of </w:t>
      </w:r>
      <w:r w:rsidR="007C5BC7">
        <w:t>drug related</w:t>
      </w:r>
      <w:r w:rsidRPr="00380522">
        <w:t xml:space="preserve"> </w:t>
      </w:r>
      <w:r>
        <w:t xml:space="preserve">AEs </w:t>
      </w:r>
      <w:r w:rsidRPr="00380522">
        <w:t>was higher in the E5/S100 and E15/S100</w:t>
      </w:r>
      <w:r>
        <w:t xml:space="preserve"> </w:t>
      </w:r>
      <w:r w:rsidRPr="00380522">
        <w:t>groups than in the S100 group, but was not notably different relative to</w:t>
      </w:r>
      <w:r>
        <w:t xml:space="preserve"> </w:t>
      </w:r>
      <w:r w:rsidRPr="00380522">
        <w:t>the E5 and E15 groups</w:t>
      </w:r>
      <w:r w:rsidR="006F48AD">
        <w:t xml:space="preserve"> </w:t>
      </w:r>
      <w:r>
        <w:t>(16.8%, 12.1%, 4.9%, 11.1% and 16%</w:t>
      </w:r>
      <w:r w:rsidRPr="0075382B">
        <w:rPr>
          <w:lang w:eastAsia="ja-JP"/>
        </w:rPr>
        <w:t xml:space="preserve"> </w:t>
      </w:r>
      <w:r w:rsidRPr="00F94B66">
        <w:rPr>
          <w:lang w:eastAsia="ja-JP"/>
        </w:rPr>
        <w:t>in the E5, E15, S100, E5/S100 and E15/S100 groups, respectively)</w:t>
      </w:r>
      <w:r>
        <w:rPr>
          <w:lang w:eastAsia="ja-JP"/>
        </w:rPr>
        <w:t xml:space="preserve">. </w:t>
      </w:r>
      <w:r w:rsidRPr="00380522">
        <w:t>AEs associated with genital mycotic</w:t>
      </w:r>
      <w:r>
        <w:t xml:space="preserve"> </w:t>
      </w:r>
      <w:r w:rsidRPr="00380522">
        <w:t xml:space="preserve">infections were the most frequently reported </w:t>
      </w:r>
      <w:r w:rsidR="007C5BC7">
        <w:t>drug related</w:t>
      </w:r>
      <w:r w:rsidRPr="00380522">
        <w:t xml:space="preserve"> </w:t>
      </w:r>
      <w:r>
        <w:t xml:space="preserve">AEs </w:t>
      </w:r>
      <w:r w:rsidRPr="00380522">
        <w:t>in the E5/S100 and</w:t>
      </w:r>
      <w:r>
        <w:t xml:space="preserve"> </w:t>
      </w:r>
      <w:r w:rsidRPr="00380522">
        <w:t>E15/S100 groups, and in the E5 and E15 groups, with</w:t>
      </w:r>
      <w:r>
        <w:t xml:space="preserve"> </w:t>
      </w:r>
      <w:r w:rsidRPr="00380522">
        <w:t>none reported in the S100 group. The</w:t>
      </w:r>
      <w:r>
        <w:t xml:space="preserve"> </w:t>
      </w:r>
      <w:r w:rsidRPr="00380522">
        <w:t xml:space="preserve">incidence of other specific </w:t>
      </w:r>
      <w:r w:rsidR="007C5BC7">
        <w:t>drug related</w:t>
      </w:r>
      <w:r w:rsidRPr="00380522">
        <w:t xml:space="preserve"> </w:t>
      </w:r>
      <w:r>
        <w:t xml:space="preserve">AEs </w:t>
      </w:r>
      <w:r w:rsidRPr="00380522">
        <w:t>was low (occurring in 3 or fewer</w:t>
      </w:r>
      <w:r>
        <w:t xml:space="preserve"> </w:t>
      </w:r>
      <w:r w:rsidRPr="00380522">
        <w:t>subjects) and not notably different across groups, except for hypoglyc</w:t>
      </w:r>
      <w:r>
        <w:t>a</w:t>
      </w:r>
      <w:r w:rsidRPr="00380522">
        <w:t>emia, which was</w:t>
      </w:r>
      <w:r>
        <w:t xml:space="preserve"> </w:t>
      </w:r>
      <w:r w:rsidRPr="00380522">
        <w:t>reported in 2.9% of subjects in the E15/S100 group and 0.4% to 1.2% of subjects in the</w:t>
      </w:r>
      <w:r>
        <w:t xml:space="preserve"> </w:t>
      </w:r>
      <w:r w:rsidRPr="00380522">
        <w:t xml:space="preserve">4 other groups. The incidence of </w:t>
      </w:r>
      <w:r w:rsidR="007C5BC7">
        <w:t>drug related</w:t>
      </w:r>
      <w:r w:rsidRPr="00380522">
        <w:t xml:space="preserve"> hypoglycaemia was the</w:t>
      </w:r>
      <w:r>
        <w:t xml:space="preserve"> </w:t>
      </w:r>
      <w:r w:rsidRPr="00380522">
        <w:t>same using the</w:t>
      </w:r>
      <w:r>
        <w:t xml:space="preserve"> </w:t>
      </w:r>
      <w:r w:rsidRPr="00380522">
        <w:t>including and excluding rescue approaches</w:t>
      </w:r>
      <w:r>
        <w:t>.</w:t>
      </w:r>
    </w:p>
    <w:p w:rsidR="00B37C25" w:rsidRPr="00027A58" w:rsidRDefault="00BC7DA5" w:rsidP="0049037E">
      <w:pPr>
        <w:pStyle w:val="Heading5"/>
        <w:rPr>
          <w:lang w:eastAsia="ja-JP"/>
        </w:rPr>
      </w:pPr>
      <w:r>
        <w:rPr>
          <w:lang w:eastAsia="ja-JP"/>
        </w:rPr>
        <w:t>Study P0</w:t>
      </w:r>
      <w:r w:rsidR="00B37C25" w:rsidRPr="00027A58">
        <w:rPr>
          <w:rFonts w:eastAsia="TimesNewRoman,Bold"/>
        </w:rPr>
        <w:t xml:space="preserve">06/1015 Add-on to </w:t>
      </w:r>
      <w:r w:rsidR="00C14E6F">
        <w:rPr>
          <w:rFonts w:eastAsia="TimesNewRoman,Bold"/>
        </w:rPr>
        <w:t>m</w:t>
      </w:r>
      <w:r w:rsidR="00C14E6F" w:rsidRPr="00027A58">
        <w:rPr>
          <w:rFonts w:eastAsia="TimesNewRoman,Bold"/>
        </w:rPr>
        <w:t xml:space="preserve">etformin </w:t>
      </w:r>
      <w:r w:rsidR="00B37C25" w:rsidRPr="00027A58">
        <w:rPr>
          <w:rFonts w:eastAsia="TimesNewRoman,Bold"/>
        </w:rPr>
        <w:t xml:space="preserve">and </w:t>
      </w:r>
      <w:r w:rsidR="00C14E6F">
        <w:rPr>
          <w:rFonts w:eastAsia="TimesNewRoman,Bold"/>
        </w:rPr>
        <w:t>s</w:t>
      </w:r>
      <w:r w:rsidR="00C14E6F" w:rsidRPr="00027A58">
        <w:rPr>
          <w:rFonts w:eastAsia="TimesNewRoman,Bold"/>
        </w:rPr>
        <w:t xml:space="preserve">itagliptin </w:t>
      </w:r>
      <w:r w:rsidR="00C14E6F">
        <w:rPr>
          <w:rFonts w:eastAsia="TimesNewRoman,Bold"/>
        </w:rPr>
        <w:t>s</w:t>
      </w:r>
      <w:r w:rsidR="00C14E6F" w:rsidRPr="00027A58">
        <w:rPr>
          <w:rFonts w:eastAsia="TimesNewRoman,Bold"/>
        </w:rPr>
        <w:t>tudy</w:t>
      </w:r>
    </w:p>
    <w:p w:rsidR="00B37C25" w:rsidRPr="0075382B" w:rsidRDefault="00B37C25" w:rsidP="00E957A2">
      <w:pPr>
        <w:rPr>
          <w:u w:val="single"/>
          <w:lang w:eastAsia="ja-JP"/>
        </w:rPr>
      </w:pPr>
      <w:r w:rsidRPr="0075382B">
        <w:t xml:space="preserve">Compared with placebo, the incidence of </w:t>
      </w:r>
      <w:r w:rsidR="007C5BC7">
        <w:t>drug related</w:t>
      </w:r>
      <w:r w:rsidRPr="0075382B">
        <w:t xml:space="preserve"> AEs was numerically higher in the ertugliflozin 5 mg and 15 mg groups (8.5%, 10.9% and 14.4% in the placebo, ertugliflozin</w:t>
      </w:r>
      <w:r>
        <w:t xml:space="preserve"> </w:t>
      </w:r>
      <w:r w:rsidR="006F48AD">
        <w:t>5 mg</w:t>
      </w:r>
      <w:r w:rsidRPr="0075382B">
        <w:t xml:space="preserve"> and 1</w:t>
      </w:r>
      <w:r w:rsidR="006F48AD">
        <w:t>5 mg</w:t>
      </w:r>
      <w:r w:rsidRPr="0075382B">
        <w:t xml:space="preserve"> groups, respectively). The most frequently reported </w:t>
      </w:r>
      <w:r w:rsidR="007C5BC7">
        <w:t>drug related</w:t>
      </w:r>
      <w:r w:rsidRPr="0075382B">
        <w:t xml:space="preserve"> AEs in the ertugliflozin groups</w:t>
      </w:r>
      <w:r>
        <w:t xml:space="preserve"> </w:t>
      </w:r>
      <w:r w:rsidRPr="0075382B">
        <w:t xml:space="preserve">were those associated with genital mycotic infections. The only other specific </w:t>
      </w:r>
      <w:r w:rsidR="007C5BC7">
        <w:t>drug related</w:t>
      </w:r>
      <w:r>
        <w:t xml:space="preserve"> </w:t>
      </w:r>
      <w:r w:rsidRPr="0075382B">
        <w:t xml:space="preserve">AEs reported in </w:t>
      </w:r>
      <w:r w:rsidR="00F7529C">
        <w:t xml:space="preserve">&gt; </w:t>
      </w:r>
      <w:r w:rsidRPr="0075382B">
        <w:t>2 subjects in a group were dry mouth in the ertugliflozin 5 mg</w:t>
      </w:r>
      <w:r>
        <w:t xml:space="preserve"> </w:t>
      </w:r>
      <w:r w:rsidRPr="0075382B">
        <w:t>group and weight decreased in the ertugliflozin 5 mg and placebo groups</w:t>
      </w:r>
      <w:r>
        <w:t>.</w:t>
      </w:r>
      <w:r w:rsidRPr="0075382B">
        <w:t xml:space="preserve"> These events were</w:t>
      </w:r>
      <w:r>
        <w:t xml:space="preserve"> </w:t>
      </w:r>
      <w:r w:rsidRPr="0075382B">
        <w:t>both reported in 3 subjects. One subject in the ertugliflozin 15 mg group had a SAE</w:t>
      </w:r>
      <w:r w:rsidR="006F48AD">
        <w:t xml:space="preserve"> </w:t>
      </w:r>
      <w:r w:rsidRPr="0075382B">
        <w:t>of transient ischemic attack that was considered related to study medication by</w:t>
      </w:r>
      <w:r>
        <w:t xml:space="preserve"> </w:t>
      </w:r>
      <w:r w:rsidRPr="0075382B">
        <w:t>the investigator</w:t>
      </w:r>
      <w:r>
        <w:t>.</w:t>
      </w:r>
    </w:p>
    <w:p w:rsidR="00B37C25" w:rsidRPr="00027A58" w:rsidRDefault="00BC7DA5" w:rsidP="00D64DB1">
      <w:pPr>
        <w:pStyle w:val="Heading5"/>
        <w:rPr>
          <w:rFonts w:eastAsia="TimesNewRoman,Bold"/>
        </w:rPr>
      </w:pPr>
      <w:r>
        <w:rPr>
          <w:lang w:eastAsia="ja-JP"/>
        </w:rPr>
        <w:t>Study P0</w:t>
      </w:r>
      <w:r w:rsidR="00B37C25" w:rsidRPr="00027A58">
        <w:rPr>
          <w:rFonts w:eastAsia="TimesNewRoman,Bold"/>
        </w:rPr>
        <w:t xml:space="preserve">17/1047 </w:t>
      </w:r>
      <w:r w:rsidR="004A75C1">
        <w:rPr>
          <w:rFonts w:eastAsia="TimesNewRoman,Bold"/>
        </w:rPr>
        <w:t>e</w:t>
      </w:r>
      <w:r w:rsidR="00B37C25" w:rsidRPr="00027A58">
        <w:rPr>
          <w:rFonts w:eastAsia="TimesNewRoman,Bold"/>
        </w:rPr>
        <w:t>rtugliflozin +</w:t>
      </w:r>
      <w:r w:rsidR="00C14E6F">
        <w:rPr>
          <w:rFonts w:eastAsia="TimesNewRoman,Bold"/>
        </w:rPr>
        <w:t xml:space="preserve"> s</w:t>
      </w:r>
      <w:r w:rsidR="00B37C25" w:rsidRPr="00027A58">
        <w:rPr>
          <w:rFonts w:eastAsia="TimesNewRoman,Bold"/>
        </w:rPr>
        <w:t xml:space="preserve">itagliptin </w:t>
      </w:r>
      <w:r w:rsidR="00C14E6F">
        <w:rPr>
          <w:rFonts w:eastAsia="TimesNewRoman,Bold"/>
        </w:rPr>
        <w:t>i</w:t>
      </w:r>
      <w:r w:rsidR="00C14E6F" w:rsidRPr="00027A58">
        <w:rPr>
          <w:rFonts w:eastAsia="TimesNewRoman,Bold"/>
        </w:rPr>
        <w:t xml:space="preserve">nitial </w:t>
      </w:r>
      <w:r w:rsidR="00C14E6F">
        <w:rPr>
          <w:rFonts w:eastAsia="TimesNewRoman,Bold"/>
        </w:rPr>
        <w:t>c</w:t>
      </w:r>
      <w:r w:rsidR="00C14E6F" w:rsidRPr="00027A58">
        <w:rPr>
          <w:rFonts w:eastAsia="TimesNewRoman,Bold"/>
        </w:rPr>
        <w:t xml:space="preserve">ombination </w:t>
      </w:r>
      <w:r w:rsidR="00C14E6F">
        <w:rPr>
          <w:rFonts w:eastAsia="TimesNewRoman,Bold"/>
        </w:rPr>
        <w:t>s</w:t>
      </w:r>
      <w:r w:rsidR="00B37C25" w:rsidRPr="00027A58">
        <w:rPr>
          <w:rFonts w:eastAsia="TimesNewRoman,Bold"/>
        </w:rPr>
        <w:t>tudy</w:t>
      </w:r>
    </w:p>
    <w:p w:rsidR="00B37C25" w:rsidRPr="00ED58B2" w:rsidRDefault="00B37C25" w:rsidP="00E957A2">
      <w:pPr>
        <w:rPr>
          <w:lang w:eastAsia="ja-JP"/>
        </w:rPr>
      </w:pPr>
      <w:r w:rsidRPr="00ED58B2">
        <w:t xml:space="preserve">The incidence of </w:t>
      </w:r>
      <w:r w:rsidR="007C5BC7">
        <w:t>drug related</w:t>
      </w:r>
      <w:r w:rsidRPr="00ED58B2">
        <w:t xml:space="preserve"> AEs was numerically higher in the E15/S100 group (13.5%) and similar in the E5/S100 group (9.2%), relative to the placebo group (9.3%). </w:t>
      </w:r>
      <w:r w:rsidRPr="00ED58B2">
        <w:rPr>
          <w:rFonts w:eastAsiaTheme="minorHAnsi"/>
          <w:color w:val="000000"/>
        </w:rPr>
        <w:t xml:space="preserve">AEs associated with UTI and genital mycotic infections were among the </w:t>
      </w:r>
      <w:r w:rsidR="007C5BC7">
        <w:rPr>
          <w:rFonts w:eastAsiaTheme="minorHAnsi"/>
          <w:color w:val="000000"/>
        </w:rPr>
        <w:t>drug related</w:t>
      </w:r>
      <w:r w:rsidRPr="00ED58B2">
        <w:rPr>
          <w:rFonts w:eastAsiaTheme="minorHAnsi"/>
          <w:color w:val="000000"/>
        </w:rPr>
        <w:t xml:space="preserve"> AEs in the coadministration groups</w:t>
      </w:r>
      <w:r w:rsidRPr="00ED58B2">
        <w:rPr>
          <w:b/>
        </w:rPr>
        <w:t>.</w:t>
      </w:r>
      <w:r w:rsidRPr="00ED58B2">
        <w:rPr>
          <w:rFonts w:eastAsiaTheme="minorHAnsi"/>
        </w:rPr>
        <w:t xml:space="preserve"> Drug-related AEs occurring in </w:t>
      </w:r>
      <w:r w:rsidR="00F7529C">
        <w:rPr>
          <w:rFonts w:eastAsiaTheme="minorHAnsi"/>
        </w:rPr>
        <w:t xml:space="preserve">&gt; </w:t>
      </w:r>
      <w:r w:rsidRPr="00ED58B2">
        <w:rPr>
          <w:rFonts w:eastAsiaTheme="minorHAnsi"/>
        </w:rPr>
        <w:t xml:space="preserve">1 subject were urinary tract infection, </w:t>
      </w:r>
      <w:r w:rsidRPr="00605F47">
        <w:rPr>
          <w:rFonts w:eastAsiaTheme="minorHAnsi"/>
        </w:rPr>
        <w:t xml:space="preserve">pruritus genital, and hypoglycaemia in the coadministration groups and back pain in the placebo group. These events were reported in 2 subjects each. </w:t>
      </w:r>
      <w:r w:rsidRPr="00605F47">
        <w:t xml:space="preserve">The incidence of </w:t>
      </w:r>
      <w:r w:rsidR="007C5BC7">
        <w:t>drug related</w:t>
      </w:r>
      <w:r w:rsidRPr="00605F47">
        <w:t xml:space="preserve"> AEs of hypoglycaemia was the same for the excluding and including glycaemic rescue approaches. </w:t>
      </w:r>
      <w:r w:rsidRPr="00605F47">
        <w:rPr>
          <w:rFonts w:eastAsiaTheme="minorHAnsi"/>
        </w:rPr>
        <w:t>No subject had an SAE that was considered related to study medication</w:t>
      </w:r>
      <w:r>
        <w:rPr>
          <w:rFonts w:eastAsiaTheme="minorHAnsi"/>
        </w:rPr>
        <w:t>.</w:t>
      </w:r>
    </w:p>
    <w:p w:rsidR="00B37C25" w:rsidRDefault="00B37C25" w:rsidP="00D64DB1">
      <w:pPr>
        <w:pStyle w:val="Heading4"/>
      </w:pPr>
      <w:bookmarkStart w:id="354" w:name="_Toc241374320"/>
      <w:bookmarkStart w:id="355" w:name="_Ref272333507"/>
      <w:bookmarkStart w:id="356" w:name="_Toc272414666"/>
      <w:bookmarkStart w:id="357" w:name="_Toc290888530"/>
      <w:bookmarkStart w:id="358" w:name="_Toc416353746"/>
      <w:bookmarkStart w:id="359" w:name="_Toc421005289"/>
      <w:bookmarkStart w:id="360" w:name="_Toc432079166"/>
      <w:bookmarkStart w:id="361" w:name="_Toc432080739"/>
      <w:bookmarkStart w:id="362" w:name="_Toc504036144"/>
      <w:r w:rsidRPr="00545B14">
        <w:t>Deaths and other serious adverse events</w:t>
      </w:r>
      <w:bookmarkEnd w:id="354"/>
      <w:bookmarkEnd w:id="355"/>
      <w:bookmarkEnd w:id="356"/>
      <w:bookmarkEnd w:id="357"/>
      <w:bookmarkEnd w:id="358"/>
      <w:bookmarkEnd w:id="359"/>
      <w:bookmarkEnd w:id="360"/>
      <w:bookmarkEnd w:id="361"/>
      <w:bookmarkEnd w:id="362"/>
    </w:p>
    <w:p w:rsidR="00B37C25" w:rsidRPr="00027A58" w:rsidRDefault="00BC7DA5" w:rsidP="00D64DB1">
      <w:pPr>
        <w:pStyle w:val="Heading5"/>
        <w:rPr>
          <w:lang w:eastAsia="ja-JP"/>
        </w:rPr>
      </w:pPr>
      <w:r>
        <w:rPr>
          <w:lang w:eastAsia="ja-JP"/>
        </w:rPr>
        <w:t>Study P0</w:t>
      </w:r>
      <w:r w:rsidR="00B37C25" w:rsidRPr="00027A58">
        <w:rPr>
          <w:lang w:eastAsia="ja-JP"/>
        </w:rPr>
        <w:t xml:space="preserve">05/1019 </w:t>
      </w:r>
      <w:r w:rsidR="004A75C1">
        <w:rPr>
          <w:rFonts w:eastAsia="TimesNewRoman,Bold"/>
        </w:rPr>
        <w:t>e</w:t>
      </w:r>
      <w:r w:rsidR="00B37C25" w:rsidRPr="00027A58">
        <w:rPr>
          <w:rFonts w:eastAsia="TimesNewRoman,Bold"/>
        </w:rPr>
        <w:t>rtugliflozin +</w:t>
      </w:r>
      <w:r w:rsidR="00C14E6F">
        <w:rPr>
          <w:rFonts w:eastAsia="TimesNewRoman,Bold"/>
        </w:rPr>
        <w:t xml:space="preserve"> s</w:t>
      </w:r>
      <w:r w:rsidR="00B37C25" w:rsidRPr="00027A58">
        <w:rPr>
          <w:rFonts w:eastAsia="TimesNewRoman,Bold"/>
        </w:rPr>
        <w:t xml:space="preserve">itagliptin </w:t>
      </w:r>
      <w:r w:rsidR="00C14E6F">
        <w:rPr>
          <w:rFonts w:eastAsia="TimesNewRoman,Bold"/>
        </w:rPr>
        <w:t>f</w:t>
      </w:r>
      <w:r w:rsidR="00B37C25" w:rsidRPr="00027A58">
        <w:rPr>
          <w:rFonts w:eastAsia="TimesNewRoman,Bold"/>
        </w:rPr>
        <w:t xml:space="preserve">actorial </w:t>
      </w:r>
      <w:r w:rsidR="00C14E6F">
        <w:rPr>
          <w:rFonts w:eastAsia="TimesNewRoman,Bold"/>
        </w:rPr>
        <w:t>s</w:t>
      </w:r>
      <w:r w:rsidR="00B37C25" w:rsidRPr="00027A58">
        <w:rPr>
          <w:rFonts w:eastAsia="TimesNewRoman,Bold"/>
        </w:rPr>
        <w:t>tudy</w:t>
      </w:r>
    </w:p>
    <w:p w:rsidR="00B37C25" w:rsidRPr="00BA0AD8" w:rsidRDefault="00B37C25" w:rsidP="00E957A2">
      <w:pPr>
        <w:rPr>
          <w:lang w:eastAsia="ja-JP"/>
        </w:rPr>
      </w:pPr>
      <w:r w:rsidRPr="00027A58">
        <w:t>No deaths were reported during Phase A</w:t>
      </w:r>
      <w:r>
        <w:t xml:space="preserve">. SAEs </w:t>
      </w:r>
      <w:r w:rsidRPr="00027A58">
        <w:t xml:space="preserve">occurred at a low incidence across groups (&lt;4%) and small </w:t>
      </w:r>
      <w:r w:rsidRPr="002A2C1D">
        <w:t>numeric differences in the incidence of SAEs were not due to an increased incidence of any particular SAE term</w:t>
      </w:r>
      <w:r w:rsidR="00D64DB1">
        <w:t>.</w:t>
      </w:r>
      <w:r w:rsidRPr="002A2C1D">
        <w:t xml:space="preserve"> The</w:t>
      </w:r>
      <w:r>
        <w:t xml:space="preserve"> </w:t>
      </w:r>
      <w:r w:rsidRPr="002A2C1D">
        <w:t xml:space="preserve">only SAE that occurred in </w:t>
      </w:r>
      <w:r w:rsidR="00F7529C">
        <w:t xml:space="preserve">&gt; </w:t>
      </w:r>
      <w:r w:rsidRPr="002A2C1D">
        <w:t>1 subject in a treatment group was acute</w:t>
      </w:r>
      <w:r>
        <w:t xml:space="preserve"> </w:t>
      </w:r>
      <w:r w:rsidRPr="002A2C1D">
        <w:t>myocardial infarction, which occurred in 2 subjects (0.8%) in the E15/S100 group. Only</w:t>
      </w:r>
      <w:r>
        <w:t xml:space="preserve"> </w:t>
      </w:r>
      <w:r w:rsidRPr="002A2C1D">
        <w:t>1 SAE was considered by the investigator to be related to study medication</w:t>
      </w:r>
      <w:r w:rsidR="007C5BC7">
        <w:t>.</w:t>
      </w:r>
      <w:r>
        <w:rPr>
          <w:rStyle w:val="FootnoteReference"/>
          <w:rFonts w:asciiTheme="minorHAnsi" w:eastAsia="TimesNewRoman" w:hAnsiTheme="minorHAnsi" w:cs="TimesNewRoman"/>
          <w:color w:val="000000"/>
        </w:rPr>
        <w:footnoteReference w:id="4"/>
      </w:r>
      <w:r w:rsidRPr="002A2C1D">
        <w:t xml:space="preserve"> Two subjects, both in the E5/S100 group, discontinued study medication due to</w:t>
      </w:r>
      <w:r>
        <w:t xml:space="preserve"> </w:t>
      </w:r>
      <w:r w:rsidRPr="002A2C1D">
        <w:t xml:space="preserve">SAEs, 1 due to an event of </w:t>
      </w:r>
      <w:r>
        <w:t>m</w:t>
      </w:r>
      <w:r w:rsidRPr="002A2C1D">
        <w:t xml:space="preserve">yocardial </w:t>
      </w:r>
      <w:r w:rsidRPr="00BA0AD8">
        <w:t>infarction and 1 due to nodal marginal zone B-cell lymphoma stage III. Both SAEs were assessed as severe in intensity and not related to study medication. Two subjects had a SAE after the last dose of study medication: an event of</w:t>
      </w:r>
      <w:r>
        <w:t xml:space="preserve"> </w:t>
      </w:r>
      <w:r w:rsidRPr="00BA0AD8">
        <w:t>pancreatic carcinoma was reported for 1 subject in the E15/S100 group</w:t>
      </w:r>
      <w:r>
        <w:t xml:space="preserve"> </w:t>
      </w:r>
      <w:r w:rsidRPr="00BA0AD8">
        <w:t>and an event of acute myocardial infarction was reported for</w:t>
      </w:r>
      <w:r>
        <w:t xml:space="preserve"> </w:t>
      </w:r>
      <w:r w:rsidRPr="00BA0AD8">
        <w:t>1 subject in the S100 group. Both SAEs occurred</w:t>
      </w:r>
      <w:r>
        <w:t xml:space="preserve"> </w:t>
      </w:r>
      <w:r w:rsidRPr="00BA0AD8">
        <w:t>28 days after the last dose of study medication</w:t>
      </w:r>
    </w:p>
    <w:p w:rsidR="00B37C25" w:rsidRPr="00027A58" w:rsidRDefault="00BC7DA5" w:rsidP="00D64DB1">
      <w:pPr>
        <w:pStyle w:val="Heading5"/>
        <w:rPr>
          <w:lang w:eastAsia="ja-JP"/>
        </w:rPr>
      </w:pPr>
      <w:r>
        <w:rPr>
          <w:lang w:eastAsia="ja-JP"/>
        </w:rPr>
        <w:t>Study P0</w:t>
      </w:r>
      <w:r w:rsidR="00B37C25" w:rsidRPr="00027A58">
        <w:rPr>
          <w:rFonts w:eastAsia="TimesNewRoman,Bold"/>
        </w:rPr>
        <w:t xml:space="preserve">06/1015 Add-on to </w:t>
      </w:r>
      <w:r w:rsidR="00C14E6F">
        <w:rPr>
          <w:rFonts w:eastAsia="TimesNewRoman,Bold"/>
        </w:rPr>
        <w:t>m</w:t>
      </w:r>
      <w:r w:rsidR="00C14E6F" w:rsidRPr="00027A58">
        <w:rPr>
          <w:rFonts w:eastAsia="TimesNewRoman,Bold"/>
        </w:rPr>
        <w:t xml:space="preserve">etformin </w:t>
      </w:r>
      <w:r w:rsidR="00B37C25" w:rsidRPr="00027A58">
        <w:rPr>
          <w:rFonts w:eastAsia="TimesNewRoman,Bold"/>
        </w:rPr>
        <w:t xml:space="preserve">and </w:t>
      </w:r>
      <w:r w:rsidR="00C14E6F">
        <w:rPr>
          <w:rFonts w:eastAsia="TimesNewRoman,Bold"/>
        </w:rPr>
        <w:t>s</w:t>
      </w:r>
      <w:r w:rsidR="00C14E6F" w:rsidRPr="00027A58">
        <w:rPr>
          <w:rFonts w:eastAsia="TimesNewRoman,Bold"/>
        </w:rPr>
        <w:t xml:space="preserve">itagliptin </w:t>
      </w:r>
      <w:r w:rsidR="00C14E6F">
        <w:rPr>
          <w:rFonts w:eastAsia="TimesNewRoman,Bold"/>
        </w:rPr>
        <w:t>s</w:t>
      </w:r>
      <w:r w:rsidR="00C14E6F" w:rsidRPr="00027A58">
        <w:rPr>
          <w:rFonts w:eastAsia="TimesNewRoman,Bold"/>
        </w:rPr>
        <w:t>tudy</w:t>
      </w:r>
    </w:p>
    <w:p w:rsidR="00B37C25" w:rsidRPr="00BA0AD8" w:rsidRDefault="00B37C25" w:rsidP="00E957A2">
      <w:r w:rsidRPr="00BA0AD8">
        <w:t>No deaths were reported during Phase A</w:t>
      </w:r>
      <w:r>
        <w:t>.</w:t>
      </w:r>
      <w:r w:rsidRPr="00BA0AD8">
        <w:t xml:space="preserve"> The incidence of </w:t>
      </w:r>
      <w:r>
        <w:t xml:space="preserve">SAEs </w:t>
      </w:r>
      <w:r w:rsidRPr="00BA0AD8">
        <w:t>was low and similar in the ertugliflozin 5 mg (4.5%),</w:t>
      </w:r>
      <w:r>
        <w:t xml:space="preserve"> </w:t>
      </w:r>
      <w:r w:rsidRPr="00BA0AD8">
        <w:t xml:space="preserve">ertugliflozin 15 mg (2.0%) and placebo (3.3%) groups. No specific </w:t>
      </w:r>
      <w:r w:rsidRPr="00BA0AD8">
        <w:lastRenderedPageBreak/>
        <w:t xml:space="preserve">SAE term was reported for </w:t>
      </w:r>
      <w:r w:rsidR="00F7529C">
        <w:t xml:space="preserve">&gt; </w:t>
      </w:r>
      <w:r w:rsidRPr="00BA0AD8">
        <w:t>1 subject in the</w:t>
      </w:r>
      <w:r>
        <w:t xml:space="preserve"> </w:t>
      </w:r>
      <w:r w:rsidRPr="00BA0AD8">
        <w:t>ertugliflozin or placebo groups, and no notable difference in the incidence of</w:t>
      </w:r>
      <w:r>
        <w:t xml:space="preserve"> </w:t>
      </w:r>
      <w:r w:rsidRPr="00BA0AD8">
        <w:t>SAEs by SOC, was observed. No SAE was reported after a subject</w:t>
      </w:r>
      <w:r>
        <w:t xml:space="preserve"> </w:t>
      </w:r>
      <w:r w:rsidRPr="00BA0AD8">
        <w:t>discontinued study medication</w:t>
      </w:r>
      <w:r>
        <w:t xml:space="preserve">. </w:t>
      </w:r>
      <w:r w:rsidRPr="00BA0AD8">
        <w:t>Across the 3 treatment groups, 1 subject had a SAE that was considered</w:t>
      </w:r>
      <w:r>
        <w:t xml:space="preserve"> </w:t>
      </w:r>
      <w:r w:rsidRPr="00BA0AD8">
        <w:t>related to study medication by the investigator (a SAE of transient ischemic attack in a subject in the ertugliflozin</w:t>
      </w:r>
      <w:r>
        <w:t xml:space="preserve"> </w:t>
      </w:r>
      <w:r w:rsidRPr="00BA0AD8">
        <w:t>15 mg group)</w:t>
      </w:r>
      <w:r w:rsidR="00D64DB1">
        <w:t>.</w:t>
      </w:r>
    </w:p>
    <w:p w:rsidR="00B37C25" w:rsidRPr="00027A58" w:rsidRDefault="00BC7DA5" w:rsidP="00D64DB1">
      <w:pPr>
        <w:pStyle w:val="Heading5"/>
        <w:rPr>
          <w:rFonts w:eastAsia="TimesNewRoman,Bold"/>
        </w:rPr>
      </w:pPr>
      <w:r>
        <w:rPr>
          <w:lang w:eastAsia="ja-JP"/>
        </w:rPr>
        <w:t>Study P0</w:t>
      </w:r>
      <w:r w:rsidR="00B37C25" w:rsidRPr="00027A58">
        <w:rPr>
          <w:rFonts w:eastAsia="TimesNewRoman,Bold"/>
        </w:rPr>
        <w:t>17/1047 Ertugliflozin +</w:t>
      </w:r>
      <w:r w:rsidR="00C14E6F">
        <w:rPr>
          <w:rFonts w:eastAsia="TimesNewRoman,Bold"/>
        </w:rPr>
        <w:t xml:space="preserve"> s</w:t>
      </w:r>
      <w:r w:rsidR="00B37C25" w:rsidRPr="00027A58">
        <w:rPr>
          <w:rFonts w:eastAsia="TimesNewRoman,Bold"/>
        </w:rPr>
        <w:t xml:space="preserve">itagliptin </w:t>
      </w:r>
      <w:r w:rsidR="00C14E6F">
        <w:rPr>
          <w:rFonts w:eastAsia="TimesNewRoman,Bold"/>
        </w:rPr>
        <w:t>i</w:t>
      </w:r>
      <w:r w:rsidR="00C14E6F" w:rsidRPr="00027A58">
        <w:rPr>
          <w:rFonts w:eastAsia="TimesNewRoman,Bold"/>
        </w:rPr>
        <w:t xml:space="preserve">nitial </w:t>
      </w:r>
      <w:r w:rsidR="00C14E6F">
        <w:rPr>
          <w:rFonts w:eastAsia="TimesNewRoman,Bold"/>
        </w:rPr>
        <w:t>c</w:t>
      </w:r>
      <w:r w:rsidR="00C14E6F" w:rsidRPr="00027A58">
        <w:rPr>
          <w:rFonts w:eastAsia="TimesNewRoman,Bold"/>
        </w:rPr>
        <w:t xml:space="preserve">ombination </w:t>
      </w:r>
      <w:r w:rsidR="00C14E6F">
        <w:rPr>
          <w:rFonts w:eastAsia="TimesNewRoman,Bold"/>
        </w:rPr>
        <w:t>s</w:t>
      </w:r>
      <w:r w:rsidR="00C14E6F" w:rsidRPr="00027A58">
        <w:rPr>
          <w:rFonts w:eastAsia="TimesNewRoman,Bold"/>
        </w:rPr>
        <w:t>tudy</w:t>
      </w:r>
    </w:p>
    <w:p w:rsidR="00B37C25" w:rsidRPr="00EA35EA" w:rsidRDefault="00B37C25" w:rsidP="00E957A2">
      <w:pPr>
        <w:rPr>
          <w:rFonts w:eastAsia="TimesNewRoman,Bold" w:cs="TimesNewRoman,Bold"/>
          <w:bCs/>
          <w:u w:val="single"/>
        </w:rPr>
      </w:pPr>
      <w:r w:rsidRPr="00EA35EA">
        <w:t>No deaths were reported in this study. The incidence of SAEs was similar in the E5/S100 group (2.0%),</w:t>
      </w:r>
      <w:r>
        <w:t xml:space="preserve"> </w:t>
      </w:r>
      <w:r w:rsidRPr="00EA35EA">
        <w:t>E15/S100 group (</w:t>
      </w:r>
      <w:r>
        <w:t xml:space="preserve">3.1%), and placebo group (5.2%). </w:t>
      </w:r>
      <w:r w:rsidRPr="00EA35EA">
        <w:t xml:space="preserve">No specific </w:t>
      </w:r>
      <w:r>
        <w:t xml:space="preserve">SAE </w:t>
      </w:r>
      <w:r w:rsidRPr="00EA35EA">
        <w:t xml:space="preserve">term was reported for </w:t>
      </w:r>
      <w:r w:rsidR="00F7529C">
        <w:t xml:space="preserve">&gt; </w:t>
      </w:r>
      <w:r w:rsidRPr="00EA35EA">
        <w:t>1 subject in the ertugliflozin or</w:t>
      </w:r>
      <w:r>
        <w:t xml:space="preserve"> </w:t>
      </w:r>
      <w:r w:rsidRPr="00EA35EA">
        <w:t>placebo groups, and no notable difference in the incidence of</w:t>
      </w:r>
      <w:r>
        <w:t xml:space="preserve"> SAEs </w:t>
      </w:r>
      <w:r w:rsidRPr="00EA35EA">
        <w:t>by</w:t>
      </w:r>
      <w:r>
        <w:t xml:space="preserve"> </w:t>
      </w:r>
      <w:r w:rsidRPr="00EA35EA">
        <w:t>SOC, was observed</w:t>
      </w:r>
      <w:r w:rsidR="00D64DB1">
        <w:t>.</w:t>
      </w:r>
      <w:r w:rsidRPr="00EA35EA">
        <w:t xml:space="preserve"> No SAE was reported after a subject discontinued</w:t>
      </w:r>
      <w:r>
        <w:t xml:space="preserve"> </w:t>
      </w:r>
      <w:r w:rsidRPr="00EA35EA">
        <w:t>study medication</w:t>
      </w:r>
      <w:r>
        <w:t xml:space="preserve">. </w:t>
      </w:r>
      <w:r w:rsidRPr="00EA35EA">
        <w:t>Across the 3 treatment groups, no SAE was considered related to study</w:t>
      </w:r>
      <w:r>
        <w:t xml:space="preserve"> </w:t>
      </w:r>
      <w:r w:rsidRPr="00EA35EA">
        <w:t>medication. Two subjects had a SAE that led to discontinuation of study</w:t>
      </w:r>
      <w:r>
        <w:t xml:space="preserve"> </w:t>
      </w:r>
      <w:r w:rsidRPr="00EA35EA">
        <w:t>medication</w:t>
      </w:r>
      <w:r w:rsidR="00D64DB1">
        <w:t>.</w:t>
      </w:r>
      <w:r>
        <w:rPr>
          <w:rStyle w:val="FootnoteReference"/>
          <w:rFonts w:asciiTheme="minorHAnsi" w:eastAsia="TimesNewRoman" w:hAnsiTheme="minorHAnsi" w:cs="TimesNewRoman"/>
          <w:color w:val="000000"/>
        </w:rPr>
        <w:footnoteReference w:id="5"/>
      </w:r>
    </w:p>
    <w:p w:rsidR="00B37C25" w:rsidRPr="00545B14" w:rsidRDefault="00B37C25" w:rsidP="00D64DB1">
      <w:pPr>
        <w:pStyle w:val="Heading4"/>
      </w:pPr>
      <w:bookmarkStart w:id="363" w:name="_Toc241374325"/>
      <w:bookmarkStart w:id="364" w:name="_Ref272333477"/>
      <w:bookmarkStart w:id="365" w:name="_Toc272414667"/>
      <w:bookmarkStart w:id="366" w:name="_Toc290888531"/>
      <w:bookmarkStart w:id="367" w:name="_Toc416353747"/>
      <w:bookmarkStart w:id="368" w:name="_Toc421005290"/>
      <w:bookmarkStart w:id="369" w:name="_Toc432079167"/>
      <w:bookmarkStart w:id="370" w:name="_Toc432080740"/>
      <w:bookmarkStart w:id="371" w:name="_Toc504036145"/>
      <w:r w:rsidRPr="00545B14">
        <w:t>Discontinuation</w:t>
      </w:r>
      <w:r>
        <w:t>s</w:t>
      </w:r>
      <w:r w:rsidRPr="00545B14">
        <w:t xml:space="preserve"> due to adverse events</w:t>
      </w:r>
      <w:bookmarkEnd w:id="363"/>
      <w:bookmarkEnd w:id="364"/>
      <w:bookmarkEnd w:id="365"/>
      <w:bookmarkEnd w:id="366"/>
      <w:bookmarkEnd w:id="367"/>
      <w:bookmarkEnd w:id="368"/>
      <w:bookmarkEnd w:id="369"/>
      <w:bookmarkEnd w:id="370"/>
      <w:bookmarkEnd w:id="371"/>
    </w:p>
    <w:p w:rsidR="00B37C25" w:rsidRPr="00027A58" w:rsidRDefault="00BC7DA5" w:rsidP="00D64DB1">
      <w:pPr>
        <w:pStyle w:val="Heading5"/>
        <w:rPr>
          <w:lang w:eastAsia="ja-JP"/>
        </w:rPr>
      </w:pPr>
      <w:r>
        <w:rPr>
          <w:lang w:eastAsia="ja-JP"/>
        </w:rPr>
        <w:t>Study P0</w:t>
      </w:r>
      <w:r w:rsidR="00B37C25" w:rsidRPr="00027A58">
        <w:rPr>
          <w:lang w:eastAsia="ja-JP"/>
        </w:rPr>
        <w:t xml:space="preserve">05/1019 </w:t>
      </w:r>
      <w:r w:rsidR="004A75C1">
        <w:rPr>
          <w:rFonts w:eastAsia="TimesNewRoman,Bold"/>
        </w:rPr>
        <w:t>e</w:t>
      </w:r>
      <w:r w:rsidR="00C14E6F" w:rsidRPr="00027A58">
        <w:rPr>
          <w:rFonts w:eastAsia="TimesNewRoman,Bold"/>
        </w:rPr>
        <w:t>rtugliflozin +sitagliptin factorial study</w:t>
      </w:r>
    </w:p>
    <w:p w:rsidR="00B37C25" w:rsidRPr="00027C25" w:rsidRDefault="00B37C25" w:rsidP="00E957A2">
      <w:pPr>
        <w:rPr>
          <w:lang w:eastAsia="ja-JP"/>
        </w:rPr>
      </w:pPr>
      <w:r w:rsidRPr="00027C25">
        <w:t>AEs resulting in discontinuation from study medication, although infrequent</w:t>
      </w:r>
      <w:r>
        <w:t xml:space="preserve"> </w:t>
      </w:r>
      <w:r w:rsidRPr="00027C25">
        <w:t>across groups, occurred at a higher incidence in the E15/S100 group (2.9%) relative to the</w:t>
      </w:r>
      <w:r>
        <w:t xml:space="preserve"> </w:t>
      </w:r>
      <w:r w:rsidRPr="00027C25">
        <w:t xml:space="preserve">S100 group (0.4%); incidences in the 3 other groups (6 subjects </w:t>
      </w:r>
      <w:r w:rsidR="00884A9A">
        <w:t>(</w:t>
      </w:r>
      <w:r w:rsidRPr="00027C25">
        <w:t>2.4%</w:t>
      </w:r>
      <w:r w:rsidR="00884A9A">
        <w:t>)</w:t>
      </w:r>
      <w:r w:rsidRPr="00027C25">
        <w:t xml:space="preserve"> in the E5 group and</w:t>
      </w:r>
      <w:r>
        <w:t xml:space="preserve"> </w:t>
      </w:r>
      <w:r w:rsidRPr="00027C25">
        <w:t xml:space="preserve">3 subjects </w:t>
      </w:r>
      <w:r w:rsidR="00884A9A">
        <w:t>(</w:t>
      </w:r>
      <w:r w:rsidRPr="00027C25">
        <w:t>1.2%</w:t>
      </w:r>
      <w:r w:rsidR="00884A9A">
        <w:t>)</w:t>
      </w:r>
      <w:r w:rsidRPr="00027C25">
        <w:t xml:space="preserve"> each in the E15 and E5/S100 groups) were </w:t>
      </w:r>
      <w:r>
        <w:t xml:space="preserve">similar </w:t>
      </w:r>
      <w:r w:rsidRPr="00027C25">
        <w:t>to</w:t>
      </w:r>
      <w:r>
        <w:t xml:space="preserve"> </w:t>
      </w:r>
      <w:r w:rsidRPr="00027C25">
        <w:t>the E15/S100 group</w:t>
      </w:r>
      <w:r w:rsidRPr="00027C25">
        <w:rPr>
          <w:rFonts w:eastAsia="TimesNewRoman,Italic" w:cs="TimesNewRoman,Italic"/>
          <w:i/>
          <w:iCs/>
        </w:rPr>
        <w:t xml:space="preserve">. </w:t>
      </w:r>
      <w:r w:rsidRPr="00027C25">
        <w:t>There was no discernible pattern in the AEs resulting in discontinuation from study medication in the E15/S100 group, or in the</w:t>
      </w:r>
      <w:r>
        <w:t xml:space="preserve"> </w:t>
      </w:r>
      <w:r w:rsidRPr="00027C25">
        <w:t>E5/S100 group</w:t>
      </w:r>
      <w:r w:rsidR="00D64DB1">
        <w:t>.</w:t>
      </w:r>
      <w:r w:rsidRPr="00027C25">
        <w:t xml:space="preserve"> The only AEs that resulted in discontinuation from study</w:t>
      </w:r>
      <w:r>
        <w:t xml:space="preserve"> </w:t>
      </w:r>
      <w:r w:rsidRPr="00027C25">
        <w:t xml:space="preserve">medication in </w:t>
      </w:r>
      <w:r w:rsidR="00F7529C">
        <w:t xml:space="preserve">&gt; </w:t>
      </w:r>
      <w:r w:rsidRPr="00027C25">
        <w:t>1 subject across the 5 groups were dizziness and balanoposthitis (each</w:t>
      </w:r>
      <w:r>
        <w:t xml:space="preserve"> </w:t>
      </w:r>
      <w:r w:rsidRPr="00027C25">
        <w:t>resulted in discontinuation of 2 subjects in the E5 group Two subjects, both in the E5/S100 group, discontinued study medication due to a</w:t>
      </w:r>
      <w:r>
        <w:t xml:space="preserve"> </w:t>
      </w:r>
      <w:r w:rsidRPr="00027C25">
        <w:t>SAE; 1 due to an event of myocardial infarction and 1 due to</w:t>
      </w:r>
      <w:r>
        <w:t xml:space="preserve"> </w:t>
      </w:r>
      <w:r w:rsidRPr="00027C25">
        <w:t>an event of nodal marginal zone B-cell lymphoma stage III (both were assessed as severe in intensity and not related to study</w:t>
      </w:r>
      <w:r>
        <w:t xml:space="preserve"> </w:t>
      </w:r>
      <w:r w:rsidRPr="00027C25">
        <w:t>medication).</w:t>
      </w:r>
    </w:p>
    <w:p w:rsidR="00B37C25" w:rsidRPr="00027A58" w:rsidRDefault="00BC7DA5" w:rsidP="00D64DB1">
      <w:pPr>
        <w:pStyle w:val="Heading5"/>
        <w:rPr>
          <w:lang w:eastAsia="ja-JP"/>
        </w:rPr>
      </w:pPr>
      <w:r>
        <w:rPr>
          <w:lang w:eastAsia="ja-JP"/>
        </w:rPr>
        <w:t>Study P0</w:t>
      </w:r>
      <w:r w:rsidR="00B37C25" w:rsidRPr="00027A58">
        <w:rPr>
          <w:rFonts w:eastAsia="TimesNewRoman,Bold"/>
        </w:rPr>
        <w:t xml:space="preserve">06/1015 Add-on to </w:t>
      </w:r>
      <w:r w:rsidR="00C14E6F" w:rsidRPr="00027A58">
        <w:rPr>
          <w:rFonts w:eastAsia="TimesNewRoman,Bold"/>
        </w:rPr>
        <w:t>metformin and sitagliptin study</w:t>
      </w:r>
    </w:p>
    <w:p w:rsidR="00B37C25" w:rsidRPr="00D64DB1" w:rsidRDefault="00B37C25" w:rsidP="00E957A2">
      <w:r w:rsidRPr="005B172B">
        <w:t xml:space="preserve">The </w:t>
      </w:r>
      <w:r w:rsidRPr="00763455">
        <w:t>incidence of AEs resulting in discontinuation from study medication was numerically higher in the ertugliflozin 5 mg group (3.2%) than in the ertugliflozin 15 mg or placebo groups (0.7%</w:t>
      </w:r>
      <w:r w:rsidR="007C5BC7">
        <w:t> </w:t>
      </w:r>
      <w:r w:rsidRPr="00763455">
        <w:t>each).</w:t>
      </w:r>
      <w:r w:rsidR="006F48AD">
        <w:t xml:space="preserve"> </w:t>
      </w:r>
      <w:r w:rsidRPr="00763455">
        <w:t xml:space="preserve">The only AEs that resulted in discontinuation from study medication in more than 1 subject were those related to genital mycotic infection, involving 2 subjects in the ertugliflozin 5 mg group (1 female subject with an AE of vulvovaginal candidiasis and 1 male subject with an AE of balanoposthitis) both of which were considered </w:t>
      </w:r>
      <w:r w:rsidR="007C5BC7">
        <w:t>drug related</w:t>
      </w:r>
      <w:r w:rsidRPr="00763455">
        <w:t xml:space="preserve"> by investigators. </w:t>
      </w:r>
      <w:r w:rsidRPr="00763455">
        <w:rPr>
          <w:rFonts w:eastAsiaTheme="minorHAnsi"/>
        </w:rPr>
        <w:t>Three subjects in the ertugliflozin 15 mg group were discontinued from study medication for</w:t>
      </w:r>
      <w:r>
        <w:rPr>
          <w:rFonts w:eastAsiaTheme="minorHAnsi"/>
        </w:rPr>
        <w:t xml:space="preserve"> </w:t>
      </w:r>
      <w:r w:rsidRPr="00763455">
        <w:rPr>
          <w:rFonts w:eastAsiaTheme="minorHAnsi"/>
        </w:rPr>
        <w:t xml:space="preserve">meeting the protocol-specified discontinuation thresholds for eGFR and/or serum </w:t>
      </w:r>
      <w:r w:rsidRPr="00D64DB1">
        <w:rPr>
          <w:rFonts w:eastAsiaTheme="minorHAnsi"/>
        </w:rPr>
        <w:t>creatinine</w:t>
      </w:r>
      <w:r w:rsidR="00D64DB1" w:rsidRPr="00D64DB1">
        <w:rPr>
          <w:rFonts w:eastAsiaTheme="minorHAnsi"/>
        </w:rPr>
        <w:t>.</w:t>
      </w:r>
    </w:p>
    <w:p w:rsidR="00B37C25" w:rsidRPr="00027A58" w:rsidRDefault="00BC7DA5" w:rsidP="00D64DB1">
      <w:pPr>
        <w:pStyle w:val="Heading5"/>
        <w:rPr>
          <w:rFonts w:eastAsia="TimesNewRoman,Bold"/>
        </w:rPr>
      </w:pPr>
      <w:r>
        <w:rPr>
          <w:lang w:eastAsia="ja-JP"/>
        </w:rPr>
        <w:t>Study P0</w:t>
      </w:r>
      <w:r w:rsidR="00B37C25" w:rsidRPr="00027A58">
        <w:rPr>
          <w:rFonts w:eastAsia="TimesNewRoman,Bold"/>
        </w:rPr>
        <w:t xml:space="preserve">17/1047 </w:t>
      </w:r>
      <w:r w:rsidR="004A75C1">
        <w:rPr>
          <w:rFonts w:eastAsia="TimesNewRoman,Bold"/>
        </w:rPr>
        <w:t>e</w:t>
      </w:r>
      <w:r w:rsidR="00B37C25" w:rsidRPr="00027A58">
        <w:rPr>
          <w:rFonts w:eastAsia="TimesNewRoman,Bold"/>
        </w:rPr>
        <w:t>rtugliflozin +</w:t>
      </w:r>
      <w:r w:rsidR="00C14E6F">
        <w:rPr>
          <w:rFonts w:eastAsia="TimesNewRoman,Bold"/>
        </w:rPr>
        <w:t xml:space="preserve"> </w:t>
      </w:r>
      <w:r w:rsidR="00C14E6F" w:rsidRPr="00027A58">
        <w:rPr>
          <w:rFonts w:eastAsia="TimesNewRoman,Bold"/>
        </w:rPr>
        <w:t>sitagliptin initial combination study</w:t>
      </w:r>
    </w:p>
    <w:p w:rsidR="00B37C25" w:rsidRPr="005B172B" w:rsidRDefault="00B37C25" w:rsidP="00E957A2">
      <w:pPr>
        <w:rPr>
          <w:lang w:eastAsia="ja-JP"/>
        </w:rPr>
      </w:pPr>
      <w:r w:rsidRPr="005B172B">
        <w:t>The incidence of AEs resulting in discontinuation from study medication was low</w:t>
      </w:r>
      <w:r>
        <w:t xml:space="preserve"> </w:t>
      </w:r>
      <w:r w:rsidRPr="005B172B">
        <w:t>and similar in the E5/S100 (2.0%), E15/S100 (2.1%), and placebo (3.1%) groups.</w:t>
      </w:r>
      <w:r w:rsidR="00F7529C">
        <w:t xml:space="preserve"> </w:t>
      </w:r>
      <w:r w:rsidRPr="005B172B">
        <w:t>No specific</w:t>
      </w:r>
      <w:r>
        <w:t xml:space="preserve"> A</w:t>
      </w:r>
      <w:r w:rsidRPr="005B172B">
        <w:t>E resulted in discontinuation from study medication in more than 1 subject in the</w:t>
      </w:r>
      <w:r>
        <w:t xml:space="preserve"> </w:t>
      </w:r>
      <w:r w:rsidRPr="005B172B">
        <w:t>co-administration or placebo groups. AEs resulting in discontinuation were</w:t>
      </w:r>
      <w:r>
        <w:t xml:space="preserve"> </w:t>
      </w:r>
      <w:r w:rsidRPr="005B172B">
        <w:t>dispersed across multiple SOCs, with no clear pattern</w:t>
      </w:r>
      <w:r w:rsidR="00452B10">
        <w:t>.</w:t>
      </w:r>
    </w:p>
    <w:p w:rsidR="00B37C25" w:rsidRPr="00545B14" w:rsidRDefault="00B37C25" w:rsidP="00452B10">
      <w:pPr>
        <w:pStyle w:val="Heading3"/>
      </w:pPr>
      <w:bookmarkStart w:id="372" w:name="_Toc241374321"/>
      <w:bookmarkStart w:id="373" w:name="_Ref271044780"/>
      <w:bookmarkStart w:id="374" w:name="_Ref271196640"/>
      <w:bookmarkStart w:id="375" w:name="_Ref272333085"/>
      <w:bookmarkStart w:id="376" w:name="_Toc272414668"/>
      <w:bookmarkStart w:id="377" w:name="_Toc290888532"/>
      <w:bookmarkStart w:id="378" w:name="_Toc416353748"/>
      <w:bookmarkStart w:id="379" w:name="_Toc421005291"/>
      <w:bookmarkStart w:id="380" w:name="_Toc432079168"/>
      <w:bookmarkStart w:id="381" w:name="_Toc432080741"/>
      <w:bookmarkStart w:id="382" w:name="_Toc504036146"/>
      <w:bookmarkStart w:id="383" w:name="_Toc4573596"/>
      <w:r>
        <w:lastRenderedPageBreak/>
        <w:t xml:space="preserve">Evaluation of issues </w:t>
      </w:r>
      <w:bookmarkEnd w:id="372"/>
      <w:bookmarkEnd w:id="373"/>
      <w:bookmarkEnd w:id="374"/>
      <w:bookmarkEnd w:id="375"/>
      <w:bookmarkEnd w:id="376"/>
      <w:bookmarkEnd w:id="377"/>
      <w:bookmarkEnd w:id="378"/>
      <w:bookmarkEnd w:id="379"/>
      <w:r>
        <w:t>with possible regulatory impact</w:t>
      </w:r>
      <w:bookmarkEnd w:id="380"/>
      <w:bookmarkEnd w:id="381"/>
      <w:bookmarkEnd w:id="382"/>
      <w:bookmarkEnd w:id="383"/>
    </w:p>
    <w:p w:rsidR="00B37C25" w:rsidRPr="00545B14" w:rsidRDefault="00B37C25" w:rsidP="00452B10">
      <w:pPr>
        <w:pStyle w:val="Heading4"/>
      </w:pPr>
      <w:bookmarkStart w:id="384" w:name="_Toc272414669"/>
      <w:bookmarkStart w:id="385" w:name="_Toc290888533"/>
      <w:bookmarkStart w:id="386" w:name="_Toc416353749"/>
      <w:bookmarkStart w:id="387" w:name="_Toc421005292"/>
      <w:bookmarkStart w:id="388" w:name="_Toc432079169"/>
      <w:bookmarkStart w:id="389" w:name="_Toc432080742"/>
      <w:bookmarkStart w:id="390" w:name="_Toc504036147"/>
      <w:r w:rsidRPr="00545B14">
        <w:t>Liver function</w:t>
      </w:r>
      <w:bookmarkEnd w:id="384"/>
      <w:bookmarkEnd w:id="385"/>
      <w:bookmarkEnd w:id="386"/>
      <w:bookmarkEnd w:id="387"/>
      <w:r>
        <w:t xml:space="preserve"> and liver toxicity</w:t>
      </w:r>
      <w:bookmarkEnd w:id="388"/>
      <w:bookmarkEnd w:id="389"/>
      <w:bookmarkEnd w:id="390"/>
    </w:p>
    <w:p w:rsidR="00B37C25" w:rsidRPr="00FC1268" w:rsidRDefault="00BC7DA5" w:rsidP="00452B10">
      <w:pPr>
        <w:pStyle w:val="Heading5"/>
        <w:rPr>
          <w:lang w:eastAsia="ja-JP"/>
        </w:rPr>
      </w:pPr>
      <w:bookmarkStart w:id="391" w:name="_Toc272414670"/>
      <w:bookmarkStart w:id="392" w:name="_Toc290888534"/>
      <w:bookmarkStart w:id="393" w:name="_Toc416353750"/>
      <w:bookmarkStart w:id="394" w:name="_Toc421005293"/>
      <w:bookmarkStart w:id="395" w:name="_Toc432079170"/>
      <w:bookmarkStart w:id="396" w:name="_Toc432080743"/>
      <w:r>
        <w:rPr>
          <w:lang w:eastAsia="ja-JP"/>
        </w:rPr>
        <w:t>Study P0</w:t>
      </w:r>
      <w:r w:rsidR="00B37C25" w:rsidRPr="00FC1268">
        <w:rPr>
          <w:lang w:eastAsia="ja-JP"/>
        </w:rPr>
        <w:t xml:space="preserve">05/1019 </w:t>
      </w:r>
      <w:r w:rsidR="004A75C1">
        <w:rPr>
          <w:rFonts w:eastAsia="TimesNewRoman,Bold"/>
        </w:rPr>
        <w:t>e</w:t>
      </w:r>
      <w:r w:rsidR="00B37C25" w:rsidRPr="00FC1268">
        <w:rPr>
          <w:rFonts w:eastAsia="TimesNewRoman,Bold"/>
        </w:rPr>
        <w:t>rtugliflozin +</w:t>
      </w:r>
      <w:r w:rsidR="00C14E6F">
        <w:rPr>
          <w:rFonts w:eastAsia="TimesNewRoman,Bold"/>
        </w:rPr>
        <w:t xml:space="preserve"> </w:t>
      </w:r>
      <w:r w:rsidR="00C14E6F" w:rsidRPr="00FC1268">
        <w:rPr>
          <w:rFonts w:eastAsia="TimesNewRoman,Bold"/>
        </w:rPr>
        <w:t>sitagliptin factorial study</w:t>
      </w:r>
    </w:p>
    <w:p w:rsidR="00452B10" w:rsidRDefault="00B37C25" w:rsidP="00E957A2">
      <w:r w:rsidRPr="00FC1268">
        <w:t xml:space="preserve">In </w:t>
      </w:r>
      <w:r w:rsidR="00BC7DA5">
        <w:t>Study P0</w:t>
      </w:r>
      <w:r w:rsidRPr="00FC1268">
        <w:t>05/1019, decreases from baseline in ALT (baseline values ranging from</w:t>
      </w:r>
      <w:r>
        <w:t xml:space="preserve"> </w:t>
      </w:r>
      <w:r w:rsidRPr="00FC1268">
        <w:t>26.6 IU/L to 28.9 IU/L) at Week 26 in the E5/S100 and E15/S100 groups (-4.2 IU/L and -5.1</w:t>
      </w:r>
      <w:r>
        <w:t xml:space="preserve"> </w:t>
      </w:r>
      <w:r w:rsidRPr="00FC1268">
        <w:t>IU/L, respectively) and in the E5 and E15 groups (-4.4 IU/L and -4.9 IU/L, respectively)</w:t>
      </w:r>
      <w:r>
        <w:t xml:space="preserve"> </w:t>
      </w:r>
      <w:r w:rsidRPr="00FC1268">
        <w:t>were similar, and greater in magnitude than the decrease in the S100 group (-1.6 IU/L). Decreases from baseline in AST</w:t>
      </w:r>
      <w:r>
        <w:t xml:space="preserve"> </w:t>
      </w:r>
      <w:r w:rsidRPr="00FC1268">
        <w:t>(baseline values ranging from 21.4 IU/L to 22.4 IU/L) at Week 26 in the E5/S100 and</w:t>
      </w:r>
      <w:r>
        <w:t xml:space="preserve"> </w:t>
      </w:r>
      <w:r w:rsidRPr="00FC1268">
        <w:t>E15/S100 groups (-1.8 IU/L and -1.9 IU/L, respectively) and in the E5 and E15 groups</w:t>
      </w:r>
      <w:r>
        <w:t xml:space="preserve"> </w:t>
      </w:r>
      <w:r w:rsidRPr="00FC1268">
        <w:t>(-2.2 IU/L and -2.3 IU/L, respectively) were also similar, and greater in magnitude than the</w:t>
      </w:r>
      <w:r>
        <w:t xml:space="preserve"> </w:t>
      </w:r>
      <w:r w:rsidRPr="00FC1268">
        <w:t>decrease in the S100 group (-0.5 IU/L).</w:t>
      </w:r>
    </w:p>
    <w:p w:rsidR="00B37C25" w:rsidRPr="00FC1268" w:rsidRDefault="00B37C25" w:rsidP="00E957A2">
      <w:pPr>
        <w:rPr>
          <w:lang w:eastAsia="ja-JP"/>
        </w:rPr>
      </w:pPr>
      <w:r w:rsidRPr="00FC1268">
        <w:t xml:space="preserve">ALT and/or AST elevations </w:t>
      </w:r>
      <w:r w:rsidR="00F7529C">
        <w:t xml:space="preserve">≥ </w:t>
      </w:r>
      <w:r w:rsidR="007C5BC7" w:rsidRPr="00FC1268">
        <w:t>3</w:t>
      </w:r>
      <w:r w:rsidR="007C5BC7">
        <w:t xml:space="preserve"> x</w:t>
      </w:r>
      <w:r w:rsidR="007C5BC7" w:rsidRPr="00FC1268">
        <w:t xml:space="preserve"> </w:t>
      </w:r>
      <w:r w:rsidRPr="00FC1268">
        <w:t>ULN were infrequent, occurring in</w:t>
      </w:r>
      <w:r>
        <w:t xml:space="preserve"> </w:t>
      </w:r>
      <w:r w:rsidRPr="00FC1268">
        <w:t xml:space="preserve">just 1 subject in the E15/S100 group (who had ALT and AST </w:t>
      </w:r>
      <w:r w:rsidR="00F7529C">
        <w:t xml:space="preserve">≥ </w:t>
      </w:r>
      <w:r w:rsidR="007C5BC7" w:rsidRPr="00FC1268">
        <w:t>3</w:t>
      </w:r>
      <w:r w:rsidR="007C5BC7">
        <w:t xml:space="preserve"> x</w:t>
      </w:r>
      <w:r w:rsidR="007C5BC7" w:rsidRPr="00FC1268">
        <w:t xml:space="preserve"> </w:t>
      </w:r>
      <w:r w:rsidRPr="00FC1268">
        <w:t>ULN), 2 subjects in the</w:t>
      </w:r>
      <w:r>
        <w:t xml:space="preserve"> </w:t>
      </w:r>
      <w:r w:rsidRPr="00FC1268">
        <w:t xml:space="preserve">S100 group (who both had ALT </w:t>
      </w:r>
      <w:r w:rsidR="00F7529C">
        <w:t xml:space="preserve">≥ </w:t>
      </w:r>
      <w:r w:rsidR="007C5BC7" w:rsidRPr="00FC1268">
        <w:t>3</w:t>
      </w:r>
      <w:r w:rsidR="007C5BC7">
        <w:t xml:space="preserve"> x</w:t>
      </w:r>
      <w:r w:rsidR="007C5BC7" w:rsidRPr="00FC1268">
        <w:t xml:space="preserve"> </w:t>
      </w:r>
      <w:r w:rsidRPr="00FC1268">
        <w:t>ULN), and no subjects in the 3 other groups. The ALT/AST elevations resolved while treatment</w:t>
      </w:r>
      <w:r>
        <w:t xml:space="preserve"> </w:t>
      </w:r>
      <w:r w:rsidRPr="00FC1268">
        <w:t>with study medication continued in the subject in the E15/S100 group and in 1</w:t>
      </w:r>
      <w:r w:rsidR="007C5BC7">
        <w:t> </w:t>
      </w:r>
      <w:r w:rsidRPr="00FC1268">
        <w:t>subject in the</w:t>
      </w:r>
      <w:r>
        <w:t xml:space="preserve"> </w:t>
      </w:r>
      <w:r w:rsidRPr="00FC1268">
        <w:t>S100 group, but was unresolved in the other subject in the S100 group when he completed</w:t>
      </w:r>
      <w:r>
        <w:t xml:space="preserve"> </w:t>
      </w:r>
      <w:r w:rsidRPr="00FC1268">
        <w:t>Phase A. The ALT/AST elevations in these 3 subjects were not associated with a concurrent</w:t>
      </w:r>
      <w:r>
        <w:t xml:space="preserve"> </w:t>
      </w:r>
      <w:r w:rsidRPr="00FC1268">
        <w:t xml:space="preserve">increase </w:t>
      </w:r>
      <w:r w:rsidR="00F7529C">
        <w:t xml:space="preserve">&gt; </w:t>
      </w:r>
      <w:r w:rsidRPr="00FC1268">
        <w:t>2</w:t>
      </w:r>
      <w:r w:rsidR="007C5BC7">
        <w:t xml:space="preserve"> </w:t>
      </w:r>
      <w:r w:rsidR="00452B10">
        <w:t>x</w:t>
      </w:r>
      <w:r w:rsidRPr="00FC1268">
        <w:t xml:space="preserve"> ULN in total bilirubin, and no subject had an ALT or AST value </w:t>
      </w:r>
      <w:r w:rsidR="00F7529C">
        <w:t xml:space="preserve">&gt; </w:t>
      </w:r>
      <w:r w:rsidRPr="00FC1268">
        <w:t>5</w:t>
      </w:r>
      <w:r w:rsidR="007C5BC7">
        <w:t> </w:t>
      </w:r>
      <w:r w:rsidR="00452B10">
        <w:t>x</w:t>
      </w:r>
      <w:r w:rsidR="007C5BC7">
        <w:t> </w:t>
      </w:r>
      <w:r w:rsidRPr="00FC1268">
        <w:t>ULN.</w:t>
      </w:r>
      <w:r>
        <w:t xml:space="preserve"> </w:t>
      </w:r>
      <w:r w:rsidRPr="00FC1268">
        <w:t>No subject in the E5/S100 or E15/S100 groups had an adverse event of ALT or AST</w:t>
      </w:r>
      <w:r>
        <w:t xml:space="preserve"> </w:t>
      </w:r>
      <w:r w:rsidRPr="00FC1268">
        <w:t>increased compared with the E5, E15, and S100 grou</w:t>
      </w:r>
      <w:r>
        <w:t xml:space="preserve">ps, where 3, 3, and 2 subjects, </w:t>
      </w:r>
      <w:r w:rsidRPr="00FC1268">
        <w:t>respectively, had an adverse event of ALT increased, and 3, 0, and 1 subjects, respectively,</w:t>
      </w:r>
      <w:r>
        <w:t xml:space="preserve"> </w:t>
      </w:r>
      <w:r w:rsidRPr="00FC1268">
        <w:t xml:space="preserve">had an </w:t>
      </w:r>
      <w:r>
        <w:t xml:space="preserve">AE </w:t>
      </w:r>
      <w:r w:rsidRPr="00FC1268">
        <w:t>of AST increased.</w:t>
      </w:r>
    </w:p>
    <w:p w:rsidR="00B37C25" w:rsidRPr="00027A58" w:rsidRDefault="00B37C25" w:rsidP="00452B10">
      <w:pPr>
        <w:pStyle w:val="Heading5"/>
        <w:rPr>
          <w:lang w:eastAsia="ja-JP"/>
        </w:rPr>
      </w:pPr>
      <w:r w:rsidRPr="00027A58">
        <w:rPr>
          <w:lang w:eastAsia="ja-JP"/>
        </w:rPr>
        <w:t>Stud</w:t>
      </w:r>
      <w:r>
        <w:rPr>
          <w:lang w:eastAsia="ja-JP"/>
        </w:rPr>
        <w:t xml:space="preserve">ies </w:t>
      </w:r>
      <w:r w:rsidRPr="00027A58">
        <w:rPr>
          <w:rFonts w:eastAsia="TimesNewRoman,Bold"/>
        </w:rPr>
        <w:t xml:space="preserve">P006/1015 </w:t>
      </w:r>
      <w:r>
        <w:rPr>
          <w:rFonts w:eastAsia="TimesNewRoman,Bold"/>
        </w:rPr>
        <w:t>and P017/1047</w:t>
      </w:r>
    </w:p>
    <w:p w:rsidR="00452B10" w:rsidRDefault="00B37C25" w:rsidP="00E957A2">
      <w:r w:rsidRPr="00FC1268">
        <w:t>Reductions from baseline in ALT and AST, which were generally similar in</w:t>
      </w:r>
      <w:r>
        <w:t xml:space="preserve"> </w:t>
      </w:r>
      <w:r w:rsidRPr="00FC1268">
        <w:t xml:space="preserve">magnitude to those seen in the ertugliflozin-treated groups in </w:t>
      </w:r>
      <w:r w:rsidR="00BC7DA5">
        <w:t>Study P0</w:t>
      </w:r>
      <w:r w:rsidRPr="00FC1268">
        <w:t>05/1019, were also</w:t>
      </w:r>
      <w:r>
        <w:t xml:space="preserve"> </w:t>
      </w:r>
      <w:r w:rsidRPr="00FC1268">
        <w:t xml:space="preserve">observed at Week 26 in the ertugliflozin groups in </w:t>
      </w:r>
      <w:r w:rsidR="00BC7DA5">
        <w:t>Study P0</w:t>
      </w:r>
      <w:r w:rsidRPr="00FC1268">
        <w:t>06/1015 and in the</w:t>
      </w:r>
      <w:r>
        <w:t xml:space="preserve"> </w:t>
      </w:r>
      <w:r w:rsidRPr="00FC1268">
        <w:t xml:space="preserve">co-administration groups in </w:t>
      </w:r>
      <w:r w:rsidR="00BC7DA5">
        <w:t>Study</w:t>
      </w:r>
      <w:r w:rsidR="00C14E6F">
        <w:t> </w:t>
      </w:r>
      <w:r w:rsidR="00BC7DA5">
        <w:t>P0</w:t>
      </w:r>
      <w:r w:rsidRPr="00FC1268">
        <w:t>17/1047.</w:t>
      </w:r>
    </w:p>
    <w:p w:rsidR="007C5BC7" w:rsidRDefault="00B37C25" w:rsidP="00E957A2">
      <w:r>
        <w:t xml:space="preserve">In </w:t>
      </w:r>
      <w:r w:rsidR="00BC7DA5">
        <w:t>Study P0</w:t>
      </w:r>
      <w:r>
        <w:t xml:space="preserve">06/1015, </w:t>
      </w:r>
      <w:r w:rsidRPr="00FC1268">
        <w:t xml:space="preserve">ALT and AST elevations </w:t>
      </w:r>
      <w:r w:rsidR="00F7529C">
        <w:t xml:space="preserve">≥ </w:t>
      </w:r>
      <w:r w:rsidR="007C5BC7" w:rsidRPr="00FC1268">
        <w:t>3</w:t>
      </w:r>
      <w:r w:rsidR="007C5BC7">
        <w:t xml:space="preserve"> x</w:t>
      </w:r>
      <w:r w:rsidR="007C5BC7" w:rsidRPr="00FC1268">
        <w:t xml:space="preserve"> </w:t>
      </w:r>
      <w:r w:rsidRPr="00FC1268">
        <w:t>ULN were also infrequent, occurring in</w:t>
      </w:r>
      <w:r>
        <w:t xml:space="preserve"> </w:t>
      </w:r>
      <w:r w:rsidRPr="00FC1268">
        <w:t>no subject in the ertugliflozin 5 mg group, 1 subject in the ertugliflozin 15 mg group (who</w:t>
      </w:r>
      <w:r>
        <w:t xml:space="preserve"> </w:t>
      </w:r>
      <w:r w:rsidRPr="00FC1268">
        <w:t xml:space="preserve">had an ALT </w:t>
      </w:r>
      <w:r w:rsidR="00F7529C">
        <w:t xml:space="preserve">≥ </w:t>
      </w:r>
      <w:r w:rsidRPr="00FC1268">
        <w:t xml:space="preserve">3X ULN), and 2 subjects in the placebo group (1 with ALT </w:t>
      </w:r>
      <w:r w:rsidR="00F7529C">
        <w:t xml:space="preserve">≥ </w:t>
      </w:r>
      <w:r w:rsidRPr="00FC1268">
        <w:t>3</w:t>
      </w:r>
      <w:r w:rsidR="007C5BC7">
        <w:t xml:space="preserve"> </w:t>
      </w:r>
      <w:r w:rsidR="00452B10">
        <w:t>x</w:t>
      </w:r>
      <w:r w:rsidRPr="00FC1268">
        <w:t xml:space="preserve"> ULN and</w:t>
      </w:r>
      <w:r>
        <w:t xml:space="preserve"> </w:t>
      </w:r>
      <w:r w:rsidRPr="00FC1268">
        <w:t xml:space="preserve">1 with AST </w:t>
      </w:r>
      <w:r w:rsidR="00F7529C">
        <w:t xml:space="preserve">≥ </w:t>
      </w:r>
      <w:r w:rsidRPr="00FC1268">
        <w:t>3</w:t>
      </w:r>
      <w:r w:rsidR="007C5BC7">
        <w:t xml:space="preserve"> </w:t>
      </w:r>
      <w:r w:rsidR="00452B10">
        <w:t>x</w:t>
      </w:r>
      <w:r w:rsidRPr="00FC1268">
        <w:t xml:space="preserve"> ULN). The ALT/AST</w:t>
      </w:r>
      <w:r>
        <w:t xml:space="preserve"> </w:t>
      </w:r>
      <w:r w:rsidRPr="00FC1268">
        <w:t>elevations resolved in the ertugliflozin 15 mg subject while treatment with study medication</w:t>
      </w:r>
      <w:r>
        <w:t xml:space="preserve"> </w:t>
      </w:r>
      <w:r w:rsidRPr="00FC1268">
        <w:t xml:space="preserve">continued, but remained </w:t>
      </w:r>
      <w:r w:rsidR="00F7529C">
        <w:t xml:space="preserve">≥ </w:t>
      </w:r>
      <w:r w:rsidRPr="00FC1268">
        <w:t>3</w:t>
      </w:r>
      <w:r w:rsidR="007C5BC7">
        <w:t xml:space="preserve"> </w:t>
      </w:r>
      <w:r w:rsidR="00452B10">
        <w:t>x</w:t>
      </w:r>
      <w:r w:rsidRPr="00FC1268">
        <w:t xml:space="preserve"> ULN for 1 subject in the placebo group through her last</w:t>
      </w:r>
      <w:r>
        <w:t xml:space="preserve"> </w:t>
      </w:r>
      <w:r w:rsidRPr="00FC1268">
        <w:t>evaluation before discontinuation, and elevated, but &lt;3</w:t>
      </w:r>
      <w:r w:rsidR="007C5BC7">
        <w:t xml:space="preserve"> </w:t>
      </w:r>
      <w:r w:rsidR="00452B10">
        <w:t>x</w:t>
      </w:r>
      <w:r w:rsidRPr="00FC1268">
        <w:t xml:space="preserve"> ULN, for the other subject in the</w:t>
      </w:r>
      <w:r>
        <w:t xml:space="preserve"> </w:t>
      </w:r>
      <w:r w:rsidRPr="00FC1268">
        <w:t>placebo group when he completed Phase A. The ALT/AST elevations in the ertugliflozin</w:t>
      </w:r>
      <w:r>
        <w:t xml:space="preserve"> </w:t>
      </w:r>
      <w:r w:rsidRPr="00FC1268">
        <w:t xml:space="preserve">15 mg and placebo subjects were not associated with a concurrent increase </w:t>
      </w:r>
      <w:r w:rsidR="00F7529C">
        <w:t xml:space="preserve">&gt; </w:t>
      </w:r>
      <w:r w:rsidRPr="00FC1268">
        <w:t>2</w:t>
      </w:r>
      <w:r w:rsidR="00452B10">
        <w:t>x</w:t>
      </w:r>
      <w:r w:rsidRPr="00FC1268">
        <w:t xml:space="preserve"> ULN in total</w:t>
      </w:r>
      <w:r>
        <w:t xml:space="preserve"> </w:t>
      </w:r>
      <w:r w:rsidRPr="00FC1268">
        <w:t xml:space="preserve">bilirubin, and no subject had an ALT or AST value </w:t>
      </w:r>
      <w:r w:rsidR="00F7529C">
        <w:t xml:space="preserve">&gt; </w:t>
      </w:r>
      <w:r w:rsidRPr="00FC1268">
        <w:t>5</w:t>
      </w:r>
      <w:r w:rsidR="007C5BC7">
        <w:t xml:space="preserve"> </w:t>
      </w:r>
      <w:r w:rsidR="00452B10">
        <w:t>x</w:t>
      </w:r>
      <w:r w:rsidRPr="00FC1268">
        <w:t xml:space="preserve"> ULN. No subject in the</w:t>
      </w:r>
      <w:r>
        <w:t xml:space="preserve"> </w:t>
      </w:r>
      <w:r w:rsidRPr="00FC1268">
        <w:t xml:space="preserve">ertugliflozin 5 mg or 15 mg groups had an </w:t>
      </w:r>
      <w:r>
        <w:t xml:space="preserve">AE </w:t>
      </w:r>
      <w:r w:rsidRPr="00FC1268">
        <w:t>of ALT or AST increased. In the</w:t>
      </w:r>
      <w:r>
        <w:t xml:space="preserve"> </w:t>
      </w:r>
      <w:r w:rsidRPr="00FC1268">
        <w:t xml:space="preserve">placebo group, 1 subject had an adverse event of AST increased, and none had an </w:t>
      </w:r>
      <w:r>
        <w:t xml:space="preserve">AE </w:t>
      </w:r>
      <w:r w:rsidRPr="00FC1268">
        <w:t>of ALT increased.</w:t>
      </w:r>
    </w:p>
    <w:p w:rsidR="00B37C25" w:rsidRDefault="00B37C25" w:rsidP="00E957A2">
      <w:r>
        <w:t xml:space="preserve">In </w:t>
      </w:r>
      <w:r w:rsidR="00BC7DA5">
        <w:t>Study P0</w:t>
      </w:r>
      <w:r>
        <w:t>17/1047, n</w:t>
      </w:r>
      <w:r w:rsidRPr="00FC1268">
        <w:t xml:space="preserve">o subject had an ALT or AST elevation </w:t>
      </w:r>
      <w:r w:rsidR="00F7529C">
        <w:t xml:space="preserve">≥ </w:t>
      </w:r>
      <w:r w:rsidRPr="00FC1268">
        <w:t>3</w:t>
      </w:r>
      <w:r w:rsidR="007C5BC7">
        <w:t xml:space="preserve"> </w:t>
      </w:r>
      <w:r w:rsidR="00452B10">
        <w:t>x</w:t>
      </w:r>
      <w:r w:rsidRPr="00FC1268">
        <w:t xml:space="preserve"> ULN, and no subject had</w:t>
      </w:r>
      <w:r>
        <w:t xml:space="preserve"> </w:t>
      </w:r>
      <w:r w:rsidRPr="00FC1268">
        <w:t xml:space="preserve">an </w:t>
      </w:r>
      <w:r>
        <w:t xml:space="preserve">AE </w:t>
      </w:r>
      <w:r w:rsidRPr="00FC1268">
        <w:t>of ALT or AST increased</w:t>
      </w:r>
      <w:r>
        <w:t>.</w:t>
      </w:r>
    </w:p>
    <w:p w:rsidR="00B37C25" w:rsidRPr="00545B14" w:rsidRDefault="00B37C25" w:rsidP="00452B10">
      <w:pPr>
        <w:pStyle w:val="Heading4"/>
      </w:pPr>
      <w:bookmarkStart w:id="397" w:name="_Toc504036148"/>
      <w:r>
        <w:t xml:space="preserve">Renal </w:t>
      </w:r>
      <w:r w:rsidRPr="00545B14">
        <w:t>function</w:t>
      </w:r>
      <w:bookmarkEnd w:id="391"/>
      <w:bookmarkEnd w:id="392"/>
      <w:bookmarkEnd w:id="393"/>
      <w:bookmarkEnd w:id="394"/>
      <w:r>
        <w:t xml:space="preserve"> and renal toxicity</w:t>
      </w:r>
      <w:bookmarkEnd w:id="395"/>
      <w:bookmarkEnd w:id="396"/>
      <w:bookmarkEnd w:id="397"/>
    </w:p>
    <w:p w:rsidR="00B37C25" w:rsidRPr="00027A58" w:rsidRDefault="00BC7DA5" w:rsidP="00452B10">
      <w:pPr>
        <w:pStyle w:val="Heading5"/>
        <w:rPr>
          <w:lang w:eastAsia="ja-JP"/>
        </w:rPr>
      </w:pPr>
      <w:bookmarkStart w:id="398" w:name="_Toc272414671"/>
      <w:bookmarkStart w:id="399" w:name="_Toc290888535"/>
      <w:bookmarkStart w:id="400" w:name="_Toc416353751"/>
      <w:bookmarkStart w:id="401" w:name="_Toc421005294"/>
      <w:bookmarkStart w:id="402" w:name="_Toc432079171"/>
      <w:bookmarkStart w:id="403" w:name="_Toc432080744"/>
      <w:r>
        <w:rPr>
          <w:lang w:eastAsia="ja-JP"/>
        </w:rPr>
        <w:t>Study P0</w:t>
      </w:r>
      <w:r w:rsidR="00B37C25" w:rsidRPr="00027A58">
        <w:rPr>
          <w:lang w:eastAsia="ja-JP"/>
        </w:rPr>
        <w:t xml:space="preserve">05/1019 </w:t>
      </w:r>
      <w:r w:rsidR="004A75C1">
        <w:rPr>
          <w:rFonts w:eastAsia="TimesNewRoman,Bold"/>
        </w:rPr>
        <w:t>e</w:t>
      </w:r>
      <w:r w:rsidR="00B37C25" w:rsidRPr="00027A58">
        <w:rPr>
          <w:rFonts w:eastAsia="TimesNewRoman,Bold"/>
        </w:rPr>
        <w:t xml:space="preserve">rtugliflozin </w:t>
      </w:r>
      <w:r w:rsidR="00C14E6F" w:rsidRPr="00027A58">
        <w:rPr>
          <w:rFonts w:eastAsia="TimesNewRoman,Bold"/>
        </w:rPr>
        <w:t>+</w:t>
      </w:r>
      <w:r w:rsidR="00C14E6F">
        <w:rPr>
          <w:rFonts w:eastAsia="TimesNewRoman,Bold"/>
        </w:rPr>
        <w:t xml:space="preserve"> </w:t>
      </w:r>
      <w:r w:rsidR="00C14E6F" w:rsidRPr="00027A58">
        <w:rPr>
          <w:rFonts w:eastAsia="TimesNewRoman,Bold"/>
        </w:rPr>
        <w:t>sitagliptin factorial study</w:t>
      </w:r>
    </w:p>
    <w:p w:rsidR="00452B10" w:rsidRDefault="00B37C25" w:rsidP="00E957A2">
      <w:r w:rsidRPr="003D7471">
        <w:t>There were modest reductions from baseline in eGFR (baseline mean values ranging from</w:t>
      </w:r>
      <w:r>
        <w:t xml:space="preserve"> </w:t>
      </w:r>
      <w:r w:rsidRPr="003D7471">
        <w:t>91.9 to 92.8 mL/min/1.73 m</w:t>
      </w:r>
      <w:r w:rsidRPr="003D7471">
        <w:rPr>
          <w:vertAlign w:val="superscript"/>
        </w:rPr>
        <w:t>2</w:t>
      </w:r>
      <w:r w:rsidRPr="003D7471">
        <w:t>) at Week 6 in the 4 ertugliflozin-treated</w:t>
      </w:r>
      <w:r>
        <w:t xml:space="preserve"> </w:t>
      </w:r>
      <w:r w:rsidRPr="003D7471">
        <w:t>groups. The magnitude of the</w:t>
      </w:r>
      <w:r>
        <w:t xml:space="preserve"> </w:t>
      </w:r>
      <w:r w:rsidRPr="003D7471">
        <w:t>reductions were greater in the E5/S100 and E15/S100 groups (-3.5 and -5.1 mL/min/1.73 m</w:t>
      </w:r>
      <w:r w:rsidRPr="003D7471">
        <w:rPr>
          <w:vertAlign w:val="superscript"/>
        </w:rPr>
        <w:t>2</w:t>
      </w:r>
      <w:r w:rsidRPr="003D7471">
        <w:t>, respectively) relative to the E5 and E15 groups</w:t>
      </w:r>
      <w:r>
        <w:t xml:space="preserve"> </w:t>
      </w:r>
      <w:r w:rsidRPr="003D7471">
        <w:t>(-2.4 and -3.4 mL/min/1.73 m</w:t>
      </w:r>
      <w:r w:rsidRPr="003D7471">
        <w:rPr>
          <w:vertAlign w:val="superscript"/>
        </w:rPr>
        <w:t>2</w:t>
      </w:r>
      <w:r w:rsidRPr="003D7471">
        <w:t>, respectively). There was a subsequent</w:t>
      </w:r>
      <w:r>
        <w:t xml:space="preserve"> </w:t>
      </w:r>
      <w:r w:rsidRPr="003D7471">
        <w:t>return of eGFR to baseline (E5/S100 and E5 groups), or toward baseline (E15/S100 and E15</w:t>
      </w:r>
      <w:r>
        <w:t xml:space="preserve"> </w:t>
      </w:r>
      <w:r w:rsidRPr="003D7471">
        <w:t xml:space="preserve">groups) at Week 26. In the S100 group, a small decrease in eGFR </w:t>
      </w:r>
      <w:r w:rsidRPr="003D7471">
        <w:lastRenderedPageBreak/>
        <w:t>through Week 12</w:t>
      </w:r>
      <w:r>
        <w:t xml:space="preserve"> </w:t>
      </w:r>
      <w:r w:rsidRPr="003D7471">
        <w:t>(-1.4 mL/min/1.73 m</w:t>
      </w:r>
      <w:r w:rsidRPr="003D7471">
        <w:rPr>
          <w:vertAlign w:val="superscript"/>
        </w:rPr>
        <w:t>2</w:t>
      </w:r>
      <w:r w:rsidRPr="003D7471">
        <w:t>) was followed by a slight increase toward baseline at Week 26.</w:t>
      </w:r>
    </w:p>
    <w:p w:rsidR="00452B10" w:rsidRDefault="00B37C25" w:rsidP="00E957A2">
      <w:r w:rsidRPr="003D7471">
        <w:t xml:space="preserve">The proportion of subjects with at least 1 decrease in eGFR </w:t>
      </w:r>
      <w:r w:rsidR="00F7529C">
        <w:t xml:space="preserve">&gt; </w:t>
      </w:r>
      <w:r w:rsidRPr="003D7471">
        <w:t>30% from baseline was</w:t>
      </w:r>
      <w:r>
        <w:t xml:space="preserve"> </w:t>
      </w:r>
      <w:r w:rsidRPr="003D7471">
        <w:t>numerically greater in the E5/S100 group (5.9%) than in the E5 group (2.8%), but was</w:t>
      </w:r>
      <w:r>
        <w:t xml:space="preserve"> </w:t>
      </w:r>
      <w:r w:rsidRPr="003D7471">
        <w:t>similar in the E15/S100 (3.8%) and E15 (4.1%) groups, with 2.9% of subjects in the S100</w:t>
      </w:r>
      <w:r>
        <w:t xml:space="preserve"> </w:t>
      </w:r>
      <w:r w:rsidRPr="003D7471">
        <w:t>group meeting this criterion</w:t>
      </w:r>
      <w:r>
        <w:t>.</w:t>
      </w:r>
      <w:r w:rsidRPr="003D7471">
        <w:t xml:space="preserve"> There were modest increases from baseline (baseline values</w:t>
      </w:r>
      <w:r>
        <w:t xml:space="preserve"> </w:t>
      </w:r>
      <w:r w:rsidRPr="003D7471">
        <w:t>approximately 0.8 mg/dL) in</w:t>
      </w:r>
      <w:r>
        <w:t xml:space="preserve"> </w:t>
      </w:r>
      <w:r w:rsidRPr="003D7471">
        <w:t>serum creatinine at Week 6 in the 4 ertugliflozin-treated groups.</w:t>
      </w:r>
      <w:r w:rsidR="00452B10">
        <w:t xml:space="preserve"> </w:t>
      </w:r>
      <w:r w:rsidRPr="003D7471">
        <w:t xml:space="preserve">An </w:t>
      </w:r>
      <w:r>
        <w:t xml:space="preserve">AE </w:t>
      </w:r>
      <w:r w:rsidRPr="003D7471">
        <w:t>of eGFR decreased or blood creatinine increased was reported for:</w:t>
      </w:r>
      <w:r>
        <w:t xml:space="preserve"> </w:t>
      </w:r>
      <w:r w:rsidRPr="003D7471">
        <w:t>4 (1.6%) and 2 (0.8%) subjects in the E5/S100 and E15/S100 groups, respectively; 3 (1.2%)</w:t>
      </w:r>
      <w:r>
        <w:t xml:space="preserve"> </w:t>
      </w:r>
      <w:r w:rsidRPr="003D7471">
        <w:t>and 6 (2.4%) subjects in the E5 and E15 groups, respectively; and 1 subject (0.4%) in the</w:t>
      </w:r>
      <w:r>
        <w:t xml:space="preserve"> </w:t>
      </w:r>
      <w:r w:rsidRPr="003D7471">
        <w:t>S100 group. None of these events was severe or serious and only 1 led to discontinuation of</w:t>
      </w:r>
      <w:r>
        <w:t xml:space="preserve"> </w:t>
      </w:r>
      <w:r w:rsidRPr="003D7471">
        <w:t xml:space="preserve">study medication (eGFR decreased reported for </w:t>
      </w:r>
      <w:r>
        <w:t xml:space="preserve">subject </w:t>
      </w:r>
      <w:r w:rsidRPr="003D7471">
        <w:t>in the E15/S100</w:t>
      </w:r>
      <w:r>
        <w:t xml:space="preserve"> </w:t>
      </w:r>
      <w:r w:rsidRPr="003D7471">
        <w:t>group); although, 1 subject (in the E5/S100 group) discontinued study</w:t>
      </w:r>
      <w:r>
        <w:t xml:space="preserve"> </w:t>
      </w:r>
      <w:r w:rsidRPr="003D7471">
        <w:t>medication for meeting protocol-specified eGFR/serum creatinine discontinuation criteria.</w:t>
      </w:r>
    </w:p>
    <w:p w:rsidR="00B37C25" w:rsidRDefault="00B37C25" w:rsidP="00E957A2">
      <w:r w:rsidRPr="003D7471">
        <w:t xml:space="preserve">An </w:t>
      </w:r>
      <w:r>
        <w:t xml:space="preserve">AE </w:t>
      </w:r>
      <w:r w:rsidRPr="003D7471">
        <w:t>of acute kidney injury, chronic kidney disease, renal impairment, or</w:t>
      </w:r>
      <w:r>
        <w:t xml:space="preserve"> </w:t>
      </w:r>
      <w:r w:rsidRPr="003D7471">
        <w:t>nephropathy was reported for 3 (1.2%)</w:t>
      </w:r>
      <w:r>
        <w:t xml:space="preserve">, </w:t>
      </w:r>
      <w:r w:rsidRPr="003D7471">
        <w:t>1 (0.4%)</w:t>
      </w:r>
      <w:r>
        <w:t xml:space="preserve">, </w:t>
      </w:r>
      <w:r w:rsidRPr="003D7471">
        <w:t xml:space="preserve">2 (0.8%) and 2 (0.8%) </w:t>
      </w:r>
      <w:r>
        <w:t>and 0</w:t>
      </w:r>
      <w:r w:rsidRPr="003D7471">
        <w:t xml:space="preserve"> subjects in the E5/S100</w:t>
      </w:r>
      <w:r>
        <w:t xml:space="preserve">, </w:t>
      </w:r>
      <w:r w:rsidRPr="003D7471">
        <w:t>E15/S100; E5</w:t>
      </w:r>
      <w:r>
        <w:t xml:space="preserve">, </w:t>
      </w:r>
      <w:r w:rsidRPr="003D7471">
        <w:t xml:space="preserve">E15 </w:t>
      </w:r>
      <w:r>
        <w:t xml:space="preserve">and </w:t>
      </w:r>
      <w:r w:rsidRPr="003D7471">
        <w:t xml:space="preserve">S100 groups, respectively. Among these subjects, 1 </w:t>
      </w:r>
      <w:r>
        <w:t>subject</w:t>
      </w:r>
      <w:r>
        <w:rPr>
          <w:rStyle w:val="FootnoteReference"/>
          <w:rFonts w:asciiTheme="minorHAnsi" w:eastAsia="TimesNewRoman" w:hAnsiTheme="minorHAnsi" w:cs="TimesNewRoman"/>
        </w:rPr>
        <w:footnoteReference w:id="6"/>
      </w:r>
      <w:r>
        <w:t xml:space="preserve"> in the E5 group </w:t>
      </w:r>
      <w:r w:rsidRPr="003D7471">
        <w:t>had an event that was severe in</w:t>
      </w:r>
      <w:r>
        <w:t xml:space="preserve"> </w:t>
      </w:r>
      <w:r w:rsidRPr="003D7471">
        <w:t>intensity.</w:t>
      </w:r>
    </w:p>
    <w:p w:rsidR="00B37C25" w:rsidRPr="00027A58" w:rsidRDefault="00BC7DA5" w:rsidP="00452B10">
      <w:pPr>
        <w:pStyle w:val="Heading5"/>
        <w:rPr>
          <w:lang w:eastAsia="ja-JP"/>
        </w:rPr>
      </w:pPr>
      <w:r>
        <w:rPr>
          <w:lang w:eastAsia="ja-JP"/>
        </w:rPr>
        <w:t>Study P0</w:t>
      </w:r>
      <w:r w:rsidR="00B37C25" w:rsidRPr="00027A58">
        <w:rPr>
          <w:rFonts w:eastAsia="TimesNewRoman,Bold"/>
        </w:rPr>
        <w:t xml:space="preserve">06/1015 Add-on to </w:t>
      </w:r>
      <w:r w:rsidR="00C14E6F" w:rsidRPr="00027A58">
        <w:rPr>
          <w:rFonts w:eastAsia="TimesNewRoman,Bold"/>
        </w:rPr>
        <w:t>metformin and sitagliptin study</w:t>
      </w:r>
    </w:p>
    <w:p w:rsidR="00B37C25" w:rsidRPr="00A63B97" w:rsidRDefault="00B37C25" w:rsidP="00E957A2">
      <w:r w:rsidRPr="008A2FFA">
        <w:t>An AE of renal failure was reported for 1 subject in each ertugliflozin group, an AE of blood creatinine increased was reported for 1 subject in the ertugliflozin 15 mg group, and an AE of</w:t>
      </w:r>
      <w:r>
        <w:t xml:space="preserve"> </w:t>
      </w:r>
      <w:r w:rsidRPr="008A2FFA">
        <w:t>renal impairment was reported for 1 subject in the placebo group. None of these events was an SAE and none led to discontinuation of study medication. Six (3.9%), 3 (2.0%), and 7 (4.7%) subjects in the ertugliflozin 5 mg, ertugliflozin 15 mg,</w:t>
      </w:r>
      <w:r>
        <w:t xml:space="preserve"> </w:t>
      </w:r>
      <w:r w:rsidRPr="008A2FFA">
        <w:t>and placebo groups, respectively, met the PDLC criterion of a decrease from baseline in</w:t>
      </w:r>
      <w:r>
        <w:t xml:space="preserve"> </w:t>
      </w:r>
      <w:r w:rsidRPr="008A2FFA">
        <w:t xml:space="preserve">eGFR </w:t>
      </w:r>
      <w:r w:rsidR="00F7529C">
        <w:t xml:space="preserve">&gt; </w:t>
      </w:r>
      <w:r w:rsidRPr="008A2FFA">
        <w:t>30% (at least one occurrence) (excluding data after initiation of glycaemic rescue</w:t>
      </w:r>
      <w:r>
        <w:t xml:space="preserve"> </w:t>
      </w:r>
      <w:r w:rsidRPr="008A2FFA">
        <w:t>therapy. Additionally, evaluation of changes over time in mean eGFR showed a modest decrease from</w:t>
      </w:r>
      <w:r>
        <w:t xml:space="preserve"> </w:t>
      </w:r>
      <w:r w:rsidRPr="008A2FFA">
        <w:t>baseline in both ertugliflozin groups at Week 6 which returned to baseline in the ertugliflozi</w:t>
      </w:r>
      <w:r>
        <w:t xml:space="preserve">n </w:t>
      </w:r>
      <w:r w:rsidRPr="008A2FFA">
        <w:t>5 mg group and increased toward baseline in the ertugliflozin 15 mg group at Week 26</w:t>
      </w:r>
      <w:r>
        <w:t xml:space="preserve">. </w:t>
      </w:r>
      <w:r w:rsidRPr="00A63B97">
        <w:t xml:space="preserve">The proportion of subjects meeting PDLC criterion for BUN increase </w:t>
      </w:r>
      <w:r w:rsidR="00F7529C">
        <w:rPr>
          <w:rFonts w:cs="TimesNewRomanPSMT"/>
        </w:rPr>
        <w:t xml:space="preserve">≥ </w:t>
      </w:r>
      <w:r w:rsidRPr="00A63B97">
        <w:rPr>
          <w:rFonts w:cs="TimesNewRomanPSMT"/>
        </w:rPr>
        <w:t xml:space="preserve">50% and value </w:t>
      </w:r>
      <w:r w:rsidR="00F7529C">
        <w:t xml:space="preserve">&gt; </w:t>
      </w:r>
      <w:r w:rsidRPr="00A63B97">
        <w:t xml:space="preserve">ULN was numerically greater in the ertugliflozin groups compared with placebo (7.2%, 13.3% and 5.4% in ertugliflozin </w:t>
      </w:r>
      <w:r w:rsidR="006F48AD">
        <w:t>5 mg</w:t>
      </w:r>
      <w:r w:rsidRPr="00A63B97">
        <w:t>, 1</w:t>
      </w:r>
      <w:r w:rsidR="006F48AD">
        <w:t>5 mg</w:t>
      </w:r>
      <w:r w:rsidRPr="00A63B97">
        <w:t xml:space="preserve"> and placebo groups, respectively) during the double-blind treatment period. . A mean increase from baseline in BUN was seen at the first measurement at Week 6, persisting through Week 26 in both ertugliflozin groups</w:t>
      </w:r>
      <w:r>
        <w:t>.</w:t>
      </w:r>
    </w:p>
    <w:p w:rsidR="00B37C25" w:rsidRPr="00027A58" w:rsidRDefault="00BC7DA5" w:rsidP="00452B10">
      <w:pPr>
        <w:pStyle w:val="Heading5"/>
        <w:rPr>
          <w:rFonts w:eastAsia="TimesNewRoman,Bold"/>
        </w:rPr>
      </w:pPr>
      <w:r>
        <w:rPr>
          <w:lang w:eastAsia="ja-JP"/>
        </w:rPr>
        <w:t>Study P0</w:t>
      </w:r>
      <w:r w:rsidR="00B37C25" w:rsidRPr="00027A58">
        <w:rPr>
          <w:rFonts w:eastAsia="TimesNewRoman,Bold"/>
        </w:rPr>
        <w:t xml:space="preserve">17/1047 </w:t>
      </w:r>
      <w:r w:rsidR="004A75C1">
        <w:rPr>
          <w:rFonts w:eastAsia="TimesNewRoman,Bold"/>
        </w:rPr>
        <w:t>e</w:t>
      </w:r>
      <w:r w:rsidR="00B37C25" w:rsidRPr="00027A58">
        <w:rPr>
          <w:rFonts w:eastAsia="TimesNewRoman,Bold"/>
        </w:rPr>
        <w:t>rtugliflozin +</w:t>
      </w:r>
      <w:r w:rsidR="00C14E6F">
        <w:rPr>
          <w:rFonts w:eastAsia="TimesNewRoman,Bold"/>
        </w:rPr>
        <w:t xml:space="preserve"> </w:t>
      </w:r>
      <w:r w:rsidR="00C14E6F" w:rsidRPr="00027A58">
        <w:rPr>
          <w:rFonts w:eastAsia="TimesNewRoman,Bold"/>
        </w:rPr>
        <w:t>sitagliptin initial combination study</w:t>
      </w:r>
    </w:p>
    <w:p w:rsidR="00B37C25" w:rsidRPr="00027A58" w:rsidRDefault="00B37C25" w:rsidP="00E957A2">
      <w:pPr>
        <w:rPr>
          <w:rFonts w:eastAsia="TimesNewRoman,Bold" w:cs="TimesNewRoman,Bold"/>
          <w:bCs/>
          <w:u w:val="single"/>
        </w:rPr>
      </w:pPr>
      <w:r w:rsidRPr="008A2FFA">
        <w:t>At Week 6, there were modest reductions from baseline in mean eGFR in all 3 treatment</w:t>
      </w:r>
      <w:r>
        <w:t xml:space="preserve"> </w:t>
      </w:r>
      <w:r w:rsidRPr="008A2FFA">
        <w:t xml:space="preserve">groups. The mean change in the E5/S100 group (-4.3 mL/min/1.73 </w:t>
      </w:r>
      <w:r w:rsidRPr="00E82CA0">
        <w:t>m</w:t>
      </w:r>
      <w:r w:rsidRPr="008A2FFA">
        <w:rPr>
          <w:vertAlign w:val="superscript"/>
        </w:rPr>
        <w:t>2</w:t>
      </w:r>
      <w:r w:rsidRPr="008A2FFA">
        <w:t>) was greater than in</w:t>
      </w:r>
      <w:r>
        <w:t xml:space="preserve"> </w:t>
      </w:r>
      <w:r w:rsidRPr="008A2FFA">
        <w:t>the other 2</w:t>
      </w:r>
      <w:r w:rsidR="007C5BC7">
        <w:t> </w:t>
      </w:r>
      <w:r w:rsidRPr="008A2FFA">
        <w:t>treatment groups (approximately -2.0 mL/min/1.73 m</w:t>
      </w:r>
      <w:r w:rsidRPr="008A2FFA">
        <w:rPr>
          <w:vertAlign w:val="superscript"/>
        </w:rPr>
        <w:t>2</w:t>
      </w:r>
      <w:r w:rsidRPr="008A2FFA">
        <w:t xml:space="preserve"> in both groups). In the</w:t>
      </w:r>
      <w:r>
        <w:t xml:space="preserve"> </w:t>
      </w:r>
      <w:r w:rsidRPr="008A2FFA">
        <w:t>E5/S100 group, the decrease in mean eGFR at Week 6 was followed by a return to baseline</w:t>
      </w:r>
      <w:r>
        <w:t xml:space="preserve"> </w:t>
      </w:r>
      <w:r w:rsidRPr="008A2FFA">
        <w:t>at Week 26. In the E15/S100 group, mean eGFR returned to baseline at Week 18 and was</w:t>
      </w:r>
      <w:r>
        <w:t xml:space="preserve"> </w:t>
      </w:r>
      <w:r w:rsidRPr="008A2FFA">
        <w:t>slightly below baseline at Week 26. Two subjects (2.1%) in each coadministration group and 2 (2.3%) subjects in the placebo</w:t>
      </w:r>
      <w:r>
        <w:t xml:space="preserve"> </w:t>
      </w:r>
      <w:r w:rsidRPr="008A2FFA">
        <w:t xml:space="preserve">group met the PDLC criterion of at least one decrease in eGFR </w:t>
      </w:r>
      <w:r w:rsidR="00F7529C">
        <w:t xml:space="preserve">&gt; </w:t>
      </w:r>
      <w:r w:rsidRPr="008A2FFA">
        <w:t>30% from baseline. No subjects were discontinued from study medication for meeting the protocol-specified</w:t>
      </w:r>
      <w:r>
        <w:t xml:space="preserve"> </w:t>
      </w:r>
      <w:r w:rsidRPr="008A2FFA">
        <w:t>discontinuation threshold for eGFR or serum creatinine. There were no AEs reflecting events of acute or chronic renal dysfunction in the Renal and</w:t>
      </w:r>
      <w:r>
        <w:t xml:space="preserve"> </w:t>
      </w:r>
      <w:r w:rsidRPr="008A2FFA">
        <w:t>urinary disorders SOC</w:t>
      </w:r>
      <w:r>
        <w:t>.</w:t>
      </w:r>
    </w:p>
    <w:p w:rsidR="00B37C25" w:rsidRDefault="00B37C25" w:rsidP="00452B10">
      <w:pPr>
        <w:pStyle w:val="Heading4"/>
      </w:pPr>
      <w:bookmarkStart w:id="404" w:name="_Toc504036149"/>
      <w:r w:rsidRPr="00545B14">
        <w:lastRenderedPageBreak/>
        <w:t>Other clinical chemistry</w:t>
      </w:r>
      <w:bookmarkEnd w:id="398"/>
      <w:bookmarkEnd w:id="399"/>
      <w:bookmarkEnd w:id="400"/>
      <w:bookmarkEnd w:id="401"/>
      <w:bookmarkEnd w:id="402"/>
      <w:bookmarkEnd w:id="403"/>
      <w:bookmarkEnd w:id="404"/>
    </w:p>
    <w:p w:rsidR="00884A9A" w:rsidRDefault="00B37C25" w:rsidP="00E957A2">
      <w:pPr>
        <w:rPr>
          <w:rFonts w:eastAsiaTheme="minorHAnsi"/>
        </w:rPr>
      </w:pPr>
      <w:bookmarkStart w:id="405" w:name="_Toc272414672"/>
      <w:bookmarkStart w:id="406" w:name="_Toc290888536"/>
      <w:bookmarkStart w:id="407" w:name="_Toc416353752"/>
      <w:bookmarkStart w:id="408" w:name="_Toc421005295"/>
      <w:bookmarkStart w:id="409" w:name="_Toc432079172"/>
      <w:bookmarkStart w:id="410" w:name="_Toc432080745"/>
      <w:r w:rsidRPr="008D3D4B">
        <w:t xml:space="preserve">In the 3 </w:t>
      </w:r>
      <w:r w:rsidR="009B2F3C">
        <w:t>Phase III</w:t>
      </w:r>
      <w:r w:rsidRPr="008D3D4B">
        <w:t xml:space="preserve"> studies, changes in the serum lipid profile seen with ertugliflozin</w:t>
      </w:r>
      <w:r>
        <w:t xml:space="preserve"> </w:t>
      </w:r>
      <w:r w:rsidRPr="008D3D4B">
        <w:t>and sitagliptin combination therapy were generally similar to those seen in the ertugliflozin</w:t>
      </w:r>
      <w:r>
        <w:t xml:space="preserve"> </w:t>
      </w:r>
      <w:r w:rsidR="009B2F3C">
        <w:t>Phase</w:t>
      </w:r>
      <w:r w:rsidR="00C14E6F">
        <w:t> </w:t>
      </w:r>
      <w:r w:rsidR="009B2F3C">
        <w:t>III</w:t>
      </w:r>
      <w:r w:rsidRPr="008D3D4B">
        <w:t xml:space="preserve"> program and in the individual ertugliflozin groups in</w:t>
      </w:r>
      <w:r>
        <w:t xml:space="preserve"> </w:t>
      </w:r>
      <w:r w:rsidR="00BC7DA5">
        <w:t>Study P0</w:t>
      </w:r>
      <w:r w:rsidRPr="008D3D4B">
        <w:t>05/1019, including small increases in LDL-C, total cholesterol, and HDL-C, and</w:t>
      </w:r>
      <w:r>
        <w:t xml:space="preserve"> </w:t>
      </w:r>
      <w:r w:rsidRPr="008D3D4B">
        <w:t>small decreases in triglycerides.</w:t>
      </w:r>
      <w:r>
        <w:t xml:space="preserve"> In </w:t>
      </w:r>
      <w:r w:rsidR="00BC7DA5">
        <w:t>Study P0</w:t>
      </w:r>
      <w:r>
        <w:t>06/1015, l</w:t>
      </w:r>
      <w:r w:rsidRPr="00A63B97">
        <w:rPr>
          <w:rFonts w:eastAsiaTheme="minorHAnsi"/>
        </w:rPr>
        <w:t>ipid effects with ertugliflozin treatment were generally similar to those observed</w:t>
      </w:r>
      <w:r>
        <w:rPr>
          <w:rFonts w:eastAsiaTheme="minorHAnsi"/>
        </w:rPr>
        <w:t xml:space="preserve"> </w:t>
      </w:r>
      <w:r w:rsidRPr="00A63B97">
        <w:rPr>
          <w:rFonts w:eastAsiaTheme="minorHAnsi"/>
        </w:rPr>
        <w:t>with placebo, except for high-density lipoprotein cholesterol (HDL-C) which increased at</w:t>
      </w:r>
      <w:r>
        <w:rPr>
          <w:rFonts w:eastAsiaTheme="minorHAnsi"/>
        </w:rPr>
        <w:t xml:space="preserve"> </w:t>
      </w:r>
      <w:r w:rsidRPr="00A63B97">
        <w:rPr>
          <w:rFonts w:eastAsiaTheme="minorHAnsi"/>
        </w:rPr>
        <w:t>Week 26 in the ertugliflozin groups</w:t>
      </w:r>
      <w:r>
        <w:rPr>
          <w:rFonts w:eastAsiaTheme="minorHAnsi"/>
        </w:rPr>
        <w:t>. In study O017/1047, LDL-C, HDL-C and total cholesterol increased in both ertugliflozin groups compared with placebo</w:t>
      </w:r>
      <w:r w:rsidR="00884A9A">
        <w:rPr>
          <w:rFonts w:eastAsiaTheme="minorHAnsi"/>
        </w:rPr>
        <w:t>.</w:t>
      </w:r>
    </w:p>
    <w:p w:rsidR="00884A9A" w:rsidRDefault="00B37C25" w:rsidP="00E957A2">
      <w:pPr>
        <w:rPr>
          <w:rFonts w:eastAsiaTheme="minorHAnsi"/>
        </w:rPr>
      </w:pPr>
      <w:r>
        <w:rPr>
          <w:rFonts w:eastAsiaTheme="minorHAnsi"/>
        </w:rPr>
        <w:t>T</w:t>
      </w:r>
      <w:r w:rsidRPr="00A63B97">
        <w:rPr>
          <w:rFonts w:eastAsiaTheme="minorHAnsi"/>
        </w:rPr>
        <w:t xml:space="preserve">he PDLC criterion for phosphate increase </w:t>
      </w:r>
      <w:r w:rsidR="00F7529C">
        <w:rPr>
          <w:rFonts w:eastAsiaTheme="minorHAnsi" w:cs="TimesNewRomanPSMT"/>
        </w:rPr>
        <w:t xml:space="preserve">≥ </w:t>
      </w:r>
      <w:r w:rsidRPr="00A63B97">
        <w:rPr>
          <w:rFonts w:eastAsiaTheme="minorHAnsi" w:cs="TimesNewRomanPSMT"/>
        </w:rPr>
        <w:t xml:space="preserve">0.5 </w:t>
      </w:r>
      <w:r w:rsidRPr="00A63B97">
        <w:rPr>
          <w:rFonts w:eastAsiaTheme="minorHAnsi"/>
        </w:rPr>
        <w:t xml:space="preserve">mg/dL and value </w:t>
      </w:r>
      <w:r w:rsidR="00F7529C">
        <w:rPr>
          <w:rFonts w:eastAsiaTheme="minorHAnsi"/>
        </w:rPr>
        <w:t xml:space="preserve">&gt; </w:t>
      </w:r>
      <w:r w:rsidRPr="00A63B97">
        <w:rPr>
          <w:rFonts w:eastAsiaTheme="minorHAnsi"/>
        </w:rPr>
        <w:t>ULN was met by 29</w:t>
      </w:r>
      <w:r w:rsidR="007C5BC7">
        <w:rPr>
          <w:rFonts w:eastAsiaTheme="minorHAnsi"/>
        </w:rPr>
        <w:t> </w:t>
      </w:r>
      <w:r w:rsidRPr="00A63B97">
        <w:rPr>
          <w:rFonts w:eastAsiaTheme="minorHAnsi"/>
        </w:rPr>
        <w:t xml:space="preserve">(19.1%), 28 (18.7%), and 12 (8.1%) subjects in ertugliflozin </w:t>
      </w:r>
      <w:r w:rsidR="006F48AD">
        <w:rPr>
          <w:rFonts w:eastAsiaTheme="minorHAnsi"/>
        </w:rPr>
        <w:t>5 mg</w:t>
      </w:r>
      <w:r w:rsidRPr="00A63B97">
        <w:rPr>
          <w:rFonts w:eastAsiaTheme="minorHAnsi"/>
        </w:rPr>
        <w:t>, 1</w:t>
      </w:r>
      <w:r w:rsidR="006F48AD">
        <w:rPr>
          <w:rFonts w:eastAsiaTheme="minorHAnsi"/>
        </w:rPr>
        <w:t>5 mg</w:t>
      </w:r>
      <w:r w:rsidRPr="00A63B97">
        <w:rPr>
          <w:rFonts w:eastAsiaTheme="minorHAnsi"/>
        </w:rPr>
        <w:t xml:space="preserve"> and placebo groups, respectively during the double</w:t>
      </w:r>
      <w:r w:rsidR="007C5BC7">
        <w:rPr>
          <w:rFonts w:eastAsiaTheme="minorHAnsi"/>
        </w:rPr>
        <w:t xml:space="preserve"> </w:t>
      </w:r>
      <w:r w:rsidRPr="00A63B97">
        <w:rPr>
          <w:rFonts w:eastAsiaTheme="minorHAnsi"/>
        </w:rPr>
        <w:t>blind treatment period. Small (&lt;</w:t>
      </w:r>
      <w:r w:rsidR="007C5BC7">
        <w:rPr>
          <w:rFonts w:eastAsiaTheme="minorHAnsi"/>
        </w:rPr>
        <w:t xml:space="preserve"> </w:t>
      </w:r>
      <w:r w:rsidRPr="00A63B97">
        <w:rPr>
          <w:rFonts w:eastAsiaTheme="minorHAnsi"/>
        </w:rPr>
        <w:t>0.5 mg/dL) mean increases from</w:t>
      </w:r>
      <w:r>
        <w:rPr>
          <w:rFonts w:eastAsiaTheme="minorHAnsi"/>
        </w:rPr>
        <w:t xml:space="preserve"> </w:t>
      </w:r>
      <w:r w:rsidRPr="00A63B97">
        <w:rPr>
          <w:rFonts w:eastAsiaTheme="minorHAnsi"/>
        </w:rPr>
        <w:t>baseline in serum phosphate were seen in both ertugliflozin groups, with no notable change</w:t>
      </w:r>
      <w:r>
        <w:rPr>
          <w:rFonts w:eastAsiaTheme="minorHAnsi"/>
        </w:rPr>
        <w:t xml:space="preserve"> </w:t>
      </w:r>
      <w:r w:rsidRPr="00A63B97">
        <w:rPr>
          <w:rFonts w:eastAsiaTheme="minorHAnsi"/>
        </w:rPr>
        <w:t>from baseline in the placebo group</w:t>
      </w:r>
      <w:r w:rsidR="00884A9A">
        <w:rPr>
          <w:rFonts w:eastAsiaTheme="minorHAnsi"/>
        </w:rPr>
        <w:t>.</w:t>
      </w:r>
    </w:p>
    <w:p w:rsidR="00B37C25" w:rsidRDefault="00B37C25" w:rsidP="00E957A2">
      <w:pPr>
        <w:rPr>
          <w:rFonts w:eastAsiaTheme="minorHAnsi"/>
        </w:rPr>
      </w:pPr>
      <w:r w:rsidRPr="00A63B97">
        <w:rPr>
          <w:rFonts w:eastAsiaTheme="minorHAnsi"/>
        </w:rPr>
        <w:t xml:space="preserve">The incidence of subjects with a potassium value </w:t>
      </w:r>
      <w:r w:rsidR="00F7529C">
        <w:rPr>
          <w:rFonts w:eastAsiaTheme="minorHAnsi"/>
        </w:rPr>
        <w:t xml:space="preserve">&gt; </w:t>
      </w:r>
      <w:r w:rsidRPr="00A63B97">
        <w:rPr>
          <w:rFonts w:eastAsiaTheme="minorHAnsi"/>
        </w:rPr>
        <w:t>5.4 mEq/L and 15% above baseline at the</w:t>
      </w:r>
      <w:r>
        <w:rPr>
          <w:rFonts w:eastAsiaTheme="minorHAnsi"/>
        </w:rPr>
        <w:t xml:space="preserve"> </w:t>
      </w:r>
      <w:r w:rsidRPr="00A63B97">
        <w:rPr>
          <w:rFonts w:eastAsiaTheme="minorHAnsi"/>
        </w:rPr>
        <w:t>last on-treatment assessment was higher in the ertugliflozin 5 mg group (4 subjects; 2.6%)</w:t>
      </w:r>
      <w:r>
        <w:rPr>
          <w:rFonts w:eastAsiaTheme="minorHAnsi"/>
        </w:rPr>
        <w:t xml:space="preserve"> </w:t>
      </w:r>
      <w:r w:rsidRPr="00A63B97">
        <w:rPr>
          <w:rFonts w:eastAsiaTheme="minorHAnsi"/>
        </w:rPr>
        <w:t>relative to the placebo group (no subjects); 1 subject (0.7%) met this PDLC criterion in the</w:t>
      </w:r>
      <w:r>
        <w:rPr>
          <w:rFonts w:eastAsiaTheme="minorHAnsi"/>
        </w:rPr>
        <w:t xml:space="preserve"> </w:t>
      </w:r>
      <w:r w:rsidRPr="00A63B97">
        <w:rPr>
          <w:rFonts w:eastAsiaTheme="minorHAnsi"/>
        </w:rPr>
        <w:t>ertugliflozin 15 mg group</w:t>
      </w:r>
      <w:r>
        <w:rPr>
          <w:rFonts w:eastAsiaTheme="minorHAnsi"/>
        </w:rPr>
        <w:t xml:space="preserve"> and</w:t>
      </w:r>
      <w:r w:rsidRPr="00A63B97">
        <w:rPr>
          <w:rFonts w:eastAsiaTheme="minorHAnsi"/>
        </w:rPr>
        <w:t xml:space="preserve"> no subjects in the study had a</w:t>
      </w:r>
      <w:r>
        <w:rPr>
          <w:rFonts w:eastAsiaTheme="minorHAnsi"/>
        </w:rPr>
        <w:t xml:space="preserve"> </w:t>
      </w:r>
      <w:r w:rsidRPr="00A63B97">
        <w:rPr>
          <w:rFonts w:eastAsiaTheme="minorHAnsi"/>
        </w:rPr>
        <w:t xml:space="preserve">potassium value </w:t>
      </w:r>
      <w:r w:rsidR="00F7529C">
        <w:rPr>
          <w:rFonts w:eastAsiaTheme="minorHAnsi"/>
        </w:rPr>
        <w:t xml:space="preserve">&gt; </w:t>
      </w:r>
      <w:r w:rsidRPr="00A63B97">
        <w:rPr>
          <w:rFonts w:eastAsiaTheme="minorHAnsi"/>
        </w:rPr>
        <w:t>6 mEq/L at the last on-treatment visit</w:t>
      </w:r>
      <w:r>
        <w:rPr>
          <w:rFonts w:eastAsiaTheme="minorHAnsi"/>
        </w:rPr>
        <w:t>;</w:t>
      </w:r>
      <w:r w:rsidRPr="00A63B97">
        <w:rPr>
          <w:rFonts w:eastAsiaTheme="minorHAnsi"/>
        </w:rPr>
        <w:t xml:space="preserve"> the proportions of subjects with</w:t>
      </w:r>
      <w:r>
        <w:rPr>
          <w:rFonts w:eastAsiaTheme="minorHAnsi"/>
        </w:rPr>
        <w:t xml:space="preserve"> </w:t>
      </w:r>
      <w:r w:rsidRPr="00A63B97">
        <w:rPr>
          <w:rFonts w:eastAsiaTheme="minorHAnsi"/>
        </w:rPr>
        <w:t xml:space="preserve">any potassium value </w:t>
      </w:r>
      <w:r w:rsidR="00F7529C">
        <w:rPr>
          <w:rFonts w:eastAsiaTheme="minorHAnsi"/>
        </w:rPr>
        <w:t xml:space="preserve">&gt; </w:t>
      </w:r>
      <w:r w:rsidRPr="00A63B97">
        <w:rPr>
          <w:rFonts w:eastAsiaTheme="minorHAnsi"/>
        </w:rPr>
        <w:t>6 mEq/L during the double-blind treatment period were low and</w:t>
      </w:r>
      <w:r>
        <w:rPr>
          <w:rFonts w:eastAsiaTheme="minorHAnsi"/>
        </w:rPr>
        <w:t xml:space="preserve"> </w:t>
      </w:r>
      <w:r w:rsidRPr="00A63B97">
        <w:rPr>
          <w:rFonts w:eastAsiaTheme="minorHAnsi"/>
        </w:rPr>
        <w:t xml:space="preserve">similar in the 3 treatment groups (1 </w:t>
      </w:r>
      <w:r w:rsidR="00884A9A">
        <w:rPr>
          <w:rFonts w:eastAsiaTheme="minorHAnsi"/>
        </w:rPr>
        <w:t>(</w:t>
      </w:r>
      <w:r w:rsidRPr="00A63B97">
        <w:rPr>
          <w:rFonts w:eastAsiaTheme="minorHAnsi"/>
        </w:rPr>
        <w:t>0.7%</w:t>
      </w:r>
      <w:r w:rsidR="00884A9A">
        <w:rPr>
          <w:rFonts w:eastAsiaTheme="minorHAnsi"/>
        </w:rPr>
        <w:t>)</w:t>
      </w:r>
      <w:r w:rsidRPr="00A63B97">
        <w:rPr>
          <w:rFonts w:eastAsiaTheme="minorHAnsi"/>
        </w:rPr>
        <w:t>, 2</w:t>
      </w:r>
      <w:r w:rsidR="007C5BC7">
        <w:rPr>
          <w:rFonts w:eastAsiaTheme="minorHAnsi"/>
        </w:rPr>
        <w:t> </w:t>
      </w:r>
      <w:r w:rsidR="00884A9A">
        <w:rPr>
          <w:rFonts w:eastAsiaTheme="minorHAnsi"/>
        </w:rPr>
        <w:t>(</w:t>
      </w:r>
      <w:r w:rsidRPr="00A63B97">
        <w:rPr>
          <w:rFonts w:eastAsiaTheme="minorHAnsi"/>
        </w:rPr>
        <w:t>1.3%</w:t>
      </w:r>
      <w:r w:rsidR="00884A9A">
        <w:rPr>
          <w:rFonts w:eastAsiaTheme="minorHAnsi"/>
        </w:rPr>
        <w:t>)</w:t>
      </w:r>
      <w:r w:rsidRPr="00A63B97">
        <w:rPr>
          <w:rFonts w:eastAsiaTheme="minorHAnsi"/>
        </w:rPr>
        <w:t xml:space="preserve"> and 2 </w:t>
      </w:r>
      <w:r w:rsidR="00884A9A">
        <w:rPr>
          <w:rFonts w:eastAsiaTheme="minorHAnsi"/>
        </w:rPr>
        <w:t>(</w:t>
      </w:r>
      <w:r w:rsidRPr="00A63B97">
        <w:rPr>
          <w:rFonts w:eastAsiaTheme="minorHAnsi"/>
        </w:rPr>
        <w:t>1.3%</w:t>
      </w:r>
      <w:r w:rsidR="00884A9A">
        <w:rPr>
          <w:rFonts w:eastAsiaTheme="minorHAnsi"/>
        </w:rPr>
        <w:t>)</w:t>
      </w:r>
      <w:r w:rsidRPr="00A63B97">
        <w:rPr>
          <w:rFonts w:eastAsiaTheme="minorHAnsi"/>
        </w:rPr>
        <w:t xml:space="preserve"> in the ertugliflozin 5 mg,</w:t>
      </w:r>
      <w:r>
        <w:rPr>
          <w:rFonts w:eastAsiaTheme="minorHAnsi"/>
        </w:rPr>
        <w:t xml:space="preserve"> </w:t>
      </w:r>
      <w:r w:rsidRPr="00A63B97">
        <w:rPr>
          <w:rFonts w:eastAsiaTheme="minorHAnsi"/>
        </w:rPr>
        <w:t>ertugliflozin 15 mg and placebo groups, respectively, including data after initiation of</w:t>
      </w:r>
      <w:r>
        <w:rPr>
          <w:rFonts w:eastAsiaTheme="minorHAnsi"/>
        </w:rPr>
        <w:t xml:space="preserve"> </w:t>
      </w:r>
      <w:r w:rsidRPr="00A63B97">
        <w:rPr>
          <w:rFonts w:eastAsiaTheme="minorHAnsi"/>
        </w:rPr>
        <w:t>glycaemic rescue therapy</w:t>
      </w:r>
      <w:r>
        <w:rPr>
          <w:rFonts w:eastAsiaTheme="minorHAnsi"/>
        </w:rPr>
        <w:t xml:space="preserve">. </w:t>
      </w:r>
      <w:r w:rsidRPr="00A63B97">
        <w:rPr>
          <w:rFonts w:eastAsiaTheme="minorHAnsi"/>
        </w:rPr>
        <w:t>No meaningful differences in changes over</w:t>
      </w:r>
      <w:r>
        <w:rPr>
          <w:rFonts w:eastAsiaTheme="minorHAnsi"/>
        </w:rPr>
        <w:t xml:space="preserve"> </w:t>
      </w:r>
      <w:r w:rsidRPr="00A63B97">
        <w:rPr>
          <w:rFonts w:eastAsiaTheme="minorHAnsi"/>
        </w:rPr>
        <w:t>time in mean potassium were observed through Week 26 in the ertugliflozin groups relative</w:t>
      </w:r>
      <w:r>
        <w:rPr>
          <w:rFonts w:eastAsiaTheme="minorHAnsi"/>
        </w:rPr>
        <w:t xml:space="preserve"> </w:t>
      </w:r>
      <w:r w:rsidRPr="00A63B97">
        <w:rPr>
          <w:rFonts w:eastAsiaTheme="minorHAnsi"/>
        </w:rPr>
        <w:t>to the placebo group, excluding and including data after initiation of glycaemic rescue therapy</w:t>
      </w:r>
      <w:r>
        <w:rPr>
          <w:rFonts w:eastAsiaTheme="minorHAnsi"/>
        </w:rPr>
        <w:t>.</w:t>
      </w:r>
    </w:p>
    <w:p w:rsidR="00B37C25" w:rsidRDefault="00B37C25" w:rsidP="00E957A2">
      <w:r w:rsidRPr="001B301A">
        <w:t>Decreases from baseline in uric acid that were observed with ertugliflozin and sitagliptin</w:t>
      </w:r>
      <w:r>
        <w:t xml:space="preserve"> </w:t>
      </w:r>
      <w:r w:rsidRPr="001B301A">
        <w:t>combination therapy in the 3 studies was similar to those seen with the</w:t>
      </w:r>
      <w:r>
        <w:t xml:space="preserve"> </w:t>
      </w:r>
      <w:r w:rsidRPr="001B301A">
        <w:t xml:space="preserve">individual ertugliflozin groups in </w:t>
      </w:r>
      <w:r w:rsidR="00BC7DA5">
        <w:t>Study P0</w:t>
      </w:r>
      <w:r w:rsidRPr="001B301A">
        <w:t>05/1019, and with ertugliflozin treatment in the</w:t>
      </w:r>
      <w:r>
        <w:t xml:space="preserve"> </w:t>
      </w:r>
      <w:r w:rsidR="009B2F3C">
        <w:t>Phase III</w:t>
      </w:r>
      <w:r w:rsidRPr="001B301A">
        <w:t xml:space="preserve"> development program</w:t>
      </w:r>
      <w:r>
        <w:t>.</w:t>
      </w:r>
    </w:p>
    <w:p w:rsidR="00B37C25" w:rsidRDefault="00B37C25" w:rsidP="00E957A2">
      <w:r w:rsidRPr="001B301A">
        <w:t xml:space="preserve">In the 3 </w:t>
      </w:r>
      <w:r w:rsidR="009B2F3C">
        <w:t>Phase III</w:t>
      </w:r>
      <w:r w:rsidRPr="001B301A">
        <w:t xml:space="preserve"> studies, small increases from baseline over time in phosphate</w:t>
      </w:r>
      <w:r>
        <w:t xml:space="preserve"> </w:t>
      </w:r>
      <w:r w:rsidRPr="001B301A">
        <w:t>and magnesium, and fluctuations in calcium were observed in the ertugliflozin-treated groups</w:t>
      </w:r>
      <w:r>
        <w:t xml:space="preserve"> </w:t>
      </w:r>
      <w:r w:rsidRPr="001B301A">
        <w:t>relative to non-ertugliflozin-treated groups (</w:t>
      </w:r>
      <w:r w:rsidR="00447B4A">
        <w:t>that is,</w:t>
      </w:r>
      <w:r w:rsidRPr="001B301A">
        <w:t xml:space="preserve"> placebo or sitagliptin). More subjects in the</w:t>
      </w:r>
      <w:r>
        <w:t xml:space="preserve"> </w:t>
      </w:r>
      <w:r w:rsidRPr="001B301A">
        <w:t>ertugliflozin-treated groups than in the non-ertugliflozin groups met PDLC criteria for an</w:t>
      </w:r>
      <w:r>
        <w:t xml:space="preserve"> </w:t>
      </w:r>
      <w:r w:rsidRPr="001B301A">
        <w:t>increase in phosphate. Increases meeting PDLC criteria for magnesium and calcium were</w:t>
      </w:r>
      <w:r>
        <w:t xml:space="preserve"> </w:t>
      </w:r>
      <w:r w:rsidRPr="001B301A">
        <w:t>infrequent. Changes over time and proportions of subjects meeting PDLC criteria for</w:t>
      </w:r>
      <w:r>
        <w:t xml:space="preserve"> </w:t>
      </w:r>
      <w:r w:rsidRPr="001B301A">
        <w:t>phosphate, magnesium, and calcium with ertugliflozin and sitagliptin combination treatment</w:t>
      </w:r>
      <w:r>
        <w:t xml:space="preserve"> </w:t>
      </w:r>
      <w:r w:rsidRPr="001B301A">
        <w:t xml:space="preserve">were consistent with those seen in the individual ertugliflozin groups in </w:t>
      </w:r>
      <w:r w:rsidR="00BC7DA5">
        <w:t>Study P0</w:t>
      </w:r>
      <w:r w:rsidRPr="001B301A">
        <w:t>05/1019,</w:t>
      </w:r>
      <w:r>
        <w:t xml:space="preserve"> </w:t>
      </w:r>
      <w:r w:rsidRPr="001B301A">
        <w:t xml:space="preserve">and with ertugliflozin treatment in the </w:t>
      </w:r>
      <w:r w:rsidR="009B2F3C">
        <w:t>Phase III</w:t>
      </w:r>
      <w:r w:rsidRPr="001B301A">
        <w:t xml:space="preserve"> development program</w:t>
      </w:r>
      <w:r>
        <w:t>.</w:t>
      </w:r>
    </w:p>
    <w:p w:rsidR="00B37C25" w:rsidRDefault="00B37C25" w:rsidP="00E957A2">
      <w:r w:rsidRPr="001B301A">
        <w:t>There were no meaningful changes associated with ertugliflozin and sitagliptin combination</w:t>
      </w:r>
      <w:r>
        <w:t xml:space="preserve"> </w:t>
      </w:r>
      <w:r w:rsidRPr="001B301A">
        <w:t>trea</w:t>
      </w:r>
      <w:r>
        <w:t>tment in potassium, bicarbonate</w:t>
      </w:r>
      <w:r w:rsidRPr="001B301A">
        <w:t xml:space="preserve"> or sodium.</w:t>
      </w:r>
    </w:p>
    <w:p w:rsidR="00B37C25" w:rsidRDefault="00B37C25" w:rsidP="00E957A2">
      <w:pPr>
        <w:rPr>
          <w:rFonts w:eastAsiaTheme="minorHAnsi"/>
        </w:rPr>
      </w:pPr>
      <w:r w:rsidRPr="00AD5322">
        <w:rPr>
          <w:rFonts w:eastAsiaTheme="minorHAnsi"/>
        </w:rPr>
        <w:t>No subjects had a laboratory-related SAE or discontinued study medication due to a</w:t>
      </w:r>
      <w:r>
        <w:rPr>
          <w:rFonts w:eastAsiaTheme="minorHAnsi"/>
        </w:rPr>
        <w:t xml:space="preserve"> </w:t>
      </w:r>
      <w:r w:rsidRPr="00AD5322">
        <w:rPr>
          <w:rFonts w:eastAsiaTheme="minorHAnsi"/>
        </w:rPr>
        <w:t>laboratory-related AE, with the exception of a subject in the E15/S100 group,</w:t>
      </w:r>
      <w:r>
        <w:rPr>
          <w:rFonts w:eastAsiaTheme="minorHAnsi"/>
        </w:rPr>
        <w:t xml:space="preserve"> </w:t>
      </w:r>
      <w:r w:rsidRPr="00AD5322">
        <w:rPr>
          <w:rFonts w:eastAsiaTheme="minorHAnsi"/>
        </w:rPr>
        <w:t>who discontinued study medication due to asymptomatic hypoglycaemia (glucose 3.1</w:t>
      </w:r>
      <w:r w:rsidR="007C5BC7">
        <w:rPr>
          <w:rFonts w:eastAsiaTheme="minorHAnsi"/>
        </w:rPr>
        <w:t xml:space="preserve"> </w:t>
      </w:r>
      <w:r w:rsidRPr="00AD5322">
        <w:rPr>
          <w:rFonts w:eastAsiaTheme="minorHAnsi"/>
        </w:rPr>
        <w:t>mmol/L).</w:t>
      </w:r>
    </w:p>
    <w:p w:rsidR="00B37C25" w:rsidRPr="00545B14" w:rsidRDefault="00B37C25" w:rsidP="00F7529C">
      <w:pPr>
        <w:pStyle w:val="Heading4"/>
      </w:pPr>
      <w:bookmarkStart w:id="411" w:name="_Toc504036150"/>
      <w:r w:rsidRPr="00545B14">
        <w:t>Haematology</w:t>
      </w:r>
      <w:bookmarkEnd w:id="405"/>
      <w:bookmarkEnd w:id="406"/>
      <w:bookmarkEnd w:id="407"/>
      <w:bookmarkEnd w:id="408"/>
      <w:r>
        <w:t xml:space="preserve"> and haematological toxicity</w:t>
      </w:r>
      <w:bookmarkEnd w:id="409"/>
      <w:bookmarkEnd w:id="410"/>
      <w:bookmarkEnd w:id="411"/>
    </w:p>
    <w:p w:rsidR="00B37C25" w:rsidRPr="00027A58" w:rsidRDefault="00BC7DA5" w:rsidP="00F7529C">
      <w:pPr>
        <w:pStyle w:val="Heading5"/>
        <w:rPr>
          <w:lang w:eastAsia="ja-JP"/>
        </w:rPr>
      </w:pPr>
      <w:bookmarkStart w:id="412" w:name="_Toc272414674"/>
      <w:bookmarkStart w:id="413" w:name="_Toc290888538"/>
      <w:bookmarkStart w:id="414" w:name="_Toc416353753"/>
      <w:bookmarkStart w:id="415" w:name="_Toc421005296"/>
      <w:bookmarkStart w:id="416" w:name="_Toc432079173"/>
      <w:bookmarkStart w:id="417" w:name="_Toc432080746"/>
      <w:r>
        <w:rPr>
          <w:lang w:eastAsia="ja-JP"/>
        </w:rPr>
        <w:t>Study P0</w:t>
      </w:r>
      <w:r w:rsidR="00B37C25" w:rsidRPr="00027A58">
        <w:rPr>
          <w:lang w:eastAsia="ja-JP"/>
        </w:rPr>
        <w:t xml:space="preserve">05/1019 </w:t>
      </w:r>
      <w:r w:rsidR="004A75C1">
        <w:rPr>
          <w:rFonts w:eastAsia="TimesNewRoman,Bold"/>
        </w:rPr>
        <w:t>e</w:t>
      </w:r>
      <w:r w:rsidR="00B37C25" w:rsidRPr="00027A58">
        <w:rPr>
          <w:rFonts w:eastAsia="TimesNewRoman,Bold"/>
        </w:rPr>
        <w:t xml:space="preserve">rtugliflozin </w:t>
      </w:r>
      <w:r w:rsidR="00C14E6F" w:rsidRPr="00027A58">
        <w:rPr>
          <w:rFonts w:eastAsia="TimesNewRoman,Bold"/>
        </w:rPr>
        <w:t>+</w:t>
      </w:r>
      <w:r w:rsidR="00C14E6F">
        <w:rPr>
          <w:rFonts w:eastAsia="TimesNewRoman,Bold"/>
        </w:rPr>
        <w:t xml:space="preserve"> </w:t>
      </w:r>
      <w:r w:rsidR="00C14E6F" w:rsidRPr="00027A58">
        <w:rPr>
          <w:rFonts w:eastAsia="TimesNewRoman,Bold"/>
        </w:rPr>
        <w:t>sitagliptin factorial study</w:t>
      </w:r>
    </w:p>
    <w:p w:rsidR="00884A9A" w:rsidRDefault="00B37C25" w:rsidP="00E957A2">
      <w:r w:rsidRPr="00FC1268">
        <w:t>Small increases in haemoglobin (</w:t>
      </w:r>
      <w:r w:rsidR="00F7529C">
        <w:t xml:space="preserve">≤ </w:t>
      </w:r>
      <w:r w:rsidRPr="00FC1268">
        <w:t>0.63 g/dL, from baseline values</w:t>
      </w:r>
      <w:r>
        <w:t xml:space="preserve"> </w:t>
      </w:r>
      <w:r w:rsidRPr="00FC1268">
        <w:t>ranging from 13.89 g/dL to 14.22 g/dL) were observed at Weeks 12 and 26 in the</w:t>
      </w:r>
      <w:r>
        <w:t xml:space="preserve"> </w:t>
      </w:r>
      <w:r w:rsidRPr="00FC1268">
        <w:t>co-administration and individual ertugliflozin treatment groups, relative to a slight decline</w:t>
      </w:r>
      <w:r>
        <w:t xml:space="preserve"> </w:t>
      </w:r>
      <w:r w:rsidRPr="00FC1268">
        <w:t>(</w:t>
      </w:r>
      <w:r w:rsidR="00F7529C">
        <w:t xml:space="preserve">≤ </w:t>
      </w:r>
      <w:r w:rsidRPr="00FC1268">
        <w:t>0.28 g/dL) in the sitagliptin group. The proportions of subjects with at least 1 haemoglobin value meeting the PDLC c criterion for</w:t>
      </w:r>
      <w:r>
        <w:t xml:space="preserve"> </w:t>
      </w:r>
      <w:r w:rsidRPr="00FC1268">
        <w:lastRenderedPageBreak/>
        <w:t xml:space="preserve">an increase </w:t>
      </w:r>
      <w:r w:rsidR="00F7529C">
        <w:t xml:space="preserve">&gt; </w:t>
      </w:r>
      <w:r w:rsidRPr="00FC1268">
        <w:t>2.0 g/dL from baseline were similar in the E5/S100 and E15/S100 groups (3.1%</w:t>
      </w:r>
      <w:r>
        <w:t xml:space="preserve"> </w:t>
      </w:r>
      <w:r w:rsidRPr="00FC1268">
        <w:t>and 2.2%, respectively) relative to the E5 and E15 gr</w:t>
      </w:r>
      <w:r>
        <w:t xml:space="preserve">oups (3.4% in both groups). The </w:t>
      </w:r>
      <w:r w:rsidRPr="00FC1268">
        <w:t>incidence in the S100 group (1.3%) was numerically lower than in the 4 ertugliflozin-treated</w:t>
      </w:r>
      <w:r>
        <w:t xml:space="preserve"> </w:t>
      </w:r>
      <w:r w:rsidRPr="00FC1268">
        <w:t>groups</w:t>
      </w:r>
      <w:r w:rsidR="00884A9A">
        <w:t>.</w:t>
      </w:r>
    </w:p>
    <w:p w:rsidR="00B37C25" w:rsidRPr="00027A58" w:rsidRDefault="00BC7DA5" w:rsidP="00F7529C">
      <w:pPr>
        <w:pStyle w:val="Heading5"/>
        <w:rPr>
          <w:lang w:eastAsia="ja-JP"/>
        </w:rPr>
      </w:pPr>
      <w:r>
        <w:rPr>
          <w:lang w:eastAsia="ja-JP"/>
        </w:rPr>
        <w:t>Study P0</w:t>
      </w:r>
      <w:r w:rsidR="00B37C25" w:rsidRPr="00027A58">
        <w:rPr>
          <w:rFonts w:eastAsia="TimesNewRoman,Bold"/>
        </w:rPr>
        <w:t xml:space="preserve">06/1015 Add-on to </w:t>
      </w:r>
      <w:r w:rsidR="00C14E6F" w:rsidRPr="00027A58">
        <w:rPr>
          <w:rFonts w:eastAsia="TimesNewRoman,Bold"/>
        </w:rPr>
        <w:t>metformin and sitagliptin study</w:t>
      </w:r>
    </w:p>
    <w:p w:rsidR="00884A9A" w:rsidRDefault="00B37C25" w:rsidP="00E957A2">
      <w:r w:rsidRPr="008B45E5">
        <w:t>Mean changes over time in most haematology parameters were generally small with no</w:t>
      </w:r>
      <w:r>
        <w:t xml:space="preserve"> </w:t>
      </w:r>
      <w:r w:rsidRPr="008B45E5">
        <w:t xml:space="preserve">meaningful differences between the ertugliflozin and placebo groups. A small mean increase </w:t>
      </w:r>
      <w:r>
        <w:t>f</w:t>
      </w:r>
      <w:r w:rsidRPr="008B45E5">
        <w:t>rom baseline in haemoglobin was observed in the</w:t>
      </w:r>
      <w:r>
        <w:t xml:space="preserve"> </w:t>
      </w:r>
      <w:r w:rsidRPr="008B45E5">
        <w:t>ertugliflozin 5 mg and 15 mg groups at Week</w:t>
      </w:r>
      <w:r w:rsidR="00C14E6F">
        <w:t> </w:t>
      </w:r>
      <w:r w:rsidRPr="008B45E5">
        <w:t>12 which persisted through Week 26. No subjects across the 3 treatment groups had an AE reported that was associated with a</w:t>
      </w:r>
      <w:r>
        <w:t xml:space="preserve"> </w:t>
      </w:r>
      <w:r w:rsidRPr="008B45E5">
        <w:t>change in haemoglobin. Six (4.0%), 2 (1.4%), and 1 (0.7%) subjects in the ertugliflozin 5 mg,</w:t>
      </w:r>
      <w:r>
        <w:t xml:space="preserve"> </w:t>
      </w:r>
      <w:r w:rsidRPr="008B45E5">
        <w:t>ertugliflozin 15 mg, and placebo groups, respectively, met the PDLC criterion of an increase</w:t>
      </w:r>
      <w:r>
        <w:t xml:space="preserve"> </w:t>
      </w:r>
      <w:r w:rsidRPr="008B45E5">
        <w:t xml:space="preserve">from baseline in haemoglobin </w:t>
      </w:r>
      <w:r w:rsidR="00F7529C">
        <w:t xml:space="preserve">&gt; </w:t>
      </w:r>
      <w:r w:rsidRPr="008B45E5">
        <w:t>2 g/dL (at least 1 occurrence) (excluding data after initiation</w:t>
      </w:r>
      <w:r>
        <w:t xml:space="preserve"> </w:t>
      </w:r>
      <w:r w:rsidRPr="008B45E5">
        <w:t>of glycaemic rescue therapy</w:t>
      </w:r>
      <w:r w:rsidR="00884A9A">
        <w:t>.</w:t>
      </w:r>
    </w:p>
    <w:p w:rsidR="00B37C25" w:rsidRPr="00027A58" w:rsidRDefault="00BC7DA5" w:rsidP="00F7529C">
      <w:pPr>
        <w:pStyle w:val="Heading5"/>
        <w:rPr>
          <w:rFonts w:eastAsia="TimesNewRoman,Bold"/>
        </w:rPr>
      </w:pPr>
      <w:r>
        <w:rPr>
          <w:lang w:eastAsia="ja-JP"/>
        </w:rPr>
        <w:t>Study P0</w:t>
      </w:r>
      <w:r w:rsidR="00B37C25" w:rsidRPr="00027A58">
        <w:rPr>
          <w:rFonts w:eastAsia="TimesNewRoman,Bold"/>
        </w:rPr>
        <w:t xml:space="preserve">17/1047 </w:t>
      </w:r>
      <w:r w:rsidR="004A75C1">
        <w:rPr>
          <w:rFonts w:eastAsia="TimesNewRoman,Bold"/>
        </w:rPr>
        <w:t>e</w:t>
      </w:r>
      <w:r w:rsidR="00B37C25" w:rsidRPr="00027A58">
        <w:rPr>
          <w:rFonts w:eastAsia="TimesNewRoman,Bold"/>
        </w:rPr>
        <w:t>rtugliflozin +</w:t>
      </w:r>
      <w:r w:rsidR="00C14E6F">
        <w:rPr>
          <w:rFonts w:eastAsia="TimesNewRoman,Bold"/>
        </w:rPr>
        <w:t xml:space="preserve"> </w:t>
      </w:r>
      <w:r w:rsidR="00C14E6F" w:rsidRPr="00027A58">
        <w:rPr>
          <w:rFonts w:eastAsia="TimesNewRoman,Bold"/>
        </w:rPr>
        <w:t>sitagliptin initial combination study</w:t>
      </w:r>
    </w:p>
    <w:p w:rsidR="00884A9A" w:rsidRDefault="00B37C25" w:rsidP="00E957A2">
      <w:r w:rsidRPr="008A2FFA">
        <w:t>Small mean increases from baseline in haemoglobin observed at Week 12</w:t>
      </w:r>
      <w:r>
        <w:t xml:space="preserve"> </w:t>
      </w:r>
      <w:r w:rsidRPr="008A2FFA">
        <w:t>persisted through Week 26 in the coadministration groups Four (4.3%), 3 (3.3%), and 0 (0.0%) subjects in the E5/S100, E15/S100, and placebo groups,</w:t>
      </w:r>
      <w:r>
        <w:t xml:space="preserve"> </w:t>
      </w:r>
      <w:r w:rsidRPr="008A2FFA">
        <w:t xml:space="preserve">respectively, met the PDLC criterion of an increase from baseline in haemoglobin </w:t>
      </w:r>
      <w:r w:rsidR="00F7529C">
        <w:t xml:space="preserve">&gt; </w:t>
      </w:r>
      <w:r w:rsidRPr="008A2FFA">
        <w:t>2.0 g/dL,</w:t>
      </w:r>
      <w:r w:rsidR="006F48AD">
        <w:t xml:space="preserve"> </w:t>
      </w:r>
      <w:r>
        <w:t>and o</w:t>
      </w:r>
      <w:r w:rsidRPr="008A2FFA">
        <w:t>ne subject</w:t>
      </w:r>
      <w:r>
        <w:t xml:space="preserve"> </w:t>
      </w:r>
      <w:r w:rsidRPr="008A2FFA">
        <w:t xml:space="preserve">in the E15/S100 group met the criterion of an increase from baseline in </w:t>
      </w:r>
      <w:r>
        <w:t xml:space="preserve">haemoglobin </w:t>
      </w:r>
      <w:r w:rsidR="00F7529C">
        <w:t xml:space="preserve">&gt; </w:t>
      </w:r>
      <w:r>
        <w:t xml:space="preserve">2.0 g/dL and value </w:t>
      </w:r>
      <w:r w:rsidR="00F7529C">
        <w:t xml:space="preserve">&gt; </w:t>
      </w:r>
      <w:r>
        <w:t>ULN</w:t>
      </w:r>
      <w:bookmarkStart w:id="418" w:name="_Toc504036151"/>
      <w:r w:rsidR="00884A9A">
        <w:t>.</w:t>
      </w:r>
    </w:p>
    <w:p w:rsidR="00B37C25" w:rsidRPr="00545B14" w:rsidRDefault="00B37C25" w:rsidP="00F7529C">
      <w:pPr>
        <w:pStyle w:val="Heading4"/>
      </w:pPr>
      <w:r w:rsidRPr="00545B14">
        <w:t>Other laboratory test</w:t>
      </w:r>
      <w:bookmarkEnd w:id="412"/>
      <w:bookmarkEnd w:id="413"/>
      <w:bookmarkEnd w:id="414"/>
      <w:bookmarkEnd w:id="415"/>
      <w:bookmarkEnd w:id="416"/>
      <w:bookmarkEnd w:id="417"/>
      <w:r>
        <w:t>s</w:t>
      </w:r>
      <w:bookmarkEnd w:id="418"/>
    </w:p>
    <w:p w:rsidR="00B37C25" w:rsidRDefault="00B37C25" w:rsidP="00B37C25">
      <w:pPr>
        <w:spacing w:before="0" w:line="240" w:lineRule="auto"/>
        <w:rPr>
          <w:lang w:eastAsia="ja-JP"/>
        </w:rPr>
      </w:pPr>
      <w:bookmarkStart w:id="419" w:name="_Toc272414675"/>
      <w:bookmarkStart w:id="420" w:name="_Toc290888539"/>
      <w:bookmarkStart w:id="421" w:name="_Toc416353754"/>
      <w:bookmarkStart w:id="422" w:name="_Toc421005297"/>
      <w:bookmarkStart w:id="423" w:name="_Toc432079174"/>
      <w:bookmarkStart w:id="424" w:name="_Toc432080747"/>
      <w:r>
        <w:rPr>
          <w:lang w:eastAsia="ja-JP"/>
        </w:rPr>
        <w:t>Not applicable.</w:t>
      </w:r>
    </w:p>
    <w:p w:rsidR="00B37C25" w:rsidRPr="00545B14" w:rsidRDefault="00B37C25" w:rsidP="00F7529C">
      <w:pPr>
        <w:pStyle w:val="Heading4"/>
      </w:pPr>
      <w:bookmarkStart w:id="425" w:name="_Toc504036152"/>
      <w:r w:rsidRPr="00545B14">
        <w:t>Electrocardiograph</w:t>
      </w:r>
      <w:bookmarkEnd w:id="419"/>
      <w:bookmarkEnd w:id="420"/>
      <w:bookmarkEnd w:id="421"/>
      <w:bookmarkEnd w:id="422"/>
      <w:r>
        <w:t xml:space="preserve"> findings and cardiovascular safety</w:t>
      </w:r>
      <w:bookmarkEnd w:id="423"/>
      <w:bookmarkEnd w:id="424"/>
      <w:bookmarkEnd w:id="425"/>
    </w:p>
    <w:p w:rsidR="00B37C25" w:rsidRDefault="00B37C25" w:rsidP="00E957A2">
      <w:pPr>
        <w:rPr>
          <w:rFonts w:eastAsiaTheme="minorHAnsi"/>
        </w:rPr>
      </w:pPr>
      <w:bookmarkStart w:id="426" w:name="_Toc272414676"/>
      <w:bookmarkStart w:id="427" w:name="_Toc290888540"/>
      <w:bookmarkStart w:id="428" w:name="_Toc416353755"/>
      <w:bookmarkStart w:id="429" w:name="_Toc421005298"/>
      <w:bookmarkStart w:id="430" w:name="_Toc432079175"/>
      <w:bookmarkStart w:id="431" w:name="_Toc432080748"/>
      <w:r w:rsidRPr="008D3D4B">
        <w:t xml:space="preserve">In each of the 3 </w:t>
      </w:r>
      <w:r w:rsidR="009B2F3C">
        <w:t>Phase III</w:t>
      </w:r>
      <w:r w:rsidRPr="008D3D4B">
        <w:t xml:space="preserve"> studies, 12-lead ECGs were performed at</w:t>
      </w:r>
      <w:r>
        <w:t xml:space="preserve"> </w:t>
      </w:r>
      <w:r w:rsidRPr="008D3D4B">
        <w:t>Week -2 (regarded as the baseline measurement for ECG endpoints) and Week 26. Summary</w:t>
      </w:r>
      <w:r>
        <w:t xml:space="preserve"> </w:t>
      </w:r>
      <w:r w:rsidRPr="008D3D4B">
        <w:t>statistics for mean changes over time in ECG parameters (PR interval, QRS interval, QT,</w:t>
      </w:r>
      <w:r>
        <w:t xml:space="preserve"> </w:t>
      </w:r>
      <w:r w:rsidRPr="008D3D4B">
        <w:t>QTcB, QTcF, and heart rate) were evaluated for each study.</w:t>
      </w:r>
      <w:r>
        <w:t xml:space="preserve"> </w:t>
      </w:r>
      <w:r w:rsidRPr="008D3D4B">
        <w:t>No meaningful changes from baseline in ECG</w:t>
      </w:r>
      <w:r w:rsidR="006F48AD">
        <w:t xml:space="preserve"> </w:t>
      </w:r>
      <w:r>
        <w:t>p</w:t>
      </w:r>
      <w:r w:rsidRPr="008D3D4B">
        <w:t>arameters were observed in the</w:t>
      </w:r>
      <w:r>
        <w:t xml:space="preserve"> </w:t>
      </w:r>
      <w:r w:rsidRPr="008D3D4B">
        <w:t>co-administration groups relative to the individual treatments</w:t>
      </w:r>
      <w:r>
        <w:t xml:space="preserve"> </w:t>
      </w:r>
      <w:r w:rsidRPr="008D3D4B">
        <w:t xml:space="preserve">in </w:t>
      </w:r>
      <w:r w:rsidR="00BC7DA5">
        <w:t>Study</w:t>
      </w:r>
      <w:r w:rsidR="00C14E6F">
        <w:t> </w:t>
      </w:r>
      <w:r w:rsidR="00BC7DA5">
        <w:t>P0</w:t>
      </w:r>
      <w:r w:rsidRPr="008D3D4B">
        <w:t>05/1019, in the</w:t>
      </w:r>
      <w:r>
        <w:t xml:space="preserve"> </w:t>
      </w:r>
      <w:r w:rsidRPr="008D3D4B">
        <w:t xml:space="preserve">ertugliflozin groups relative to the placebo group in </w:t>
      </w:r>
      <w:r w:rsidR="00BC7DA5">
        <w:t>Study P0</w:t>
      </w:r>
      <w:r w:rsidRPr="008D3D4B">
        <w:t>06/1015, or in the</w:t>
      </w:r>
      <w:r>
        <w:t xml:space="preserve"> </w:t>
      </w:r>
      <w:r w:rsidRPr="008D3D4B">
        <w:t xml:space="preserve">co-administration groups relative to the placebo group in </w:t>
      </w:r>
      <w:r w:rsidR="00BC7DA5">
        <w:t>Study P0</w:t>
      </w:r>
      <w:r w:rsidRPr="008D3D4B">
        <w:t>17/1047</w:t>
      </w:r>
      <w:r w:rsidRPr="008D3D4B">
        <w:rPr>
          <w:rFonts w:eastAsiaTheme="minorHAnsi"/>
        </w:rPr>
        <w:t>.</w:t>
      </w:r>
    </w:p>
    <w:p w:rsidR="00884A9A" w:rsidRDefault="00B37C25" w:rsidP="00E957A2">
      <w:pPr>
        <w:rPr>
          <w:color w:val="000000"/>
        </w:rPr>
      </w:pPr>
      <w:r w:rsidRPr="00A86E76">
        <w:rPr>
          <w:color w:val="000000"/>
        </w:rPr>
        <w:t xml:space="preserve">In </w:t>
      </w:r>
      <w:r w:rsidR="00BC7DA5">
        <w:rPr>
          <w:color w:val="000000"/>
        </w:rPr>
        <w:t>Study P0</w:t>
      </w:r>
      <w:r w:rsidRPr="00A86E76">
        <w:rPr>
          <w:color w:val="000000"/>
        </w:rPr>
        <w:t>05/1019, 1 subject</w:t>
      </w:r>
      <w:r w:rsidR="00C14E6F">
        <w:rPr>
          <w:color w:val="000000"/>
        </w:rPr>
        <w:t>;</w:t>
      </w:r>
      <w:r>
        <w:rPr>
          <w:rStyle w:val="FootnoteReference"/>
          <w:rFonts w:asciiTheme="minorHAnsi" w:eastAsia="TimesNewRoman" w:hAnsiTheme="minorHAnsi" w:cs="TimesNewRoman"/>
          <w:color w:val="000000"/>
        </w:rPr>
        <w:footnoteReference w:id="7"/>
      </w:r>
      <w:r w:rsidRPr="00A86E76">
        <w:rPr>
          <w:color w:val="000000"/>
        </w:rPr>
        <w:t xml:space="preserve"> in the E5/S100 group and no subject in the 4 other groups met</w:t>
      </w:r>
      <w:r>
        <w:rPr>
          <w:color w:val="000000"/>
        </w:rPr>
        <w:t xml:space="preserve"> </w:t>
      </w:r>
      <w:r w:rsidRPr="00A86E76">
        <w:rPr>
          <w:color w:val="000000"/>
        </w:rPr>
        <w:t xml:space="preserve">the criterion for a QTcF value </w:t>
      </w:r>
      <w:r w:rsidR="00F7529C">
        <w:rPr>
          <w:color w:val="000000"/>
        </w:rPr>
        <w:t xml:space="preserve">≥ </w:t>
      </w:r>
      <w:r w:rsidRPr="00A86E76">
        <w:rPr>
          <w:color w:val="000000"/>
        </w:rPr>
        <w:t xml:space="preserve">500 </w:t>
      </w:r>
      <w:r w:rsidR="001109F5">
        <w:rPr>
          <w:color w:val="000000"/>
        </w:rPr>
        <w:t>ms</w:t>
      </w:r>
      <w:r w:rsidRPr="00A86E76">
        <w:rPr>
          <w:color w:val="000000"/>
        </w:rPr>
        <w:t>. The proportions of subjects who met the QTcF criteria for increase</w:t>
      </w:r>
      <w:r>
        <w:rPr>
          <w:color w:val="000000"/>
        </w:rPr>
        <w:t xml:space="preserve"> </w:t>
      </w:r>
      <w:r w:rsidR="00F7529C">
        <w:rPr>
          <w:color w:val="000000"/>
        </w:rPr>
        <w:t xml:space="preserve">≥ </w:t>
      </w:r>
      <w:r w:rsidRPr="00A86E76">
        <w:rPr>
          <w:color w:val="000000"/>
        </w:rPr>
        <w:t xml:space="preserve">30 </w:t>
      </w:r>
      <w:r w:rsidR="001109F5">
        <w:rPr>
          <w:color w:val="000000"/>
        </w:rPr>
        <w:t>ms</w:t>
      </w:r>
      <w:r w:rsidRPr="00A86E76">
        <w:rPr>
          <w:color w:val="000000"/>
        </w:rPr>
        <w:t xml:space="preserve"> and value above gender specific ULN was not notably different in the E5/S100 and</w:t>
      </w:r>
      <w:r>
        <w:rPr>
          <w:color w:val="000000"/>
        </w:rPr>
        <w:t xml:space="preserve"> </w:t>
      </w:r>
      <w:r w:rsidRPr="00A86E76">
        <w:rPr>
          <w:color w:val="000000"/>
        </w:rPr>
        <w:t xml:space="preserve">E15/S100 groups (2 </w:t>
      </w:r>
      <w:r w:rsidR="00884A9A">
        <w:rPr>
          <w:color w:val="000000"/>
        </w:rPr>
        <w:t>(</w:t>
      </w:r>
      <w:r w:rsidRPr="00A86E76">
        <w:rPr>
          <w:color w:val="000000"/>
        </w:rPr>
        <w:t>0.9%</w:t>
      </w:r>
      <w:r w:rsidR="00884A9A">
        <w:rPr>
          <w:color w:val="000000"/>
        </w:rPr>
        <w:t>)</w:t>
      </w:r>
      <w:r w:rsidRPr="00A86E76">
        <w:rPr>
          <w:color w:val="000000"/>
        </w:rPr>
        <w:t xml:space="preserve"> and 4 </w:t>
      </w:r>
      <w:r w:rsidR="00884A9A">
        <w:rPr>
          <w:color w:val="000000"/>
        </w:rPr>
        <w:t>(</w:t>
      </w:r>
      <w:r w:rsidRPr="00A86E76">
        <w:rPr>
          <w:color w:val="000000"/>
        </w:rPr>
        <w:t>1.8%</w:t>
      </w:r>
      <w:r w:rsidR="00884A9A">
        <w:rPr>
          <w:color w:val="000000"/>
        </w:rPr>
        <w:t>)</w:t>
      </w:r>
      <w:r w:rsidRPr="00A86E76">
        <w:rPr>
          <w:color w:val="000000"/>
        </w:rPr>
        <w:t xml:space="preserve"> subjects, respectively) relative to the E5 and E15</w:t>
      </w:r>
      <w:r>
        <w:rPr>
          <w:color w:val="000000"/>
        </w:rPr>
        <w:t xml:space="preserve"> </w:t>
      </w:r>
      <w:r w:rsidRPr="00A86E76">
        <w:rPr>
          <w:color w:val="000000"/>
        </w:rPr>
        <w:t xml:space="preserve">groups (1 </w:t>
      </w:r>
      <w:r w:rsidR="00884A9A">
        <w:rPr>
          <w:color w:val="000000"/>
        </w:rPr>
        <w:t>(</w:t>
      </w:r>
      <w:r w:rsidRPr="00A86E76">
        <w:rPr>
          <w:color w:val="000000"/>
        </w:rPr>
        <w:t>0.5%</w:t>
      </w:r>
      <w:r w:rsidR="00884A9A">
        <w:rPr>
          <w:color w:val="000000"/>
        </w:rPr>
        <w:t>)</w:t>
      </w:r>
      <w:r w:rsidRPr="00A86E76">
        <w:rPr>
          <w:color w:val="000000"/>
        </w:rPr>
        <w:t xml:space="preserve"> and 1 </w:t>
      </w:r>
      <w:r w:rsidR="00884A9A">
        <w:rPr>
          <w:color w:val="000000"/>
        </w:rPr>
        <w:t>(</w:t>
      </w:r>
      <w:r w:rsidRPr="00A86E76">
        <w:rPr>
          <w:color w:val="000000"/>
        </w:rPr>
        <w:t>0.5%</w:t>
      </w:r>
      <w:r w:rsidR="00884A9A">
        <w:rPr>
          <w:color w:val="000000"/>
        </w:rPr>
        <w:t>)</w:t>
      </w:r>
      <w:r w:rsidRPr="00A86E76">
        <w:rPr>
          <w:color w:val="000000"/>
        </w:rPr>
        <w:t xml:space="preserve"> subjects, respectively) and the S100 group (6</w:t>
      </w:r>
      <w:r w:rsidR="007C5BC7">
        <w:rPr>
          <w:color w:val="000000"/>
        </w:rPr>
        <w:t> </w:t>
      </w:r>
      <w:r w:rsidRPr="00A86E76">
        <w:rPr>
          <w:color w:val="000000"/>
        </w:rPr>
        <w:t xml:space="preserve">subjects </w:t>
      </w:r>
      <w:r w:rsidR="00884A9A">
        <w:rPr>
          <w:color w:val="000000"/>
        </w:rPr>
        <w:t>(</w:t>
      </w:r>
      <w:r w:rsidRPr="00A86E76">
        <w:rPr>
          <w:color w:val="000000"/>
        </w:rPr>
        <w:t>2.8%</w:t>
      </w:r>
      <w:r w:rsidR="00884A9A">
        <w:rPr>
          <w:color w:val="000000"/>
        </w:rPr>
        <w:t>)</w:t>
      </w:r>
      <w:r w:rsidRPr="00A86E76">
        <w:rPr>
          <w:color w:val="000000"/>
        </w:rPr>
        <w:t>)</w:t>
      </w:r>
      <w:r w:rsidR="00884A9A">
        <w:rPr>
          <w:color w:val="000000"/>
        </w:rPr>
        <w:t>.</w:t>
      </w:r>
    </w:p>
    <w:p w:rsidR="00B37C25" w:rsidRPr="00A86E76" w:rsidRDefault="00B37C25" w:rsidP="00E957A2">
      <w:pPr>
        <w:rPr>
          <w:color w:val="000000"/>
        </w:rPr>
      </w:pPr>
      <w:r w:rsidRPr="00A86E76">
        <w:rPr>
          <w:color w:val="000000"/>
        </w:rPr>
        <w:t xml:space="preserve">In </w:t>
      </w:r>
      <w:r w:rsidR="00BC7DA5">
        <w:rPr>
          <w:color w:val="000000"/>
        </w:rPr>
        <w:t>Study P0</w:t>
      </w:r>
      <w:r w:rsidRPr="00A86E76">
        <w:rPr>
          <w:color w:val="000000"/>
        </w:rPr>
        <w:t>06/1015, no subjects in the ertugliflozin 5 mg, 15 mg, or placebo groups met the</w:t>
      </w:r>
      <w:r>
        <w:rPr>
          <w:color w:val="000000"/>
        </w:rPr>
        <w:t xml:space="preserve"> </w:t>
      </w:r>
      <w:r w:rsidRPr="00A86E76">
        <w:rPr>
          <w:color w:val="000000"/>
        </w:rPr>
        <w:t xml:space="preserve">criterion for a QTcF value </w:t>
      </w:r>
      <w:r w:rsidR="00F7529C">
        <w:rPr>
          <w:color w:val="000000"/>
        </w:rPr>
        <w:t xml:space="preserve">≥ </w:t>
      </w:r>
      <w:r w:rsidRPr="00A86E76">
        <w:rPr>
          <w:color w:val="000000"/>
        </w:rPr>
        <w:t xml:space="preserve">500 </w:t>
      </w:r>
      <w:r w:rsidR="001109F5">
        <w:rPr>
          <w:color w:val="000000"/>
        </w:rPr>
        <w:t>ms</w:t>
      </w:r>
      <w:r w:rsidRPr="00A86E76">
        <w:rPr>
          <w:color w:val="000000"/>
        </w:rPr>
        <w:t xml:space="preserve">, or had a QTcF increase </w:t>
      </w:r>
      <w:r w:rsidR="00F7529C">
        <w:rPr>
          <w:color w:val="000000"/>
        </w:rPr>
        <w:t xml:space="preserve">≥ </w:t>
      </w:r>
      <w:r w:rsidRPr="00A86E76">
        <w:rPr>
          <w:color w:val="000000"/>
        </w:rPr>
        <w:t xml:space="preserve">60 </w:t>
      </w:r>
      <w:r w:rsidR="001109F5">
        <w:rPr>
          <w:color w:val="000000"/>
        </w:rPr>
        <w:t>ms</w:t>
      </w:r>
      <w:r w:rsidRPr="00A86E76">
        <w:rPr>
          <w:color w:val="000000"/>
        </w:rPr>
        <w:t xml:space="preserve"> and value above</w:t>
      </w:r>
      <w:r>
        <w:rPr>
          <w:color w:val="000000"/>
        </w:rPr>
        <w:t xml:space="preserve"> </w:t>
      </w:r>
      <w:r w:rsidRPr="00A86E76">
        <w:rPr>
          <w:color w:val="000000"/>
        </w:rPr>
        <w:t>gender specific ULN. The proportions of subjects who met the QTcF criteria for increase</w:t>
      </w:r>
      <w:r>
        <w:rPr>
          <w:color w:val="000000"/>
        </w:rPr>
        <w:t xml:space="preserve"> </w:t>
      </w:r>
      <w:r w:rsidR="00F7529C">
        <w:rPr>
          <w:color w:val="000000"/>
        </w:rPr>
        <w:t xml:space="preserve">≥ </w:t>
      </w:r>
      <w:r w:rsidRPr="00A86E76">
        <w:rPr>
          <w:color w:val="000000"/>
        </w:rPr>
        <w:t xml:space="preserve">30 </w:t>
      </w:r>
      <w:r w:rsidR="001109F5">
        <w:rPr>
          <w:color w:val="000000"/>
        </w:rPr>
        <w:t>ms</w:t>
      </w:r>
      <w:r w:rsidRPr="00A86E76">
        <w:rPr>
          <w:color w:val="000000"/>
        </w:rPr>
        <w:t xml:space="preserve"> and value above the gender specific ULN was not notably different in the</w:t>
      </w:r>
      <w:r>
        <w:rPr>
          <w:color w:val="000000"/>
        </w:rPr>
        <w:t xml:space="preserve"> </w:t>
      </w:r>
      <w:r w:rsidRPr="00A86E76">
        <w:rPr>
          <w:color w:val="000000"/>
        </w:rPr>
        <w:t xml:space="preserve">ertugliflozin 5 mg and 15 mg groups (2 </w:t>
      </w:r>
      <w:r w:rsidR="00884A9A">
        <w:rPr>
          <w:color w:val="000000"/>
        </w:rPr>
        <w:t>(</w:t>
      </w:r>
      <w:r w:rsidRPr="00A86E76">
        <w:rPr>
          <w:color w:val="000000"/>
        </w:rPr>
        <w:t>1.5%</w:t>
      </w:r>
      <w:r w:rsidR="00884A9A">
        <w:rPr>
          <w:color w:val="000000"/>
        </w:rPr>
        <w:t>)</w:t>
      </w:r>
      <w:r w:rsidRPr="00A86E76">
        <w:rPr>
          <w:color w:val="000000"/>
        </w:rPr>
        <w:t xml:space="preserve"> and 3 </w:t>
      </w:r>
      <w:r w:rsidR="00884A9A">
        <w:rPr>
          <w:color w:val="000000"/>
        </w:rPr>
        <w:t>(</w:t>
      </w:r>
      <w:r w:rsidRPr="00A86E76">
        <w:rPr>
          <w:color w:val="000000"/>
        </w:rPr>
        <w:t>2.2%</w:t>
      </w:r>
      <w:r w:rsidR="00884A9A">
        <w:rPr>
          <w:color w:val="000000"/>
        </w:rPr>
        <w:t>)</w:t>
      </w:r>
      <w:r w:rsidRPr="00A86E76">
        <w:rPr>
          <w:color w:val="000000"/>
        </w:rPr>
        <w:t>, respectively) relative to the</w:t>
      </w:r>
      <w:r>
        <w:rPr>
          <w:color w:val="000000"/>
        </w:rPr>
        <w:t xml:space="preserve"> </w:t>
      </w:r>
      <w:r w:rsidRPr="00A86E76">
        <w:rPr>
          <w:color w:val="000000"/>
        </w:rPr>
        <w:t>placebo group (0.0%)</w:t>
      </w:r>
      <w:r w:rsidR="007C5BC7">
        <w:rPr>
          <w:color w:val="000000"/>
        </w:rPr>
        <w:t>.</w:t>
      </w:r>
    </w:p>
    <w:p w:rsidR="00884A9A" w:rsidRDefault="00B37C25" w:rsidP="00E957A2">
      <w:r w:rsidRPr="00A86E76">
        <w:rPr>
          <w:color w:val="000000"/>
        </w:rPr>
        <w:t xml:space="preserve">In </w:t>
      </w:r>
      <w:r w:rsidR="00BC7DA5">
        <w:rPr>
          <w:color w:val="000000"/>
        </w:rPr>
        <w:t>Study P0</w:t>
      </w:r>
      <w:r w:rsidRPr="00A86E76">
        <w:rPr>
          <w:color w:val="000000"/>
        </w:rPr>
        <w:t>17/1047, no subject in the E5/S100, E15/S100, or placebo groups met the</w:t>
      </w:r>
      <w:r>
        <w:rPr>
          <w:color w:val="000000"/>
        </w:rPr>
        <w:t xml:space="preserve"> </w:t>
      </w:r>
      <w:r w:rsidRPr="00A86E76">
        <w:rPr>
          <w:color w:val="000000"/>
        </w:rPr>
        <w:t xml:space="preserve">criterion for a QTcF value </w:t>
      </w:r>
      <w:r w:rsidR="00F7529C">
        <w:rPr>
          <w:color w:val="000000"/>
        </w:rPr>
        <w:t xml:space="preserve">≥ </w:t>
      </w:r>
      <w:r w:rsidR="001109F5">
        <w:rPr>
          <w:color w:val="000000"/>
        </w:rPr>
        <w:t>500 ms</w:t>
      </w:r>
      <w:r w:rsidRPr="00A86E76">
        <w:rPr>
          <w:color w:val="000000"/>
        </w:rPr>
        <w:t xml:space="preserve">, or had a QTcF increase </w:t>
      </w:r>
      <w:r w:rsidR="00F7529C">
        <w:rPr>
          <w:color w:val="000000"/>
        </w:rPr>
        <w:t xml:space="preserve">≥ </w:t>
      </w:r>
      <w:r w:rsidRPr="00A86E76">
        <w:rPr>
          <w:color w:val="000000"/>
        </w:rPr>
        <w:t xml:space="preserve">60 </w:t>
      </w:r>
      <w:r w:rsidR="001109F5">
        <w:rPr>
          <w:color w:val="000000"/>
        </w:rPr>
        <w:t>ms</w:t>
      </w:r>
      <w:r w:rsidRPr="00A86E76">
        <w:rPr>
          <w:color w:val="000000"/>
        </w:rPr>
        <w:t xml:space="preserve"> and value above</w:t>
      </w:r>
      <w:r>
        <w:rPr>
          <w:color w:val="000000"/>
        </w:rPr>
        <w:t xml:space="preserve"> </w:t>
      </w:r>
      <w:r w:rsidRPr="00A86E76">
        <w:rPr>
          <w:color w:val="000000"/>
        </w:rPr>
        <w:t>gender specific ULN. One subject each in the E5/S100 group (1.2%) and the E15/S100</w:t>
      </w:r>
      <w:r w:rsidRPr="00A86E76">
        <w:t xml:space="preserve"> group (1.2%), and none in the placebo group, met the criteria for QTcF increase </w:t>
      </w:r>
      <w:r w:rsidR="00F7529C">
        <w:t xml:space="preserve">≥ </w:t>
      </w:r>
      <w:r w:rsidRPr="00A86E76">
        <w:t xml:space="preserve">30 </w:t>
      </w:r>
      <w:r w:rsidR="001109F5">
        <w:t>ms</w:t>
      </w:r>
      <w:r>
        <w:t xml:space="preserve"> </w:t>
      </w:r>
      <w:r w:rsidRPr="00A86E76">
        <w:t>and value above gender specific ULN</w:t>
      </w:r>
      <w:r w:rsidR="00884A9A">
        <w:t>.</w:t>
      </w:r>
    </w:p>
    <w:p w:rsidR="00B37C25" w:rsidRPr="007F174C" w:rsidRDefault="00B37C25" w:rsidP="00F7529C">
      <w:pPr>
        <w:pStyle w:val="Comment"/>
        <w:rPr>
          <w:rFonts w:eastAsiaTheme="minorHAnsi"/>
        </w:rPr>
      </w:pPr>
      <w:r w:rsidRPr="00F7529C">
        <w:rPr>
          <w:b/>
        </w:rPr>
        <w:lastRenderedPageBreak/>
        <w:t>Comment</w:t>
      </w:r>
      <w:r w:rsidRPr="007F0C10">
        <w:t xml:space="preserve">: It is important to note </w:t>
      </w:r>
      <w:r>
        <w:t xml:space="preserve">that </w:t>
      </w:r>
      <w:r w:rsidRPr="007F0C10">
        <w:t>results of the CV meta</w:t>
      </w:r>
      <w:r w:rsidR="004B0649">
        <w:t>-</w:t>
      </w:r>
      <w:r w:rsidR="00F7529C">
        <w:t>a</w:t>
      </w:r>
      <w:r w:rsidRPr="007F0C10">
        <w:t xml:space="preserve">nalysis for ertugliflozin </w:t>
      </w:r>
      <w:r>
        <w:t>were</w:t>
      </w:r>
      <w:r w:rsidRPr="007F0C10">
        <w:t xml:space="preserve"> not provided (</w:t>
      </w:r>
      <w:r w:rsidRPr="007F0C10">
        <w:rPr>
          <w:lang w:eastAsia="ja-JP"/>
        </w:rPr>
        <w:t xml:space="preserve">please refer to the evaluation report for </w:t>
      </w:r>
      <w:r w:rsidR="00F7529C">
        <w:rPr>
          <w:lang w:eastAsia="ja-JP"/>
        </w:rPr>
        <w:t>the s</w:t>
      </w:r>
      <w:r w:rsidRPr="007F0C10">
        <w:rPr>
          <w:lang w:eastAsia="ja-JP"/>
        </w:rPr>
        <w:t xml:space="preserve">ubmission </w:t>
      </w:r>
      <w:r w:rsidR="00754BDD">
        <w:rPr>
          <w:lang w:eastAsia="ja-JP"/>
        </w:rPr>
        <w:t>for Steglatro</w:t>
      </w:r>
      <w:r w:rsidR="00C14E6F">
        <w:rPr>
          <w:lang w:eastAsia="ja-JP"/>
        </w:rPr>
        <w:t>, available as Attachment 2</w:t>
      </w:r>
      <w:r w:rsidRPr="007F0C10">
        <w:t>)</w:t>
      </w:r>
      <w:r w:rsidR="00F7529C">
        <w:t>.</w:t>
      </w:r>
    </w:p>
    <w:p w:rsidR="00B37C25" w:rsidRPr="00545B14" w:rsidRDefault="00B37C25" w:rsidP="00F7529C">
      <w:pPr>
        <w:pStyle w:val="Heading4"/>
      </w:pPr>
      <w:bookmarkStart w:id="432" w:name="_Toc504036153"/>
      <w:r w:rsidRPr="00545B14">
        <w:t>Vital signs</w:t>
      </w:r>
      <w:bookmarkEnd w:id="426"/>
      <w:bookmarkEnd w:id="427"/>
      <w:bookmarkEnd w:id="428"/>
      <w:bookmarkEnd w:id="429"/>
      <w:r>
        <w:t xml:space="preserve"> and clinical examination findings</w:t>
      </w:r>
      <w:bookmarkEnd w:id="430"/>
      <w:bookmarkEnd w:id="431"/>
      <w:bookmarkEnd w:id="432"/>
    </w:p>
    <w:p w:rsidR="00B37C25" w:rsidRPr="00027A58" w:rsidRDefault="00BC7DA5" w:rsidP="00F7529C">
      <w:pPr>
        <w:pStyle w:val="Heading5"/>
        <w:rPr>
          <w:lang w:eastAsia="ja-JP"/>
        </w:rPr>
      </w:pPr>
      <w:bookmarkStart w:id="433" w:name="_Toc432079176"/>
      <w:bookmarkStart w:id="434" w:name="_Toc432080749"/>
      <w:r>
        <w:rPr>
          <w:lang w:eastAsia="ja-JP"/>
        </w:rPr>
        <w:t>Study P0</w:t>
      </w:r>
      <w:r w:rsidR="00B37C25" w:rsidRPr="00027A58">
        <w:rPr>
          <w:lang w:eastAsia="ja-JP"/>
        </w:rPr>
        <w:t xml:space="preserve">05/1019 </w:t>
      </w:r>
      <w:r w:rsidR="004A75C1">
        <w:rPr>
          <w:rFonts w:eastAsia="TimesNewRoman,Bold"/>
        </w:rPr>
        <w:t>e</w:t>
      </w:r>
      <w:r w:rsidR="00B37C25" w:rsidRPr="00027A58">
        <w:rPr>
          <w:rFonts w:eastAsia="TimesNewRoman,Bold"/>
        </w:rPr>
        <w:t xml:space="preserve">rtugliflozin </w:t>
      </w:r>
      <w:r w:rsidR="00C14E6F" w:rsidRPr="00027A58">
        <w:rPr>
          <w:rFonts w:eastAsia="TimesNewRoman,Bold"/>
        </w:rPr>
        <w:t>+</w:t>
      </w:r>
      <w:r w:rsidR="00C14E6F">
        <w:rPr>
          <w:rFonts w:eastAsia="TimesNewRoman,Bold"/>
        </w:rPr>
        <w:t xml:space="preserve"> </w:t>
      </w:r>
      <w:r w:rsidR="00C14E6F" w:rsidRPr="00027A58">
        <w:rPr>
          <w:rFonts w:eastAsia="TimesNewRoman,Bold"/>
        </w:rPr>
        <w:t>sitagliptin factorial study</w:t>
      </w:r>
    </w:p>
    <w:p w:rsidR="00B37C25" w:rsidRPr="00E82CA0" w:rsidRDefault="00B37C25" w:rsidP="00E957A2">
      <w:pPr>
        <w:rPr>
          <w:lang w:eastAsia="ja-JP"/>
        </w:rPr>
      </w:pPr>
      <w:r w:rsidRPr="00E82CA0">
        <w:t>There were no meaningful differences between treatment groups in the</w:t>
      </w:r>
      <w:r>
        <w:t xml:space="preserve"> </w:t>
      </w:r>
      <w:r w:rsidRPr="00E82CA0">
        <w:t>proportions of subjects who met the pre-specified criteria for orthostatic changes in systolic</w:t>
      </w:r>
      <w:r>
        <w:t xml:space="preserve"> </w:t>
      </w:r>
      <w:r w:rsidRPr="00E82CA0">
        <w:t>blood pressure or diastolic blood pressure. No meaningful differences in sitting pulse rate were observed over</w:t>
      </w:r>
      <w:r>
        <w:t xml:space="preserve"> </w:t>
      </w:r>
      <w:r w:rsidRPr="00E82CA0">
        <w:t xml:space="preserve">time in the co-administration groups relative to the individual treatments in </w:t>
      </w:r>
      <w:r w:rsidR="00BC7DA5">
        <w:t>Study P0</w:t>
      </w:r>
      <w:r w:rsidRPr="00E82CA0">
        <w:t>05/1019</w:t>
      </w:r>
      <w:r>
        <w:t>.</w:t>
      </w:r>
    </w:p>
    <w:p w:rsidR="00B37C25" w:rsidRPr="00AD5322" w:rsidRDefault="00BC7DA5" w:rsidP="00B433F6">
      <w:pPr>
        <w:pStyle w:val="Heading5"/>
        <w:rPr>
          <w:lang w:eastAsia="ja-JP"/>
        </w:rPr>
      </w:pPr>
      <w:r>
        <w:rPr>
          <w:lang w:eastAsia="ja-JP"/>
        </w:rPr>
        <w:t>Study P0</w:t>
      </w:r>
      <w:r w:rsidR="00B37C25" w:rsidRPr="00AD5322">
        <w:rPr>
          <w:rFonts w:eastAsia="TimesNewRoman,Bold"/>
        </w:rPr>
        <w:t xml:space="preserve">06/1015 Add-on to </w:t>
      </w:r>
      <w:r w:rsidR="004A75C1" w:rsidRPr="00AD5322">
        <w:rPr>
          <w:rFonts w:eastAsia="TimesNewRoman,Bold"/>
        </w:rPr>
        <w:t>metformin and sitagliptin study</w:t>
      </w:r>
    </w:p>
    <w:p w:rsidR="00B37C25" w:rsidRPr="00AD5322" w:rsidRDefault="00B37C25" w:rsidP="00E957A2">
      <w:pPr>
        <w:rPr>
          <w:u w:val="single"/>
          <w:lang w:eastAsia="ja-JP"/>
        </w:rPr>
      </w:pPr>
      <w:r w:rsidRPr="00AD5322">
        <w:t>Mean changes in pulse rate were either similar to or slightly lower than baseline at all time</w:t>
      </w:r>
      <w:r>
        <w:t xml:space="preserve"> </w:t>
      </w:r>
      <w:r w:rsidRPr="00AD5322">
        <w:t>points through Week 26 in the ertugliflozin groups and fluctuated above and below baseline</w:t>
      </w:r>
      <w:r>
        <w:t xml:space="preserve"> </w:t>
      </w:r>
      <w:r w:rsidRPr="00AD5322">
        <w:t>in the placebo group. Small numeric increases in the proportion of subjects who met the pre-specified criterion for</w:t>
      </w:r>
      <w:r>
        <w:t xml:space="preserve"> </w:t>
      </w:r>
      <w:r w:rsidRPr="00AD5322">
        <w:t xml:space="preserve">orthostatic change in </w:t>
      </w:r>
      <w:r>
        <w:t xml:space="preserve">SBP </w:t>
      </w:r>
      <w:r w:rsidRPr="00AD5322">
        <w:t>were observed in the ertugliflozin groups</w:t>
      </w:r>
      <w:r>
        <w:t xml:space="preserve"> </w:t>
      </w:r>
      <w:r w:rsidRPr="00AD5322">
        <w:t>relative to the placebo group. The increases in the ertugliflozin groups were not</w:t>
      </w:r>
      <w:r>
        <w:t xml:space="preserve"> </w:t>
      </w:r>
      <w:r w:rsidRPr="00AD5322">
        <w:t>dose-dependent or clinically meaningful.</w:t>
      </w:r>
      <w:r>
        <w:t xml:space="preserve"> </w:t>
      </w:r>
      <w:r w:rsidRPr="00AD5322">
        <w:t>Relative to the placebo group, numeric increases in the proportion of subjects who met the</w:t>
      </w:r>
      <w:r>
        <w:t xml:space="preserve"> </w:t>
      </w:r>
      <w:r w:rsidRPr="00AD5322">
        <w:t xml:space="preserve">pre-specified criterion for orthostatic change in </w:t>
      </w:r>
      <w:r>
        <w:t xml:space="preserve">DBP </w:t>
      </w:r>
      <w:r w:rsidRPr="00AD5322">
        <w:t>were observed at</w:t>
      </w:r>
      <w:r>
        <w:t xml:space="preserve"> </w:t>
      </w:r>
      <w:r w:rsidRPr="00AD5322">
        <w:t>Week 6 in both ertugliflozin groups, and at Week 26 in the ertugliflozin 15 mg group. The</w:t>
      </w:r>
      <w:r>
        <w:t xml:space="preserve"> </w:t>
      </w:r>
      <w:r w:rsidRPr="00AD5322">
        <w:t>increases in the ertugliflozin groups were not dose-dependent or clinically meaningful</w:t>
      </w:r>
      <w:r>
        <w:t>.</w:t>
      </w:r>
    </w:p>
    <w:p w:rsidR="00B37C25" w:rsidRPr="00AD5322" w:rsidRDefault="00BC7DA5" w:rsidP="00B433F6">
      <w:pPr>
        <w:pStyle w:val="Heading5"/>
        <w:rPr>
          <w:rFonts w:eastAsia="TimesNewRoman,Bold"/>
        </w:rPr>
      </w:pPr>
      <w:r>
        <w:rPr>
          <w:lang w:eastAsia="ja-JP"/>
        </w:rPr>
        <w:t>Study P0</w:t>
      </w:r>
      <w:r w:rsidR="00B37C25" w:rsidRPr="00AD5322">
        <w:rPr>
          <w:rFonts w:eastAsia="TimesNewRoman,Bold"/>
        </w:rPr>
        <w:t xml:space="preserve">17/1047 </w:t>
      </w:r>
      <w:r w:rsidR="004A75C1">
        <w:rPr>
          <w:rFonts w:eastAsia="TimesNewRoman,Bold"/>
        </w:rPr>
        <w:t>e</w:t>
      </w:r>
      <w:r w:rsidR="00B37C25" w:rsidRPr="00AD5322">
        <w:rPr>
          <w:rFonts w:eastAsia="TimesNewRoman,Bold"/>
        </w:rPr>
        <w:t xml:space="preserve">rtugliflozin </w:t>
      </w:r>
      <w:r w:rsidR="00C14E6F" w:rsidRPr="00AD5322">
        <w:rPr>
          <w:rFonts w:eastAsia="TimesNewRoman,Bold"/>
        </w:rPr>
        <w:t>+</w:t>
      </w:r>
      <w:r w:rsidR="00C14E6F">
        <w:rPr>
          <w:rFonts w:eastAsia="TimesNewRoman,Bold"/>
        </w:rPr>
        <w:t xml:space="preserve"> </w:t>
      </w:r>
      <w:r w:rsidR="00C14E6F" w:rsidRPr="00AD5322">
        <w:rPr>
          <w:rFonts w:eastAsia="TimesNewRoman,Bold"/>
        </w:rPr>
        <w:t>sitagliptin initial combination study</w:t>
      </w:r>
    </w:p>
    <w:p w:rsidR="00884A9A" w:rsidRDefault="00B37C25" w:rsidP="00E957A2">
      <w:r w:rsidRPr="00AD5322">
        <w:t>At both the Weeks 6 and 26 time points, there were no meaningful differences in the</w:t>
      </w:r>
      <w:r>
        <w:t xml:space="preserve"> </w:t>
      </w:r>
      <w:r w:rsidRPr="00AD5322">
        <w:t>proportions of subjects who met the pre-specified criterion for orthostatic change in systolic</w:t>
      </w:r>
      <w:r>
        <w:t xml:space="preserve"> </w:t>
      </w:r>
      <w:r w:rsidRPr="00AD5322">
        <w:t>or diastolic blood pressure between the 3 treatment groups</w:t>
      </w:r>
      <w:r>
        <w:t>.</w:t>
      </w:r>
      <w:r w:rsidRPr="00AD5322">
        <w:t xml:space="preserve"> No meaningful differences in mean supine pulse rate were observed</w:t>
      </w:r>
      <w:r>
        <w:t xml:space="preserve"> </w:t>
      </w:r>
      <w:r w:rsidRPr="00AD5322">
        <w:t>between the coadministration and placebo groups through Week 26</w:t>
      </w:r>
      <w:bookmarkStart w:id="435" w:name="_Toc504036154"/>
      <w:r w:rsidR="00884A9A">
        <w:t>.</w:t>
      </w:r>
    </w:p>
    <w:p w:rsidR="00B37C25" w:rsidRDefault="00B37C25" w:rsidP="00B433F6">
      <w:pPr>
        <w:pStyle w:val="Heading4"/>
      </w:pPr>
      <w:r>
        <w:t>Immunogenicity and immunological events</w:t>
      </w:r>
      <w:bookmarkEnd w:id="433"/>
      <w:bookmarkEnd w:id="434"/>
      <w:bookmarkEnd w:id="435"/>
    </w:p>
    <w:p w:rsidR="00884A9A" w:rsidRDefault="00B37C25" w:rsidP="00E957A2">
      <w:r w:rsidRPr="00F83260">
        <w:t>There have been postmarketing reports</w:t>
      </w:r>
      <w:r w:rsidR="00C14E6F">
        <w:t>;</w:t>
      </w:r>
      <w:r>
        <w:rPr>
          <w:rStyle w:val="FootnoteReference"/>
          <w:rFonts w:asciiTheme="minorHAnsi" w:hAnsiTheme="minorHAnsi"/>
        </w:rPr>
        <w:footnoteReference w:id="8"/>
      </w:r>
      <w:r w:rsidRPr="00F83260">
        <w:t xml:space="preserve"> of serious hypersensitivity reactions in patients treated with </w:t>
      </w:r>
      <w:r>
        <w:t xml:space="preserve">sitagliptin and may include </w:t>
      </w:r>
      <w:r w:rsidRPr="00F83260">
        <w:t xml:space="preserve">anaphylaxis, angioedema and exfoliative skin conditions including Stevens-Johnson syndrome. Onset of these reactions occurred within the first 3 months after initiation of treatment with </w:t>
      </w:r>
      <w:r>
        <w:t xml:space="preserve">sitagliptin </w:t>
      </w:r>
      <w:r w:rsidRPr="00F83260">
        <w:t>with some reports occurring after the first dose</w:t>
      </w:r>
      <w:bookmarkStart w:id="436" w:name="_Toc432079177"/>
      <w:bookmarkStart w:id="437" w:name="_Toc432080750"/>
      <w:bookmarkStart w:id="438" w:name="_Toc504036155"/>
      <w:r w:rsidR="00884A9A">
        <w:t>.</w:t>
      </w:r>
    </w:p>
    <w:p w:rsidR="00B37C25" w:rsidRPr="00E7113A" w:rsidRDefault="00B37C25" w:rsidP="00B433F6">
      <w:pPr>
        <w:pStyle w:val="Heading4"/>
      </w:pPr>
      <w:r w:rsidRPr="00E7113A">
        <w:t>Serious skin reactions</w:t>
      </w:r>
      <w:bookmarkEnd w:id="436"/>
      <w:bookmarkEnd w:id="437"/>
      <w:bookmarkEnd w:id="438"/>
    </w:p>
    <w:p w:rsidR="00B37C25" w:rsidRPr="00F83260" w:rsidRDefault="00B37C25" w:rsidP="00E957A2">
      <w:bookmarkStart w:id="439" w:name="_Toc272414678"/>
      <w:bookmarkStart w:id="440" w:name="_Toc290888542"/>
      <w:bookmarkStart w:id="441" w:name="_Toc416353757"/>
      <w:bookmarkStart w:id="442" w:name="_Toc421005300"/>
      <w:bookmarkStart w:id="443" w:name="_Toc432079178"/>
      <w:bookmarkStart w:id="444" w:name="_Toc432080751"/>
      <w:r>
        <w:t>E</w:t>
      </w:r>
      <w:r w:rsidRPr="00F83260">
        <w:t>xfoliative skin conditions including Stevens-Johnson syndrome</w:t>
      </w:r>
      <w:r>
        <w:t xml:space="preserve"> have been reported with sitagliptin</w:t>
      </w:r>
      <w:r w:rsidRPr="00F83260">
        <w:t>. Postmarketing cases of bullous</w:t>
      </w:r>
      <w:r w:rsidR="00B433F6">
        <w:t xml:space="preserve"> pemphigoid requiring hospitalis</w:t>
      </w:r>
      <w:r w:rsidRPr="00F83260">
        <w:t>ation have been reported</w:t>
      </w:r>
      <w:r>
        <w:t xml:space="preserve"> </w:t>
      </w:r>
      <w:r w:rsidRPr="00F83260">
        <w:t>with DPP-4 inhibitor use. In reported cases, patients typically recovered with topical or</w:t>
      </w:r>
      <w:r>
        <w:t xml:space="preserve"> </w:t>
      </w:r>
      <w:r w:rsidRPr="00F83260">
        <w:t>systemic immunosuppressive treatment and discontinuation of the DPP-4 inhibitor.</w:t>
      </w:r>
    </w:p>
    <w:p w:rsidR="00B37C25" w:rsidRPr="00F83260" w:rsidRDefault="00B37C25" w:rsidP="00E957A2">
      <w:pPr>
        <w:rPr>
          <w:lang w:eastAsia="ja-JP"/>
        </w:rPr>
      </w:pPr>
      <w:r>
        <w:t xml:space="preserve">The following is included in the proposed PI for Steglujan: </w:t>
      </w:r>
      <w:r w:rsidR="00330A13">
        <w:rPr>
          <w:i/>
        </w:rPr>
        <w:t>‘</w:t>
      </w:r>
      <w:r w:rsidRPr="004913D2">
        <w:rPr>
          <w:i/>
        </w:rPr>
        <w:t>Patients to report development of blisters or erosions while receiving MSD- ertugliflozin-sitagliptin. If bullous pemphigoid is suspected, MSD-ertugliflozin-sitagliptin should be discontinued and referral to a dermatologist should be considered for diagnosis and appropriate treatment.</w:t>
      </w:r>
      <w:r w:rsidR="00330A13">
        <w:rPr>
          <w:i/>
        </w:rPr>
        <w:t>’</w:t>
      </w:r>
    </w:p>
    <w:p w:rsidR="00B37C25" w:rsidRDefault="00B37C25" w:rsidP="00B433F6">
      <w:pPr>
        <w:pStyle w:val="Heading3"/>
      </w:pPr>
      <w:bookmarkStart w:id="445" w:name="_Toc504036156"/>
      <w:bookmarkStart w:id="446" w:name="_Toc4573597"/>
      <w:r>
        <w:lastRenderedPageBreak/>
        <w:t>Special safety topics for FDC of ertugliflozin-sitagliptin</w:t>
      </w:r>
      <w:bookmarkEnd w:id="439"/>
      <w:bookmarkEnd w:id="440"/>
      <w:bookmarkEnd w:id="441"/>
      <w:bookmarkEnd w:id="442"/>
      <w:bookmarkEnd w:id="443"/>
      <w:bookmarkEnd w:id="444"/>
      <w:bookmarkEnd w:id="445"/>
      <w:bookmarkEnd w:id="446"/>
    </w:p>
    <w:p w:rsidR="00B37C25" w:rsidRDefault="00B37C25" w:rsidP="00E957A2">
      <w:r w:rsidRPr="00995FB3">
        <w:t xml:space="preserve">Special </w:t>
      </w:r>
      <w:r w:rsidR="00C14E6F" w:rsidRPr="00995FB3">
        <w:t xml:space="preserve">safety topics </w:t>
      </w:r>
      <w:r w:rsidRPr="00995FB3">
        <w:t>identified for review in the</w:t>
      </w:r>
      <w:r>
        <w:t xml:space="preserve"> </w:t>
      </w:r>
      <w:r w:rsidRPr="00995FB3">
        <w:t>ertugliflozin program were discussed in</w:t>
      </w:r>
      <w:r w:rsidR="00B433F6">
        <w:t xml:space="preserve"> detail in the Steglatro report</w:t>
      </w:r>
      <w:r w:rsidRPr="00995FB3">
        <w:t>. Among these topics, 3 overlapped with regard to labelled safety or</w:t>
      </w:r>
      <w:r>
        <w:t xml:space="preserve"> </w:t>
      </w:r>
      <w:r w:rsidRPr="00995FB3">
        <w:t>dosing topics for sitagliptin and include changes in renal function, pancreatitis, and</w:t>
      </w:r>
      <w:r>
        <w:t xml:space="preserve"> </w:t>
      </w:r>
      <w:r w:rsidRPr="00995FB3">
        <w:t>hypersensitivity. Hence, these topics, along with hypoglycaemia, an important safety</w:t>
      </w:r>
      <w:r>
        <w:t xml:space="preserve"> </w:t>
      </w:r>
      <w:r w:rsidRPr="00995FB3">
        <w:t xml:space="preserve">concern for all AHAs, were identified as </w:t>
      </w:r>
      <w:r w:rsidR="00C14E6F">
        <w:t>S</w:t>
      </w:r>
      <w:r w:rsidR="00C14E6F" w:rsidRPr="00995FB3">
        <w:t xml:space="preserve">pecial safety topics </w:t>
      </w:r>
      <w:r w:rsidRPr="00995FB3">
        <w:t>for the ertugliflozin-</w:t>
      </w:r>
      <w:r>
        <w:t xml:space="preserve">sitagliptin </w:t>
      </w:r>
      <w:r w:rsidRPr="00995FB3">
        <w:t>FDC</w:t>
      </w:r>
      <w:r>
        <w:t>. AEs specific to ertugliflozin including urinary, genital mycotic infections and hypovolema/osmotic diuresis are also discussed in the following section.</w:t>
      </w:r>
    </w:p>
    <w:p w:rsidR="00B37C25" w:rsidRPr="00763455" w:rsidRDefault="00B37C25" w:rsidP="00B433F6">
      <w:pPr>
        <w:pStyle w:val="Heading4"/>
      </w:pPr>
      <w:r w:rsidRPr="00B433F6">
        <w:t>Hypoglycaemia</w:t>
      </w:r>
    </w:p>
    <w:p w:rsidR="00B37C25" w:rsidRPr="00027A58" w:rsidRDefault="00BC7DA5" w:rsidP="00B433F6">
      <w:pPr>
        <w:pStyle w:val="Heading5"/>
        <w:rPr>
          <w:lang w:eastAsia="ja-JP"/>
        </w:rPr>
      </w:pPr>
      <w:r>
        <w:rPr>
          <w:lang w:eastAsia="ja-JP"/>
        </w:rPr>
        <w:t>Study P0</w:t>
      </w:r>
      <w:r w:rsidR="00B37C25" w:rsidRPr="00027A58">
        <w:rPr>
          <w:lang w:eastAsia="ja-JP"/>
        </w:rPr>
        <w:t xml:space="preserve">05/1019 </w:t>
      </w:r>
      <w:r w:rsidR="004A75C1">
        <w:rPr>
          <w:rFonts w:eastAsia="TimesNewRoman,Bold"/>
        </w:rPr>
        <w:t>e</w:t>
      </w:r>
      <w:r w:rsidR="00B37C25" w:rsidRPr="00027A58">
        <w:rPr>
          <w:rFonts w:eastAsia="TimesNewRoman,Bold"/>
        </w:rPr>
        <w:t xml:space="preserve">rtugliflozin </w:t>
      </w:r>
      <w:r w:rsidR="00C14E6F" w:rsidRPr="00027A58">
        <w:rPr>
          <w:rFonts w:eastAsia="TimesNewRoman,Bold"/>
        </w:rPr>
        <w:t>+</w:t>
      </w:r>
      <w:r w:rsidR="00C14E6F">
        <w:rPr>
          <w:rFonts w:eastAsia="TimesNewRoman,Bold"/>
        </w:rPr>
        <w:t xml:space="preserve"> </w:t>
      </w:r>
      <w:r w:rsidR="00C14E6F" w:rsidRPr="00027A58">
        <w:rPr>
          <w:rFonts w:eastAsia="TimesNewRoman,Bold"/>
        </w:rPr>
        <w:t>sitagliptin factorial study</w:t>
      </w:r>
    </w:p>
    <w:p w:rsidR="00B37C25" w:rsidRPr="00B433F6" w:rsidRDefault="00B37C25" w:rsidP="00E957A2">
      <w:pPr>
        <w:rPr>
          <w:color w:val="000000"/>
        </w:rPr>
      </w:pPr>
      <w:r w:rsidRPr="0011613F">
        <w:t>Documented hypoglycaemia (symptomatic and asymptomatic together) was reported most</w:t>
      </w:r>
      <w:r>
        <w:t xml:space="preserve"> </w:t>
      </w:r>
      <w:r w:rsidRPr="0011613F">
        <w:t>frequently in the E15/S100 group, with a similar frequency in the E5/S100 group relative to</w:t>
      </w:r>
      <w:r>
        <w:t xml:space="preserve"> </w:t>
      </w:r>
      <w:r w:rsidRPr="0011613F">
        <w:t xml:space="preserve">the E5 and E15 groups, and least frequently in the S100 </w:t>
      </w:r>
      <w:r w:rsidRPr="00B433F6">
        <w:t xml:space="preserve">group (Table </w:t>
      </w:r>
      <w:r w:rsidR="00B433F6" w:rsidRPr="00B433F6">
        <w:t>19</w:t>
      </w:r>
      <w:r w:rsidRPr="00B433F6">
        <w:t>). Two subjects</w:t>
      </w:r>
      <w:r w:rsidR="007C5BC7">
        <w:t>,</w:t>
      </w:r>
      <w:r w:rsidRPr="00B433F6">
        <w:rPr>
          <w:rStyle w:val="FootnoteReference"/>
          <w:rFonts w:asciiTheme="minorHAnsi" w:eastAsia="TimesNewRoman" w:hAnsiTheme="minorHAnsi" w:cs="TimesNewRoman"/>
        </w:rPr>
        <w:footnoteReference w:id="9"/>
      </w:r>
      <w:r w:rsidRPr="00B433F6">
        <w:t xml:space="preserve"> 1 in the E15/S100 group and 1 in the E15 group, had AEs of severe hypoglycaemia. </w:t>
      </w:r>
      <w:r w:rsidRPr="00B433F6">
        <w:rPr>
          <w:color w:val="000000"/>
        </w:rPr>
        <w:t xml:space="preserve">The incidence of symptomatic hypoglycaemia was similar in the E5/S100 group, and numerically higher in the E15/S100 group in the pre-specified comparisons with the E15, E5 and S100 groups (Table </w:t>
      </w:r>
      <w:r w:rsidR="00B433F6" w:rsidRPr="00B433F6">
        <w:rPr>
          <w:color w:val="000000"/>
        </w:rPr>
        <w:t>20</w:t>
      </w:r>
      <w:r w:rsidRPr="00B433F6">
        <w:rPr>
          <w:color w:val="000000"/>
        </w:rPr>
        <w:t>).</w:t>
      </w:r>
    </w:p>
    <w:p w:rsidR="00B433F6" w:rsidRDefault="00B433F6" w:rsidP="00B433F6">
      <w:pPr>
        <w:pStyle w:val="Tabletitle"/>
      </w:pPr>
      <w:bookmarkStart w:id="447" w:name="_Ref493675518"/>
      <w:bookmarkStart w:id="448" w:name="_Toc504036266"/>
      <w:r>
        <w:t>Table 19: Documented (symptomatic and asymptomatic) and severe hypoglycaemia by study (</w:t>
      </w:r>
      <w:r w:rsidR="00C14E6F">
        <w:t xml:space="preserve">ertugliflozin </w:t>
      </w:r>
      <w:r>
        <w:t>/ sitagliptin)</w:t>
      </w:r>
      <w:bookmarkEnd w:id="447"/>
      <w:bookmarkEnd w:id="448"/>
    </w:p>
    <w:p w:rsidR="00B433F6" w:rsidRDefault="00B433F6" w:rsidP="00B433F6">
      <w:r>
        <w:rPr>
          <w:noProof/>
          <w:lang w:eastAsia="en-AU"/>
        </w:rPr>
        <w:drawing>
          <wp:inline distT="0" distB="0" distL="0" distR="0" wp14:anchorId="0534E8C8" wp14:editId="59D2E3CC">
            <wp:extent cx="4947684" cy="2488019"/>
            <wp:effectExtent l="0" t="0" r="5715" b="7620"/>
            <wp:docPr id="99" name="Picture 99" descr="Documented (symptomatic and asymptomatic) and severe hypoglycaemia by study (Ertugliflozin / sitaglip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4945110" cy="2486725"/>
                    </a:xfrm>
                    <a:prstGeom prst="rect">
                      <a:avLst/>
                    </a:prstGeom>
                    <a:noFill/>
                    <a:ln>
                      <a:noFill/>
                    </a:ln>
                  </pic:spPr>
                </pic:pic>
              </a:graphicData>
            </a:graphic>
          </wp:inline>
        </w:drawing>
      </w:r>
    </w:p>
    <w:p w:rsidR="00B433F6" w:rsidRDefault="00B433F6" w:rsidP="00B433F6">
      <w:pPr>
        <w:pStyle w:val="Tabletitle"/>
      </w:pPr>
      <w:bookmarkStart w:id="449" w:name="_Ref493675521"/>
      <w:bookmarkStart w:id="450" w:name="_Toc504036267"/>
      <w:r>
        <w:lastRenderedPageBreak/>
        <w:t>Table 20: Symptomatic hypoglycaemia AEs by study (</w:t>
      </w:r>
      <w:r w:rsidR="00C14E6F">
        <w:t xml:space="preserve">ertugliflozin </w:t>
      </w:r>
      <w:r>
        <w:t>/ sitagliptin)</w:t>
      </w:r>
      <w:bookmarkEnd w:id="449"/>
      <w:bookmarkEnd w:id="450"/>
    </w:p>
    <w:p w:rsidR="00B433F6" w:rsidRDefault="00B433F6" w:rsidP="00B433F6">
      <w:r>
        <w:rPr>
          <w:noProof/>
          <w:lang w:eastAsia="en-AU"/>
        </w:rPr>
        <w:drawing>
          <wp:inline distT="0" distB="0" distL="0" distR="0" wp14:anchorId="0A79EA38" wp14:editId="021B2969">
            <wp:extent cx="5731510" cy="2292604"/>
            <wp:effectExtent l="0" t="0" r="2540" b="0"/>
            <wp:docPr id="101" name="Picture 101" descr="Symptomatic hypoglycaemia AEs by study (Ertugliflozin / sitaglip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731510" cy="2292604"/>
                    </a:xfrm>
                    <a:prstGeom prst="rect">
                      <a:avLst/>
                    </a:prstGeom>
                    <a:noFill/>
                    <a:ln>
                      <a:noFill/>
                    </a:ln>
                  </pic:spPr>
                </pic:pic>
              </a:graphicData>
            </a:graphic>
          </wp:inline>
        </w:drawing>
      </w:r>
    </w:p>
    <w:p w:rsidR="00B37C25" w:rsidRPr="00027A58" w:rsidRDefault="00BC7DA5" w:rsidP="00B433F6">
      <w:pPr>
        <w:pStyle w:val="Heading5"/>
        <w:rPr>
          <w:lang w:eastAsia="ja-JP"/>
        </w:rPr>
      </w:pPr>
      <w:r>
        <w:rPr>
          <w:lang w:eastAsia="ja-JP"/>
        </w:rPr>
        <w:t>Study P0</w:t>
      </w:r>
      <w:r w:rsidR="00B37C25" w:rsidRPr="00027A58">
        <w:rPr>
          <w:rFonts w:eastAsia="TimesNewRoman,Bold"/>
        </w:rPr>
        <w:t xml:space="preserve">06/1015 Add-on to </w:t>
      </w:r>
      <w:r w:rsidR="004A75C1" w:rsidRPr="00027A58">
        <w:rPr>
          <w:rFonts w:eastAsia="TimesNewRoman,Bold"/>
        </w:rPr>
        <w:t>metformin and sitagliptin study</w:t>
      </w:r>
    </w:p>
    <w:p w:rsidR="00B37C25" w:rsidRPr="00F82F49" w:rsidRDefault="00B37C25" w:rsidP="00E957A2">
      <w:r w:rsidRPr="0011613F">
        <w:t>The incidence of documented hypoglycaemia (symptomatic and asymptomatic together) was</w:t>
      </w:r>
      <w:r>
        <w:t xml:space="preserve"> </w:t>
      </w:r>
      <w:r w:rsidRPr="0011613F">
        <w:t xml:space="preserve">low and similar between the ertugliflozin </w:t>
      </w:r>
      <w:r w:rsidRPr="001645FE">
        <w:t xml:space="preserve">groups and the placebo group (Table </w:t>
      </w:r>
      <w:r w:rsidR="001645FE" w:rsidRPr="001645FE">
        <w:t>19</w:t>
      </w:r>
      <w:r w:rsidRPr="001645FE">
        <w:t>). Two subjects, 1 in the ertugliflozin 5 mg group</w:t>
      </w:r>
      <w:r w:rsidR="00C14E6F">
        <w:t>;</w:t>
      </w:r>
      <w:r w:rsidRPr="001645FE">
        <w:rPr>
          <w:rStyle w:val="FootnoteReference"/>
          <w:rFonts w:asciiTheme="minorHAnsi" w:eastAsia="TimesNewRoman" w:hAnsiTheme="minorHAnsi" w:cs="TimesNewRoman"/>
          <w:color w:val="000000"/>
        </w:rPr>
        <w:footnoteReference w:id="10"/>
      </w:r>
      <w:r w:rsidRPr="001645FE">
        <w:t xml:space="preserve"> and 1 in the placebo group</w:t>
      </w:r>
      <w:r w:rsidR="00C14E6F">
        <w:t>;</w:t>
      </w:r>
      <w:r w:rsidRPr="001645FE">
        <w:rPr>
          <w:rStyle w:val="FootnoteReference"/>
          <w:rFonts w:asciiTheme="minorHAnsi" w:eastAsia="TimesNewRoman" w:hAnsiTheme="minorHAnsi" w:cs="TimesNewRoman"/>
          <w:color w:val="000000"/>
        </w:rPr>
        <w:footnoteReference w:id="11"/>
      </w:r>
      <w:r w:rsidRPr="001645FE">
        <w:t xml:space="preserve"> had an AE of severe hypoglycaemia. The incidence of symptomatic hypoglycaemia was similar in the ertugliflozin 5 mg group (3.8%), and numerically lower in the ertugliflozin 15 mg group (0.7%), relative to the placebo group (2.6%) (Table </w:t>
      </w:r>
      <w:r w:rsidR="001645FE" w:rsidRPr="001645FE">
        <w:t>20</w:t>
      </w:r>
      <w:r w:rsidRPr="001645FE">
        <w:t xml:space="preserve">). </w:t>
      </w:r>
      <w:r w:rsidRPr="001645FE">
        <w:rPr>
          <w:rFonts w:eastAsiaTheme="minorHAnsi"/>
        </w:rPr>
        <w:t>One subject in the placebo group and 1 subject in the ertugliflozin 5 mg group experienced an episode of</w:t>
      </w:r>
      <w:r w:rsidRPr="00763455">
        <w:rPr>
          <w:rFonts w:eastAsiaTheme="minorHAnsi"/>
        </w:rPr>
        <w:t xml:space="preserve"> severe hypoglycaemia. Among subjects with documented hypoglycaemia, the majority experienced a single episode.</w:t>
      </w:r>
      <w:r>
        <w:rPr>
          <w:rFonts w:eastAsiaTheme="minorHAnsi"/>
        </w:rPr>
        <w:t xml:space="preserve"> </w:t>
      </w:r>
      <w:r w:rsidRPr="00763455">
        <w:rPr>
          <w:rFonts w:eastAsiaTheme="minorHAnsi"/>
        </w:rPr>
        <w:t>Two (1.3%) subjects in the ertugliflozin 5 mg group, 1 (0.7%) subject in the ertugliflozin</w:t>
      </w:r>
      <w:r>
        <w:rPr>
          <w:rFonts w:eastAsiaTheme="minorHAnsi"/>
        </w:rPr>
        <w:t xml:space="preserve"> </w:t>
      </w:r>
      <w:r w:rsidRPr="00763455">
        <w:rPr>
          <w:rFonts w:eastAsiaTheme="minorHAnsi"/>
        </w:rPr>
        <w:t>15 mg group, and no subjects in the placebo group experienced 3 or more episodes of</w:t>
      </w:r>
      <w:r>
        <w:rPr>
          <w:rFonts w:eastAsiaTheme="minorHAnsi"/>
        </w:rPr>
        <w:t xml:space="preserve"> </w:t>
      </w:r>
      <w:r w:rsidRPr="00763455">
        <w:rPr>
          <w:rFonts w:eastAsiaTheme="minorHAnsi"/>
        </w:rPr>
        <w:t>documented hypoglycaemia. For 2 of the 3 ertugliflozin subjects with 3 or more episodes of</w:t>
      </w:r>
      <w:r>
        <w:rPr>
          <w:rFonts w:eastAsiaTheme="minorHAnsi"/>
        </w:rPr>
        <w:t xml:space="preserve"> </w:t>
      </w:r>
      <w:r w:rsidRPr="00763455">
        <w:rPr>
          <w:rFonts w:eastAsiaTheme="minorHAnsi"/>
        </w:rPr>
        <w:t>documented hypoglycaemia, the hypoglycaemia episodes were symptomatic</w:t>
      </w:r>
      <w:r>
        <w:rPr>
          <w:rFonts w:eastAsiaTheme="minorHAnsi"/>
        </w:rPr>
        <w:t>.</w:t>
      </w:r>
    </w:p>
    <w:p w:rsidR="00B37C25" w:rsidRPr="00027A58" w:rsidRDefault="00BC7DA5" w:rsidP="00DB6BB5">
      <w:pPr>
        <w:pStyle w:val="Heading5"/>
        <w:rPr>
          <w:rFonts w:eastAsia="TimesNewRoman,Bold"/>
        </w:rPr>
      </w:pPr>
      <w:r>
        <w:rPr>
          <w:lang w:eastAsia="ja-JP"/>
        </w:rPr>
        <w:t>Study P0</w:t>
      </w:r>
      <w:r w:rsidR="00B37C25" w:rsidRPr="00027A58">
        <w:rPr>
          <w:rFonts w:eastAsia="TimesNewRoman,Bold"/>
        </w:rPr>
        <w:t xml:space="preserve">17/1047 </w:t>
      </w:r>
      <w:r w:rsidR="004A75C1" w:rsidRPr="00027A58">
        <w:rPr>
          <w:rFonts w:eastAsia="TimesNewRoman,Bold"/>
        </w:rPr>
        <w:t>ertugliflozin +sitagliptin initial combination study</w:t>
      </w:r>
    </w:p>
    <w:p w:rsidR="00B37C25" w:rsidRPr="00F82F49" w:rsidRDefault="00B37C25" w:rsidP="00E957A2">
      <w:pPr>
        <w:rPr>
          <w:rFonts w:eastAsiaTheme="minorHAnsi"/>
        </w:rPr>
      </w:pPr>
      <w:r w:rsidRPr="00F82F49">
        <w:t xml:space="preserve">The incidence of overall documented hypoglycaemia in </w:t>
      </w:r>
      <w:r w:rsidRPr="00DB6BB5">
        <w:t xml:space="preserve">the E5/S100 group (6.1%) was numerically higher than in the E15/S100 (3.1%) and placebo (1.0%) groups (Table </w:t>
      </w:r>
      <w:r w:rsidR="00DB6BB5" w:rsidRPr="00DB6BB5">
        <w:t>19</w:t>
      </w:r>
      <w:r w:rsidRPr="00DB6BB5">
        <w:t>). However, two subjects</w:t>
      </w:r>
      <w:r w:rsidR="00C14E6F">
        <w:t>;</w:t>
      </w:r>
      <w:r w:rsidRPr="00DB6BB5">
        <w:rPr>
          <w:rStyle w:val="FootnoteReference"/>
          <w:rFonts w:asciiTheme="minorHAnsi" w:eastAsia="TimesNewRoman" w:hAnsiTheme="minorHAnsi" w:cs="TimesNewRoman"/>
          <w:color w:val="000000"/>
        </w:rPr>
        <w:footnoteReference w:id="12"/>
      </w:r>
      <w:r w:rsidRPr="00DB6BB5">
        <w:t xml:space="preserve"> in the E15/S100 group, experienced an AE of severe hypoglycaemia. The incidence of symptomatic hypoglycaemia was not notably different in the E5/S100 and E15/S100 groups relative to the placebo group (Table </w:t>
      </w:r>
      <w:r w:rsidR="00DB6BB5" w:rsidRPr="00DB6BB5">
        <w:t>20</w:t>
      </w:r>
      <w:r w:rsidRPr="00DB6BB5">
        <w:t>).</w:t>
      </w:r>
      <w:r w:rsidRPr="00DB6BB5">
        <w:rPr>
          <w:rFonts w:eastAsiaTheme="minorHAnsi"/>
        </w:rPr>
        <w:t xml:space="preserve"> The incidence of symptomatic hypoglycaemia was low and not notably different between the E5</w:t>
      </w:r>
      <w:r w:rsidRPr="0004420A">
        <w:rPr>
          <w:rFonts w:eastAsiaTheme="minorHAnsi"/>
        </w:rPr>
        <w:t xml:space="preserve">/S100 and E15/S100 groups (both 3.1% </w:t>
      </w:r>
      <w:r w:rsidR="00884A9A">
        <w:rPr>
          <w:rFonts w:eastAsiaTheme="minorHAnsi"/>
        </w:rPr>
        <w:t>(</w:t>
      </w:r>
      <w:r w:rsidRPr="0004420A">
        <w:rPr>
          <w:rFonts w:eastAsiaTheme="minorHAnsi"/>
        </w:rPr>
        <w:t>3 subjects</w:t>
      </w:r>
      <w:r w:rsidR="00884A9A">
        <w:rPr>
          <w:rFonts w:eastAsiaTheme="minorHAnsi"/>
        </w:rPr>
        <w:t>)</w:t>
      </w:r>
      <w:r w:rsidRPr="0004420A">
        <w:rPr>
          <w:rFonts w:eastAsiaTheme="minorHAnsi"/>
        </w:rPr>
        <w:t xml:space="preserve">) and the placebo group (1.0% </w:t>
      </w:r>
      <w:r w:rsidR="00884A9A">
        <w:rPr>
          <w:rFonts w:eastAsiaTheme="minorHAnsi"/>
        </w:rPr>
        <w:t>(</w:t>
      </w:r>
      <w:r w:rsidRPr="0004420A">
        <w:rPr>
          <w:rFonts w:eastAsiaTheme="minorHAnsi"/>
        </w:rPr>
        <w:t>1 subject</w:t>
      </w:r>
      <w:r w:rsidR="00884A9A">
        <w:rPr>
          <w:rFonts w:eastAsiaTheme="minorHAnsi"/>
        </w:rPr>
        <w:t>)</w:t>
      </w:r>
      <w:r w:rsidRPr="0004420A">
        <w:rPr>
          <w:rFonts w:eastAsiaTheme="minorHAnsi"/>
        </w:rPr>
        <w:t>). Two subjects in the E15/S100 group and none in the other treatment groups experienced an episode of severe hypoglycaemia. One subject in the E15/S100 group experienced multiple episodes of documented</w:t>
      </w:r>
      <w:r>
        <w:rPr>
          <w:rFonts w:eastAsiaTheme="minorHAnsi"/>
        </w:rPr>
        <w:t xml:space="preserve"> </w:t>
      </w:r>
      <w:r w:rsidRPr="0004420A">
        <w:rPr>
          <w:rFonts w:eastAsiaTheme="minorHAnsi"/>
        </w:rPr>
        <w:t>hypoglycaemia; all other subjects with documented hypoglycaemia in the E15/S100 group, as</w:t>
      </w:r>
      <w:r>
        <w:rPr>
          <w:rFonts w:eastAsiaTheme="minorHAnsi"/>
        </w:rPr>
        <w:t xml:space="preserve"> </w:t>
      </w:r>
      <w:r w:rsidRPr="0004420A">
        <w:rPr>
          <w:rFonts w:eastAsiaTheme="minorHAnsi"/>
        </w:rPr>
        <w:t>well as in the E5/S100 group, experienced a single episode</w:t>
      </w:r>
      <w:r>
        <w:rPr>
          <w:rFonts w:eastAsiaTheme="minorHAnsi"/>
        </w:rPr>
        <w:t>.</w:t>
      </w:r>
    </w:p>
    <w:p w:rsidR="00B37C25" w:rsidRDefault="00B37C25" w:rsidP="00DB6BB5">
      <w:pPr>
        <w:pStyle w:val="Heading4"/>
      </w:pPr>
      <w:r>
        <w:t>Pancreatitis</w:t>
      </w:r>
    </w:p>
    <w:p w:rsidR="00B37C25" w:rsidRPr="00F82F49" w:rsidRDefault="00B37C25" w:rsidP="00E957A2">
      <w:pPr>
        <w:rPr>
          <w:rFonts w:eastAsia="TimesNewRoman,Bold" w:cs="TimesNewRoman,Bold"/>
          <w:b/>
          <w:bCs/>
          <w:u w:val="single"/>
        </w:rPr>
      </w:pPr>
      <w:r w:rsidRPr="00F82F49">
        <w:t>Events of potential pancreatitis were evaluated by a blinded adjudication committee for</w:t>
      </w:r>
      <w:r>
        <w:t xml:space="preserve"> </w:t>
      </w:r>
      <w:r w:rsidRPr="00F82F49">
        <w:t>confirmation. In the Broad Pool of the ertugliflozin SCS there were no cases of confirmed</w:t>
      </w:r>
      <w:r>
        <w:t xml:space="preserve"> </w:t>
      </w:r>
      <w:r w:rsidRPr="00F82F49">
        <w:lastRenderedPageBreak/>
        <w:t>pancreatitis in subjects treated with ertugliflozin, with or without combination treatment with</w:t>
      </w:r>
      <w:r>
        <w:t xml:space="preserve"> </w:t>
      </w:r>
      <w:r w:rsidRPr="00F82F49">
        <w:t>sitagliptin</w:t>
      </w:r>
      <w:r>
        <w:t>.</w:t>
      </w:r>
    </w:p>
    <w:p w:rsidR="00B37C25" w:rsidRPr="00805A42" w:rsidRDefault="00B37C25" w:rsidP="00DB6BB5">
      <w:pPr>
        <w:pStyle w:val="Heading4"/>
      </w:pPr>
      <w:r w:rsidRPr="00805A42">
        <w:t>Hypersensitivity</w:t>
      </w:r>
    </w:p>
    <w:p w:rsidR="00B37C25" w:rsidRDefault="00B37C25" w:rsidP="00E957A2">
      <w:r w:rsidRPr="00F82F49">
        <w:t>Hypersensitivity reactions, including anaphylaxis, angioedema, and exfoliative skin</w:t>
      </w:r>
      <w:r>
        <w:t xml:space="preserve"> </w:t>
      </w:r>
      <w:r w:rsidRPr="00F82F49">
        <w:t>conditions including Stevens-Johnson syndrome, are included in labelling of sitagliptin based</w:t>
      </w:r>
      <w:r>
        <w:t xml:space="preserve"> </w:t>
      </w:r>
      <w:r w:rsidRPr="00F82F49">
        <w:t xml:space="preserve">upon post-marketing reports. In the Broad Pool of 7 </w:t>
      </w:r>
      <w:r w:rsidR="009B2F3C">
        <w:t>Phase III</w:t>
      </w:r>
      <w:r w:rsidRPr="00F82F49">
        <w:t xml:space="preserve"> studies in the ertugliflozin SCS, the incidence of</w:t>
      </w:r>
      <w:r>
        <w:t xml:space="preserve"> </w:t>
      </w:r>
      <w:r w:rsidRPr="00F82F49">
        <w:t>hypersensitivity-related events was low and similar in the ertugliflozin 5 mg and 15 mg dose</w:t>
      </w:r>
      <w:r>
        <w:t xml:space="preserve"> </w:t>
      </w:r>
      <w:r w:rsidRPr="00F82F49">
        <w:t>groups (3.3% and 2.4%, respectively) and the non-ertugliflozin group (2.5%). Only 1 event,</w:t>
      </w:r>
      <w:r>
        <w:t xml:space="preserve"> </w:t>
      </w:r>
      <w:r w:rsidRPr="00F82F49">
        <w:t>in a non-ertugliflozin treated subject, was serious. Four events in ertugliflozin treated</w:t>
      </w:r>
      <w:r>
        <w:t xml:space="preserve"> </w:t>
      </w:r>
      <w:r w:rsidRPr="00F82F49">
        <w:t>subjects and 1</w:t>
      </w:r>
      <w:r w:rsidR="006A6A92">
        <w:t> </w:t>
      </w:r>
      <w:r w:rsidRPr="00F82F49">
        <w:t>event in a non-ertugliflozin treated subject led to discontinuation of treatment.</w:t>
      </w:r>
      <w:r>
        <w:t xml:space="preserve"> </w:t>
      </w:r>
      <w:r w:rsidRPr="00F82F49">
        <w:t>All were mild or moderate events of rash, rash maculopapular, or dermatitis allergic. One of</w:t>
      </w:r>
      <w:r>
        <w:t xml:space="preserve"> </w:t>
      </w:r>
      <w:r w:rsidRPr="00F82F49">
        <w:t xml:space="preserve">these subjects was in </w:t>
      </w:r>
      <w:r>
        <w:t xml:space="preserve">the E15/S100 group in </w:t>
      </w:r>
      <w:r w:rsidR="00BC7DA5">
        <w:t>Study P0</w:t>
      </w:r>
      <w:r w:rsidRPr="00F82F49">
        <w:t>05/1019</w:t>
      </w:r>
      <w:r w:rsidR="006A6A92">
        <w:t>.</w:t>
      </w:r>
      <w:r>
        <w:rPr>
          <w:rStyle w:val="FootnoteReference"/>
          <w:rFonts w:asciiTheme="minorHAnsi" w:eastAsia="TimesNewRoman" w:hAnsiTheme="minorHAnsi" w:cs="TimesNewRoman"/>
        </w:rPr>
        <w:footnoteReference w:id="13"/>
      </w:r>
    </w:p>
    <w:p w:rsidR="00B37C25" w:rsidRPr="00805A42" w:rsidRDefault="00B37C25" w:rsidP="00DB6BB5">
      <w:pPr>
        <w:pStyle w:val="Heading4"/>
      </w:pPr>
      <w:r w:rsidRPr="00805A42">
        <w:t>Urinary tract infection</w:t>
      </w:r>
      <w:r>
        <w:t xml:space="preserve"> (UTI)</w:t>
      </w:r>
    </w:p>
    <w:p w:rsidR="00B37C25" w:rsidRPr="00425589" w:rsidRDefault="00DB6BB5" w:rsidP="00E957A2">
      <w:r>
        <w:t xml:space="preserve">In the </w:t>
      </w:r>
      <w:r w:rsidRPr="00F82F49">
        <w:t xml:space="preserve">ertugliflozin </w:t>
      </w:r>
      <w:r w:rsidR="00B37C25" w:rsidRPr="00425589">
        <w:t xml:space="preserve">/sitagliptin factorial </w:t>
      </w:r>
      <w:r w:rsidR="00BC7DA5">
        <w:t>Study P0</w:t>
      </w:r>
      <w:r w:rsidR="00B37C25" w:rsidRPr="00425589">
        <w:t>05/1019, the incidence of UTI was similar in the E5/S100 and E15/S100 groups (3.3% and 3.7%, respectively) relative to</w:t>
      </w:r>
      <w:r w:rsidR="00B37C25">
        <w:t xml:space="preserve"> </w:t>
      </w:r>
      <w:r w:rsidR="00B37C25" w:rsidRPr="00425589">
        <w:t>the S100 group (3.2%), but were numerically lower than the incidence in the E5 and E15</w:t>
      </w:r>
      <w:r w:rsidR="00B37C25">
        <w:t xml:space="preserve"> </w:t>
      </w:r>
      <w:r w:rsidR="00B37C25" w:rsidRPr="00425589">
        <w:t>groups (6.0% and 5.6%, respectively). There were 2 reports of complicated UTI (1 each in the E5/S100 and the E15 group, both of which resolved); only 1 AE of UTI led to discontinuation in the E15/S100 group.</w:t>
      </w:r>
    </w:p>
    <w:p w:rsidR="00B37C25" w:rsidRDefault="00B37C25" w:rsidP="00E957A2">
      <w:pPr>
        <w:rPr>
          <w:color w:val="000000"/>
        </w:rPr>
      </w:pPr>
      <w:r w:rsidRPr="00425589">
        <w:t xml:space="preserve">In </w:t>
      </w:r>
      <w:r w:rsidR="00BC7DA5">
        <w:t>Study P0</w:t>
      </w:r>
      <w:r w:rsidRPr="00425589">
        <w:t xml:space="preserve">06/1015, the incidence of UTI </w:t>
      </w:r>
      <w:r w:rsidRPr="00425589">
        <w:rPr>
          <w:color w:val="000000"/>
        </w:rPr>
        <w:t>was numerically higher in the ertugliflozin 15 mg</w:t>
      </w:r>
      <w:r>
        <w:rPr>
          <w:color w:val="000000"/>
        </w:rPr>
        <w:t xml:space="preserve"> </w:t>
      </w:r>
      <w:r w:rsidRPr="00425589">
        <w:rPr>
          <w:color w:val="000000"/>
        </w:rPr>
        <w:t>group (5.2%) relative to the ertugliflozin 5 mg and placebo groups (2.6% in both groups). Across the 3 groups, AEs of UTI were all non-serious, mild or moderate in intensity, and none led to</w:t>
      </w:r>
      <w:r>
        <w:rPr>
          <w:color w:val="000000"/>
        </w:rPr>
        <w:t xml:space="preserve"> </w:t>
      </w:r>
      <w:r w:rsidRPr="00425589">
        <w:rPr>
          <w:color w:val="000000"/>
        </w:rPr>
        <w:t>discontinuation of study medication and there were no</w:t>
      </w:r>
      <w:r>
        <w:rPr>
          <w:color w:val="000000"/>
        </w:rPr>
        <w:t xml:space="preserve"> </w:t>
      </w:r>
      <w:r w:rsidRPr="00425589">
        <w:rPr>
          <w:color w:val="000000"/>
        </w:rPr>
        <w:t>reports of complicated UTI.</w:t>
      </w:r>
    </w:p>
    <w:p w:rsidR="00884A9A" w:rsidRDefault="00B37C25" w:rsidP="00E957A2">
      <w:pPr>
        <w:rPr>
          <w:color w:val="000000"/>
        </w:rPr>
      </w:pPr>
      <w:r w:rsidRPr="00425589">
        <w:rPr>
          <w:color w:val="000000"/>
        </w:rPr>
        <w:t xml:space="preserve">In the initial </w:t>
      </w:r>
      <w:r>
        <w:rPr>
          <w:color w:val="000000"/>
        </w:rPr>
        <w:t>co</w:t>
      </w:r>
      <w:r w:rsidRPr="00425589">
        <w:rPr>
          <w:color w:val="000000"/>
        </w:rPr>
        <w:t xml:space="preserve">mbination </w:t>
      </w:r>
      <w:r w:rsidR="00C14E6F">
        <w:rPr>
          <w:color w:val="000000"/>
        </w:rPr>
        <w:t>S</w:t>
      </w:r>
      <w:r w:rsidR="00C14E6F" w:rsidRPr="00425589">
        <w:rPr>
          <w:color w:val="000000"/>
        </w:rPr>
        <w:t xml:space="preserve">tudy </w:t>
      </w:r>
      <w:r w:rsidRPr="00425589">
        <w:rPr>
          <w:color w:val="000000"/>
        </w:rPr>
        <w:t>P1017/1047, the incidence of urinary tract infections was numerically lower in the E15/S100 group</w:t>
      </w:r>
      <w:r>
        <w:rPr>
          <w:color w:val="000000"/>
        </w:rPr>
        <w:t xml:space="preserve"> </w:t>
      </w:r>
      <w:r w:rsidRPr="00425589">
        <w:rPr>
          <w:color w:val="000000"/>
        </w:rPr>
        <w:t>(3.1%) relative to the E5/S100 (</w:t>
      </w:r>
      <w:r>
        <w:rPr>
          <w:color w:val="000000"/>
        </w:rPr>
        <w:t xml:space="preserve">8.2%) and placebo (6.2%) groups; 1 </w:t>
      </w:r>
      <w:r w:rsidRPr="00425589">
        <w:rPr>
          <w:color w:val="000000"/>
        </w:rPr>
        <w:t>subject in the E5/S100 group had an event that resulted in discontinuation</w:t>
      </w:r>
      <w:r>
        <w:rPr>
          <w:color w:val="000000"/>
        </w:rPr>
        <w:t xml:space="preserve"> </w:t>
      </w:r>
      <w:r w:rsidRPr="00425589">
        <w:rPr>
          <w:color w:val="000000"/>
        </w:rPr>
        <w:t>from study medication</w:t>
      </w:r>
      <w:r>
        <w:rPr>
          <w:color w:val="000000"/>
        </w:rPr>
        <w:t xml:space="preserve"> and 1 subject </w:t>
      </w:r>
      <w:r w:rsidRPr="00425589">
        <w:rPr>
          <w:color w:val="000000"/>
        </w:rPr>
        <w:t>in the E15/S100 group had a</w:t>
      </w:r>
      <w:r>
        <w:rPr>
          <w:color w:val="000000"/>
        </w:rPr>
        <w:t xml:space="preserve"> complicated UTI (which resolved 1 week later)</w:t>
      </w:r>
      <w:r w:rsidR="00884A9A">
        <w:rPr>
          <w:color w:val="000000"/>
        </w:rPr>
        <w:t>.</w:t>
      </w:r>
    </w:p>
    <w:p w:rsidR="00B37C25" w:rsidRPr="00AA55EE" w:rsidRDefault="00B37C25" w:rsidP="00DB6BB5">
      <w:pPr>
        <w:pStyle w:val="Heading4"/>
      </w:pPr>
      <w:r w:rsidRPr="00AA55EE">
        <w:t>Genital mycotic infections</w:t>
      </w:r>
    </w:p>
    <w:p w:rsidR="00B37C25" w:rsidRPr="004536FE" w:rsidRDefault="00B37C25" w:rsidP="00E957A2">
      <w:r w:rsidRPr="004536FE">
        <w:t xml:space="preserve">In the </w:t>
      </w:r>
      <w:r w:rsidR="00DB6BB5" w:rsidRPr="00F82F49">
        <w:t xml:space="preserve">ertugliflozin </w:t>
      </w:r>
      <w:r w:rsidRPr="004536FE">
        <w:t xml:space="preserve">/sitagliptin factorial </w:t>
      </w:r>
      <w:r w:rsidR="00BC7DA5">
        <w:t>Study P0</w:t>
      </w:r>
      <w:r w:rsidRPr="004536FE">
        <w:t>05/1019, the incidence of genital</w:t>
      </w:r>
      <w:r>
        <w:t xml:space="preserve"> </w:t>
      </w:r>
      <w:r w:rsidRPr="004536FE">
        <w:t>mycotic infections in male subjects in the E5/S100 and E15/S100 groups (4.1% and 2.4%,</w:t>
      </w:r>
      <w:r>
        <w:t xml:space="preserve"> </w:t>
      </w:r>
      <w:r w:rsidRPr="004536FE">
        <w:t>respectively) was similar to those in the E5 and E15 groups (4.7% and 3.7%, respectively),</w:t>
      </w:r>
      <w:r>
        <w:t xml:space="preserve"> </w:t>
      </w:r>
      <w:r w:rsidRPr="004536FE">
        <w:t>but was significantly higher (p</w:t>
      </w:r>
      <w:r w:rsidR="006A6A92">
        <w:t xml:space="preserve"> </w:t>
      </w:r>
      <w:r w:rsidRPr="004536FE">
        <w:t>=</w:t>
      </w:r>
      <w:r w:rsidR="006A6A92">
        <w:t xml:space="preserve"> </w:t>
      </w:r>
      <w:r w:rsidRPr="004536FE">
        <w:t>0.012) and numerically higher, respectively, relative to the</w:t>
      </w:r>
      <w:r>
        <w:t xml:space="preserve"> </w:t>
      </w:r>
      <w:r w:rsidRPr="004536FE">
        <w:t>S100 grou</w:t>
      </w:r>
      <w:r>
        <w:t xml:space="preserve">p, where no cases were reported. </w:t>
      </w:r>
      <w:r w:rsidRPr="004536FE">
        <w:t>Similar results were observed in females E5/S100 and E15/S100 groups (5.0% and 7.6%,</w:t>
      </w:r>
      <w:r>
        <w:t xml:space="preserve"> </w:t>
      </w:r>
      <w:r w:rsidRPr="004536FE">
        <w:t>respectively) was similar to those in the E5 and E15 groups (4.9% and 7.0%, respectively),</w:t>
      </w:r>
      <w:r>
        <w:t xml:space="preserve"> </w:t>
      </w:r>
      <w:r w:rsidRPr="004536FE">
        <w:t>but was numerically higher and significantly higher (p</w:t>
      </w:r>
      <w:r w:rsidR="006A6A92">
        <w:t xml:space="preserve"> </w:t>
      </w:r>
      <w:r w:rsidRPr="004536FE">
        <w:t>=</w:t>
      </w:r>
      <w:r w:rsidR="006A6A92">
        <w:t xml:space="preserve"> </w:t>
      </w:r>
      <w:r w:rsidRPr="004536FE">
        <w:t>0.027), respectively, relative to the</w:t>
      </w:r>
      <w:r>
        <w:t xml:space="preserve"> </w:t>
      </w:r>
      <w:r w:rsidRPr="004536FE">
        <w:t>S100 group (1.1%).</w:t>
      </w:r>
    </w:p>
    <w:p w:rsidR="00B37C25" w:rsidRPr="004536FE" w:rsidRDefault="00B37C25" w:rsidP="00E957A2">
      <w:r w:rsidRPr="004536FE">
        <w:t xml:space="preserve">In </w:t>
      </w:r>
      <w:r w:rsidR="00BC7DA5">
        <w:t>Study P0</w:t>
      </w:r>
      <w:r w:rsidRPr="004536FE">
        <w:t>06/1015, the incidence of genital mycotic infections in male subjects was significantly higher in the</w:t>
      </w:r>
      <w:r>
        <w:t xml:space="preserve"> </w:t>
      </w:r>
      <w:r w:rsidRPr="004536FE">
        <w:t>ertugliflozin 5 mg group (4.9%; p</w:t>
      </w:r>
      <w:r w:rsidR="006A6A92">
        <w:t xml:space="preserve"> </w:t>
      </w:r>
      <w:r w:rsidRPr="004536FE">
        <w:t>=</w:t>
      </w:r>
      <w:r w:rsidR="006A6A92">
        <w:t xml:space="preserve"> </w:t>
      </w:r>
      <w:r w:rsidRPr="004536FE">
        <w:t>0.025) and numerically higher in the ertugliflozin 15 mg</w:t>
      </w:r>
      <w:r>
        <w:t xml:space="preserve"> </w:t>
      </w:r>
      <w:r w:rsidRPr="004536FE">
        <w:t xml:space="preserve">group (3.7%) than in the placebo group, where no events were reported </w:t>
      </w:r>
      <w:r>
        <w:t xml:space="preserve">Similarly, </w:t>
      </w:r>
      <w:r w:rsidRPr="004536FE">
        <w:t>incidence of genital mycotic infections in female subjects was numerically higher in the</w:t>
      </w:r>
      <w:r>
        <w:t xml:space="preserve"> </w:t>
      </w:r>
      <w:r w:rsidRPr="004536FE">
        <w:t>ertugliflozin 5 mg group (8.0%) and significantly higher in the ertugliflozin 15 mg group</w:t>
      </w:r>
      <w:r>
        <w:t xml:space="preserve"> </w:t>
      </w:r>
      <w:r w:rsidRPr="004536FE">
        <w:t>(12.7%; p</w:t>
      </w:r>
      <w:r w:rsidR="006A6A92">
        <w:t xml:space="preserve"> </w:t>
      </w:r>
      <w:r w:rsidRPr="004536FE">
        <w:t>=</w:t>
      </w:r>
      <w:r w:rsidR="006A6A92">
        <w:t xml:space="preserve"> </w:t>
      </w:r>
      <w:r w:rsidRPr="004536FE">
        <w:t>0.030) than in the placebo group (1.9%).</w:t>
      </w:r>
    </w:p>
    <w:p w:rsidR="00B37C25" w:rsidRDefault="00B37C25" w:rsidP="00E957A2">
      <w:r w:rsidRPr="004536FE">
        <w:rPr>
          <w:color w:val="000000"/>
        </w:rPr>
        <w:lastRenderedPageBreak/>
        <w:t>In the initial combination study P1017/1047, the</w:t>
      </w:r>
      <w:r w:rsidRPr="004536FE">
        <w:t xml:space="preserve"> </w:t>
      </w:r>
      <w:r>
        <w:t xml:space="preserve">incidence of genital mycotic infections in males </w:t>
      </w:r>
      <w:r w:rsidRPr="004536FE">
        <w:t>w</w:t>
      </w:r>
      <w:r>
        <w:t>as higher in the E5/S100 and E15/S100 groups compared with placebo (</w:t>
      </w:r>
      <w:r w:rsidRPr="004536FE">
        <w:t>5.3%</w:t>
      </w:r>
      <w:r>
        <w:t xml:space="preserve">, </w:t>
      </w:r>
      <w:r w:rsidRPr="004536FE">
        <w:t>1.9%</w:t>
      </w:r>
      <w:r>
        <w:t xml:space="preserve"> and 0% in the E5/S100, E15/S100 and placebo groups, respectively). However, incidence of genital mycotic infections was numerically higher in the placebo group in females</w:t>
      </w:r>
      <w:r w:rsidR="006F48AD">
        <w:t xml:space="preserve"> </w:t>
      </w:r>
      <w:r>
        <w:t xml:space="preserve">(4.9%, </w:t>
      </w:r>
      <w:r w:rsidRPr="004536FE">
        <w:t>7.0%</w:t>
      </w:r>
      <w:r>
        <w:t xml:space="preserve"> and </w:t>
      </w:r>
      <w:r w:rsidRPr="004536FE">
        <w:t>10.0%</w:t>
      </w:r>
      <w:r>
        <w:t>, respectively.</w:t>
      </w:r>
    </w:p>
    <w:p w:rsidR="00B37C25" w:rsidRPr="004536FE" w:rsidRDefault="00B37C25" w:rsidP="00E957A2">
      <w:pPr>
        <w:rPr>
          <w:b/>
        </w:rPr>
      </w:pPr>
      <w:r w:rsidRPr="004536FE">
        <w:rPr>
          <w:color w:val="000000"/>
        </w:rPr>
        <w:t>A</w:t>
      </w:r>
      <w:r>
        <w:rPr>
          <w:color w:val="000000"/>
        </w:rPr>
        <w:t xml:space="preserve">cross all 3 studies, majority of the AEs </w:t>
      </w:r>
      <w:r w:rsidRPr="004536FE">
        <w:rPr>
          <w:color w:val="000000"/>
        </w:rPr>
        <w:t xml:space="preserve">of genital mycotic infection in </w:t>
      </w:r>
      <w:r>
        <w:rPr>
          <w:color w:val="000000"/>
        </w:rPr>
        <w:t xml:space="preserve">both </w:t>
      </w:r>
      <w:r w:rsidRPr="004536FE">
        <w:rPr>
          <w:color w:val="000000"/>
        </w:rPr>
        <w:t xml:space="preserve">male </w:t>
      </w:r>
      <w:r>
        <w:rPr>
          <w:color w:val="000000"/>
        </w:rPr>
        <w:t xml:space="preserve">and female </w:t>
      </w:r>
      <w:r w:rsidRPr="004536FE">
        <w:rPr>
          <w:color w:val="000000"/>
        </w:rPr>
        <w:t>subjects were non-serious and mild or moderate in intensity</w:t>
      </w:r>
      <w:r>
        <w:rPr>
          <w:color w:val="000000"/>
        </w:rPr>
        <w:t>.</w:t>
      </w:r>
    </w:p>
    <w:p w:rsidR="00B37C25" w:rsidRPr="00AA55EE" w:rsidRDefault="00B37C25" w:rsidP="00DB6BB5">
      <w:pPr>
        <w:pStyle w:val="Heading4"/>
      </w:pPr>
      <w:r w:rsidRPr="00AA55EE">
        <w:t>Hypovolemia and osmotic diuresis</w:t>
      </w:r>
    </w:p>
    <w:p w:rsidR="00B37C25" w:rsidRPr="00861989" w:rsidRDefault="00B37C25" w:rsidP="00E957A2">
      <w:r w:rsidRPr="00861989">
        <w:t xml:space="preserve">In </w:t>
      </w:r>
      <w:r w:rsidR="00BC7DA5">
        <w:t>Study P0</w:t>
      </w:r>
      <w:r w:rsidRPr="00861989">
        <w:t>05/1019, there were no adverse events related to hypovolemia in the E5/S100 or</w:t>
      </w:r>
      <w:r>
        <w:t xml:space="preserve"> </w:t>
      </w:r>
      <w:r w:rsidRPr="00861989">
        <w:t>E15/S100 groups, or in the S100 group. Four subjects (1.6%) in the E5 group</w:t>
      </w:r>
      <w:r>
        <w:t xml:space="preserve"> </w:t>
      </w:r>
      <w:r w:rsidRPr="00861989">
        <w:t>(2 with syncope, 1</w:t>
      </w:r>
      <w:r w:rsidR="006A6A92">
        <w:t> </w:t>
      </w:r>
      <w:r w:rsidRPr="00861989">
        <w:t>with hypotension, and 1 with orthostatic hypotension) and 2 subjects</w:t>
      </w:r>
      <w:r>
        <w:t xml:space="preserve"> </w:t>
      </w:r>
      <w:r w:rsidRPr="00861989">
        <w:t>(0.8%) in the E15 group (1 with dehydration and 1 with orth</w:t>
      </w:r>
      <w:r>
        <w:t xml:space="preserve">ostatic hypotension) had AEs </w:t>
      </w:r>
      <w:r w:rsidRPr="00861989">
        <w:t xml:space="preserve">related to hypovolemia. Except for the </w:t>
      </w:r>
      <w:r>
        <w:t xml:space="preserve">SAE </w:t>
      </w:r>
      <w:r w:rsidRPr="00861989">
        <w:t>of syncope reported for</w:t>
      </w:r>
      <w:r>
        <w:t xml:space="preserve"> </w:t>
      </w:r>
      <w:r w:rsidRPr="00861989">
        <w:t>1 subject in the E5 group, adverse events of hypovolemia in the E5 and E15 groups were all</w:t>
      </w:r>
      <w:r>
        <w:t xml:space="preserve"> </w:t>
      </w:r>
      <w:r w:rsidRPr="00861989">
        <w:t>non-serious and mild or moderate in intensity. None resulted in discontinuation from study</w:t>
      </w:r>
      <w:r>
        <w:t xml:space="preserve"> </w:t>
      </w:r>
      <w:r w:rsidRPr="00861989">
        <w:t>medication.</w:t>
      </w:r>
    </w:p>
    <w:p w:rsidR="00B37C25" w:rsidRPr="00FC1268" w:rsidRDefault="00B37C25" w:rsidP="00E957A2">
      <w:r w:rsidRPr="00FC1268">
        <w:t xml:space="preserve">The incidence of </w:t>
      </w:r>
      <w:r>
        <w:t xml:space="preserve">AEs </w:t>
      </w:r>
      <w:r w:rsidRPr="00FC1268">
        <w:t>related to osmotic diuresis was low across groups (</w:t>
      </w:r>
      <w:r w:rsidR="00F7529C">
        <w:t xml:space="preserve">≤ </w:t>
      </w:r>
      <w:r w:rsidRPr="00FC1268">
        <w:t>2.1%),</w:t>
      </w:r>
      <w:r>
        <w:t xml:space="preserve"> </w:t>
      </w:r>
      <w:r w:rsidRPr="00FC1268">
        <w:t>without any notable pattern of occurrence in the co-administration groups relative to the</w:t>
      </w:r>
      <w:r>
        <w:t xml:space="preserve"> </w:t>
      </w:r>
      <w:r w:rsidRPr="00FC1268">
        <w:t>ertugliflozin alone and sitagliptin alone groups</w:t>
      </w:r>
      <w:r w:rsidR="00DB6BB5">
        <w:t>.</w:t>
      </w:r>
    </w:p>
    <w:p w:rsidR="00B37C25" w:rsidRPr="00FC1268" w:rsidRDefault="00B37C25" w:rsidP="00E957A2">
      <w:r w:rsidRPr="00FC1268">
        <w:t xml:space="preserve">In </w:t>
      </w:r>
      <w:r w:rsidR="00BC7DA5">
        <w:t>Study P0</w:t>
      </w:r>
      <w:r w:rsidRPr="00FC1268">
        <w:t>06/1016, AEs related to hypovolemia were reported for 1 subject (0.6%) in the ertugliflozin</w:t>
      </w:r>
      <w:r>
        <w:t xml:space="preserve"> </w:t>
      </w:r>
      <w:r w:rsidRPr="00FC1268">
        <w:t>5 mg group (syncope), no subjects in the ertugliflozin 15 mg group, and 1 subject (0.7%) in</w:t>
      </w:r>
      <w:r>
        <w:t xml:space="preserve"> </w:t>
      </w:r>
      <w:r w:rsidRPr="00FC1268">
        <w:t xml:space="preserve">the placebo group (hypotension). The incidence of AEs related to osmotic diuresis was 1.3%, 3.2% and 2.6% in the placebo, ertugliflozin </w:t>
      </w:r>
      <w:r w:rsidR="006F48AD">
        <w:t>5 mg</w:t>
      </w:r>
      <w:r w:rsidRPr="00FC1268">
        <w:t xml:space="preserve"> and 1</w:t>
      </w:r>
      <w:r w:rsidR="006F48AD">
        <w:t>5 mg</w:t>
      </w:r>
      <w:r w:rsidRPr="00FC1268">
        <w:t xml:space="preserve"> groups, respectively. All AEs related to hypovolemia or osmotic diuresis were mild, non-serious and none resulted in discontinuation from study medication.</w:t>
      </w:r>
    </w:p>
    <w:p w:rsidR="00884A9A" w:rsidRDefault="00B37C25" w:rsidP="00E957A2">
      <w:r w:rsidRPr="00FC1268">
        <w:t xml:space="preserve">In </w:t>
      </w:r>
      <w:r w:rsidR="00DB6BB5">
        <w:t>S</w:t>
      </w:r>
      <w:r w:rsidRPr="00FC1268">
        <w:t>tudy P1017/1047, AEs related to hypovolemia were reported for 2 subjects (2.0%) in the E5/S100</w:t>
      </w:r>
      <w:r>
        <w:t xml:space="preserve"> </w:t>
      </w:r>
      <w:r w:rsidRPr="00FC1268">
        <w:t>group (hypotension for each), 2 subjects (2.1%) in the E15/S100 group (dizziness postural</w:t>
      </w:r>
      <w:r>
        <w:t xml:space="preserve"> </w:t>
      </w:r>
      <w:r w:rsidRPr="00FC1268">
        <w:t xml:space="preserve">and hypotension), and 1 subject (1.0%) in </w:t>
      </w:r>
      <w:r>
        <w:t xml:space="preserve">the placebo group (dehydration). </w:t>
      </w:r>
      <w:r w:rsidRPr="00FC1268">
        <w:t>One subject in each co-administration group and none in the placebo group had an AE related to osmotic diuresis. An event of polyuria, reported for a subject in the</w:t>
      </w:r>
      <w:r>
        <w:t xml:space="preserve"> </w:t>
      </w:r>
      <w:r w:rsidRPr="00FC1268">
        <w:t>E5/S100 group, was severe and resulted in discontinuation of study medication. No other</w:t>
      </w:r>
      <w:r>
        <w:t xml:space="preserve"> AEs </w:t>
      </w:r>
      <w:r w:rsidRPr="00FC1268">
        <w:t>related to osmotic diuresis, increased urination, or thirst were severe or</w:t>
      </w:r>
      <w:r>
        <w:t xml:space="preserve"> </w:t>
      </w:r>
      <w:r w:rsidRPr="00FC1268">
        <w:t>resulted in discontinuation of study medication, and none was serious</w:t>
      </w:r>
      <w:bookmarkStart w:id="451" w:name="_Toc272414686"/>
      <w:bookmarkStart w:id="452" w:name="_Ref273005527"/>
      <w:bookmarkStart w:id="453" w:name="_Toc290888550"/>
      <w:bookmarkStart w:id="454" w:name="_Toc416353765"/>
      <w:bookmarkStart w:id="455" w:name="_Toc421005308"/>
      <w:bookmarkStart w:id="456" w:name="_Toc432079179"/>
      <w:bookmarkStart w:id="457" w:name="_Toc432080752"/>
      <w:bookmarkStart w:id="458" w:name="_Toc504036157"/>
      <w:r w:rsidR="00884A9A">
        <w:t>.</w:t>
      </w:r>
    </w:p>
    <w:p w:rsidR="00B37C25" w:rsidRPr="00545B14" w:rsidRDefault="00B37C25" w:rsidP="00DB6BB5">
      <w:pPr>
        <w:pStyle w:val="Heading3"/>
      </w:pPr>
      <w:bookmarkStart w:id="459" w:name="_Toc4573598"/>
      <w:r w:rsidRPr="00545B14">
        <w:t>Other safety issues</w:t>
      </w:r>
      <w:bookmarkEnd w:id="451"/>
      <w:bookmarkEnd w:id="452"/>
      <w:bookmarkEnd w:id="453"/>
      <w:bookmarkEnd w:id="454"/>
      <w:bookmarkEnd w:id="455"/>
      <w:bookmarkEnd w:id="456"/>
      <w:bookmarkEnd w:id="457"/>
      <w:bookmarkEnd w:id="458"/>
      <w:bookmarkEnd w:id="459"/>
    </w:p>
    <w:p w:rsidR="00B37C25" w:rsidRPr="00545B14" w:rsidRDefault="00B37C25" w:rsidP="00DB6BB5">
      <w:pPr>
        <w:pStyle w:val="Heading4"/>
      </w:pPr>
      <w:bookmarkStart w:id="460" w:name="_Toc241374322"/>
      <w:bookmarkStart w:id="461" w:name="_Ref272331212"/>
      <w:bookmarkStart w:id="462" w:name="_Toc272414687"/>
      <w:bookmarkStart w:id="463" w:name="_Toc290888551"/>
      <w:bookmarkStart w:id="464" w:name="_Toc416353766"/>
      <w:bookmarkStart w:id="465" w:name="_Toc421005309"/>
      <w:bookmarkStart w:id="466" w:name="_Toc432079180"/>
      <w:bookmarkStart w:id="467" w:name="_Toc432080753"/>
      <w:bookmarkStart w:id="468" w:name="_Toc504036158"/>
      <w:r w:rsidRPr="00545B14">
        <w:t>Safety in special populations</w:t>
      </w:r>
      <w:bookmarkEnd w:id="460"/>
      <w:bookmarkEnd w:id="461"/>
      <w:bookmarkEnd w:id="462"/>
      <w:bookmarkEnd w:id="463"/>
      <w:bookmarkEnd w:id="464"/>
      <w:bookmarkEnd w:id="465"/>
      <w:bookmarkEnd w:id="466"/>
      <w:bookmarkEnd w:id="467"/>
      <w:bookmarkEnd w:id="468"/>
    </w:p>
    <w:p w:rsidR="00B37C25" w:rsidRDefault="00B37C25" w:rsidP="00E957A2">
      <w:bookmarkStart w:id="469" w:name="_Toc241374324"/>
      <w:bookmarkStart w:id="470" w:name="_Ref272331214"/>
      <w:bookmarkStart w:id="471" w:name="_Toc272414688"/>
      <w:bookmarkStart w:id="472" w:name="_Toc290888552"/>
      <w:bookmarkStart w:id="473" w:name="_Toc416353767"/>
      <w:bookmarkStart w:id="474" w:name="_Toc421005310"/>
      <w:bookmarkStart w:id="475" w:name="_Toc432079181"/>
      <w:bookmarkStart w:id="476" w:name="_Toc432080754"/>
      <w:r w:rsidRPr="00A86E76">
        <w:t>No specific analyses to assess intrinsic factors were performed for subjects taking the</w:t>
      </w:r>
      <w:r>
        <w:t xml:space="preserve"> </w:t>
      </w:r>
      <w:r w:rsidRPr="00A86E76">
        <w:t>combination of ertugliflozin and sitagliptin. Formal subgroup analyses for safety were not</w:t>
      </w:r>
      <w:r>
        <w:t xml:space="preserve"> </w:t>
      </w:r>
      <w:r w:rsidRPr="00A86E76">
        <w:t xml:space="preserve">performed in the 3 individual </w:t>
      </w:r>
      <w:r w:rsidR="009B2F3C">
        <w:t>Phase III</w:t>
      </w:r>
      <w:r w:rsidRPr="00A86E76">
        <w:t xml:space="preserve"> studies given the smaller subgroup sizes</w:t>
      </w:r>
      <w:r>
        <w:t>.</w:t>
      </w:r>
      <w:r w:rsidR="006F48AD">
        <w:t xml:space="preserve"> </w:t>
      </w:r>
      <w:r>
        <w:t xml:space="preserve">However, safety of individual components of the proposed FDC (ertugliflozin and sitagliptin) in patients with renal/hepatic impairment and elderly </w:t>
      </w:r>
      <w:r w:rsidR="008948B2">
        <w:t xml:space="preserve">patients </w:t>
      </w:r>
      <w:r>
        <w:t>ha</w:t>
      </w:r>
      <w:r w:rsidR="004B0649">
        <w:t>s</w:t>
      </w:r>
      <w:r>
        <w:t xml:space="preserve"> been adequately covered in the proposed PI.</w:t>
      </w:r>
    </w:p>
    <w:p w:rsidR="008948B2" w:rsidRDefault="00B37C25" w:rsidP="008948B2">
      <w:pPr>
        <w:pStyle w:val="Heading5"/>
        <w:rPr>
          <w:rFonts w:eastAsia="TimesNewRoman"/>
        </w:rPr>
      </w:pPr>
      <w:r w:rsidRPr="00A86E76">
        <w:rPr>
          <w:rFonts w:eastAsia="TimesNewRoman"/>
        </w:rPr>
        <w:t>Pregnancy/lactation</w:t>
      </w:r>
    </w:p>
    <w:p w:rsidR="00884A9A" w:rsidRDefault="00B37C25" w:rsidP="00E957A2">
      <w:r w:rsidRPr="00A86E76">
        <w:t>There are no adequate and well-controlled studies in pregnant women with the</w:t>
      </w:r>
      <w:r>
        <w:t xml:space="preserve"> </w:t>
      </w:r>
      <w:r w:rsidRPr="00A86E76">
        <w:t>ertugliflozin/sitagliptin FDC or its individual components. This FDC should be used during</w:t>
      </w:r>
      <w:r>
        <w:t xml:space="preserve"> </w:t>
      </w:r>
      <w:r w:rsidRPr="00A86E76">
        <w:t>pregnancy only if the potential benefit justifies the potential risk to the foetus. Based on</w:t>
      </w:r>
      <w:r>
        <w:t xml:space="preserve"> </w:t>
      </w:r>
      <w:r w:rsidRPr="00A86E76">
        <w:t>results from animal studies, ertugliflozin may affect renal development and maturation,</w:t>
      </w:r>
      <w:r>
        <w:t xml:space="preserve"> </w:t>
      </w:r>
      <w:r w:rsidRPr="00A86E76">
        <w:t>therefore the ertugliflozin/sitagliptin FDC is not recommended during the second and third</w:t>
      </w:r>
      <w:r>
        <w:t xml:space="preserve"> </w:t>
      </w:r>
      <w:r w:rsidRPr="00A86E76">
        <w:t>trimesters of pregnancy. There is no information regarding the presence of the</w:t>
      </w:r>
      <w:r w:rsidR="00F7529C">
        <w:t xml:space="preserve"> </w:t>
      </w:r>
      <w:r>
        <w:t>e</w:t>
      </w:r>
      <w:r w:rsidRPr="00A86E76">
        <w:t xml:space="preserve">rtugliflozin/sitagliptin FDC </w:t>
      </w:r>
      <w:r w:rsidRPr="00A86E76">
        <w:lastRenderedPageBreak/>
        <w:t>or its</w:t>
      </w:r>
      <w:r>
        <w:t xml:space="preserve"> </w:t>
      </w:r>
      <w:r w:rsidRPr="00A86E76">
        <w:t>individual components in human milk, the effects on the breastfed infant, or the effects on</w:t>
      </w:r>
      <w:r>
        <w:t xml:space="preserve"> </w:t>
      </w:r>
      <w:r w:rsidRPr="00A86E76">
        <w:t>milk production. Ertugliflozin and sitagliptin are present in the milk of lactating rats. Since</w:t>
      </w:r>
      <w:r>
        <w:t xml:space="preserve"> </w:t>
      </w:r>
      <w:r w:rsidRPr="00A86E76">
        <w:t xml:space="preserve">human kidney maturation </w:t>
      </w:r>
      <w:r w:rsidRPr="008948B2">
        <w:t xml:space="preserve">occurs </w:t>
      </w:r>
      <w:r w:rsidRPr="008948B2">
        <w:rPr>
          <w:rFonts w:eastAsia="TimesNewRoman,Italic" w:cs="TimesNewRoman,Italic"/>
          <w:iCs/>
        </w:rPr>
        <w:t>in utero</w:t>
      </w:r>
      <w:r w:rsidRPr="00A86E76">
        <w:rPr>
          <w:rFonts w:eastAsia="TimesNewRoman,Italic" w:cs="TimesNewRoman,Italic"/>
          <w:i/>
          <w:iCs/>
        </w:rPr>
        <w:t xml:space="preserve"> </w:t>
      </w:r>
      <w:r w:rsidRPr="00A86E76">
        <w:t>and during the first 2 years of life when locational</w:t>
      </w:r>
      <w:r>
        <w:t xml:space="preserve"> </w:t>
      </w:r>
      <w:r w:rsidRPr="00A86E76">
        <w:t>exposure may occur, there may be risk to the developing human kidney, based on data with</w:t>
      </w:r>
      <w:r>
        <w:t xml:space="preserve"> </w:t>
      </w:r>
      <w:r w:rsidRPr="00A86E76">
        <w:t>ertugliflozin.</w:t>
      </w:r>
      <w:r>
        <w:t xml:space="preserve"> </w:t>
      </w:r>
      <w:r w:rsidRPr="00A86E76">
        <w:t>Because many drugs are excreted in human milk and because of the potential for adverse reactions in nursing infants from the ertugliflozin/</w:t>
      </w:r>
      <w:r>
        <w:t xml:space="preserve"> </w:t>
      </w:r>
      <w:r w:rsidRPr="00A86E76">
        <w:t>sitagliptin FDC, a decision should be made whether to discontinue nursing or to discontinue the FDC, taking into account the importance of the drug to the mother</w:t>
      </w:r>
      <w:r w:rsidR="00884A9A">
        <w:t>.</w:t>
      </w:r>
    </w:p>
    <w:p w:rsidR="00B37C25" w:rsidRDefault="00B37C25" w:rsidP="008948B2">
      <w:pPr>
        <w:pStyle w:val="Heading5"/>
        <w:rPr>
          <w:rFonts w:eastAsia="TimesNewRoman"/>
        </w:rPr>
      </w:pPr>
      <w:r w:rsidRPr="00A86E76">
        <w:rPr>
          <w:rFonts w:eastAsia="TimesNewRoman"/>
        </w:rPr>
        <w:t>Overdose, drug abuse, withdrawal/rebound effects, effects on ability to drive/ operate machi</w:t>
      </w:r>
      <w:r>
        <w:rPr>
          <w:rFonts w:eastAsia="TimesNewRoman"/>
        </w:rPr>
        <w:t>nery or impairment of mental ab</w:t>
      </w:r>
      <w:r w:rsidRPr="00A86E76">
        <w:rPr>
          <w:rFonts w:eastAsia="TimesNewRoman"/>
        </w:rPr>
        <w:t>ility</w:t>
      </w:r>
    </w:p>
    <w:p w:rsidR="00884A9A" w:rsidRDefault="00B37C25" w:rsidP="00E957A2">
      <w:r>
        <w:t xml:space="preserve">In the 3 </w:t>
      </w:r>
      <w:r w:rsidR="009B2F3C">
        <w:t>Phase III</w:t>
      </w:r>
      <w:r>
        <w:t xml:space="preserve"> studies, 7</w:t>
      </w:r>
      <w:r w:rsidRPr="00A86E76">
        <w:t xml:space="preserve"> subjects </w:t>
      </w:r>
      <w:r w:rsidR="008948B2">
        <w:t>randomised</w:t>
      </w:r>
      <w:r w:rsidRPr="00A86E76">
        <w:t xml:space="preserve"> to combination therapy with ertugliflozin and sitagliptin had an</w:t>
      </w:r>
      <w:r>
        <w:t xml:space="preserve"> AE </w:t>
      </w:r>
      <w:r w:rsidRPr="00A86E76">
        <w:t>of accidental overdose of study medication. None of these overdoses was</w:t>
      </w:r>
      <w:r>
        <w:t xml:space="preserve"> </w:t>
      </w:r>
      <w:r w:rsidRPr="00A86E76">
        <w:t>reported to be associated with a clinical adverse event or an abnormal laboratory result</w:t>
      </w:r>
      <w:r w:rsidR="00884A9A">
        <w:t>.</w:t>
      </w:r>
    </w:p>
    <w:p w:rsidR="00B37C25" w:rsidRPr="00053DE5" w:rsidRDefault="00B37C25" w:rsidP="00E957A2">
      <w:r w:rsidRPr="00053DE5">
        <w:t xml:space="preserve">The drug abuse and dependence potential of ertugliflozin has not been </w:t>
      </w:r>
      <w:r w:rsidR="00C14E6F" w:rsidRPr="00053DE5">
        <w:t>characteri</w:t>
      </w:r>
      <w:r w:rsidR="00C14E6F">
        <w:t>s</w:t>
      </w:r>
      <w:r w:rsidR="00C14E6F" w:rsidRPr="00053DE5">
        <w:t>ed</w:t>
      </w:r>
      <w:r w:rsidRPr="00053DE5">
        <w:t>, but</w:t>
      </w:r>
      <w:r>
        <w:t xml:space="preserve"> </w:t>
      </w:r>
      <w:r w:rsidRPr="00053DE5">
        <w:t>given the mechanism of action, it is not expected to be subject to drug abuse and dependence.</w:t>
      </w:r>
      <w:r>
        <w:t xml:space="preserve"> </w:t>
      </w:r>
      <w:r w:rsidRPr="00053DE5">
        <w:t>The pharmacodynamic</w:t>
      </w:r>
      <w:r w:rsidR="004B0649">
        <w:t xml:space="preserve"> profile </w:t>
      </w:r>
      <w:r w:rsidRPr="00053DE5">
        <w:t>of sitagliptin do</w:t>
      </w:r>
      <w:r w:rsidR="004B0649">
        <w:t>es</w:t>
      </w:r>
      <w:r w:rsidRPr="00053DE5">
        <w:t xml:space="preserve"> not suggest any potential for drug abuse.</w:t>
      </w:r>
    </w:p>
    <w:p w:rsidR="00B37C25" w:rsidRPr="00053DE5" w:rsidRDefault="00B37C25" w:rsidP="00E957A2">
      <w:r w:rsidRPr="00053DE5">
        <w:t>There are no non-clinical or clinical data that would suggest a potential for withdrawal or</w:t>
      </w:r>
      <w:r>
        <w:t xml:space="preserve"> </w:t>
      </w:r>
      <w:r w:rsidRPr="00053DE5">
        <w:t>rebound effects after discontinuing ertugliflozin.</w:t>
      </w:r>
    </w:p>
    <w:p w:rsidR="00B37C25" w:rsidRPr="00053DE5" w:rsidRDefault="00B37C25" w:rsidP="00E957A2">
      <w:r w:rsidRPr="00053DE5">
        <w:t>As with any AHA, it is expected that blood glucose levels could increase upon</w:t>
      </w:r>
      <w:r>
        <w:t xml:space="preserve"> </w:t>
      </w:r>
      <w:r w:rsidRPr="00053DE5">
        <w:t>discontinuation of the AHA. However, based on the mechanism of action of ertugliflozin</w:t>
      </w:r>
      <w:r>
        <w:t xml:space="preserve"> </w:t>
      </w:r>
      <w:r w:rsidRPr="00053DE5">
        <w:t>and sitagliptin, any increase in blood glucose levels would not be expected to be precipitous.</w:t>
      </w:r>
    </w:p>
    <w:p w:rsidR="00B37C25" w:rsidRPr="00053DE5" w:rsidRDefault="00B37C25" w:rsidP="00E957A2">
      <w:r w:rsidRPr="00053DE5">
        <w:t>Upon discontinuation of any AHA, patients should be advised to continue monitoring their</w:t>
      </w:r>
      <w:r>
        <w:t xml:space="preserve"> </w:t>
      </w:r>
      <w:r w:rsidRPr="00053DE5">
        <w:t>blood glucose levels and discuss appropriate therapeutic options with their health care</w:t>
      </w:r>
      <w:r>
        <w:t xml:space="preserve"> </w:t>
      </w:r>
      <w:r w:rsidRPr="00053DE5">
        <w:t>professional.</w:t>
      </w:r>
    </w:p>
    <w:p w:rsidR="00884A9A" w:rsidRDefault="00B37C25" w:rsidP="00E957A2">
      <w:r w:rsidRPr="00053DE5">
        <w:t>No studies on the effects on the ability to drive and use machinery have been performed with</w:t>
      </w:r>
      <w:r>
        <w:t xml:space="preserve"> </w:t>
      </w:r>
      <w:r w:rsidRPr="00053DE5">
        <w:t>the combination of ertugliflozin and sitagliptin. When the ertugliflozin/sitagliptin FDC is</w:t>
      </w:r>
      <w:r>
        <w:t xml:space="preserve"> </w:t>
      </w:r>
      <w:r w:rsidRPr="00053DE5">
        <w:t>used in combination with an insulin secretagogue or insulin, patients should be advised to</w:t>
      </w:r>
      <w:r>
        <w:t xml:space="preserve"> </w:t>
      </w:r>
      <w:r w:rsidRPr="00053DE5">
        <w:t>take precautions to avoid hypoglycaemia while driving and using machinery</w:t>
      </w:r>
      <w:bookmarkStart w:id="477" w:name="_Toc504036159"/>
      <w:r w:rsidR="00884A9A">
        <w:t>.</w:t>
      </w:r>
    </w:p>
    <w:p w:rsidR="00B37C25" w:rsidRDefault="00B37C25" w:rsidP="008948B2">
      <w:pPr>
        <w:pStyle w:val="Heading3"/>
      </w:pPr>
      <w:bookmarkStart w:id="478" w:name="_Toc4573599"/>
      <w:r w:rsidRPr="00545B14">
        <w:t>Safety related to drug-drug interactions and other interactions</w:t>
      </w:r>
      <w:bookmarkEnd w:id="469"/>
      <w:bookmarkEnd w:id="470"/>
      <w:bookmarkEnd w:id="471"/>
      <w:bookmarkEnd w:id="472"/>
      <w:bookmarkEnd w:id="473"/>
      <w:bookmarkEnd w:id="474"/>
      <w:bookmarkEnd w:id="475"/>
      <w:bookmarkEnd w:id="476"/>
      <w:bookmarkEnd w:id="477"/>
      <w:bookmarkEnd w:id="478"/>
    </w:p>
    <w:p w:rsidR="00B37C25" w:rsidRDefault="00B37C25">
      <w:pPr>
        <w:rPr>
          <w:rFonts w:eastAsia="TimesNewRoman" w:cs="TimesNewRoman"/>
        </w:rPr>
      </w:pPr>
      <w:bookmarkStart w:id="479" w:name="_Toc241374326"/>
      <w:bookmarkStart w:id="480" w:name="_Ref272333048"/>
      <w:bookmarkStart w:id="481" w:name="_Toc272414679"/>
      <w:bookmarkStart w:id="482" w:name="_Toc290888543"/>
      <w:bookmarkStart w:id="483" w:name="_Toc416353758"/>
      <w:bookmarkStart w:id="484" w:name="_Toc421005301"/>
      <w:bookmarkStart w:id="485" w:name="_Toc432079182"/>
      <w:bookmarkStart w:id="486" w:name="_Toc432080755"/>
      <w:r>
        <w:rPr>
          <w:lang w:eastAsia="ja-JP"/>
        </w:rPr>
        <w:t xml:space="preserve">No DDI studies were undertaken using the FDC tablets. When administered as single agents, the DDIs for sitagliptin are well </w:t>
      </w:r>
      <w:r w:rsidRPr="006C54BD">
        <w:t xml:space="preserve">established and the </w:t>
      </w:r>
      <w:r>
        <w:t>DDIs</w:t>
      </w:r>
      <w:r w:rsidRPr="006C54BD">
        <w:t xml:space="preserve"> for ertugliflozin are discussed in the concurrent submission </w:t>
      </w:r>
      <w:r w:rsidR="00754BDD">
        <w:rPr>
          <w:rFonts w:cs="Calibri"/>
          <w:lang w:eastAsia="ja-JP"/>
        </w:rPr>
        <w:t>for Steglatro</w:t>
      </w:r>
      <w:r w:rsidRPr="00E806D9">
        <w:rPr>
          <w:rFonts w:cs="Calibri"/>
        </w:rPr>
        <w:t>. I</w:t>
      </w:r>
      <w:r>
        <w:rPr>
          <w:rFonts w:cs="Calibri"/>
        </w:rPr>
        <w:t xml:space="preserve">t should be noted however that the PK </w:t>
      </w:r>
      <w:r w:rsidRPr="00BC2BC4">
        <w:rPr>
          <w:rFonts w:eastAsia="TimesNewRoman" w:cs="Calibri"/>
        </w:rPr>
        <w:t xml:space="preserve">interactions between </w:t>
      </w:r>
      <w:r>
        <w:rPr>
          <w:rFonts w:eastAsia="TimesNewRoman" w:cs="Calibri"/>
        </w:rPr>
        <w:t>ertugliflozin</w:t>
      </w:r>
      <w:r w:rsidRPr="00BC2BC4">
        <w:rPr>
          <w:rFonts w:eastAsia="TimesNewRoman" w:cs="Calibri"/>
        </w:rPr>
        <w:t xml:space="preserve"> and othe</w:t>
      </w:r>
      <w:r>
        <w:rPr>
          <w:rFonts w:eastAsia="TimesNewRoman" w:cs="Calibri"/>
        </w:rPr>
        <w:t>r</w:t>
      </w:r>
      <w:r w:rsidRPr="00BC2BC4">
        <w:rPr>
          <w:rFonts w:eastAsia="TimesNewRoman" w:cs="Calibri"/>
        </w:rPr>
        <w:t xml:space="preserve"> drugs commonly administered </w:t>
      </w:r>
      <w:r>
        <w:rPr>
          <w:rFonts w:eastAsia="TimesNewRoman" w:cs="Calibri"/>
        </w:rPr>
        <w:t>to the target population</w:t>
      </w:r>
      <w:r w:rsidRPr="00BC2BC4">
        <w:rPr>
          <w:rFonts w:eastAsia="TimesNewRoman" w:cs="Calibri"/>
        </w:rPr>
        <w:t xml:space="preserve"> such as diuretics, war</w:t>
      </w:r>
      <w:r>
        <w:rPr>
          <w:rFonts w:eastAsia="TimesNewRoman" w:cs="Calibri"/>
        </w:rPr>
        <w:t>f</w:t>
      </w:r>
      <w:r w:rsidRPr="00BC2BC4">
        <w:rPr>
          <w:rFonts w:eastAsia="TimesNewRoman" w:cs="Calibri"/>
        </w:rPr>
        <w:t>arin, digoxin</w:t>
      </w:r>
      <w:r w:rsidR="008948B2">
        <w:rPr>
          <w:rFonts w:eastAsia="TimesNewRoman" w:cs="Calibri"/>
        </w:rPr>
        <w:t xml:space="preserve"> and so on</w:t>
      </w:r>
      <w:r w:rsidRPr="00BC2BC4">
        <w:rPr>
          <w:rFonts w:eastAsia="TimesNewRoman" w:cs="Calibri"/>
        </w:rPr>
        <w:t xml:space="preserve"> w</w:t>
      </w:r>
      <w:r w:rsidR="008948B2">
        <w:rPr>
          <w:rFonts w:eastAsia="TimesNewRoman" w:cs="Calibri"/>
        </w:rPr>
        <w:t>as</w:t>
      </w:r>
      <w:r w:rsidRPr="00BC2BC4">
        <w:rPr>
          <w:rFonts w:eastAsia="TimesNewRoman" w:cs="Calibri"/>
        </w:rPr>
        <w:t xml:space="preserve"> not evaluated</w:t>
      </w:r>
      <w:r>
        <w:rPr>
          <w:rFonts w:eastAsia="TimesNewRoman" w:cs="Calibri"/>
        </w:rPr>
        <w:t xml:space="preserve"> in the concurrent submission</w:t>
      </w:r>
      <w:r w:rsidRPr="00BC2BC4">
        <w:rPr>
          <w:rFonts w:eastAsia="TimesNewRoman" w:cs="Calibri"/>
        </w:rPr>
        <w:t>.</w:t>
      </w:r>
      <w:r>
        <w:rPr>
          <w:rFonts w:eastAsia="TimesNewRoman" w:cs="Calibri"/>
        </w:rPr>
        <w:t xml:space="preserve"> In addition, </w:t>
      </w:r>
      <w:r w:rsidRPr="00865345">
        <w:t>a limited number of DDI studies were undertaken with drugs that are known to interact with the pathways via which ertugliflozin is metabolised</w:t>
      </w:r>
      <w:r>
        <w:t>. For instance,</w:t>
      </w:r>
      <w:r w:rsidRPr="00E806D9">
        <w:rPr>
          <w:rFonts w:eastAsia="TimesNewRoman" w:cs="TimesNewRoman"/>
        </w:rPr>
        <w:t xml:space="preserve"> </w:t>
      </w:r>
      <w:r>
        <w:rPr>
          <w:rFonts w:eastAsia="TimesNewRoman" w:cs="TimesNewRoman"/>
        </w:rPr>
        <w:t>a</w:t>
      </w:r>
      <w:r w:rsidRPr="00865345">
        <w:rPr>
          <w:rFonts w:eastAsia="TimesNewRoman" w:cs="TimesNewRoman"/>
        </w:rPr>
        <w:t>lthough ertugliflozin is in part metabolised by CYP3A4, no studies have examined the effects of a strong CYP3A-inhibitor on ertugliflozin PKs</w:t>
      </w:r>
      <w:r>
        <w:rPr>
          <w:rFonts w:eastAsia="TimesNewRoman" w:cs="TimesNewRoman"/>
        </w:rPr>
        <w:t xml:space="preserve"> or safety.</w:t>
      </w:r>
    </w:p>
    <w:p w:rsidR="00B37C25" w:rsidRDefault="00B37C25">
      <w:pPr>
        <w:rPr>
          <w:lang w:eastAsia="ja-JP"/>
        </w:rPr>
      </w:pPr>
      <w:r>
        <w:rPr>
          <w:rFonts w:eastAsia="TimesNewRoman" w:cs="TimesNewRoman"/>
        </w:rPr>
        <w:t>All of the known DDI interactions for each of the active agents contained in the FDC are adequately addressed in the proposed PI.</w:t>
      </w:r>
    </w:p>
    <w:p w:rsidR="00B37C25" w:rsidRPr="00E4342F" w:rsidRDefault="00B37C25" w:rsidP="008948B2">
      <w:pPr>
        <w:pStyle w:val="Heading3"/>
      </w:pPr>
      <w:bookmarkStart w:id="487" w:name="_Toc504036160"/>
      <w:bookmarkStart w:id="488" w:name="_Toc4573600"/>
      <w:r w:rsidRPr="00E4342F">
        <w:t>Post</w:t>
      </w:r>
      <w:r>
        <w:t xml:space="preserve"> </w:t>
      </w:r>
      <w:r w:rsidRPr="00E4342F">
        <w:t>marketing experience</w:t>
      </w:r>
      <w:bookmarkEnd w:id="479"/>
      <w:bookmarkEnd w:id="480"/>
      <w:bookmarkEnd w:id="481"/>
      <w:bookmarkEnd w:id="482"/>
      <w:bookmarkEnd w:id="483"/>
      <w:bookmarkEnd w:id="484"/>
      <w:bookmarkEnd w:id="485"/>
      <w:bookmarkEnd w:id="486"/>
      <w:bookmarkEnd w:id="487"/>
      <w:bookmarkEnd w:id="488"/>
    </w:p>
    <w:p w:rsidR="00B37C25" w:rsidRDefault="00B37C25" w:rsidP="00E957A2">
      <w:bookmarkStart w:id="489" w:name="_Toc241374328"/>
      <w:bookmarkStart w:id="490" w:name="_Toc272414691"/>
      <w:bookmarkStart w:id="491" w:name="_Toc290888555"/>
      <w:bookmarkStart w:id="492" w:name="_Toc416353770"/>
      <w:bookmarkStart w:id="493" w:name="_Toc421005312"/>
      <w:bookmarkStart w:id="494" w:name="_Toc432079183"/>
      <w:bookmarkStart w:id="495" w:name="_Toc432080756"/>
      <w:r w:rsidRPr="00053DE5">
        <w:rPr>
          <w:lang w:eastAsia="ja-JP"/>
        </w:rPr>
        <w:t xml:space="preserve">Not applicable as the </w:t>
      </w:r>
      <w:r w:rsidRPr="00053DE5">
        <w:t>ertugliflozin/sitagliptin FDC has not been approved for use in any country.</w:t>
      </w:r>
    </w:p>
    <w:p w:rsidR="00B37C25" w:rsidRDefault="00B37C25" w:rsidP="00E957A2">
      <w:r>
        <w:t>Ertugliflozin has also not received marketing approval to date.</w:t>
      </w:r>
    </w:p>
    <w:p w:rsidR="00B37C25" w:rsidRDefault="00B37C25" w:rsidP="00E957A2">
      <w:r>
        <w:t>The following information regarding postmarketing experience for sitagliptin has been included in the proposed PI for Steglujan:</w:t>
      </w:r>
    </w:p>
    <w:p w:rsidR="00B37C25" w:rsidRPr="00E957A2" w:rsidRDefault="00330A13" w:rsidP="00E957A2">
      <w:pPr>
        <w:ind w:left="720"/>
        <w:rPr>
          <w:i/>
        </w:rPr>
      </w:pPr>
      <w:r w:rsidRPr="00E957A2">
        <w:rPr>
          <w:rFonts w:eastAsia="TimesNewRoman" w:cs="TimesNewRoman"/>
          <w:i/>
        </w:rPr>
        <w:lastRenderedPageBreak/>
        <w:t>‘</w:t>
      </w:r>
      <w:r w:rsidR="00B37C25" w:rsidRPr="00E957A2">
        <w:rPr>
          <w:i/>
        </w:rPr>
        <w:t>Additional adverse reactions have been identified during postmarketing use of sitagliptin as monotherapy and/or in combination with other antihyperglycaemic agents. Because these reactions are reported voluntarily from a population of uncertain size, it is generally not possible to reliably estimate their frequency or establish a causal relationship to drug exposure.</w:t>
      </w:r>
    </w:p>
    <w:p w:rsidR="00B37C25" w:rsidRPr="00E957A2" w:rsidRDefault="00B37C25" w:rsidP="00E957A2">
      <w:pPr>
        <w:ind w:left="720"/>
        <w:rPr>
          <w:rFonts w:cs="Arial-BoldItalicMT"/>
          <w:bCs/>
          <w:i/>
          <w:iCs/>
        </w:rPr>
      </w:pPr>
      <w:r w:rsidRPr="00E957A2">
        <w:rPr>
          <w:rFonts w:cs="Arial-BoldItalicMT"/>
          <w:bCs/>
          <w:i/>
          <w:iCs/>
        </w:rPr>
        <w:t xml:space="preserve">Infections and infestations: </w:t>
      </w:r>
      <w:r w:rsidRPr="00E957A2">
        <w:rPr>
          <w:i/>
        </w:rPr>
        <w:t>upper respiratory tract infection; nasopharyngitis; n</w:t>
      </w:r>
      <w:r w:rsidRPr="00E957A2">
        <w:rPr>
          <w:rFonts w:cs="Arial-BoldItalicMT"/>
          <w:bCs/>
          <w:i/>
          <w:iCs/>
        </w:rPr>
        <w:t xml:space="preserve">ervous system disorders; </w:t>
      </w:r>
      <w:r w:rsidRPr="00E957A2">
        <w:rPr>
          <w:i/>
        </w:rPr>
        <w:t>headache</w:t>
      </w:r>
      <w:r w:rsidRPr="00E957A2">
        <w:rPr>
          <w:rFonts w:cs="Arial-BoldItalicMT"/>
          <w:bCs/>
          <w:i/>
          <w:iCs/>
        </w:rPr>
        <w:t xml:space="preserve"> </w:t>
      </w:r>
    </w:p>
    <w:p w:rsidR="00B37C25" w:rsidRPr="00E957A2" w:rsidRDefault="00B37C25" w:rsidP="00E957A2">
      <w:pPr>
        <w:ind w:left="720"/>
        <w:rPr>
          <w:i/>
        </w:rPr>
      </w:pPr>
      <w:r w:rsidRPr="00E957A2">
        <w:rPr>
          <w:rFonts w:cs="Arial-BoldItalicMT"/>
          <w:bCs/>
          <w:i/>
          <w:iCs/>
        </w:rPr>
        <w:t xml:space="preserve">Gastrointestinal disorders: </w:t>
      </w:r>
      <w:r w:rsidRPr="00E957A2">
        <w:rPr>
          <w:i/>
        </w:rPr>
        <w:t xml:space="preserve">acute pancreatitis, including fatal and non-fatal haemorrhagic and necrotising pancreatitis (see PRECAUTIONS, </w:t>
      </w:r>
      <w:r w:rsidRPr="00E957A2">
        <w:rPr>
          <w:rFonts w:cs="Arial-ItalicMT"/>
          <w:i/>
          <w:iCs/>
        </w:rPr>
        <w:t>Pancreatitis</w:t>
      </w:r>
      <w:r w:rsidRPr="00E957A2">
        <w:rPr>
          <w:i/>
        </w:rPr>
        <w:t>); constipation; vomiting.</w:t>
      </w:r>
    </w:p>
    <w:p w:rsidR="00B37C25" w:rsidRPr="00E957A2" w:rsidRDefault="00B37C25" w:rsidP="00E957A2">
      <w:pPr>
        <w:ind w:left="720"/>
        <w:rPr>
          <w:i/>
        </w:rPr>
      </w:pPr>
      <w:r w:rsidRPr="00E957A2">
        <w:rPr>
          <w:rFonts w:cs="Arial-BoldItalicMT"/>
          <w:bCs/>
          <w:i/>
          <w:iCs/>
        </w:rPr>
        <w:t xml:space="preserve">Musculoskeletal and connective tissue disorders: </w:t>
      </w:r>
      <w:r w:rsidRPr="00E957A2">
        <w:rPr>
          <w:i/>
        </w:rPr>
        <w:t>arthralgia; myalgia; pain in extremity; back pain.</w:t>
      </w:r>
    </w:p>
    <w:p w:rsidR="00B37C25" w:rsidRPr="00E957A2" w:rsidRDefault="00B37C25" w:rsidP="00E957A2">
      <w:pPr>
        <w:ind w:left="720"/>
        <w:rPr>
          <w:i/>
        </w:rPr>
      </w:pPr>
      <w:r w:rsidRPr="00E957A2">
        <w:rPr>
          <w:rFonts w:cs="Arial-BoldItalicMT"/>
          <w:bCs/>
          <w:i/>
          <w:iCs/>
        </w:rPr>
        <w:t xml:space="preserve">Renal and urinary disorders: </w:t>
      </w:r>
      <w:r w:rsidRPr="00E957A2">
        <w:rPr>
          <w:i/>
        </w:rPr>
        <w:t>worsening renal function, including acute renal failure (sometimes requiring dialysis).</w:t>
      </w:r>
    </w:p>
    <w:p w:rsidR="00B37C25" w:rsidRPr="00E957A2" w:rsidRDefault="00B37C25" w:rsidP="00E957A2">
      <w:pPr>
        <w:ind w:left="720"/>
        <w:rPr>
          <w:i/>
        </w:rPr>
      </w:pPr>
      <w:r w:rsidRPr="00E957A2">
        <w:rPr>
          <w:rFonts w:cs="Arial-BoldItalicMT"/>
          <w:bCs/>
          <w:i/>
          <w:iCs/>
        </w:rPr>
        <w:t xml:space="preserve">Hypersensitivity reactions </w:t>
      </w:r>
      <w:r w:rsidRPr="00E957A2">
        <w:rPr>
          <w:i/>
        </w:rPr>
        <w:t xml:space="preserve">including anaphylaxis, angioedema, rash, urticaria, cutaneous vasculitis, pruritus, bullous pemphigoid (see </w:t>
      </w:r>
      <w:r w:rsidR="008948B2" w:rsidRPr="00E957A2">
        <w:rPr>
          <w:i/>
        </w:rPr>
        <w:t>Precautions</w:t>
      </w:r>
      <w:r w:rsidRPr="00E957A2">
        <w:rPr>
          <w:i/>
        </w:rPr>
        <w:t xml:space="preserve">, Bullous Pemphigoid), and exfoliative skin conditions, including Stevens-Johnson syndrome have been reported with use of sitagliptin (see </w:t>
      </w:r>
      <w:r w:rsidR="008948B2" w:rsidRPr="00E957A2">
        <w:rPr>
          <w:i/>
        </w:rPr>
        <w:t xml:space="preserve">Contraindications </w:t>
      </w:r>
      <w:r w:rsidRPr="00E957A2">
        <w:rPr>
          <w:i/>
        </w:rPr>
        <w:t xml:space="preserve">and </w:t>
      </w:r>
      <w:r w:rsidR="008948B2" w:rsidRPr="00E957A2">
        <w:rPr>
          <w:i/>
        </w:rPr>
        <w:t>Precautions</w:t>
      </w:r>
      <w:r w:rsidRPr="00E957A2">
        <w:rPr>
          <w:i/>
        </w:rPr>
        <w:t xml:space="preserve">, </w:t>
      </w:r>
      <w:r w:rsidRPr="00E957A2">
        <w:rPr>
          <w:rFonts w:cs="Arial-ItalicMT"/>
          <w:i/>
          <w:iCs/>
        </w:rPr>
        <w:t>Hypersensitivity Reactions</w:t>
      </w:r>
      <w:r w:rsidRPr="00E957A2">
        <w:rPr>
          <w:i/>
        </w:rPr>
        <w:t>).</w:t>
      </w:r>
      <w:r w:rsidR="00330A13" w:rsidRPr="00E957A2">
        <w:rPr>
          <w:i/>
        </w:rPr>
        <w:t>’</w:t>
      </w:r>
    </w:p>
    <w:p w:rsidR="00B37C25" w:rsidRDefault="00B37C25" w:rsidP="008948B2">
      <w:pPr>
        <w:pStyle w:val="Heading3"/>
      </w:pPr>
      <w:bookmarkStart w:id="496" w:name="_Toc504036161"/>
      <w:bookmarkStart w:id="497" w:name="_Toc4573601"/>
      <w:r w:rsidRPr="00E4342F">
        <w:t>Evaluator’s overall conclusions on clinical safety</w:t>
      </w:r>
      <w:bookmarkEnd w:id="489"/>
      <w:bookmarkEnd w:id="490"/>
      <w:bookmarkEnd w:id="491"/>
      <w:bookmarkEnd w:id="492"/>
      <w:bookmarkEnd w:id="493"/>
      <w:bookmarkEnd w:id="494"/>
      <w:bookmarkEnd w:id="495"/>
      <w:bookmarkEnd w:id="496"/>
      <w:bookmarkEnd w:id="497"/>
    </w:p>
    <w:p w:rsidR="00884A9A" w:rsidRDefault="00B37C25" w:rsidP="00E957A2">
      <w:pPr>
        <w:rPr>
          <w:lang w:eastAsia="ja-JP"/>
        </w:rPr>
      </w:pPr>
      <w:r w:rsidRPr="00162053">
        <w:rPr>
          <w:lang w:eastAsia="ja-JP"/>
        </w:rPr>
        <w:t>The safety of the proposed coadministration of ertugliflozin+sitagliptin was evaluated in 1987 patients in</w:t>
      </w:r>
      <w:r w:rsidR="006F48AD">
        <w:rPr>
          <w:lang w:eastAsia="ja-JP"/>
        </w:rPr>
        <w:t xml:space="preserve"> </w:t>
      </w:r>
      <w:r w:rsidRPr="00162053">
        <w:rPr>
          <w:lang w:eastAsia="ja-JP"/>
        </w:rPr>
        <w:t xml:space="preserve">3 pivotal </w:t>
      </w:r>
      <w:r w:rsidR="009B2F3C">
        <w:rPr>
          <w:lang w:eastAsia="ja-JP"/>
        </w:rPr>
        <w:t>Phase III</w:t>
      </w:r>
      <w:r w:rsidRPr="00162053">
        <w:rPr>
          <w:lang w:eastAsia="ja-JP"/>
        </w:rPr>
        <w:t xml:space="preserve"> studies with about 992 patients receiving ertugliflozin+sitagliptin combination treatment. Although the proposed FDC was not used in any of the </w:t>
      </w:r>
      <w:r w:rsidR="009B2F3C">
        <w:rPr>
          <w:lang w:eastAsia="ja-JP"/>
        </w:rPr>
        <w:t>Phase III</w:t>
      </w:r>
      <w:r w:rsidRPr="00162053">
        <w:rPr>
          <w:lang w:eastAsia="ja-JP"/>
        </w:rPr>
        <w:t xml:space="preserve"> studies, use of safety data from these studies is justified as bioequivalence between the proposed FDC and co-administration of individual tablets of ertugliflozin+sitagliptin was adequately established</w:t>
      </w:r>
      <w:r w:rsidR="00884A9A">
        <w:rPr>
          <w:lang w:eastAsia="ja-JP"/>
        </w:rPr>
        <w:t>.</w:t>
      </w:r>
    </w:p>
    <w:p w:rsidR="008948B2" w:rsidRDefault="00BC7DA5" w:rsidP="008948B2">
      <w:pPr>
        <w:pStyle w:val="Heading4"/>
      </w:pPr>
      <w:r>
        <w:t>Study P0</w:t>
      </w:r>
      <w:r w:rsidR="00B37C25" w:rsidRPr="00DC2936">
        <w:t xml:space="preserve">05/1019 </w:t>
      </w:r>
      <w:r w:rsidR="004A75C1">
        <w:t>e</w:t>
      </w:r>
      <w:r w:rsidR="00B37C25" w:rsidRPr="00DC2936">
        <w:t>rtugliflozin +</w:t>
      </w:r>
      <w:r w:rsidR="00C14E6F">
        <w:t xml:space="preserve"> </w:t>
      </w:r>
      <w:r w:rsidR="00C14E6F" w:rsidRPr="00DC2936">
        <w:t>sitagliptin factorial study</w:t>
      </w:r>
    </w:p>
    <w:p w:rsidR="00B37C25" w:rsidRPr="00DC2936" w:rsidRDefault="00B37C25" w:rsidP="00E957A2">
      <w:pPr>
        <w:rPr>
          <w:lang w:eastAsia="ja-JP"/>
        </w:rPr>
      </w:pPr>
      <w:r w:rsidRPr="00DC2936">
        <w:t xml:space="preserve">The incidence of </w:t>
      </w:r>
      <w:r>
        <w:t xml:space="preserve">AEs </w:t>
      </w:r>
      <w:r w:rsidRPr="00DC2936">
        <w:t>overall was not notably different between the</w:t>
      </w:r>
      <w:r>
        <w:t xml:space="preserve"> </w:t>
      </w:r>
      <w:r w:rsidRPr="00DC2936">
        <w:t xml:space="preserve">co-administration groups and the individual treatment groups. The incidence of </w:t>
      </w:r>
      <w:r>
        <w:t xml:space="preserve">SAES </w:t>
      </w:r>
      <w:r w:rsidRPr="00DC2936">
        <w:t>in the E5/S100 and E15/S100 groups (2.5% and 1.6%, respectively) was</w:t>
      </w:r>
      <w:r>
        <w:t xml:space="preserve"> </w:t>
      </w:r>
      <w:r w:rsidRPr="00DC2936">
        <w:t>similar relative to the E5, E15, and S100 groups (3.2%, 1.2%, and 1.6% respectively). No</w:t>
      </w:r>
      <w:r>
        <w:t xml:space="preserve"> </w:t>
      </w:r>
      <w:r w:rsidRPr="00DC2936">
        <w:t>deaths were reported. The incidence of subjects who discontinued study medication due to</w:t>
      </w:r>
      <w:r>
        <w:t xml:space="preserve"> </w:t>
      </w:r>
      <w:r w:rsidRPr="00DC2936">
        <w:t xml:space="preserve">an </w:t>
      </w:r>
      <w:r>
        <w:t xml:space="preserve">AE </w:t>
      </w:r>
      <w:r w:rsidRPr="00DC2936">
        <w:t>was higher in the E15/S100 group (2.9%) relative to the S100 group (0.4%),</w:t>
      </w:r>
      <w:r>
        <w:t xml:space="preserve"> </w:t>
      </w:r>
      <w:r w:rsidRPr="00DC2936">
        <w:t>and not notably different relative to the E5/S100, E5, and the E15 groups (1.2%, 2.4%, and</w:t>
      </w:r>
      <w:r>
        <w:t xml:space="preserve"> </w:t>
      </w:r>
      <w:r w:rsidRPr="00DC2936">
        <w:t>1.2%, respectively).</w:t>
      </w:r>
    </w:p>
    <w:p w:rsidR="008948B2" w:rsidRDefault="00BC7DA5" w:rsidP="008948B2">
      <w:pPr>
        <w:pStyle w:val="Heading4"/>
      </w:pPr>
      <w:r>
        <w:t>Study P0</w:t>
      </w:r>
      <w:r w:rsidR="00B37C25" w:rsidRPr="00DC2936">
        <w:t xml:space="preserve">06/1015 </w:t>
      </w:r>
      <w:r w:rsidR="004A75C1">
        <w:t>a</w:t>
      </w:r>
      <w:r w:rsidR="00B37C25" w:rsidRPr="00DC2936">
        <w:t xml:space="preserve">dd-on </w:t>
      </w:r>
      <w:r w:rsidR="00C14E6F" w:rsidRPr="00DC2936">
        <w:t>to metformin and sitagliptin study</w:t>
      </w:r>
    </w:p>
    <w:p w:rsidR="00B37C25" w:rsidRPr="00DC2936" w:rsidRDefault="00B37C25" w:rsidP="00E957A2">
      <w:pPr>
        <w:rPr>
          <w:rFonts w:eastAsiaTheme="minorHAnsi"/>
        </w:rPr>
      </w:pPr>
      <w:r w:rsidRPr="00DC2936">
        <w:t xml:space="preserve">The overall incidence of </w:t>
      </w:r>
      <w:r>
        <w:t xml:space="preserve">AEs </w:t>
      </w:r>
      <w:r w:rsidRPr="00DC2936">
        <w:t>was numerically lower in the ertugliflozin 5 mg and</w:t>
      </w:r>
      <w:r>
        <w:t xml:space="preserve"> </w:t>
      </w:r>
      <w:r w:rsidRPr="00DC2936">
        <w:t>15 mg groups (41.7% and 45.1%, respectively) compared with the placebo group (50.3%).</w:t>
      </w:r>
      <w:r>
        <w:t xml:space="preserve"> </w:t>
      </w:r>
      <w:r w:rsidRPr="00DC2936">
        <w:t xml:space="preserve">The incidence of </w:t>
      </w:r>
      <w:r>
        <w:t xml:space="preserve">SAEs </w:t>
      </w:r>
      <w:r w:rsidRPr="00DC2936">
        <w:t>was not notably different across the ertugliflozin</w:t>
      </w:r>
      <w:r>
        <w:t xml:space="preserve"> </w:t>
      </w:r>
      <w:r w:rsidRPr="00DC2936">
        <w:t>5 mg and 15 mg treatment groups (4.5% and 2.0%, respectively) and the placebo group</w:t>
      </w:r>
      <w:r>
        <w:t xml:space="preserve"> </w:t>
      </w:r>
      <w:r w:rsidRPr="00DC2936">
        <w:t>(3.3%). No deaths were reported. There was a numerically higher incidence of subjects who</w:t>
      </w:r>
      <w:r>
        <w:t xml:space="preserve"> </w:t>
      </w:r>
      <w:r w:rsidRPr="00DC2936">
        <w:t xml:space="preserve">discontinued due to an </w:t>
      </w:r>
      <w:r>
        <w:t xml:space="preserve">AE </w:t>
      </w:r>
      <w:r w:rsidRPr="00DC2936">
        <w:t>in the ertugliflozin 5</w:t>
      </w:r>
      <w:r w:rsidR="006A6A92">
        <w:t> </w:t>
      </w:r>
      <w:r w:rsidRPr="00DC2936">
        <w:t>mg group (3.2%), relative to the</w:t>
      </w:r>
      <w:r>
        <w:t xml:space="preserve"> </w:t>
      </w:r>
      <w:r w:rsidRPr="00DC2936">
        <w:t>placebo and ertugliflozin 15 mg groups</w:t>
      </w:r>
      <w:r w:rsidR="006F48AD">
        <w:t xml:space="preserve"> </w:t>
      </w:r>
      <w:r w:rsidRPr="00DC2936">
        <w:t>(0.7% in each); the only notable pattern of</w:t>
      </w:r>
      <w:r>
        <w:t xml:space="preserve"> </w:t>
      </w:r>
      <w:r w:rsidRPr="00DC2936">
        <w:t>discontinuation for an adverse event was the observation that 2 subjects in the ertugliflozin</w:t>
      </w:r>
      <w:r>
        <w:t xml:space="preserve"> </w:t>
      </w:r>
      <w:r w:rsidRPr="00DC2936">
        <w:t>5 mg group discontinued due to genital mycotic infections, which is a known class effect for</w:t>
      </w:r>
      <w:r>
        <w:t xml:space="preserve"> </w:t>
      </w:r>
      <w:r w:rsidRPr="00DC2936">
        <w:t>SGLT2 inhibitors.</w:t>
      </w:r>
    </w:p>
    <w:p w:rsidR="008948B2" w:rsidRDefault="00BC7DA5" w:rsidP="008948B2">
      <w:pPr>
        <w:pStyle w:val="Heading4"/>
      </w:pPr>
      <w:r>
        <w:t>Study P0</w:t>
      </w:r>
      <w:r w:rsidR="00B37C25" w:rsidRPr="00DC2936">
        <w:t xml:space="preserve">17/1047 </w:t>
      </w:r>
      <w:r w:rsidR="004A75C1">
        <w:t>e</w:t>
      </w:r>
      <w:r w:rsidR="00B37C25" w:rsidRPr="00DC2936">
        <w:t>rtugliflozin +</w:t>
      </w:r>
      <w:r w:rsidR="00C14E6F">
        <w:t xml:space="preserve"> </w:t>
      </w:r>
      <w:r w:rsidR="00C14E6F" w:rsidRPr="00DC2936">
        <w:t>sitagliptin initial combination study</w:t>
      </w:r>
    </w:p>
    <w:p w:rsidR="00B37C25" w:rsidRPr="00DC2936" w:rsidRDefault="00B37C25" w:rsidP="00E957A2">
      <w:r w:rsidRPr="00DC2936">
        <w:t xml:space="preserve">The overall incidence of </w:t>
      </w:r>
      <w:r>
        <w:t xml:space="preserve">AEs </w:t>
      </w:r>
      <w:r w:rsidRPr="00DC2936">
        <w:t>was slightly lower in the E5/S100 and E15/S100</w:t>
      </w:r>
      <w:r>
        <w:t xml:space="preserve"> </w:t>
      </w:r>
      <w:r w:rsidRPr="00DC2936">
        <w:t>groups (44.9% and 44.8%, respectively) than in the placebo group (</w:t>
      </w:r>
      <w:r w:rsidR="000E3FEB">
        <w:t>42.3</w:t>
      </w:r>
      <w:r w:rsidRPr="00DC2936">
        <w:t>). The incidence of</w:t>
      </w:r>
      <w:r>
        <w:t xml:space="preserve"> SAEs </w:t>
      </w:r>
      <w:r w:rsidRPr="00DC2936">
        <w:t>was generally similar in the E5/S100 and E15/S100 groups (2.0% and</w:t>
      </w:r>
      <w:r>
        <w:t xml:space="preserve"> </w:t>
      </w:r>
      <w:r w:rsidRPr="00DC2936">
        <w:t xml:space="preserve">3.1%, respectively) relative to the </w:t>
      </w:r>
      <w:r w:rsidRPr="00DC2936">
        <w:lastRenderedPageBreak/>
        <w:t xml:space="preserve">placebo group (5.2%). No </w:t>
      </w:r>
      <w:r>
        <w:t xml:space="preserve">deaths were reported. AEs </w:t>
      </w:r>
      <w:r w:rsidRPr="00DC2936">
        <w:t>that led to discontinuation of study medication were experienced by 2 subjects each in</w:t>
      </w:r>
      <w:r>
        <w:t xml:space="preserve"> </w:t>
      </w:r>
      <w:r w:rsidRPr="00DC2936">
        <w:t>the E5/S100 group (2.0%) and the E15/S100 group (2.1%) and 3 subjects (3.1%) in the</w:t>
      </w:r>
      <w:r>
        <w:t xml:space="preserve"> </w:t>
      </w:r>
      <w:r w:rsidRPr="00DC2936">
        <w:t xml:space="preserve">placebo group. No specific </w:t>
      </w:r>
      <w:r>
        <w:t xml:space="preserve">AE </w:t>
      </w:r>
      <w:r w:rsidRPr="00DC2936">
        <w:t>that resulted in discontinuation from study</w:t>
      </w:r>
      <w:r>
        <w:t xml:space="preserve"> </w:t>
      </w:r>
      <w:r w:rsidRPr="00DC2936">
        <w:t>medication was reported for more than 1 subject</w:t>
      </w:r>
      <w:r>
        <w:t>.</w:t>
      </w:r>
    </w:p>
    <w:p w:rsidR="00B37C25" w:rsidRPr="00DC2936" w:rsidRDefault="00B37C25" w:rsidP="00E957A2">
      <w:pPr>
        <w:rPr>
          <w:lang w:eastAsia="ja-JP"/>
        </w:rPr>
      </w:pPr>
      <w:r w:rsidRPr="00DC2936">
        <w:t xml:space="preserve">In the 3 </w:t>
      </w:r>
      <w:r w:rsidR="009B2F3C">
        <w:t>Phase III</w:t>
      </w:r>
      <w:r w:rsidRPr="00DC2936">
        <w:t xml:space="preserve"> studies, genital mycotic infections also occurred more frequently in</w:t>
      </w:r>
      <w:r>
        <w:t xml:space="preserve"> </w:t>
      </w:r>
      <w:r w:rsidRPr="00DC2936">
        <w:t xml:space="preserve">men and in women treated with ertugliflozin, with no evidence of a further increase in incidence with ertugliflozin and sitagliptin combination therapy </w:t>
      </w:r>
      <w:r>
        <w:t xml:space="preserve">AEs </w:t>
      </w:r>
      <w:r w:rsidRPr="00DC2936">
        <w:t>associated with osmotic diuresis and hypovolemia occurred infrequently, with no evident increase in incidence of events occurring with ertugliflozin and sitagliptin combination therapy.</w:t>
      </w:r>
    </w:p>
    <w:p w:rsidR="00884A9A" w:rsidRDefault="00B37C25" w:rsidP="00E957A2">
      <w:r>
        <w:t>T</w:t>
      </w:r>
      <w:r w:rsidRPr="00DC2936">
        <w:t>here were no cases of confirmed pancreatitis in</w:t>
      </w:r>
      <w:r>
        <w:t xml:space="preserve"> </w:t>
      </w:r>
      <w:r w:rsidRPr="00DC2936">
        <w:t>subjects treated with ertugliflozin, with or without combination treatment with sitagliptin</w:t>
      </w:r>
      <w:r w:rsidR="00884A9A">
        <w:t>.</w:t>
      </w:r>
    </w:p>
    <w:p w:rsidR="00B37C25" w:rsidRDefault="00B37C25" w:rsidP="00E957A2">
      <w:r w:rsidRPr="00DC2936">
        <w:t xml:space="preserve">In the ertugliflozin </w:t>
      </w:r>
      <w:r w:rsidR="009B2F3C">
        <w:t>Phase III</w:t>
      </w:r>
      <w:r w:rsidRPr="00DC2936">
        <w:t xml:space="preserve"> program, and in the 3 studies that are the focus of this </w:t>
      </w:r>
      <w:r>
        <w:t xml:space="preserve">submission, </w:t>
      </w:r>
      <w:r w:rsidRPr="00DC2936">
        <w:t>examination of clinical laboratory results revealed small increases in haemoglobin,</w:t>
      </w:r>
      <w:r>
        <w:t xml:space="preserve"> </w:t>
      </w:r>
      <w:r w:rsidRPr="00DC2936">
        <w:t>magnesium, and phosphate, and decreases in liver transaminases and uric acid levels. There</w:t>
      </w:r>
      <w:r>
        <w:t xml:space="preserve"> </w:t>
      </w:r>
      <w:r w:rsidRPr="00DC2936">
        <w:t xml:space="preserve">were few </w:t>
      </w:r>
      <w:r>
        <w:t xml:space="preserve">AEs </w:t>
      </w:r>
      <w:r w:rsidRPr="00DC2936">
        <w:t>related to these changes, suggesting that the levels were generally</w:t>
      </w:r>
      <w:r>
        <w:t xml:space="preserve"> </w:t>
      </w:r>
      <w:r w:rsidRPr="00DC2936">
        <w:t>not of clinical concern to investigators. There were no meaningful changes noted in serum</w:t>
      </w:r>
      <w:r>
        <w:t xml:space="preserve"> </w:t>
      </w:r>
      <w:r w:rsidRPr="00DC2936">
        <w:t>potassium levels. There were also small to modest changes in the serum lipid profile,</w:t>
      </w:r>
      <w:r>
        <w:t xml:space="preserve"> </w:t>
      </w:r>
      <w:r w:rsidRPr="00DC2936">
        <w:t>including increases in</w:t>
      </w:r>
      <w:r>
        <w:t xml:space="preserve"> LDL-C, TC and HDL-C </w:t>
      </w:r>
      <w:r w:rsidRPr="00DC2936">
        <w:t>with decreases in triglycerides.</w:t>
      </w:r>
    </w:p>
    <w:p w:rsidR="00B37C25" w:rsidRPr="00DC2936" w:rsidRDefault="00B37C25" w:rsidP="00E957A2">
      <w:r w:rsidRPr="00DC2936">
        <w:t xml:space="preserve">Ertugliflozin treatment in the 3 studies </w:t>
      </w:r>
      <w:r>
        <w:t xml:space="preserve">in this submission </w:t>
      </w:r>
      <w:r w:rsidRPr="00DC2936">
        <w:t>was associated with decreases in systolic</w:t>
      </w:r>
      <w:r>
        <w:t xml:space="preserve"> </w:t>
      </w:r>
      <w:r w:rsidRPr="00DC2936">
        <w:t>and diastolic blood pressure. There was no increase in heart rate or measures of orthostatic</w:t>
      </w:r>
      <w:r>
        <w:t xml:space="preserve"> </w:t>
      </w:r>
      <w:r w:rsidRPr="00DC2936">
        <w:t xml:space="preserve">hypotension. There were no clinically meaningful </w:t>
      </w:r>
      <w:r>
        <w:t xml:space="preserve">differences in ECG </w:t>
      </w:r>
      <w:r w:rsidRPr="00DC2936">
        <w:t xml:space="preserve">parameters (heart rate, PR, QRS, QT, QTcB, and QTcF interval) between treatment groups in the 3 studies. These results were consistent with those in the ertugliflozin </w:t>
      </w:r>
      <w:r w:rsidR="009B2F3C">
        <w:t>Phase III</w:t>
      </w:r>
      <w:r w:rsidRPr="00DC2936">
        <w:t xml:space="preserve"> program.</w:t>
      </w:r>
      <w:r>
        <w:t xml:space="preserve"> However, results of the CV meta</w:t>
      </w:r>
      <w:r w:rsidR="004B0649">
        <w:t>-a</w:t>
      </w:r>
      <w:r>
        <w:t>nalysis in the ertugliflozin clinical program were not provided and CV safety of ertugliflozin has not yet been established.</w:t>
      </w:r>
    </w:p>
    <w:p w:rsidR="00B37C25" w:rsidRPr="00DC2936" w:rsidRDefault="00B37C25" w:rsidP="00E957A2">
      <w:pPr>
        <w:rPr>
          <w:lang w:eastAsia="ja-JP"/>
        </w:rPr>
      </w:pPr>
      <w:r w:rsidRPr="00DC2936">
        <w:t>The combination of ertugliflozin and sitagliptin was generally safe and</w:t>
      </w:r>
      <w:r>
        <w:t xml:space="preserve"> </w:t>
      </w:r>
      <w:r w:rsidRPr="00DC2936">
        <w:t>well-tolerated. In a large factorial study on a background of metformin therapy, there were</w:t>
      </w:r>
      <w:r>
        <w:t xml:space="preserve"> </w:t>
      </w:r>
      <w:r w:rsidRPr="00DC2936">
        <w:t>no notable risks associated with co-administration of ertugliflozin and sitagliptin relative to</w:t>
      </w:r>
      <w:r>
        <w:t xml:space="preserve"> </w:t>
      </w:r>
      <w:r w:rsidRPr="00DC2936">
        <w:t>treatment with the individual components. The safety of the combination was also</w:t>
      </w:r>
      <w:r>
        <w:t xml:space="preserve"> </w:t>
      </w:r>
      <w:r w:rsidRPr="00DC2936">
        <w:t>established in 2 additional settings, when ertugliflozin was added to background therapy with</w:t>
      </w:r>
      <w:r>
        <w:t xml:space="preserve"> </w:t>
      </w:r>
      <w:r w:rsidRPr="00DC2936">
        <w:t>metformin and sitagliptin and when ertugliflozin and sitagliptin were co-administered as</w:t>
      </w:r>
      <w:r>
        <w:t xml:space="preserve"> </w:t>
      </w:r>
      <w:r w:rsidRPr="00DC2936">
        <w:t>initial therapy after diet and exercise alone. These results suggest that the safety and</w:t>
      </w:r>
      <w:r>
        <w:t xml:space="preserve"> </w:t>
      </w:r>
      <w:r w:rsidRPr="00DC2936">
        <w:t>tolerability of the ertugliflozin/sitagliptin FDC can be described based on those of the</w:t>
      </w:r>
      <w:r>
        <w:t xml:space="preserve"> </w:t>
      </w:r>
      <w:r w:rsidRPr="00DC2936">
        <w:t>individual components</w:t>
      </w:r>
      <w:r>
        <w:t>.</w:t>
      </w:r>
    </w:p>
    <w:p w:rsidR="00B37C25" w:rsidRDefault="00B37C25" w:rsidP="008948B2">
      <w:pPr>
        <w:pStyle w:val="Heading2"/>
      </w:pPr>
      <w:bookmarkStart w:id="498" w:name="_Toc504036162"/>
      <w:bookmarkStart w:id="499" w:name="_Toc4573602"/>
      <w:r>
        <w:t>First round benefit-risk assessment</w:t>
      </w:r>
      <w:bookmarkEnd w:id="498"/>
      <w:bookmarkEnd w:id="499"/>
    </w:p>
    <w:p w:rsidR="00B37C25" w:rsidRDefault="00B37C25" w:rsidP="008948B2">
      <w:pPr>
        <w:pStyle w:val="Heading3"/>
      </w:pPr>
      <w:bookmarkStart w:id="500" w:name="_Toc236802592"/>
      <w:bookmarkStart w:id="501" w:name="_Toc241374331"/>
      <w:bookmarkStart w:id="502" w:name="_Ref272160836"/>
      <w:bookmarkStart w:id="503" w:name="_Toc272414693"/>
      <w:bookmarkStart w:id="504" w:name="_Toc290888557"/>
      <w:bookmarkStart w:id="505" w:name="_Toc416353772"/>
      <w:bookmarkStart w:id="506" w:name="_Toc421005314"/>
      <w:bookmarkStart w:id="507" w:name="_Toc432079185"/>
      <w:bookmarkStart w:id="508" w:name="_Toc432080758"/>
      <w:bookmarkStart w:id="509" w:name="_Toc504036163"/>
      <w:bookmarkStart w:id="510" w:name="_Toc4573603"/>
      <w:r w:rsidRPr="00545B14">
        <w:t xml:space="preserve">First round assessment of </w:t>
      </w:r>
      <w:r w:rsidRPr="000D5752">
        <w:t>benefits</w:t>
      </w:r>
      <w:bookmarkEnd w:id="500"/>
      <w:bookmarkEnd w:id="501"/>
      <w:bookmarkEnd w:id="502"/>
      <w:bookmarkEnd w:id="503"/>
      <w:bookmarkEnd w:id="504"/>
      <w:bookmarkEnd w:id="505"/>
      <w:bookmarkEnd w:id="506"/>
      <w:bookmarkEnd w:id="507"/>
      <w:bookmarkEnd w:id="508"/>
      <w:bookmarkEnd w:id="509"/>
      <w:bookmarkEnd w:id="510"/>
    </w:p>
    <w:p w:rsidR="004B0649" w:rsidRPr="004B0649" w:rsidRDefault="004B0649" w:rsidP="004B0649">
      <w:pPr>
        <w:pStyle w:val="Tabletitle"/>
        <w:rPr>
          <w:lang w:eastAsia="ja-JP"/>
        </w:rPr>
      </w:pPr>
      <w:r>
        <w:rPr>
          <w:lang w:eastAsia="ja-JP"/>
        </w:rPr>
        <w:t xml:space="preserve">Table 21: </w:t>
      </w:r>
      <w:r w:rsidRPr="00545B14">
        <w:t xml:space="preserve">First round assessment of </w:t>
      </w:r>
      <w:r w:rsidRPr="000D5752">
        <w:t>benefits</w:t>
      </w:r>
    </w:p>
    <w:tbl>
      <w:tblPr>
        <w:tblStyle w:val="TableTGAblue"/>
        <w:tblW w:w="0" w:type="auto"/>
        <w:tblLook w:val="04A0" w:firstRow="1" w:lastRow="0" w:firstColumn="1" w:lastColumn="0" w:noHBand="0" w:noVBand="1"/>
      </w:tblPr>
      <w:tblGrid>
        <w:gridCol w:w="4511"/>
        <w:gridCol w:w="4278"/>
      </w:tblGrid>
      <w:tr w:rsidR="00B37C25" w:rsidRPr="00C37A1D" w:rsidTr="004A75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11" w:type="dxa"/>
          </w:tcPr>
          <w:p w:rsidR="00B37C25" w:rsidRPr="004D7DDA" w:rsidRDefault="00B37C25" w:rsidP="008948B2">
            <w:pPr>
              <w:rPr>
                <w:b w:val="0"/>
                <w:sz w:val="20"/>
                <w:szCs w:val="20"/>
              </w:rPr>
            </w:pPr>
            <w:r w:rsidRPr="004D7DDA">
              <w:rPr>
                <w:sz w:val="20"/>
                <w:szCs w:val="20"/>
              </w:rPr>
              <w:t>Benefits</w:t>
            </w:r>
          </w:p>
        </w:tc>
        <w:tc>
          <w:tcPr>
            <w:tcW w:w="4278" w:type="dxa"/>
          </w:tcPr>
          <w:p w:rsidR="00B37C25" w:rsidRPr="004D7DDA" w:rsidRDefault="00B37C25" w:rsidP="008948B2">
            <w:pPr>
              <w:cnfStyle w:val="100000000000" w:firstRow="1" w:lastRow="0" w:firstColumn="0" w:lastColumn="0" w:oddVBand="0" w:evenVBand="0" w:oddHBand="0" w:evenHBand="0" w:firstRowFirstColumn="0" w:firstRowLastColumn="0" w:lastRowFirstColumn="0" w:lastRowLastColumn="0"/>
              <w:rPr>
                <w:b w:val="0"/>
                <w:sz w:val="20"/>
                <w:szCs w:val="20"/>
              </w:rPr>
            </w:pPr>
            <w:r w:rsidRPr="004D7DDA">
              <w:rPr>
                <w:sz w:val="20"/>
                <w:szCs w:val="20"/>
              </w:rPr>
              <w:t>Strengths and Uncertainties</w:t>
            </w:r>
          </w:p>
        </w:tc>
      </w:tr>
      <w:tr w:rsidR="00B37C25" w:rsidRPr="00C37A1D" w:rsidTr="004A75C1">
        <w:tc>
          <w:tcPr>
            <w:cnfStyle w:val="001000000000" w:firstRow="0" w:lastRow="0" w:firstColumn="1" w:lastColumn="0" w:oddVBand="0" w:evenVBand="0" w:oddHBand="0" w:evenHBand="0" w:firstRowFirstColumn="0" w:firstRowLastColumn="0" w:lastRowFirstColumn="0" w:lastRowLastColumn="0"/>
            <w:tcW w:w="4511" w:type="dxa"/>
          </w:tcPr>
          <w:p w:rsidR="00B37C25" w:rsidRPr="008948B2" w:rsidRDefault="00B37C25" w:rsidP="00C14E6F">
            <w:pPr>
              <w:rPr>
                <w:sz w:val="20"/>
                <w:szCs w:val="20"/>
              </w:rPr>
            </w:pPr>
            <w:r w:rsidRPr="008948B2">
              <w:rPr>
                <w:sz w:val="20"/>
                <w:szCs w:val="20"/>
              </w:rPr>
              <w:t xml:space="preserve">Combination of ertugliflozin+sitagliptin provides greater improvements (reductions) in </w:t>
            </w:r>
            <w:r w:rsidR="00C14E6F" w:rsidRPr="008948B2">
              <w:rPr>
                <w:sz w:val="20"/>
                <w:szCs w:val="20"/>
              </w:rPr>
              <w:t>HbA1</w:t>
            </w:r>
            <w:r w:rsidR="00C14E6F">
              <w:rPr>
                <w:sz w:val="20"/>
                <w:szCs w:val="20"/>
              </w:rPr>
              <w:t>c</w:t>
            </w:r>
            <w:r w:rsidRPr="008948B2">
              <w:rPr>
                <w:sz w:val="20"/>
                <w:szCs w:val="20"/>
              </w:rPr>
              <w:t>, FPG, body weight and SBP compared to individual agents</w:t>
            </w:r>
            <w:r w:rsidR="006A6A92">
              <w:rPr>
                <w:sz w:val="20"/>
                <w:szCs w:val="20"/>
              </w:rPr>
              <w:t>.</w:t>
            </w:r>
          </w:p>
        </w:tc>
        <w:tc>
          <w:tcPr>
            <w:tcW w:w="4278" w:type="dxa"/>
          </w:tcPr>
          <w:p w:rsidR="00B37C25" w:rsidRPr="008948B2" w:rsidRDefault="00B37C25" w:rsidP="008948B2">
            <w:pPr>
              <w:cnfStyle w:val="000000000000" w:firstRow="0" w:lastRow="0" w:firstColumn="0" w:lastColumn="0" w:oddVBand="0" w:evenVBand="0" w:oddHBand="0" w:evenHBand="0" w:firstRowFirstColumn="0" w:firstRowLastColumn="0" w:lastRowFirstColumn="0" w:lastRowLastColumn="0"/>
              <w:rPr>
                <w:sz w:val="20"/>
                <w:szCs w:val="20"/>
              </w:rPr>
            </w:pPr>
            <w:r w:rsidRPr="008948B2">
              <w:rPr>
                <w:sz w:val="20"/>
                <w:szCs w:val="20"/>
              </w:rPr>
              <w:t>Efficacy only established up to 26 weeks.</w:t>
            </w:r>
          </w:p>
        </w:tc>
      </w:tr>
      <w:tr w:rsidR="00B37C25" w:rsidRPr="00C37A1D" w:rsidTr="004A75C1">
        <w:tc>
          <w:tcPr>
            <w:cnfStyle w:val="001000000000" w:firstRow="0" w:lastRow="0" w:firstColumn="1" w:lastColumn="0" w:oddVBand="0" w:evenVBand="0" w:oddHBand="0" w:evenHBand="0" w:firstRowFirstColumn="0" w:firstRowLastColumn="0" w:lastRowFirstColumn="0" w:lastRowLastColumn="0"/>
            <w:tcW w:w="4511" w:type="dxa"/>
          </w:tcPr>
          <w:p w:rsidR="00B37C25" w:rsidRPr="008948B2" w:rsidRDefault="00B37C25" w:rsidP="00C14E6F">
            <w:pPr>
              <w:rPr>
                <w:rFonts w:eastAsia="TimesNewRoman,Bold"/>
                <w:sz w:val="20"/>
                <w:szCs w:val="20"/>
              </w:rPr>
            </w:pPr>
            <w:r w:rsidRPr="008948B2">
              <w:rPr>
                <w:rFonts w:eastAsiaTheme="minorHAnsi"/>
                <w:sz w:val="20"/>
                <w:szCs w:val="20"/>
              </w:rPr>
              <w:t xml:space="preserve">In subjects with T2DM and inadequate glycaemic control on diet and exercise, treatment with the initial combination of </w:t>
            </w:r>
            <w:r w:rsidRPr="008948B2">
              <w:rPr>
                <w:rFonts w:eastAsiaTheme="minorHAnsi"/>
                <w:sz w:val="20"/>
                <w:szCs w:val="20"/>
              </w:rPr>
              <w:lastRenderedPageBreak/>
              <w:t xml:space="preserve">ertugliflozin (5 mg </w:t>
            </w:r>
            <w:r w:rsidR="00D53EC4" w:rsidRPr="008948B2">
              <w:rPr>
                <w:rFonts w:eastAsiaTheme="minorHAnsi"/>
                <w:sz w:val="20"/>
                <w:szCs w:val="20"/>
              </w:rPr>
              <w:t>QD</w:t>
            </w:r>
            <w:r w:rsidRPr="008948B2">
              <w:rPr>
                <w:rFonts w:eastAsiaTheme="minorHAnsi"/>
                <w:sz w:val="20"/>
                <w:szCs w:val="20"/>
              </w:rPr>
              <w:t xml:space="preserve"> or 15</w:t>
            </w:r>
            <w:r w:rsidR="00C14E6F">
              <w:rPr>
                <w:rFonts w:eastAsiaTheme="minorHAnsi"/>
                <w:sz w:val="20"/>
                <w:szCs w:val="20"/>
              </w:rPr>
              <w:t> </w:t>
            </w:r>
            <w:r w:rsidRPr="008948B2">
              <w:rPr>
                <w:rFonts w:eastAsiaTheme="minorHAnsi"/>
                <w:sz w:val="20"/>
                <w:szCs w:val="20"/>
              </w:rPr>
              <w:t xml:space="preserve">mg </w:t>
            </w:r>
            <w:r w:rsidR="00D53EC4" w:rsidRPr="008948B2">
              <w:rPr>
                <w:rFonts w:eastAsiaTheme="minorHAnsi"/>
                <w:sz w:val="20"/>
                <w:szCs w:val="20"/>
              </w:rPr>
              <w:t>QD</w:t>
            </w:r>
            <w:r w:rsidRPr="008948B2">
              <w:rPr>
                <w:rFonts w:eastAsiaTheme="minorHAnsi"/>
                <w:sz w:val="20"/>
                <w:szCs w:val="20"/>
              </w:rPr>
              <w:t xml:space="preserve">) and sitagliptin 100 mg </w:t>
            </w:r>
            <w:r w:rsidR="00D53EC4" w:rsidRPr="008948B2">
              <w:rPr>
                <w:rFonts w:eastAsiaTheme="minorHAnsi"/>
                <w:sz w:val="20"/>
                <w:szCs w:val="20"/>
              </w:rPr>
              <w:t>QD</w:t>
            </w:r>
            <w:r w:rsidRPr="008948B2">
              <w:rPr>
                <w:rFonts w:eastAsiaTheme="minorHAnsi"/>
                <w:sz w:val="20"/>
                <w:szCs w:val="20"/>
              </w:rPr>
              <w:t xml:space="preserve"> for 26</w:t>
            </w:r>
            <w:r w:rsidR="00C14E6F">
              <w:rPr>
                <w:rFonts w:eastAsiaTheme="minorHAnsi"/>
                <w:sz w:val="20"/>
                <w:szCs w:val="20"/>
              </w:rPr>
              <w:t> </w:t>
            </w:r>
            <w:r w:rsidRPr="008948B2">
              <w:rPr>
                <w:rFonts w:eastAsiaTheme="minorHAnsi"/>
                <w:sz w:val="20"/>
                <w:szCs w:val="20"/>
              </w:rPr>
              <w:t xml:space="preserve">weeks provides clinically meaningful reductions from baseline in </w:t>
            </w:r>
            <w:r w:rsidR="00C14E6F" w:rsidRPr="008948B2">
              <w:rPr>
                <w:rFonts w:eastAsiaTheme="minorHAnsi"/>
                <w:sz w:val="20"/>
                <w:szCs w:val="20"/>
              </w:rPr>
              <w:t>A1</w:t>
            </w:r>
            <w:r w:rsidR="00C14E6F">
              <w:rPr>
                <w:rFonts w:eastAsiaTheme="minorHAnsi"/>
                <w:sz w:val="20"/>
                <w:szCs w:val="20"/>
              </w:rPr>
              <w:t>c</w:t>
            </w:r>
            <w:r w:rsidRPr="008948B2">
              <w:rPr>
                <w:rFonts w:eastAsiaTheme="minorHAnsi"/>
                <w:sz w:val="20"/>
                <w:szCs w:val="20"/>
              </w:rPr>
              <w:t>, FPG, and 2-hour PMG relative to placebo.</w:t>
            </w:r>
          </w:p>
        </w:tc>
        <w:tc>
          <w:tcPr>
            <w:tcW w:w="4278" w:type="dxa"/>
          </w:tcPr>
          <w:p w:rsidR="00B37C25" w:rsidRPr="008948B2" w:rsidRDefault="00B37C25" w:rsidP="008948B2">
            <w:pPr>
              <w:cnfStyle w:val="000000000000" w:firstRow="0" w:lastRow="0" w:firstColumn="0" w:lastColumn="0" w:oddVBand="0" w:evenVBand="0" w:oddHBand="0" w:evenHBand="0" w:firstRowFirstColumn="0" w:firstRowLastColumn="0" w:lastRowFirstColumn="0" w:lastRowLastColumn="0"/>
              <w:rPr>
                <w:sz w:val="20"/>
                <w:szCs w:val="20"/>
              </w:rPr>
            </w:pPr>
          </w:p>
        </w:tc>
      </w:tr>
      <w:tr w:rsidR="00B37C25" w:rsidRPr="00C37A1D" w:rsidTr="004A75C1">
        <w:tc>
          <w:tcPr>
            <w:cnfStyle w:val="001000000000" w:firstRow="0" w:lastRow="0" w:firstColumn="1" w:lastColumn="0" w:oddVBand="0" w:evenVBand="0" w:oddHBand="0" w:evenHBand="0" w:firstRowFirstColumn="0" w:firstRowLastColumn="0" w:lastRowFirstColumn="0" w:lastRowLastColumn="0"/>
            <w:tcW w:w="4511" w:type="dxa"/>
          </w:tcPr>
          <w:p w:rsidR="00B37C25" w:rsidRPr="008948B2" w:rsidRDefault="00B37C25" w:rsidP="00C14E6F">
            <w:pPr>
              <w:rPr>
                <w:sz w:val="20"/>
                <w:szCs w:val="20"/>
              </w:rPr>
            </w:pPr>
            <w:r w:rsidRPr="008948B2">
              <w:rPr>
                <w:rFonts w:eastAsiaTheme="minorHAnsi"/>
                <w:sz w:val="20"/>
                <w:szCs w:val="20"/>
              </w:rPr>
              <w:lastRenderedPageBreak/>
              <w:t>Initial combination treatment with</w:t>
            </w:r>
            <w:r w:rsidR="006F48AD" w:rsidRPr="008948B2">
              <w:rPr>
                <w:rFonts w:eastAsiaTheme="minorHAnsi"/>
                <w:sz w:val="20"/>
                <w:szCs w:val="20"/>
              </w:rPr>
              <w:t xml:space="preserve"> </w:t>
            </w:r>
            <w:r w:rsidRPr="008948B2">
              <w:rPr>
                <w:rFonts w:eastAsiaTheme="minorHAnsi"/>
                <w:sz w:val="20"/>
                <w:szCs w:val="20"/>
              </w:rPr>
              <w:t>ertugliflozin (5</w:t>
            </w:r>
            <w:r w:rsidR="006A6A92">
              <w:rPr>
                <w:rFonts w:eastAsiaTheme="minorHAnsi"/>
                <w:sz w:val="20"/>
                <w:szCs w:val="20"/>
              </w:rPr>
              <w:t> </w:t>
            </w:r>
            <w:r w:rsidRPr="008948B2">
              <w:rPr>
                <w:rFonts w:eastAsiaTheme="minorHAnsi"/>
                <w:sz w:val="20"/>
                <w:szCs w:val="20"/>
              </w:rPr>
              <w:t xml:space="preserve">mg </w:t>
            </w:r>
            <w:r w:rsidR="00D53EC4" w:rsidRPr="008948B2">
              <w:rPr>
                <w:rFonts w:eastAsiaTheme="minorHAnsi"/>
                <w:sz w:val="20"/>
                <w:szCs w:val="20"/>
              </w:rPr>
              <w:t>QD</w:t>
            </w:r>
            <w:r w:rsidRPr="008948B2">
              <w:rPr>
                <w:rFonts w:eastAsiaTheme="minorHAnsi"/>
                <w:sz w:val="20"/>
                <w:szCs w:val="20"/>
              </w:rPr>
              <w:t xml:space="preserve"> or 15 mg </w:t>
            </w:r>
            <w:r w:rsidR="00D53EC4" w:rsidRPr="008948B2">
              <w:rPr>
                <w:rFonts w:eastAsiaTheme="minorHAnsi"/>
                <w:sz w:val="20"/>
                <w:szCs w:val="20"/>
              </w:rPr>
              <w:t>QD</w:t>
            </w:r>
            <w:r w:rsidRPr="008948B2">
              <w:rPr>
                <w:rFonts w:eastAsiaTheme="minorHAnsi"/>
                <w:sz w:val="20"/>
                <w:szCs w:val="20"/>
              </w:rPr>
              <w:t xml:space="preserve">) and sitagliptin 100 mg </w:t>
            </w:r>
            <w:r w:rsidR="00D53EC4" w:rsidRPr="008948B2">
              <w:rPr>
                <w:rFonts w:eastAsiaTheme="minorHAnsi"/>
                <w:sz w:val="20"/>
                <w:szCs w:val="20"/>
              </w:rPr>
              <w:t>QD</w:t>
            </w:r>
            <w:r w:rsidRPr="008948B2">
              <w:rPr>
                <w:rFonts w:eastAsiaTheme="minorHAnsi"/>
                <w:sz w:val="20"/>
                <w:szCs w:val="20"/>
              </w:rPr>
              <w:t xml:space="preserve"> for 26 weeks In subjects with T2DM and inadequate glycaemic control on diet and exercise, treatment provides clinically meaningful reductions from baseline in </w:t>
            </w:r>
            <w:r w:rsidR="00C14E6F" w:rsidRPr="008948B2">
              <w:rPr>
                <w:rFonts w:eastAsiaTheme="minorHAnsi"/>
                <w:sz w:val="20"/>
                <w:szCs w:val="20"/>
              </w:rPr>
              <w:t>A1</w:t>
            </w:r>
            <w:r w:rsidR="00C14E6F">
              <w:rPr>
                <w:rFonts w:eastAsiaTheme="minorHAnsi"/>
                <w:sz w:val="20"/>
                <w:szCs w:val="20"/>
              </w:rPr>
              <w:t>c</w:t>
            </w:r>
            <w:r w:rsidRPr="008948B2">
              <w:rPr>
                <w:rFonts w:eastAsiaTheme="minorHAnsi"/>
                <w:sz w:val="20"/>
                <w:szCs w:val="20"/>
              </w:rPr>
              <w:t>, FPG, and 2</w:t>
            </w:r>
            <w:r w:rsidR="00C14E6F">
              <w:rPr>
                <w:rFonts w:eastAsiaTheme="minorHAnsi"/>
                <w:sz w:val="20"/>
                <w:szCs w:val="20"/>
              </w:rPr>
              <w:t> </w:t>
            </w:r>
            <w:r w:rsidRPr="008948B2">
              <w:rPr>
                <w:rFonts w:eastAsiaTheme="minorHAnsi"/>
                <w:sz w:val="20"/>
                <w:szCs w:val="20"/>
              </w:rPr>
              <w:t>hour PMG, body weight and SBP relative to placebo.</w:t>
            </w:r>
          </w:p>
        </w:tc>
        <w:tc>
          <w:tcPr>
            <w:tcW w:w="4278" w:type="dxa"/>
          </w:tcPr>
          <w:p w:rsidR="00B37C25" w:rsidRPr="008948B2" w:rsidRDefault="00B37C25" w:rsidP="008948B2">
            <w:pPr>
              <w:cnfStyle w:val="000000000000" w:firstRow="0" w:lastRow="0" w:firstColumn="0" w:lastColumn="0" w:oddVBand="0" w:evenVBand="0" w:oddHBand="0" w:evenHBand="0" w:firstRowFirstColumn="0" w:firstRowLastColumn="0" w:lastRowFirstColumn="0" w:lastRowLastColumn="0"/>
              <w:rPr>
                <w:sz w:val="20"/>
                <w:szCs w:val="20"/>
              </w:rPr>
            </w:pPr>
          </w:p>
        </w:tc>
      </w:tr>
      <w:tr w:rsidR="00B37C25" w:rsidRPr="00C37A1D" w:rsidTr="004A75C1">
        <w:tc>
          <w:tcPr>
            <w:cnfStyle w:val="001000000000" w:firstRow="0" w:lastRow="0" w:firstColumn="1" w:lastColumn="0" w:oddVBand="0" w:evenVBand="0" w:oddHBand="0" w:evenHBand="0" w:firstRowFirstColumn="0" w:firstRowLastColumn="0" w:lastRowFirstColumn="0" w:lastRowLastColumn="0"/>
            <w:tcW w:w="4511" w:type="dxa"/>
          </w:tcPr>
          <w:p w:rsidR="00B37C25" w:rsidRPr="008948B2" w:rsidRDefault="00B37C25" w:rsidP="008948B2">
            <w:pPr>
              <w:rPr>
                <w:sz w:val="20"/>
                <w:szCs w:val="20"/>
              </w:rPr>
            </w:pPr>
            <w:r w:rsidRPr="008948B2">
              <w:rPr>
                <w:rFonts w:eastAsia="TimesNewRoman,Bold"/>
                <w:sz w:val="20"/>
                <w:szCs w:val="20"/>
              </w:rPr>
              <w:t>Simple once daily oral dosing may improve treatment compliance.</w:t>
            </w:r>
          </w:p>
        </w:tc>
        <w:tc>
          <w:tcPr>
            <w:tcW w:w="4278" w:type="dxa"/>
          </w:tcPr>
          <w:p w:rsidR="00B37C25" w:rsidRPr="008948B2" w:rsidRDefault="00B37C25" w:rsidP="008948B2">
            <w:pPr>
              <w:cnfStyle w:val="000000000000" w:firstRow="0" w:lastRow="0" w:firstColumn="0" w:lastColumn="0" w:oddVBand="0" w:evenVBand="0" w:oddHBand="0" w:evenHBand="0" w:firstRowFirstColumn="0" w:firstRowLastColumn="0" w:lastRowFirstColumn="0" w:lastRowLastColumn="0"/>
              <w:rPr>
                <w:sz w:val="20"/>
                <w:szCs w:val="20"/>
              </w:rPr>
            </w:pPr>
            <w:r w:rsidRPr="008948B2">
              <w:rPr>
                <w:sz w:val="20"/>
                <w:szCs w:val="20"/>
              </w:rPr>
              <w:t>Actual effect on treatment compliance not assessed.</w:t>
            </w:r>
          </w:p>
        </w:tc>
      </w:tr>
      <w:tr w:rsidR="00B37C25" w:rsidRPr="00C37A1D" w:rsidTr="004A75C1">
        <w:tc>
          <w:tcPr>
            <w:cnfStyle w:val="001000000000" w:firstRow="0" w:lastRow="0" w:firstColumn="1" w:lastColumn="0" w:oddVBand="0" w:evenVBand="0" w:oddHBand="0" w:evenHBand="0" w:firstRowFirstColumn="0" w:firstRowLastColumn="0" w:lastRowFirstColumn="0" w:lastRowLastColumn="0"/>
            <w:tcW w:w="4511" w:type="dxa"/>
          </w:tcPr>
          <w:p w:rsidR="00B37C25" w:rsidRPr="008948B2" w:rsidRDefault="00B37C25" w:rsidP="008948B2">
            <w:pPr>
              <w:rPr>
                <w:rFonts w:eastAsia="TimesNewRoman,Bold"/>
                <w:sz w:val="20"/>
                <w:szCs w:val="20"/>
              </w:rPr>
            </w:pPr>
            <w:r w:rsidRPr="008948B2">
              <w:rPr>
                <w:rFonts w:eastAsia="TimesNewRoman,Bold"/>
                <w:sz w:val="20"/>
                <w:szCs w:val="20"/>
              </w:rPr>
              <w:t xml:space="preserve">Insulin independent mechanism of action </w:t>
            </w:r>
          </w:p>
        </w:tc>
        <w:tc>
          <w:tcPr>
            <w:tcW w:w="4278" w:type="dxa"/>
          </w:tcPr>
          <w:p w:rsidR="00B37C25" w:rsidRPr="008948B2" w:rsidRDefault="00B37C25" w:rsidP="008948B2">
            <w:pPr>
              <w:cnfStyle w:val="000000000000" w:firstRow="0" w:lastRow="0" w:firstColumn="0" w:lastColumn="0" w:oddVBand="0" w:evenVBand="0" w:oddHBand="0" w:evenHBand="0" w:firstRowFirstColumn="0" w:firstRowLastColumn="0" w:lastRowFirstColumn="0" w:lastRowLastColumn="0"/>
              <w:rPr>
                <w:sz w:val="20"/>
                <w:szCs w:val="20"/>
              </w:rPr>
            </w:pPr>
            <w:r w:rsidRPr="008948B2">
              <w:rPr>
                <w:sz w:val="20"/>
                <w:szCs w:val="20"/>
              </w:rPr>
              <w:t>Efficacy of ertugliflozin is dependent on renal function.</w:t>
            </w:r>
          </w:p>
        </w:tc>
      </w:tr>
      <w:tr w:rsidR="00B37C25" w:rsidRPr="00C37A1D" w:rsidTr="004A75C1">
        <w:tc>
          <w:tcPr>
            <w:cnfStyle w:val="001000000000" w:firstRow="0" w:lastRow="0" w:firstColumn="1" w:lastColumn="0" w:oddVBand="0" w:evenVBand="0" w:oddHBand="0" w:evenHBand="0" w:firstRowFirstColumn="0" w:firstRowLastColumn="0" w:lastRowFirstColumn="0" w:lastRowLastColumn="0"/>
            <w:tcW w:w="4511" w:type="dxa"/>
          </w:tcPr>
          <w:p w:rsidR="00B37C25" w:rsidRPr="008948B2" w:rsidRDefault="00B37C25" w:rsidP="008948B2">
            <w:pPr>
              <w:rPr>
                <w:rFonts w:eastAsia="TimesNewRoman,Bold"/>
                <w:sz w:val="20"/>
                <w:szCs w:val="20"/>
              </w:rPr>
            </w:pPr>
            <w:r w:rsidRPr="008948B2">
              <w:rPr>
                <w:rFonts w:eastAsia="TimesNewRoman,Bold"/>
                <w:sz w:val="20"/>
                <w:szCs w:val="20"/>
              </w:rPr>
              <w:t xml:space="preserve">Overall, ertugliflozin </w:t>
            </w:r>
            <w:r w:rsidR="006F48AD" w:rsidRPr="008948B2">
              <w:rPr>
                <w:rFonts w:eastAsia="TimesNewRoman,Bold"/>
                <w:sz w:val="20"/>
                <w:szCs w:val="20"/>
              </w:rPr>
              <w:t>5 mg</w:t>
            </w:r>
            <w:r w:rsidRPr="008948B2">
              <w:rPr>
                <w:rFonts w:eastAsia="TimesNewRoman,Bold"/>
                <w:sz w:val="20"/>
                <w:szCs w:val="20"/>
              </w:rPr>
              <w:t xml:space="preserve"> and 1</w:t>
            </w:r>
            <w:r w:rsidR="006F48AD" w:rsidRPr="008948B2">
              <w:rPr>
                <w:rFonts w:eastAsia="TimesNewRoman,Bold"/>
                <w:sz w:val="20"/>
                <w:szCs w:val="20"/>
              </w:rPr>
              <w:t>5 mg</w:t>
            </w:r>
            <w:r w:rsidRPr="008948B2">
              <w:rPr>
                <w:rFonts w:eastAsia="TimesNewRoman,Bold"/>
                <w:sz w:val="20"/>
                <w:szCs w:val="20"/>
              </w:rPr>
              <w:t xml:space="preserve"> od was safe and well tolerated </w:t>
            </w:r>
          </w:p>
        </w:tc>
        <w:tc>
          <w:tcPr>
            <w:tcW w:w="4278" w:type="dxa"/>
          </w:tcPr>
          <w:p w:rsidR="00B37C25" w:rsidRPr="008948B2" w:rsidRDefault="00B37C25" w:rsidP="008948B2">
            <w:pPr>
              <w:cnfStyle w:val="000000000000" w:firstRow="0" w:lastRow="0" w:firstColumn="0" w:lastColumn="0" w:oddVBand="0" w:evenVBand="0" w:oddHBand="0" w:evenHBand="0" w:firstRowFirstColumn="0" w:firstRowLastColumn="0" w:lastRowFirstColumn="0" w:lastRowLastColumn="0"/>
              <w:rPr>
                <w:sz w:val="20"/>
                <w:szCs w:val="20"/>
              </w:rPr>
            </w:pPr>
            <w:r w:rsidRPr="008948B2">
              <w:rPr>
                <w:sz w:val="20"/>
                <w:szCs w:val="20"/>
              </w:rPr>
              <w:t>Dose-dependent increase in incidence of genital mycotic infections and elevated LDL-C.</w:t>
            </w:r>
          </w:p>
        </w:tc>
      </w:tr>
    </w:tbl>
    <w:p w:rsidR="00B37C25" w:rsidRDefault="00B37C25" w:rsidP="008948B2">
      <w:pPr>
        <w:pStyle w:val="Heading3"/>
      </w:pPr>
      <w:bookmarkStart w:id="511" w:name="_Toc236802596"/>
      <w:bookmarkStart w:id="512" w:name="_Toc241374334"/>
      <w:bookmarkStart w:id="513" w:name="_Ref272160964"/>
      <w:bookmarkStart w:id="514" w:name="_Toc272414694"/>
      <w:bookmarkStart w:id="515" w:name="_Toc290888558"/>
      <w:bookmarkStart w:id="516" w:name="_Toc416353773"/>
      <w:bookmarkStart w:id="517" w:name="_Toc421005315"/>
      <w:bookmarkStart w:id="518" w:name="_Toc432079186"/>
      <w:bookmarkStart w:id="519" w:name="_Toc432080759"/>
      <w:bookmarkStart w:id="520" w:name="_Ref503359885"/>
      <w:bookmarkStart w:id="521" w:name="_Toc504036164"/>
      <w:bookmarkStart w:id="522" w:name="_Toc4573604"/>
      <w:r w:rsidRPr="000D5752">
        <w:t>First round assessment of risks</w:t>
      </w:r>
      <w:bookmarkEnd w:id="511"/>
      <w:bookmarkEnd w:id="512"/>
      <w:bookmarkEnd w:id="513"/>
      <w:bookmarkEnd w:id="514"/>
      <w:bookmarkEnd w:id="515"/>
      <w:bookmarkEnd w:id="516"/>
      <w:bookmarkEnd w:id="517"/>
      <w:bookmarkEnd w:id="518"/>
      <w:bookmarkEnd w:id="519"/>
      <w:bookmarkEnd w:id="520"/>
      <w:bookmarkEnd w:id="521"/>
      <w:bookmarkEnd w:id="522"/>
    </w:p>
    <w:p w:rsidR="00B37C25" w:rsidRDefault="00B37C25" w:rsidP="00B37C25">
      <w:pPr>
        <w:rPr>
          <w:lang w:eastAsia="ja-JP"/>
        </w:rPr>
      </w:pPr>
      <w:r>
        <w:rPr>
          <w:lang w:eastAsia="ja-JP"/>
        </w:rPr>
        <w:t>The risks associated with ertugliflozin, the NCE in the proposed FDC of ertugliflozin+sitagliptin were discussed in the Steglatro report (PM-2017-01328-1-5</w:t>
      </w:r>
      <w:r w:rsidR="00C14E6F">
        <w:rPr>
          <w:lang w:eastAsia="ja-JP"/>
        </w:rPr>
        <w:t>, see Attachment 2</w:t>
      </w:r>
      <w:r>
        <w:rPr>
          <w:lang w:eastAsia="ja-JP"/>
        </w:rPr>
        <w:t>). However, main aspects have been mentioned below.</w:t>
      </w:r>
    </w:p>
    <w:p w:rsidR="004B0649" w:rsidRPr="004B0649" w:rsidRDefault="004B0649" w:rsidP="004B0649">
      <w:pPr>
        <w:pStyle w:val="Tabletitle"/>
        <w:rPr>
          <w:lang w:eastAsia="ja-JP"/>
        </w:rPr>
      </w:pPr>
      <w:r>
        <w:rPr>
          <w:lang w:eastAsia="ja-JP"/>
        </w:rPr>
        <w:t xml:space="preserve">Table 22: </w:t>
      </w:r>
      <w:r w:rsidRPr="00545B14">
        <w:t xml:space="preserve">First round assessment of </w:t>
      </w:r>
      <w:r>
        <w:t>risks</w:t>
      </w:r>
    </w:p>
    <w:tbl>
      <w:tblPr>
        <w:tblStyle w:val="TableGrid"/>
        <w:tblW w:w="0" w:type="auto"/>
        <w:tblInd w:w="108" w:type="dxa"/>
        <w:tblLook w:val="04A0" w:firstRow="1" w:lastRow="0" w:firstColumn="1" w:lastColumn="0" w:noHBand="0" w:noVBand="1"/>
      </w:tblPr>
      <w:tblGrid>
        <w:gridCol w:w="4395"/>
        <w:gridCol w:w="4394"/>
      </w:tblGrid>
      <w:tr w:rsidR="00B37C25" w:rsidRPr="00094C82" w:rsidTr="00B37C25">
        <w:trPr>
          <w:tblHeader/>
        </w:trPr>
        <w:tc>
          <w:tcPr>
            <w:tcW w:w="4395" w:type="dxa"/>
            <w:shd w:val="clear" w:color="auto" w:fill="006DA7" w:themeFill="accent3"/>
          </w:tcPr>
          <w:p w:rsidR="00B37C25" w:rsidRPr="004D7DDA" w:rsidRDefault="00B37C25" w:rsidP="004D7DDA">
            <w:pPr>
              <w:rPr>
                <w:b/>
                <w:color w:val="FFFFFF" w:themeColor="background1"/>
                <w:sz w:val="20"/>
                <w:szCs w:val="20"/>
              </w:rPr>
            </w:pPr>
            <w:r w:rsidRPr="004D7DDA">
              <w:rPr>
                <w:b/>
                <w:color w:val="FFFFFF" w:themeColor="background1"/>
                <w:sz w:val="20"/>
                <w:szCs w:val="20"/>
              </w:rPr>
              <w:t>Risks</w:t>
            </w:r>
          </w:p>
        </w:tc>
        <w:tc>
          <w:tcPr>
            <w:tcW w:w="4394" w:type="dxa"/>
            <w:shd w:val="clear" w:color="auto" w:fill="006DA7" w:themeFill="accent3"/>
          </w:tcPr>
          <w:p w:rsidR="00B37C25" w:rsidRPr="004D7DDA" w:rsidRDefault="00B37C25" w:rsidP="004D7DDA">
            <w:pPr>
              <w:rPr>
                <w:b/>
                <w:color w:val="FFFFFF" w:themeColor="background1"/>
                <w:sz w:val="20"/>
                <w:szCs w:val="20"/>
              </w:rPr>
            </w:pPr>
            <w:r w:rsidRPr="004D7DDA">
              <w:rPr>
                <w:b/>
                <w:color w:val="FFFFFF" w:themeColor="background1"/>
                <w:sz w:val="20"/>
                <w:szCs w:val="20"/>
              </w:rPr>
              <w:t>Strengths and Uncertainties</w:t>
            </w:r>
          </w:p>
        </w:tc>
      </w:tr>
      <w:tr w:rsidR="00B37C25" w:rsidRPr="00C37A1D" w:rsidTr="00B37C25">
        <w:tc>
          <w:tcPr>
            <w:tcW w:w="4395" w:type="dxa"/>
          </w:tcPr>
          <w:p w:rsidR="00B37C25" w:rsidRPr="004D7DDA" w:rsidRDefault="00B37C25" w:rsidP="004D7DDA">
            <w:pPr>
              <w:rPr>
                <w:i/>
                <w:sz w:val="20"/>
                <w:szCs w:val="20"/>
              </w:rPr>
            </w:pPr>
            <w:r w:rsidRPr="004D7DDA">
              <w:rPr>
                <w:rFonts w:eastAsia="TimesNewRoman"/>
                <w:sz w:val="20"/>
                <w:szCs w:val="20"/>
              </w:rPr>
              <w:t>Although CV met</w:t>
            </w:r>
            <w:r w:rsidR="004B0649">
              <w:rPr>
                <w:rFonts w:eastAsia="TimesNewRoman"/>
                <w:sz w:val="20"/>
                <w:szCs w:val="20"/>
              </w:rPr>
              <w:t>a-</w:t>
            </w:r>
            <w:r w:rsidRPr="004D7DDA">
              <w:rPr>
                <w:rFonts w:eastAsia="TimesNewRoman"/>
                <w:sz w:val="20"/>
                <w:szCs w:val="20"/>
              </w:rPr>
              <w:t xml:space="preserve">analysis of CV events in the </w:t>
            </w:r>
            <w:r w:rsidR="009B2F3C" w:rsidRPr="004D7DDA">
              <w:rPr>
                <w:rFonts w:eastAsia="TimesNewRoman"/>
                <w:sz w:val="20"/>
                <w:szCs w:val="20"/>
              </w:rPr>
              <w:t>Phase III</w:t>
            </w:r>
            <w:r w:rsidRPr="004D7DDA">
              <w:rPr>
                <w:rFonts w:eastAsia="TimesNewRoman"/>
                <w:sz w:val="20"/>
                <w:szCs w:val="20"/>
              </w:rPr>
              <w:t xml:space="preserve"> studies was conducted, results were not presented.</w:t>
            </w:r>
          </w:p>
        </w:tc>
        <w:tc>
          <w:tcPr>
            <w:tcW w:w="4394" w:type="dxa"/>
          </w:tcPr>
          <w:p w:rsidR="00B37C25" w:rsidRPr="004D7DDA" w:rsidRDefault="0013015A" w:rsidP="004D7DDA">
            <w:pPr>
              <w:rPr>
                <w:i/>
                <w:sz w:val="20"/>
                <w:szCs w:val="20"/>
                <w:u w:val="single"/>
              </w:rPr>
            </w:pPr>
            <w:r w:rsidRPr="004D7DDA">
              <w:rPr>
                <w:sz w:val="20"/>
                <w:szCs w:val="20"/>
              </w:rPr>
              <w:t>The sponsor</w:t>
            </w:r>
            <w:r w:rsidR="00B37C25" w:rsidRPr="004D7DDA">
              <w:rPr>
                <w:sz w:val="20"/>
                <w:szCs w:val="20"/>
              </w:rPr>
              <w:t xml:space="preserve"> has initiated a CV outcome </w:t>
            </w:r>
            <w:r w:rsidR="00BC7DA5" w:rsidRPr="004D7DDA">
              <w:rPr>
                <w:sz w:val="20"/>
                <w:szCs w:val="20"/>
              </w:rPr>
              <w:t>Study</w:t>
            </w:r>
            <w:r w:rsidR="00C14E6F">
              <w:rPr>
                <w:sz w:val="20"/>
                <w:szCs w:val="20"/>
              </w:rPr>
              <w:t> </w:t>
            </w:r>
            <w:r w:rsidR="00BC7DA5" w:rsidRPr="004D7DDA">
              <w:rPr>
                <w:sz w:val="20"/>
                <w:szCs w:val="20"/>
              </w:rPr>
              <w:t>P0</w:t>
            </w:r>
            <w:r w:rsidR="00B37C25" w:rsidRPr="004D7DDA">
              <w:rPr>
                <w:sz w:val="20"/>
                <w:szCs w:val="20"/>
              </w:rPr>
              <w:t>04/1021 to assess CV risks of ertugliflozin and it is expected to complete in 2019.</w:t>
            </w:r>
          </w:p>
        </w:tc>
      </w:tr>
      <w:tr w:rsidR="00B37C25" w:rsidRPr="00C37A1D" w:rsidTr="00B37C25">
        <w:tc>
          <w:tcPr>
            <w:tcW w:w="4395" w:type="dxa"/>
          </w:tcPr>
          <w:p w:rsidR="00B37C25" w:rsidRPr="004D7DDA" w:rsidRDefault="00B37C25" w:rsidP="004D7DDA">
            <w:pPr>
              <w:rPr>
                <w:rFonts w:eastAsia="TimesNewRoman"/>
                <w:sz w:val="20"/>
                <w:szCs w:val="20"/>
              </w:rPr>
            </w:pPr>
            <w:r w:rsidRPr="004D7DDA">
              <w:rPr>
                <w:sz w:val="20"/>
                <w:szCs w:val="20"/>
              </w:rPr>
              <w:t>Reduction in eGFR observed following ertugliflozin treatment with greater reduction in patients with moderate renal impairment. Incidence of renal-related AEs also higher.</w:t>
            </w:r>
          </w:p>
        </w:tc>
        <w:tc>
          <w:tcPr>
            <w:tcW w:w="4394" w:type="dxa"/>
          </w:tcPr>
          <w:p w:rsidR="00B37C25" w:rsidRPr="004D7DDA" w:rsidRDefault="00B37C25" w:rsidP="004D7DDA">
            <w:pPr>
              <w:rPr>
                <w:sz w:val="20"/>
                <w:szCs w:val="20"/>
              </w:rPr>
            </w:pPr>
          </w:p>
        </w:tc>
      </w:tr>
      <w:tr w:rsidR="00B37C25" w:rsidRPr="00C37A1D" w:rsidTr="00B37C25">
        <w:tc>
          <w:tcPr>
            <w:tcW w:w="4395" w:type="dxa"/>
          </w:tcPr>
          <w:p w:rsidR="00B37C25" w:rsidRPr="004D7DDA" w:rsidRDefault="00B37C25" w:rsidP="004D7DDA">
            <w:pPr>
              <w:rPr>
                <w:rFonts w:eastAsia="TimesNewRoman"/>
                <w:sz w:val="20"/>
                <w:szCs w:val="20"/>
              </w:rPr>
            </w:pPr>
            <w:r w:rsidRPr="004D7DDA">
              <w:rPr>
                <w:rFonts w:eastAsia="TimesNewRoman"/>
                <w:sz w:val="20"/>
                <w:szCs w:val="20"/>
              </w:rPr>
              <w:t xml:space="preserve">The incidence of volume depletion events was numerically higher in both ertugliflozin groups relative to the non-ertugliflozin group especially among subjects aged </w:t>
            </w:r>
            <w:r w:rsidR="00F7529C" w:rsidRPr="004D7DDA">
              <w:rPr>
                <w:rFonts w:eastAsia="TimesNewRoman"/>
                <w:sz w:val="20"/>
                <w:szCs w:val="20"/>
              </w:rPr>
              <w:t xml:space="preserve">&gt; </w:t>
            </w:r>
            <w:r w:rsidRPr="004D7DDA">
              <w:rPr>
                <w:rFonts w:eastAsia="TimesNewRoman"/>
                <w:sz w:val="20"/>
                <w:szCs w:val="20"/>
              </w:rPr>
              <w:t>65 years, with renal impairment and those on diuretics.</w:t>
            </w:r>
          </w:p>
        </w:tc>
        <w:tc>
          <w:tcPr>
            <w:tcW w:w="4394" w:type="dxa"/>
          </w:tcPr>
          <w:p w:rsidR="00B37C25" w:rsidRPr="004D7DDA" w:rsidRDefault="00B37C25" w:rsidP="004D7DDA">
            <w:pPr>
              <w:rPr>
                <w:i/>
                <w:sz w:val="20"/>
                <w:szCs w:val="20"/>
                <w:u w:val="single"/>
              </w:rPr>
            </w:pPr>
          </w:p>
        </w:tc>
      </w:tr>
      <w:tr w:rsidR="00B37C25" w:rsidRPr="00C37A1D" w:rsidTr="00B37C25">
        <w:tc>
          <w:tcPr>
            <w:tcW w:w="4395" w:type="dxa"/>
          </w:tcPr>
          <w:p w:rsidR="00B37C25" w:rsidRPr="004D7DDA" w:rsidRDefault="00B37C25" w:rsidP="004D7DDA">
            <w:pPr>
              <w:rPr>
                <w:i/>
                <w:sz w:val="20"/>
                <w:szCs w:val="20"/>
              </w:rPr>
            </w:pPr>
            <w:r w:rsidRPr="004D7DDA">
              <w:rPr>
                <w:rFonts w:eastAsia="TimesNewRoman"/>
                <w:sz w:val="20"/>
                <w:szCs w:val="20"/>
              </w:rPr>
              <w:t xml:space="preserve">The incidence of genital mycotic infections was </w:t>
            </w:r>
            <w:r w:rsidRPr="004D7DDA">
              <w:rPr>
                <w:rFonts w:eastAsia="TimesNewRoman"/>
                <w:sz w:val="20"/>
                <w:szCs w:val="20"/>
              </w:rPr>
              <w:lastRenderedPageBreak/>
              <w:t>higher in the ertugliflozin groups than in the non-ertugliflozin groups in both men and women. In female subjects, there was a modest dose-relationship.</w:t>
            </w:r>
          </w:p>
        </w:tc>
        <w:tc>
          <w:tcPr>
            <w:tcW w:w="4394" w:type="dxa"/>
          </w:tcPr>
          <w:p w:rsidR="00B37C25" w:rsidRPr="004D7DDA" w:rsidRDefault="00B37C25" w:rsidP="004D7DDA">
            <w:pPr>
              <w:rPr>
                <w:sz w:val="20"/>
                <w:szCs w:val="20"/>
              </w:rPr>
            </w:pPr>
            <w:r w:rsidRPr="004D7DDA">
              <w:rPr>
                <w:sz w:val="20"/>
                <w:szCs w:val="20"/>
              </w:rPr>
              <w:lastRenderedPageBreak/>
              <w:t xml:space="preserve">Incidence of complicated infections was low </w:t>
            </w:r>
            <w:r w:rsidRPr="004D7DDA">
              <w:rPr>
                <w:sz w:val="20"/>
                <w:szCs w:val="20"/>
              </w:rPr>
              <w:lastRenderedPageBreak/>
              <w:t>(&lt;</w:t>
            </w:r>
            <w:r w:rsidR="006A6A92">
              <w:rPr>
                <w:sz w:val="20"/>
                <w:szCs w:val="20"/>
              </w:rPr>
              <w:t> </w:t>
            </w:r>
            <w:r w:rsidRPr="004D7DDA">
              <w:rPr>
                <w:sz w:val="20"/>
                <w:szCs w:val="20"/>
              </w:rPr>
              <w:t xml:space="preserve">1%) but still higher in the ertugliflozin groups. </w:t>
            </w:r>
          </w:p>
        </w:tc>
      </w:tr>
      <w:tr w:rsidR="00B37C25" w:rsidRPr="00C37A1D" w:rsidTr="00B37C25">
        <w:tc>
          <w:tcPr>
            <w:tcW w:w="4395" w:type="dxa"/>
          </w:tcPr>
          <w:p w:rsidR="00B37C25" w:rsidRPr="004D7DDA" w:rsidRDefault="00B37C25" w:rsidP="004D7DDA">
            <w:pPr>
              <w:rPr>
                <w:sz w:val="20"/>
                <w:szCs w:val="20"/>
              </w:rPr>
            </w:pPr>
            <w:r w:rsidRPr="004D7DDA">
              <w:rPr>
                <w:sz w:val="20"/>
                <w:szCs w:val="20"/>
              </w:rPr>
              <w:lastRenderedPageBreak/>
              <w:t>Lack of evaluation of efficacy/ safety of ertugliflozin in combination with insulin, SUs and GLP-1 analogues.</w:t>
            </w:r>
          </w:p>
        </w:tc>
        <w:tc>
          <w:tcPr>
            <w:tcW w:w="4394" w:type="dxa"/>
          </w:tcPr>
          <w:p w:rsidR="00B37C25" w:rsidRPr="004D7DDA" w:rsidRDefault="00B37C25" w:rsidP="004D7DDA">
            <w:pPr>
              <w:rPr>
                <w:sz w:val="20"/>
                <w:szCs w:val="20"/>
              </w:rPr>
            </w:pPr>
          </w:p>
        </w:tc>
      </w:tr>
      <w:tr w:rsidR="00B37C25" w:rsidRPr="00C37A1D" w:rsidTr="00B37C25">
        <w:tc>
          <w:tcPr>
            <w:tcW w:w="4395" w:type="dxa"/>
          </w:tcPr>
          <w:p w:rsidR="00B37C25" w:rsidRPr="004D7DDA" w:rsidRDefault="00B37C25" w:rsidP="004D7DDA">
            <w:pPr>
              <w:rPr>
                <w:rFonts w:eastAsia="TimesNewRoman"/>
                <w:sz w:val="20"/>
                <w:szCs w:val="20"/>
              </w:rPr>
            </w:pPr>
            <w:r w:rsidRPr="004D7DDA">
              <w:rPr>
                <w:rFonts w:eastAsia="TimesNewRoman"/>
                <w:sz w:val="20"/>
                <w:szCs w:val="20"/>
              </w:rPr>
              <w:t xml:space="preserve">None of the </w:t>
            </w:r>
            <w:r w:rsidR="009B2F3C" w:rsidRPr="004D7DDA">
              <w:rPr>
                <w:rFonts w:eastAsia="TimesNewRoman"/>
                <w:sz w:val="20"/>
                <w:szCs w:val="20"/>
              </w:rPr>
              <w:t>Phase II</w:t>
            </w:r>
            <w:r w:rsidRPr="004D7DDA">
              <w:rPr>
                <w:rFonts w:eastAsia="TimesNewRoman"/>
                <w:sz w:val="20"/>
                <w:szCs w:val="20"/>
              </w:rPr>
              <w:t xml:space="preserve"> dose ranging studies evaluated the proposed 1</w:t>
            </w:r>
            <w:r w:rsidR="006F48AD" w:rsidRPr="004D7DDA">
              <w:rPr>
                <w:rFonts w:eastAsia="TimesNewRoman"/>
                <w:sz w:val="20"/>
                <w:szCs w:val="20"/>
              </w:rPr>
              <w:t>5 mg</w:t>
            </w:r>
            <w:r w:rsidRPr="004D7DDA">
              <w:rPr>
                <w:rFonts w:eastAsia="TimesNewRoman"/>
                <w:sz w:val="20"/>
                <w:szCs w:val="20"/>
              </w:rPr>
              <w:t xml:space="preserve"> dose of ertugliflozin.</w:t>
            </w:r>
          </w:p>
        </w:tc>
        <w:tc>
          <w:tcPr>
            <w:tcW w:w="4394" w:type="dxa"/>
          </w:tcPr>
          <w:p w:rsidR="00B37C25" w:rsidRPr="004D7DDA" w:rsidRDefault="00B37C25" w:rsidP="004D7DDA">
            <w:pPr>
              <w:rPr>
                <w:sz w:val="20"/>
                <w:szCs w:val="20"/>
              </w:rPr>
            </w:pPr>
          </w:p>
        </w:tc>
      </w:tr>
      <w:tr w:rsidR="00B37C25" w:rsidRPr="00C37A1D" w:rsidTr="00B37C25">
        <w:tc>
          <w:tcPr>
            <w:tcW w:w="4395" w:type="dxa"/>
          </w:tcPr>
          <w:p w:rsidR="00B37C25" w:rsidRPr="004D7DDA" w:rsidRDefault="00B37C25" w:rsidP="004D7DDA">
            <w:pPr>
              <w:rPr>
                <w:sz w:val="20"/>
                <w:szCs w:val="20"/>
              </w:rPr>
            </w:pPr>
            <w:r w:rsidRPr="004D7DDA">
              <w:rPr>
                <w:sz w:val="20"/>
                <w:szCs w:val="20"/>
              </w:rPr>
              <w:t>Lack of evidence to support long term maintenance of efficacy of ertugliflozin</w:t>
            </w:r>
            <w:r w:rsidR="00C14E6F">
              <w:rPr>
                <w:sz w:val="20"/>
                <w:szCs w:val="20"/>
              </w:rPr>
              <w:t xml:space="preserve"> </w:t>
            </w:r>
            <w:r w:rsidRPr="004D7DDA">
              <w:rPr>
                <w:sz w:val="20"/>
                <w:szCs w:val="20"/>
              </w:rPr>
              <w:t>+</w:t>
            </w:r>
            <w:r w:rsidR="00C14E6F">
              <w:rPr>
                <w:sz w:val="20"/>
                <w:szCs w:val="20"/>
              </w:rPr>
              <w:t xml:space="preserve"> </w:t>
            </w:r>
            <w:r w:rsidRPr="004D7DDA">
              <w:rPr>
                <w:sz w:val="20"/>
                <w:szCs w:val="20"/>
              </w:rPr>
              <w:t>sitagliptin</w:t>
            </w:r>
            <w:r w:rsidR="006F48AD" w:rsidRPr="004D7DDA">
              <w:rPr>
                <w:sz w:val="20"/>
                <w:szCs w:val="20"/>
              </w:rPr>
              <w:t xml:space="preserve"> </w:t>
            </w:r>
            <w:r w:rsidRPr="004D7DDA">
              <w:rPr>
                <w:sz w:val="20"/>
                <w:szCs w:val="20"/>
              </w:rPr>
              <w:t>beyond 26 weeks</w:t>
            </w:r>
            <w:r w:rsidR="006A6A92">
              <w:rPr>
                <w:sz w:val="20"/>
                <w:szCs w:val="20"/>
              </w:rPr>
              <w:t>.</w:t>
            </w:r>
          </w:p>
        </w:tc>
        <w:tc>
          <w:tcPr>
            <w:tcW w:w="4394" w:type="dxa"/>
          </w:tcPr>
          <w:p w:rsidR="00B37C25" w:rsidRPr="004D7DDA" w:rsidRDefault="00B37C25" w:rsidP="004D7DDA">
            <w:pPr>
              <w:rPr>
                <w:sz w:val="20"/>
                <w:szCs w:val="20"/>
              </w:rPr>
            </w:pPr>
            <w:r w:rsidRPr="004D7DDA">
              <w:rPr>
                <w:sz w:val="20"/>
                <w:szCs w:val="20"/>
              </w:rPr>
              <w:t>Phase B of 2 of the 3 studies submitted to support proposed FDC should help address lack of data on long term efficacy.</w:t>
            </w:r>
          </w:p>
        </w:tc>
      </w:tr>
    </w:tbl>
    <w:p w:rsidR="00B37C25" w:rsidRPr="00545B14" w:rsidRDefault="00B37C25" w:rsidP="004D7DDA">
      <w:pPr>
        <w:pStyle w:val="Heading3"/>
      </w:pPr>
      <w:bookmarkStart w:id="523" w:name="_Toc236802597"/>
      <w:bookmarkStart w:id="524" w:name="_Toc241374335"/>
      <w:bookmarkStart w:id="525" w:name="_Toc272414695"/>
      <w:bookmarkStart w:id="526" w:name="_Toc290888559"/>
      <w:bookmarkStart w:id="527" w:name="_Toc416353775"/>
      <w:bookmarkStart w:id="528" w:name="_Toc421005316"/>
      <w:bookmarkStart w:id="529" w:name="_Toc432079187"/>
      <w:bookmarkStart w:id="530" w:name="_Toc432080760"/>
      <w:bookmarkStart w:id="531" w:name="_Toc504036165"/>
      <w:bookmarkStart w:id="532" w:name="_Toc4573605"/>
      <w:r w:rsidRPr="00545B14">
        <w:t>First round assessment of benefit-risk</w:t>
      </w:r>
      <w:bookmarkEnd w:id="523"/>
      <w:bookmarkEnd w:id="524"/>
      <w:bookmarkEnd w:id="525"/>
      <w:bookmarkEnd w:id="526"/>
      <w:bookmarkEnd w:id="527"/>
      <w:bookmarkEnd w:id="528"/>
      <w:r>
        <w:t xml:space="preserve"> balance</w:t>
      </w:r>
      <w:bookmarkEnd w:id="529"/>
      <w:bookmarkEnd w:id="530"/>
      <w:bookmarkEnd w:id="531"/>
      <w:bookmarkEnd w:id="532"/>
    </w:p>
    <w:p w:rsidR="00B37C25" w:rsidRDefault="00B37C25" w:rsidP="00E957A2">
      <w:r w:rsidRPr="00E85047">
        <w:t xml:space="preserve">Dual therapy with ertugliflozin and sitagliptin provides </w:t>
      </w:r>
      <w:r>
        <w:t>two</w:t>
      </w:r>
      <w:r w:rsidRPr="00E85047">
        <w:t xml:space="preserve"> AHAs with different mechanisms</w:t>
      </w:r>
      <w:r>
        <w:t xml:space="preserve"> </w:t>
      </w:r>
      <w:r w:rsidRPr="00E85047">
        <w:t>of</w:t>
      </w:r>
      <w:r w:rsidR="006F48AD">
        <w:t xml:space="preserve"> </w:t>
      </w:r>
      <w:r>
        <w:t>a</w:t>
      </w:r>
      <w:r w:rsidRPr="00E85047">
        <w:t xml:space="preserve">ction neither of which </w:t>
      </w:r>
      <w:r>
        <w:t xml:space="preserve">are </w:t>
      </w:r>
      <w:r w:rsidRPr="00E85047">
        <w:t>associated with hypoglycaemia nor weight gain. Ertugliflozin</w:t>
      </w:r>
      <w:r>
        <w:t xml:space="preserve"> </w:t>
      </w:r>
      <w:r w:rsidRPr="00E85047">
        <w:t>inhibits renal glucose reabsorption, resulting in urinary glucose excretion, and thereby</w:t>
      </w:r>
      <w:r>
        <w:t xml:space="preserve"> </w:t>
      </w:r>
      <w:r w:rsidRPr="00E85047">
        <w:t xml:space="preserve">reducing plasma glucose and </w:t>
      </w:r>
      <w:r w:rsidR="00C14E6F" w:rsidRPr="00E85047">
        <w:t>A1</w:t>
      </w:r>
      <w:r w:rsidR="00C14E6F">
        <w:t>c</w:t>
      </w:r>
      <w:r w:rsidRPr="00E85047">
        <w:t>. Sitagliptin enhances the incretin axis, thereby increasing</w:t>
      </w:r>
      <w:r>
        <w:t xml:space="preserve"> </w:t>
      </w:r>
      <w:r w:rsidRPr="00E85047">
        <w:t>insulin secretion and reducing glucagon concentrations, and, in turn, lowering hepatic</w:t>
      </w:r>
      <w:r>
        <w:t xml:space="preserve"> </w:t>
      </w:r>
      <w:r w:rsidRPr="00E85047">
        <w:t>glucose production. Combining these agents provides complementary mechanisms leading</w:t>
      </w:r>
      <w:r>
        <w:t xml:space="preserve"> </w:t>
      </w:r>
      <w:r w:rsidRPr="00E85047">
        <w:t>to robust glucose-lowering efficacy, with low risk for hypoglycaemia.</w:t>
      </w:r>
    </w:p>
    <w:p w:rsidR="00B37C25" w:rsidRPr="00E957A2" w:rsidRDefault="00B37C25" w:rsidP="00E957A2">
      <w:r w:rsidRPr="00DC2936">
        <w:rPr>
          <w:rFonts w:eastAsia="TimesNewRoman" w:cs="TimesNewRoman"/>
        </w:rPr>
        <w:t xml:space="preserve">Three of the 7 </w:t>
      </w:r>
      <w:r w:rsidR="009B2F3C">
        <w:rPr>
          <w:rFonts w:eastAsia="TimesNewRoman" w:cs="TimesNewRoman"/>
        </w:rPr>
        <w:t>Phase III</w:t>
      </w:r>
      <w:r w:rsidRPr="00DC2936">
        <w:rPr>
          <w:rFonts w:eastAsia="TimesNewRoman" w:cs="TimesNewRoman"/>
        </w:rPr>
        <w:t xml:space="preserve"> studies (Studies P005/1019, P006/1015, and P017/1047) evaluated the</w:t>
      </w:r>
      <w:r>
        <w:rPr>
          <w:rFonts w:eastAsia="TimesNewRoman" w:cs="TimesNewRoman"/>
        </w:rPr>
        <w:t xml:space="preserve"> </w:t>
      </w:r>
      <w:r w:rsidRPr="00DC2936">
        <w:rPr>
          <w:rFonts w:eastAsia="TimesNewRoman" w:cs="TimesNewRoman"/>
        </w:rPr>
        <w:t>safety and efficacy of combination therapy with ertugliflozin and sitagliptin in adult subjects</w:t>
      </w:r>
      <w:r>
        <w:rPr>
          <w:rFonts w:eastAsia="TimesNewRoman" w:cs="TimesNewRoman"/>
        </w:rPr>
        <w:t xml:space="preserve"> </w:t>
      </w:r>
      <w:r w:rsidRPr="00DC2936">
        <w:rPr>
          <w:rFonts w:eastAsia="TimesNewRoman" w:cs="TimesNewRoman"/>
        </w:rPr>
        <w:t>with T2DM in support of the ertugliflozin/sitagliptin FD</w:t>
      </w:r>
      <w:r>
        <w:rPr>
          <w:rFonts w:eastAsia="TimesNewRoman" w:cs="TimesNewRoman"/>
        </w:rPr>
        <w:t>C.</w:t>
      </w:r>
      <w:r w:rsidRPr="00F66631">
        <w:rPr>
          <w:lang w:eastAsia="ja-JP"/>
        </w:rPr>
        <w:t xml:space="preserve"> </w:t>
      </w:r>
      <w:r>
        <w:rPr>
          <w:lang w:eastAsia="ja-JP"/>
        </w:rPr>
        <w:t xml:space="preserve">The proposed FDC of ertugliflozin+sitagliptin was not evaluated in any of the </w:t>
      </w:r>
      <w:r w:rsidR="009B2F3C">
        <w:rPr>
          <w:lang w:eastAsia="ja-JP"/>
        </w:rPr>
        <w:t>Phase III</w:t>
      </w:r>
      <w:r>
        <w:rPr>
          <w:lang w:eastAsia="ja-JP"/>
        </w:rPr>
        <w:t xml:space="preserve"> studies as </w:t>
      </w:r>
      <w:r w:rsidRPr="00FC7F96">
        <w:rPr>
          <w:rFonts w:eastAsia="TimesNewRoman" w:cs="TimesNewRoman"/>
        </w:rPr>
        <w:t>ertugliflozin and sitagliptin were co-adm</w:t>
      </w:r>
      <w:r>
        <w:rPr>
          <w:rFonts w:eastAsia="TimesNewRoman" w:cs="TimesNewRoman"/>
        </w:rPr>
        <w:t xml:space="preserve">inistered as individual tablets in all </w:t>
      </w:r>
      <w:r w:rsidR="009B2F3C">
        <w:rPr>
          <w:rFonts w:eastAsia="TimesNewRoman" w:cs="TimesNewRoman"/>
        </w:rPr>
        <w:t>Phase III</w:t>
      </w:r>
      <w:r>
        <w:rPr>
          <w:rFonts w:eastAsia="TimesNewRoman" w:cs="TimesNewRoman"/>
        </w:rPr>
        <w:t xml:space="preserve"> studies in the ertugliflozin clinical development program including the 3 pivotal </w:t>
      </w:r>
      <w:r w:rsidR="009B2F3C">
        <w:rPr>
          <w:rFonts w:eastAsia="TimesNewRoman" w:cs="TimesNewRoman"/>
        </w:rPr>
        <w:t>Phase III</w:t>
      </w:r>
      <w:r>
        <w:rPr>
          <w:rFonts w:eastAsia="TimesNewRoman" w:cs="TimesNewRoman"/>
        </w:rPr>
        <w:t xml:space="preserve"> studies submitted to support this FDC submission.</w:t>
      </w:r>
      <w:r w:rsidR="006F48AD">
        <w:rPr>
          <w:rFonts w:eastAsia="TimesNewRoman" w:cs="TimesNewRoman"/>
        </w:rPr>
        <w:t xml:space="preserve"> </w:t>
      </w:r>
      <w:r w:rsidRPr="00FC7F96">
        <w:rPr>
          <w:rFonts w:eastAsia="TimesNewRoman" w:cs="TimesNewRoman"/>
        </w:rPr>
        <w:t>Bridging to the FDC tablets was accomplished through bioequivalence studies</w:t>
      </w:r>
      <w:r>
        <w:rPr>
          <w:rFonts w:eastAsia="TimesNewRoman" w:cs="TimesNewRoman"/>
        </w:rPr>
        <w:t xml:space="preserve"> </w:t>
      </w:r>
      <w:r w:rsidRPr="00FC7F96">
        <w:rPr>
          <w:rFonts w:eastAsia="TimesNewRoman" w:cs="TimesNewRoman"/>
        </w:rPr>
        <w:t>(Studies P025/1038, P044/1053, P048/1056, and P049/1057).</w:t>
      </w:r>
    </w:p>
    <w:p w:rsidR="00B37C25" w:rsidRDefault="00B37C25" w:rsidP="00E957A2">
      <w:r w:rsidRPr="00FC7F96">
        <w:t>Efficacy of ertugliflozin and sitagliptin combination therapy was evaluated in the</w:t>
      </w:r>
      <w:r>
        <w:t xml:space="preserve"> </w:t>
      </w:r>
      <w:r w:rsidRPr="00FC7F96">
        <w:t>ertugliflozin plus sitagliptin factorial study (</w:t>
      </w:r>
      <w:r w:rsidR="00BC7DA5">
        <w:t>Study P0</w:t>
      </w:r>
      <w:r w:rsidRPr="00FC7F96">
        <w:t>05/1019), in the ertugliflozin plus</w:t>
      </w:r>
      <w:r>
        <w:t xml:space="preserve"> </w:t>
      </w:r>
      <w:r w:rsidRPr="00FC7F96">
        <w:t>sitagliptin initial combination study (</w:t>
      </w:r>
      <w:r w:rsidR="00BC7DA5">
        <w:t>Study P0</w:t>
      </w:r>
      <w:r w:rsidRPr="00FC7F96">
        <w:t>17/1047) and in the add-on to metformin and</w:t>
      </w:r>
      <w:r>
        <w:t xml:space="preserve"> </w:t>
      </w:r>
      <w:r w:rsidRPr="00FC7F96">
        <w:t>sitagliptin study (</w:t>
      </w:r>
      <w:r w:rsidR="00BC7DA5">
        <w:t>Study P0</w:t>
      </w:r>
      <w:r w:rsidRPr="00FC7F96">
        <w:t>06/1015). Both doses of the combination, ertugliflozin</w:t>
      </w:r>
      <w:r>
        <w:t xml:space="preserve"> </w:t>
      </w:r>
      <w:r w:rsidRPr="00FC7F96">
        <w:t>15 mg/sitagliptin 100 mg and ertugliflozin 5 mg/sitagliptin 100 mg, led to significant and</w:t>
      </w:r>
      <w:r>
        <w:t xml:space="preserve"> </w:t>
      </w:r>
      <w:r w:rsidRPr="00FC7F96">
        <w:t xml:space="preserve">clinically meaningful reductions in A1C, FPG, and </w:t>
      </w:r>
      <w:r w:rsidR="000E01BE">
        <w:t>2 h PPG</w:t>
      </w:r>
      <w:r w:rsidRPr="00FC7F96">
        <w:t>, and a greater proportion of</w:t>
      </w:r>
      <w:r>
        <w:t xml:space="preserve"> </w:t>
      </w:r>
      <w:r w:rsidRPr="00FC7F96">
        <w:t xml:space="preserve">subjects reaching </w:t>
      </w:r>
      <w:r w:rsidR="00C14E6F" w:rsidRPr="00FC7F96">
        <w:t>A1</w:t>
      </w:r>
      <w:r w:rsidR="00C14E6F">
        <w:t>c</w:t>
      </w:r>
      <w:r w:rsidR="00C14E6F" w:rsidRPr="00FC7F96">
        <w:t xml:space="preserve"> </w:t>
      </w:r>
      <w:r w:rsidRPr="00FC7F96">
        <w:t>&lt;</w:t>
      </w:r>
      <w:r w:rsidR="006A6A92">
        <w:t xml:space="preserve"> </w:t>
      </w:r>
      <w:r w:rsidRPr="00FC7F96">
        <w:t>7.0% compared to placebo or each corresponding dose of</w:t>
      </w:r>
      <w:r>
        <w:t xml:space="preserve"> </w:t>
      </w:r>
      <w:r w:rsidRPr="00FC7F96">
        <w:t>ertugliflozin or sitagliptin alone. In addition, ertugliflozin in combination with sitagliptin,</w:t>
      </w:r>
      <w:r>
        <w:t xml:space="preserve"> </w:t>
      </w:r>
      <w:r w:rsidRPr="00FC7F96">
        <w:t>either when co-initiated with or as add-on therapy, provided reductions in body weight and</w:t>
      </w:r>
      <w:r>
        <w:t xml:space="preserve"> </w:t>
      </w:r>
      <w:r w:rsidRPr="00FC7F96">
        <w:t>SBP compared to placebo and sitagliptin alone.</w:t>
      </w:r>
    </w:p>
    <w:p w:rsidR="00B37C25" w:rsidRDefault="00B37C25" w:rsidP="00E957A2">
      <w:r w:rsidRPr="00DC2936">
        <w:t>The combination of ertugliflozin and sitagliptin was generally safe and</w:t>
      </w:r>
      <w:r>
        <w:t xml:space="preserve"> </w:t>
      </w:r>
      <w:r w:rsidRPr="00DC2936">
        <w:t>well-tolerated. In a large factorial study on a background of metformin therapy, there were</w:t>
      </w:r>
      <w:r>
        <w:t xml:space="preserve"> </w:t>
      </w:r>
      <w:r w:rsidRPr="00DC2936">
        <w:t>no notable risks associated with co-administration of ertugliflozin and sitagliptin relative to</w:t>
      </w:r>
      <w:r>
        <w:t xml:space="preserve"> </w:t>
      </w:r>
      <w:r w:rsidRPr="00DC2936">
        <w:t>treatment with the individual components. The safety of the combination was also</w:t>
      </w:r>
      <w:r>
        <w:t xml:space="preserve"> </w:t>
      </w:r>
      <w:r w:rsidRPr="00DC2936">
        <w:t>established in 2 additional settings, when ertugliflozin was added to background therapy with</w:t>
      </w:r>
      <w:r>
        <w:t xml:space="preserve"> </w:t>
      </w:r>
      <w:r w:rsidRPr="00DC2936">
        <w:t>metformin and sitagliptin and when ertugliflozin and sitagliptin were co-administered as</w:t>
      </w:r>
      <w:r>
        <w:t xml:space="preserve"> </w:t>
      </w:r>
      <w:r w:rsidRPr="00DC2936">
        <w:t xml:space="preserve">initial therapy after diet and exercise </w:t>
      </w:r>
      <w:r w:rsidRPr="00DC2936">
        <w:lastRenderedPageBreak/>
        <w:t>alone. These results suggest that the safety and</w:t>
      </w:r>
      <w:r>
        <w:t xml:space="preserve"> </w:t>
      </w:r>
      <w:r w:rsidRPr="00DC2936">
        <w:t>tolerability of the ertugliflozin/sitagliptin FDC can be described based on those of the</w:t>
      </w:r>
      <w:r>
        <w:t xml:space="preserve"> </w:t>
      </w:r>
      <w:r w:rsidRPr="00DC2936">
        <w:t>individual components</w:t>
      </w:r>
      <w:r>
        <w:t>.</w:t>
      </w:r>
    </w:p>
    <w:p w:rsidR="00B37C25" w:rsidRDefault="00B37C25" w:rsidP="00E957A2">
      <w:r>
        <w:t xml:space="preserve">There is lack of evidence to support long-term efficacy/safety of proposed co-administration of ertugliflozin+sitagliptin beyond 26 weeks. CV safety of ertugliflozin has not been established and there were other limitations of the ertugliflozin submission </w:t>
      </w:r>
      <w:r w:rsidRPr="004D575B">
        <w:t>(</w:t>
      </w:r>
      <w:r w:rsidRPr="004D575B">
        <w:rPr>
          <w:lang w:eastAsia="ja-JP"/>
        </w:rPr>
        <w:t>please refe</w:t>
      </w:r>
      <w:r w:rsidR="00B433F6">
        <w:rPr>
          <w:lang w:eastAsia="ja-JP"/>
        </w:rPr>
        <w:t>r to the evaluation report for the s</w:t>
      </w:r>
      <w:r w:rsidRPr="004D575B">
        <w:rPr>
          <w:lang w:eastAsia="ja-JP"/>
        </w:rPr>
        <w:t xml:space="preserve">ubmission </w:t>
      </w:r>
      <w:r w:rsidR="00754BDD">
        <w:rPr>
          <w:rFonts w:cs="Calibri"/>
          <w:lang w:eastAsia="ja-JP"/>
        </w:rPr>
        <w:t>for Steglatro</w:t>
      </w:r>
      <w:r w:rsidRPr="004D575B">
        <w:t>).</w:t>
      </w:r>
      <w:r>
        <w:t xml:space="preserve"> Furthermore, it is important to note that a FDC containing SGLT-2 inhibitor +DPP-4 inhibitor is already available in Australia (Glyxambi available in doses of 1</w:t>
      </w:r>
      <w:r w:rsidR="006F48AD">
        <w:t>0 mg</w:t>
      </w:r>
      <w:r>
        <w:t xml:space="preserve"> or 2</w:t>
      </w:r>
      <w:r w:rsidR="006F48AD">
        <w:t>5 mg</w:t>
      </w:r>
      <w:r>
        <w:t xml:space="preserve"> of empagliflozin with </w:t>
      </w:r>
      <w:r w:rsidR="006F48AD">
        <w:t>5 mg</w:t>
      </w:r>
      <w:r w:rsidR="004B0649">
        <w:t xml:space="preserve"> of L</w:t>
      </w:r>
      <w:r>
        <w:t>inagliptin, to be taken once daily in the morning) with the added advantage that empagliflozin is also approved for prevention of CV death in T2DM patients with CV disease.</w:t>
      </w:r>
    </w:p>
    <w:p w:rsidR="00B37C25" w:rsidRDefault="00B37C25" w:rsidP="001109F5">
      <w:pPr>
        <w:rPr>
          <w:rFonts w:asciiTheme="minorHAnsi" w:eastAsiaTheme="minorHAnsi" w:hAnsiTheme="minorHAnsi"/>
        </w:rPr>
      </w:pPr>
      <w:r>
        <w:rPr>
          <w:color w:val="000000"/>
        </w:rPr>
        <w:t>Ove</w:t>
      </w:r>
      <w:r>
        <w:t>rall, the benefit-risk profile of Steglujan (ertugliflozin+sitagliptin FDC)</w:t>
      </w:r>
      <w:r w:rsidR="006F48AD">
        <w:t xml:space="preserve"> </w:t>
      </w:r>
      <w:r>
        <w:t xml:space="preserve">is not favourable for the following proposed indication: </w:t>
      </w:r>
      <w:r w:rsidR="00330A13">
        <w:t>‘</w:t>
      </w:r>
      <w:r w:rsidRPr="00883303">
        <w:rPr>
          <w:rFonts w:asciiTheme="minorHAnsi" w:eastAsiaTheme="minorHAnsi" w:hAnsiTheme="minorHAnsi" w:cs="ArialMT"/>
        </w:rPr>
        <w:t>as an adjunct to diet and exercise to improve glycaemic control in adults with type 2 diabetes</w:t>
      </w:r>
      <w:r>
        <w:rPr>
          <w:rFonts w:asciiTheme="minorHAnsi" w:eastAsiaTheme="minorHAnsi" w:hAnsiTheme="minorHAnsi" w:cs="ArialMT"/>
        </w:rPr>
        <w:t xml:space="preserve"> </w:t>
      </w:r>
      <w:r w:rsidRPr="00883303">
        <w:rPr>
          <w:rFonts w:asciiTheme="minorHAnsi" w:eastAsiaTheme="minorHAnsi" w:hAnsiTheme="minorHAnsi" w:cs="ArialMT"/>
        </w:rPr>
        <w:t>mellitus when treatment with both ertugliflozin and sitagliptin is appropriate</w:t>
      </w:r>
      <w:r w:rsidR="00330A13">
        <w:rPr>
          <w:rFonts w:asciiTheme="minorHAnsi" w:eastAsiaTheme="minorHAnsi" w:hAnsiTheme="minorHAnsi" w:cs="ArialMT"/>
        </w:rPr>
        <w:t>’</w:t>
      </w:r>
      <w:r w:rsidRPr="00883303">
        <w:rPr>
          <w:rFonts w:asciiTheme="minorHAnsi" w:eastAsiaTheme="minorHAnsi" w:hAnsiTheme="minorHAnsi" w:cs="ArialMT"/>
        </w:rPr>
        <w:t>.</w:t>
      </w:r>
      <w:r w:rsidR="006F48AD">
        <w:rPr>
          <w:i/>
        </w:rPr>
        <w:t xml:space="preserve"> </w:t>
      </w:r>
      <w:r>
        <w:rPr>
          <w:rFonts w:cs="ArialMT"/>
        </w:rPr>
        <w:t>However, the benefit risk profile may become favourable if the changes recommended in section 10 are adopted.</w:t>
      </w:r>
    </w:p>
    <w:p w:rsidR="00B37C25" w:rsidRPr="006963B5" w:rsidRDefault="00B37C25" w:rsidP="004D7DDA">
      <w:pPr>
        <w:pStyle w:val="Heading3"/>
      </w:pPr>
      <w:bookmarkStart w:id="533" w:name="_Toc504036166"/>
      <w:bookmarkStart w:id="534" w:name="_Toc4573606"/>
      <w:r w:rsidRPr="006963B5">
        <w:t>First round recommendation regarding authorisation</w:t>
      </w:r>
      <w:bookmarkEnd w:id="533"/>
      <w:bookmarkEnd w:id="534"/>
    </w:p>
    <w:p w:rsidR="006A6A92" w:rsidRDefault="00B37C25" w:rsidP="004D7DDA">
      <w:pPr>
        <w:spacing w:before="0" w:line="240" w:lineRule="auto"/>
        <w:ind w:left="113"/>
        <w:rPr>
          <w:lang w:eastAsia="ja-JP"/>
        </w:rPr>
      </w:pPr>
      <w:r w:rsidRPr="00E957A2">
        <w:t>It is recommended that approval for the following indication cannot be granted at this stage:</w:t>
      </w:r>
    </w:p>
    <w:p w:rsidR="00B37C25" w:rsidRDefault="00B37C25" w:rsidP="00E957A2">
      <w:pPr>
        <w:spacing w:before="0" w:line="240" w:lineRule="auto"/>
        <w:ind w:left="720"/>
        <w:rPr>
          <w:lang w:eastAsia="ja-JP"/>
        </w:rPr>
      </w:pPr>
      <w:r w:rsidRPr="004D7DDA">
        <w:rPr>
          <w:rFonts w:asciiTheme="minorHAnsi" w:eastAsiaTheme="minorHAnsi" w:hAnsiTheme="minorHAnsi" w:cs="ArialMT"/>
          <w:i/>
        </w:rPr>
        <w:t>MSD-ertugliflozin-sitagliptin (ertugliflozin and sitagliptin phosphate monohydrate) is indicated as an adjunct to diet and exercise to improve glycaemic control in adults with type 2 diabetes mellitus when treatment with both ertugliflozin and sitagliptin is appropriate</w:t>
      </w:r>
      <w:r w:rsidRPr="00883303">
        <w:rPr>
          <w:rFonts w:asciiTheme="minorHAnsi" w:eastAsiaTheme="minorHAnsi" w:hAnsiTheme="minorHAnsi" w:cs="ArialMT"/>
        </w:rPr>
        <w:t>.</w:t>
      </w:r>
    </w:p>
    <w:p w:rsidR="00B37C25" w:rsidRPr="00E957A2" w:rsidRDefault="00B37C25" w:rsidP="00E957A2">
      <w:r w:rsidRPr="00E957A2">
        <w:t>However, approval could be granted for a slightly modified wording of the above indication:</w:t>
      </w:r>
    </w:p>
    <w:p w:rsidR="00B37C25" w:rsidRPr="004D7DDA" w:rsidRDefault="00B37C25" w:rsidP="004D7DDA">
      <w:pPr>
        <w:ind w:left="720"/>
        <w:rPr>
          <w:i/>
          <w:lang w:eastAsia="ja-JP"/>
        </w:rPr>
      </w:pPr>
      <w:r w:rsidRPr="004D7DDA">
        <w:rPr>
          <w:i/>
        </w:rPr>
        <w:t xml:space="preserve">MSD-ertugliflozin-sitagliptin (ertugliflozin and sitagliptin phosphate monohydrate) is indicated as an adjunct to diet and exercise to improve glycaemic control in adults with type 2 diabetes mellitus when treatment with both ertugliflozin and sitagliptin is appropriate </w:t>
      </w:r>
      <w:r w:rsidRPr="004D7DDA">
        <w:rPr>
          <w:i/>
          <w:u w:val="single"/>
        </w:rPr>
        <w:t>(refer Clinical Trials, Precautions).</w:t>
      </w:r>
    </w:p>
    <w:p w:rsidR="00B37C25" w:rsidRPr="000754E6" w:rsidRDefault="00B37C25" w:rsidP="00B37C25">
      <w:pPr>
        <w:pStyle w:val="ListParagraph"/>
        <w:spacing w:before="0" w:after="0" w:line="240" w:lineRule="auto"/>
        <w:ind w:left="0"/>
        <w:rPr>
          <w:lang w:eastAsia="ja-JP"/>
        </w:rPr>
      </w:pPr>
      <w:r>
        <w:rPr>
          <w:lang w:eastAsia="ja-JP"/>
        </w:rPr>
        <w:t xml:space="preserve">It is important to note that </w:t>
      </w:r>
      <w:r w:rsidRPr="000754E6">
        <w:rPr>
          <w:lang w:eastAsia="ja-JP"/>
        </w:rPr>
        <w:t xml:space="preserve">approval for above modified indication is also </w:t>
      </w:r>
      <w:r>
        <w:rPr>
          <w:lang w:eastAsia="ja-JP"/>
        </w:rPr>
        <w:t>conditional to the following:</w:t>
      </w:r>
    </w:p>
    <w:p w:rsidR="00B37C25" w:rsidRPr="004D575B" w:rsidRDefault="00B37C25" w:rsidP="004D7DDA">
      <w:pPr>
        <w:pStyle w:val="ListBullet"/>
        <w:rPr>
          <w:rFonts w:asciiTheme="minorHAnsi" w:eastAsia="TimesNewRoman" w:hAnsiTheme="minorHAnsi"/>
        </w:rPr>
      </w:pPr>
      <w:r w:rsidRPr="004D575B">
        <w:rPr>
          <w:rFonts w:eastAsia="TimesNewRoman"/>
        </w:rPr>
        <w:t>Resolution of outstanding issues of the ertugliflozin submission</w:t>
      </w:r>
      <w:r w:rsidRPr="004D575B">
        <w:rPr>
          <w:rFonts w:asciiTheme="minorHAnsi" w:eastAsia="TimesNewRoman" w:hAnsiTheme="minorHAnsi"/>
        </w:rPr>
        <w:t xml:space="preserve"> (</w:t>
      </w:r>
      <w:r w:rsidRPr="004D575B">
        <w:rPr>
          <w:lang w:eastAsia="ja-JP"/>
        </w:rPr>
        <w:t xml:space="preserve">please refer to the evaluation report for </w:t>
      </w:r>
      <w:r w:rsidR="00B433F6">
        <w:rPr>
          <w:lang w:eastAsia="ja-JP"/>
        </w:rPr>
        <w:t>the s</w:t>
      </w:r>
      <w:r w:rsidRPr="004D575B">
        <w:rPr>
          <w:lang w:eastAsia="ja-JP"/>
        </w:rPr>
        <w:t xml:space="preserve">ubmission </w:t>
      </w:r>
      <w:r w:rsidR="00754BDD">
        <w:rPr>
          <w:rFonts w:asciiTheme="minorHAnsi" w:hAnsiTheme="minorHAnsi" w:cs="Calibri"/>
          <w:lang w:eastAsia="ja-JP"/>
        </w:rPr>
        <w:t>for Steglatro</w:t>
      </w:r>
      <w:r w:rsidRPr="004D575B">
        <w:rPr>
          <w:rFonts w:asciiTheme="minorHAnsi" w:hAnsiTheme="minorHAnsi" w:cs="Calibri"/>
        </w:rPr>
        <w:t>).</w:t>
      </w:r>
    </w:p>
    <w:p w:rsidR="00B37C25" w:rsidRDefault="00B37C25" w:rsidP="004D7DDA">
      <w:pPr>
        <w:pStyle w:val="ListBullet"/>
        <w:rPr>
          <w:lang w:eastAsia="ja-JP"/>
        </w:rPr>
      </w:pPr>
      <w:r w:rsidRPr="000754E6">
        <w:rPr>
          <w:lang w:eastAsia="ja-JP"/>
        </w:rPr>
        <w:t>Incorporation of suggested changes to proposed PI</w:t>
      </w:r>
      <w:r w:rsidR="004D7DDA">
        <w:rPr>
          <w:lang w:eastAsia="ja-JP"/>
        </w:rPr>
        <w:t>.</w:t>
      </w:r>
    </w:p>
    <w:p w:rsidR="00B37C25" w:rsidRPr="000754E6" w:rsidRDefault="00B37C25" w:rsidP="004D7DDA">
      <w:pPr>
        <w:pStyle w:val="ListBullet"/>
        <w:rPr>
          <w:lang w:eastAsia="ja-JP"/>
        </w:rPr>
      </w:pPr>
      <w:r w:rsidRPr="000754E6">
        <w:rPr>
          <w:lang w:eastAsia="ja-JP"/>
        </w:rPr>
        <w:t xml:space="preserve">Satisfactory response to </w:t>
      </w:r>
      <w:r w:rsidR="004D7DDA">
        <w:rPr>
          <w:lang w:eastAsia="ja-JP"/>
        </w:rPr>
        <w:t>C</w:t>
      </w:r>
      <w:r w:rsidRPr="000754E6">
        <w:rPr>
          <w:lang w:eastAsia="ja-JP"/>
        </w:rPr>
        <w:t xml:space="preserve">linical questions </w:t>
      </w:r>
      <w:r w:rsidR="004D7DDA">
        <w:rPr>
          <w:lang w:eastAsia="ja-JP"/>
        </w:rPr>
        <w:t>below.</w:t>
      </w:r>
    </w:p>
    <w:p w:rsidR="00B37C25" w:rsidRDefault="00B37C25" w:rsidP="004D7DDA">
      <w:pPr>
        <w:pStyle w:val="Heading2"/>
      </w:pPr>
      <w:bookmarkStart w:id="535" w:name="_Toc504036171"/>
      <w:bookmarkStart w:id="536" w:name="_Toc4573607"/>
      <w:r>
        <w:t>Clinical questions</w:t>
      </w:r>
      <w:bookmarkEnd w:id="535"/>
      <w:bookmarkEnd w:id="536"/>
    </w:p>
    <w:p w:rsidR="00B37C25" w:rsidRPr="00E01445" w:rsidRDefault="00B37C25" w:rsidP="004D7DDA">
      <w:pPr>
        <w:pStyle w:val="Heading3"/>
      </w:pPr>
      <w:bookmarkStart w:id="537" w:name="_Toc272414702"/>
      <w:bookmarkStart w:id="538" w:name="_Toc290888568"/>
      <w:bookmarkStart w:id="539" w:name="_Toc416353784"/>
      <w:bookmarkStart w:id="540" w:name="_Toc421005324"/>
      <w:bookmarkStart w:id="541" w:name="_Toc432079195"/>
      <w:bookmarkStart w:id="542" w:name="_Toc432080768"/>
      <w:bookmarkStart w:id="543" w:name="_Toc504036173"/>
      <w:bookmarkStart w:id="544" w:name="_Toc4573608"/>
      <w:r w:rsidRPr="00E01445">
        <w:t>Pharmacokinetics</w:t>
      </w:r>
      <w:bookmarkEnd w:id="537"/>
      <w:bookmarkEnd w:id="538"/>
      <w:bookmarkEnd w:id="539"/>
      <w:bookmarkEnd w:id="540"/>
      <w:bookmarkEnd w:id="541"/>
      <w:bookmarkEnd w:id="542"/>
      <w:bookmarkEnd w:id="543"/>
      <w:bookmarkEnd w:id="544"/>
    </w:p>
    <w:p w:rsidR="00C14E6F" w:rsidRDefault="00C14E6F" w:rsidP="00E957A2">
      <w:pPr>
        <w:pStyle w:val="Heading4"/>
      </w:pPr>
      <w:bookmarkStart w:id="545" w:name="_Toc272414703"/>
      <w:bookmarkStart w:id="546" w:name="_Toc290888569"/>
      <w:bookmarkStart w:id="547" w:name="_Toc416353785"/>
      <w:bookmarkStart w:id="548" w:name="_Toc421005325"/>
      <w:bookmarkStart w:id="549" w:name="_Toc432079196"/>
      <w:bookmarkStart w:id="550" w:name="_Toc432080769"/>
      <w:r>
        <w:t>Question 1</w:t>
      </w:r>
    </w:p>
    <w:p w:rsidR="00B37C25" w:rsidRPr="00642277" w:rsidRDefault="00B37C25">
      <w:pPr>
        <w:rPr>
          <w:lang w:eastAsia="ja-JP"/>
        </w:rPr>
      </w:pPr>
      <w:r w:rsidRPr="00642277">
        <w:t xml:space="preserve">Can </w:t>
      </w:r>
      <w:r w:rsidR="004D7DDA">
        <w:t>t</w:t>
      </w:r>
      <w:r w:rsidR="0013015A">
        <w:t>he sponsor</w:t>
      </w:r>
      <w:r w:rsidRPr="00642277">
        <w:t xml:space="preserve"> please confirm that the compositions of the proposed </w:t>
      </w:r>
      <w:r w:rsidR="004D7DDA" w:rsidRPr="00642277">
        <w:t xml:space="preserve">Steglujan </w:t>
      </w:r>
      <w:r w:rsidR="001109F5">
        <w:t>and MSD</w:t>
      </w:r>
      <w:r w:rsidR="001109F5">
        <w:noBreakHyphen/>
      </w:r>
      <w:r w:rsidRPr="00642277">
        <w:t>ertugliflozin-sitagliptin FDC tablets of matching dose strengths are identical?</w:t>
      </w:r>
    </w:p>
    <w:p w:rsidR="00B37C25" w:rsidRPr="00E01445" w:rsidRDefault="00B37C25" w:rsidP="004D7DDA">
      <w:pPr>
        <w:pStyle w:val="Heading3"/>
      </w:pPr>
      <w:bookmarkStart w:id="551" w:name="_Toc504036174"/>
      <w:bookmarkStart w:id="552" w:name="_Toc4573609"/>
      <w:r w:rsidRPr="00E01445">
        <w:t>Pharmacodynamics</w:t>
      </w:r>
      <w:bookmarkEnd w:id="545"/>
      <w:bookmarkEnd w:id="546"/>
      <w:bookmarkEnd w:id="547"/>
      <w:bookmarkEnd w:id="548"/>
      <w:bookmarkEnd w:id="549"/>
      <w:bookmarkEnd w:id="550"/>
      <w:bookmarkEnd w:id="551"/>
      <w:bookmarkEnd w:id="552"/>
    </w:p>
    <w:p w:rsidR="00B37C25" w:rsidRDefault="00B37C25" w:rsidP="004D7DDA">
      <w:pPr>
        <w:rPr>
          <w:lang w:eastAsia="ja-JP"/>
        </w:rPr>
      </w:pPr>
      <w:bookmarkStart w:id="553" w:name="_Toc272414704"/>
      <w:bookmarkStart w:id="554" w:name="_Toc290888570"/>
      <w:bookmarkStart w:id="555" w:name="_Toc416353786"/>
      <w:bookmarkStart w:id="556" w:name="_Toc421005326"/>
      <w:bookmarkStart w:id="557" w:name="_Toc432079197"/>
      <w:bookmarkStart w:id="558" w:name="_Toc432080770"/>
      <w:r>
        <w:rPr>
          <w:lang w:eastAsia="ja-JP"/>
        </w:rPr>
        <w:t>No questions.</w:t>
      </w:r>
    </w:p>
    <w:p w:rsidR="00B37C25" w:rsidRPr="00E01445" w:rsidRDefault="00B37C25" w:rsidP="004D7DDA">
      <w:pPr>
        <w:pStyle w:val="Heading3"/>
      </w:pPr>
      <w:bookmarkStart w:id="559" w:name="_Toc504036175"/>
      <w:bookmarkStart w:id="560" w:name="_Toc4573610"/>
      <w:r w:rsidRPr="00E01445">
        <w:lastRenderedPageBreak/>
        <w:t>Efficacy</w:t>
      </w:r>
      <w:bookmarkEnd w:id="553"/>
      <w:bookmarkEnd w:id="554"/>
      <w:bookmarkEnd w:id="555"/>
      <w:bookmarkEnd w:id="556"/>
      <w:bookmarkEnd w:id="557"/>
      <w:bookmarkEnd w:id="558"/>
      <w:bookmarkEnd w:id="559"/>
      <w:bookmarkEnd w:id="560"/>
    </w:p>
    <w:p w:rsidR="00B37C25" w:rsidRPr="004D575B" w:rsidRDefault="00B37C25">
      <w:pPr>
        <w:rPr>
          <w:lang w:eastAsia="ja-JP"/>
        </w:rPr>
      </w:pPr>
      <w:bookmarkStart w:id="561" w:name="_Toc272414705"/>
      <w:bookmarkStart w:id="562" w:name="_Toc290888571"/>
      <w:bookmarkStart w:id="563" w:name="_Toc416353787"/>
      <w:bookmarkStart w:id="564" w:name="_Toc421005327"/>
      <w:bookmarkStart w:id="565" w:name="_Toc432079198"/>
      <w:bookmarkStart w:id="566" w:name="_Toc432080771"/>
      <w:r>
        <w:t xml:space="preserve">The questions related to efficacy of ertugliflozin, the NCE in the proposed FDC should be addressed. </w:t>
      </w:r>
      <w:r w:rsidRPr="004D575B">
        <w:t xml:space="preserve">Please </w:t>
      </w:r>
      <w:r w:rsidRPr="004D575B">
        <w:rPr>
          <w:lang w:eastAsia="ja-JP"/>
        </w:rPr>
        <w:t xml:space="preserve">refer to the evaluation report for </w:t>
      </w:r>
      <w:r w:rsidR="00B433F6">
        <w:rPr>
          <w:lang w:eastAsia="ja-JP"/>
        </w:rPr>
        <w:t>the s</w:t>
      </w:r>
      <w:r w:rsidRPr="004D575B">
        <w:rPr>
          <w:lang w:eastAsia="ja-JP"/>
        </w:rPr>
        <w:t xml:space="preserve">ubmission </w:t>
      </w:r>
      <w:r w:rsidR="00754BDD">
        <w:rPr>
          <w:lang w:eastAsia="ja-JP"/>
        </w:rPr>
        <w:t>for Steglatro</w:t>
      </w:r>
      <w:r w:rsidRPr="004D575B">
        <w:rPr>
          <w:b/>
        </w:rPr>
        <w:t xml:space="preserve"> </w:t>
      </w:r>
      <w:r w:rsidRPr="004D575B">
        <w:t>for questions regarding the ertugliflozin submission</w:t>
      </w:r>
      <w:r w:rsidR="00C14E6F">
        <w:t xml:space="preserve"> (see Attachment 2)</w:t>
      </w:r>
      <w:r w:rsidRPr="004D575B">
        <w:t>.</w:t>
      </w:r>
    </w:p>
    <w:p w:rsidR="00B37C25" w:rsidRPr="004D575B" w:rsidRDefault="00B37C25" w:rsidP="004D7DDA">
      <w:pPr>
        <w:pStyle w:val="Heading3"/>
      </w:pPr>
      <w:bookmarkStart w:id="567" w:name="_Toc504036176"/>
      <w:bookmarkStart w:id="568" w:name="_Toc4573611"/>
      <w:r w:rsidRPr="004D575B">
        <w:t>Safety</w:t>
      </w:r>
      <w:bookmarkEnd w:id="561"/>
      <w:bookmarkEnd w:id="562"/>
      <w:bookmarkEnd w:id="563"/>
      <w:bookmarkEnd w:id="564"/>
      <w:bookmarkEnd w:id="565"/>
      <w:bookmarkEnd w:id="566"/>
      <w:bookmarkEnd w:id="567"/>
      <w:bookmarkEnd w:id="568"/>
    </w:p>
    <w:p w:rsidR="00B37C25" w:rsidRDefault="00B37C25" w:rsidP="004D7DDA">
      <w:pPr>
        <w:rPr>
          <w:lang w:eastAsia="ja-JP"/>
        </w:rPr>
      </w:pPr>
      <w:r>
        <w:t xml:space="preserve">The questions related to safety of ertugliflozin, the NCE in the proposed FDC should be addressed. </w:t>
      </w:r>
      <w:r w:rsidRPr="004D575B">
        <w:t xml:space="preserve">Please </w:t>
      </w:r>
      <w:r w:rsidRPr="004D575B">
        <w:rPr>
          <w:lang w:eastAsia="ja-JP"/>
        </w:rPr>
        <w:t xml:space="preserve">refer to the evaluation report for </w:t>
      </w:r>
      <w:r w:rsidR="00B433F6">
        <w:rPr>
          <w:lang w:eastAsia="ja-JP"/>
        </w:rPr>
        <w:t>the s</w:t>
      </w:r>
      <w:r w:rsidRPr="004D575B">
        <w:rPr>
          <w:lang w:eastAsia="ja-JP"/>
        </w:rPr>
        <w:t xml:space="preserve">ubmission </w:t>
      </w:r>
      <w:r w:rsidR="00754BDD">
        <w:rPr>
          <w:lang w:eastAsia="ja-JP"/>
        </w:rPr>
        <w:t>for Steglatro</w:t>
      </w:r>
      <w:r w:rsidRPr="004D575B">
        <w:rPr>
          <w:b/>
        </w:rPr>
        <w:t xml:space="preserve"> </w:t>
      </w:r>
      <w:r w:rsidRPr="004D575B">
        <w:t>for questions</w:t>
      </w:r>
      <w:r>
        <w:t xml:space="preserve"> regarding the ertugliflozin submission.</w:t>
      </w:r>
    </w:p>
    <w:p w:rsidR="00B37C25" w:rsidRPr="00080DFD" w:rsidRDefault="00B37C25" w:rsidP="004D7DDA">
      <w:pPr>
        <w:pStyle w:val="Heading2"/>
      </w:pPr>
      <w:bookmarkStart w:id="569" w:name="_Ref503359855"/>
      <w:bookmarkStart w:id="570" w:name="_Toc504036183"/>
      <w:bookmarkStart w:id="571" w:name="_Toc4573612"/>
      <w:r w:rsidRPr="00080DFD">
        <w:t>Second round evaluation</w:t>
      </w:r>
      <w:bookmarkEnd w:id="569"/>
      <w:bookmarkEnd w:id="570"/>
      <w:bookmarkEnd w:id="571"/>
    </w:p>
    <w:p w:rsidR="00B37C25" w:rsidRDefault="00B37C25" w:rsidP="004D7DDA">
      <w:pPr>
        <w:pStyle w:val="Heading3"/>
      </w:pPr>
      <w:bookmarkStart w:id="572" w:name="_Toc503356176"/>
      <w:bookmarkStart w:id="573" w:name="_Toc504036184"/>
      <w:bookmarkStart w:id="574" w:name="_Toc4573613"/>
      <w:r>
        <w:t>Clinical Questions</w:t>
      </w:r>
      <w:bookmarkEnd w:id="572"/>
      <w:bookmarkEnd w:id="573"/>
      <w:bookmarkEnd w:id="574"/>
    </w:p>
    <w:p w:rsidR="00B37C25" w:rsidRPr="00E957A2" w:rsidRDefault="00B37C25">
      <w:r>
        <w:t>The clinical questions in the first round report are stated</w:t>
      </w:r>
      <w:r w:rsidR="004D7DDA">
        <w:t xml:space="preserve"> first followed by a summary of th</w:t>
      </w:r>
      <w:r w:rsidR="0013015A">
        <w:t>e sponsor</w:t>
      </w:r>
      <w:r>
        <w:t xml:space="preserve">’s response and then the evaluator’s comments on </w:t>
      </w:r>
      <w:r w:rsidR="004D7DDA">
        <w:t>t</w:t>
      </w:r>
      <w:r w:rsidR="0013015A">
        <w:t>he sponsor</w:t>
      </w:r>
      <w:r>
        <w:t>’s response.</w:t>
      </w:r>
    </w:p>
    <w:p w:rsidR="00B37C25" w:rsidRPr="00E01445" w:rsidRDefault="00B37C25" w:rsidP="001109F5">
      <w:pPr>
        <w:pStyle w:val="Heading4"/>
      </w:pPr>
      <w:bookmarkStart w:id="575" w:name="_Toc503356177"/>
      <w:bookmarkStart w:id="576" w:name="_Toc504036185"/>
      <w:r w:rsidRPr="00E01445">
        <w:t>Pharmacokinetics</w:t>
      </w:r>
      <w:bookmarkEnd w:id="575"/>
      <w:bookmarkEnd w:id="576"/>
    </w:p>
    <w:p w:rsidR="004D7DDA" w:rsidRDefault="00B37C25" w:rsidP="004D7DDA">
      <w:pPr>
        <w:pStyle w:val="Heading5"/>
      </w:pPr>
      <w:r w:rsidRPr="00080DFD">
        <w:t>Question 1</w:t>
      </w:r>
    </w:p>
    <w:p w:rsidR="00B37C25" w:rsidRPr="00E957A2" w:rsidRDefault="00B37C25" w:rsidP="00B37C25">
      <w:pPr>
        <w:rPr>
          <w:rFonts w:eastAsia="TimesNewRoman" w:cs="TimesNewRoman"/>
          <w:i/>
        </w:rPr>
      </w:pPr>
      <w:r w:rsidRPr="00E957A2">
        <w:rPr>
          <w:rFonts w:eastAsia="TimesNewRoman" w:cs="TimesNewRoman"/>
          <w:i/>
        </w:rPr>
        <w:t xml:space="preserve">Can </w:t>
      </w:r>
      <w:r w:rsidR="004D7DDA" w:rsidRPr="00E957A2">
        <w:rPr>
          <w:rFonts w:eastAsia="TimesNewRoman" w:cs="TimesNewRoman"/>
          <w:i/>
        </w:rPr>
        <w:t>t</w:t>
      </w:r>
      <w:r w:rsidR="0013015A" w:rsidRPr="00E957A2">
        <w:rPr>
          <w:rFonts w:eastAsia="TimesNewRoman" w:cs="TimesNewRoman"/>
          <w:i/>
        </w:rPr>
        <w:t>he sponsor</w:t>
      </w:r>
      <w:r w:rsidRPr="00E957A2">
        <w:rPr>
          <w:rFonts w:eastAsia="TimesNewRoman" w:cs="TimesNewRoman"/>
          <w:i/>
        </w:rPr>
        <w:t xml:space="preserve"> please confirm that the compositions of the proposed </w:t>
      </w:r>
      <w:r w:rsidR="004D7DDA" w:rsidRPr="00E957A2">
        <w:rPr>
          <w:rFonts w:eastAsia="TimesNewRoman" w:cs="TimesNewRoman"/>
          <w:i/>
        </w:rPr>
        <w:t>Steglujan</w:t>
      </w:r>
      <w:r w:rsidRPr="00E957A2">
        <w:rPr>
          <w:rFonts w:eastAsia="TimesNewRoman" w:cs="TimesNewRoman"/>
          <w:i/>
        </w:rPr>
        <w:t xml:space="preserve"> and MSD-ertugliflozin-sitagliptin FDC tablets of matching dose strengths are identical?</w:t>
      </w:r>
    </w:p>
    <w:p w:rsidR="004D7DDA" w:rsidRDefault="00E26B2E" w:rsidP="004D7DDA">
      <w:pPr>
        <w:pStyle w:val="Heading6"/>
      </w:pPr>
      <w:r>
        <w:t>Sponsor’s r</w:t>
      </w:r>
      <w:r w:rsidR="00B37C25" w:rsidRPr="00080DFD">
        <w:t>esponse</w:t>
      </w:r>
    </w:p>
    <w:p w:rsidR="00B37C25" w:rsidRPr="00080DFD" w:rsidRDefault="00B37C25" w:rsidP="00B37C25">
      <w:pPr>
        <w:rPr>
          <w:rFonts w:eastAsia="TimesNewRoman" w:cs="TimesNewRoman"/>
        </w:rPr>
      </w:pPr>
      <w:r w:rsidRPr="00080DFD">
        <w:rPr>
          <w:rFonts w:eastAsia="TimesNewRoman" w:cs="TimesNewRoman"/>
        </w:rPr>
        <w:t xml:space="preserve">The </w:t>
      </w:r>
      <w:r w:rsidR="004D7DDA">
        <w:rPr>
          <w:rFonts w:eastAsia="TimesNewRoman" w:cs="TimesNewRoman"/>
        </w:rPr>
        <w:t>sponsor</w:t>
      </w:r>
      <w:r w:rsidRPr="00080DFD">
        <w:rPr>
          <w:rFonts w:eastAsia="TimesNewRoman" w:cs="TimesNewRoman"/>
        </w:rPr>
        <w:t xml:space="preserve"> confirms that the compositions of the proposed </w:t>
      </w:r>
      <w:r w:rsidR="004D7DDA">
        <w:rPr>
          <w:rFonts w:eastAsia="TimesNewRoman" w:cs="TimesNewRoman"/>
        </w:rPr>
        <w:t>Steglujan</w:t>
      </w:r>
      <w:r w:rsidRPr="00080DFD">
        <w:rPr>
          <w:rFonts w:eastAsia="TimesNewRoman" w:cs="TimesNewRoman"/>
        </w:rPr>
        <w:t xml:space="preserve"> and MSD-ertugliflozin-sitagliptin FDC tablets of matching dose strengths are identical.</w:t>
      </w:r>
    </w:p>
    <w:p w:rsidR="004D7DDA" w:rsidRDefault="00B37C25" w:rsidP="004D7DDA">
      <w:pPr>
        <w:pStyle w:val="Heading6"/>
        <w:rPr>
          <w:rFonts w:eastAsia="TimesNewRoman"/>
        </w:rPr>
      </w:pPr>
      <w:r w:rsidRPr="00080DFD">
        <w:rPr>
          <w:rFonts w:eastAsia="TimesNewRoman"/>
        </w:rPr>
        <w:t xml:space="preserve">Evaluator’s </w:t>
      </w:r>
      <w:r w:rsidR="00E26B2E">
        <w:rPr>
          <w:rFonts w:eastAsia="TimesNewRoman"/>
        </w:rPr>
        <w:t>c</w:t>
      </w:r>
      <w:r w:rsidRPr="00080DFD">
        <w:rPr>
          <w:rFonts w:eastAsia="TimesNewRoman"/>
        </w:rPr>
        <w:t>omment</w:t>
      </w:r>
    </w:p>
    <w:p w:rsidR="00B37C25" w:rsidRPr="00080DFD" w:rsidRDefault="00B37C25" w:rsidP="00B37C25">
      <w:pPr>
        <w:rPr>
          <w:rFonts w:eastAsia="TimesNewRoman" w:cs="TimesNewRoman"/>
        </w:rPr>
      </w:pPr>
      <w:r w:rsidRPr="00080DFD">
        <w:rPr>
          <w:rFonts w:eastAsia="TimesNewRoman" w:cs="TimesNewRoman"/>
        </w:rPr>
        <w:t xml:space="preserve">The evaluator is satisfied with </w:t>
      </w:r>
      <w:r w:rsidR="004D7DDA">
        <w:rPr>
          <w:rFonts w:eastAsia="TimesNewRoman" w:cs="TimesNewRoman"/>
        </w:rPr>
        <w:t>t</w:t>
      </w:r>
      <w:r w:rsidR="0013015A">
        <w:rPr>
          <w:rFonts w:eastAsia="TimesNewRoman" w:cs="TimesNewRoman"/>
        </w:rPr>
        <w:t>he sponsor</w:t>
      </w:r>
      <w:r w:rsidRPr="00080DFD">
        <w:rPr>
          <w:rFonts w:eastAsia="TimesNewRoman" w:cs="TimesNewRoman"/>
        </w:rPr>
        <w:t>’s response.</w:t>
      </w:r>
    </w:p>
    <w:p w:rsidR="00B37C25" w:rsidRPr="00080DFD" w:rsidRDefault="00B37C25" w:rsidP="004D7DDA">
      <w:pPr>
        <w:pStyle w:val="Heading4"/>
      </w:pPr>
      <w:bookmarkStart w:id="577" w:name="_Toc504036186"/>
      <w:r w:rsidRPr="00080DFD">
        <w:t>Efficacy</w:t>
      </w:r>
      <w:bookmarkEnd w:id="577"/>
    </w:p>
    <w:p w:rsidR="004D7DDA" w:rsidRDefault="00B37C25" w:rsidP="004D7DDA">
      <w:pPr>
        <w:pStyle w:val="Heading5"/>
        <w:rPr>
          <w:lang w:eastAsia="ja-JP"/>
        </w:rPr>
      </w:pPr>
      <w:r w:rsidRPr="00080DFD">
        <w:rPr>
          <w:lang w:eastAsia="ja-JP"/>
        </w:rPr>
        <w:t>Question 3</w:t>
      </w:r>
    </w:p>
    <w:p w:rsidR="00B37C25" w:rsidRPr="00E957A2" w:rsidRDefault="00B37C25" w:rsidP="00B37C25">
      <w:pPr>
        <w:autoSpaceDE w:val="0"/>
        <w:autoSpaceDN w:val="0"/>
        <w:adjustRightInd w:val="0"/>
        <w:spacing w:before="0" w:line="240" w:lineRule="auto"/>
        <w:rPr>
          <w:rFonts w:eastAsia="TimesNewRoman" w:cs="TimesNewRoman"/>
          <w:i/>
        </w:rPr>
      </w:pPr>
      <w:r w:rsidRPr="00E957A2">
        <w:rPr>
          <w:rFonts w:eastAsia="TimesNewRoman" w:cs="TimesNewRoman"/>
          <w:i/>
        </w:rPr>
        <w:t xml:space="preserve">The questions related to efficacy of ertugliflozin, the NCE in the proposed FDC should be addressed. Please refer to the evaluation report for </w:t>
      </w:r>
      <w:r w:rsidR="00B433F6" w:rsidRPr="00E957A2">
        <w:rPr>
          <w:rFonts w:eastAsia="TimesNewRoman" w:cs="TimesNewRoman"/>
          <w:i/>
        </w:rPr>
        <w:t>the s</w:t>
      </w:r>
      <w:r w:rsidRPr="00E957A2">
        <w:rPr>
          <w:rFonts w:eastAsia="TimesNewRoman" w:cs="TimesNewRoman"/>
          <w:i/>
        </w:rPr>
        <w:t xml:space="preserve">ubmission </w:t>
      </w:r>
      <w:r w:rsidR="00754BDD" w:rsidRPr="00E957A2">
        <w:rPr>
          <w:rFonts w:eastAsia="TimesNewRoman" w:cs="TimesNewRoman"/>
          <w:i/>
        </w:rPr>
        <w:t>for Steglatro</w:t>
      </w:r>
      <w:r w:rsidRPr="00E957A2">
        <w:rPr>
          <w:rFonts w:eastAsia="TimesNewRoman" w:cs="TimesNewRoman"/>
          <w:i/>
        </w:rPr>
        <w:t xml:space="preserve"> for questions regarding the ertugliflozin submission.</w:t>
      </w:r>
    </w:p>
    <w:p w:rsidR="00E26B2E" w:rsidRDefault="00E26B2E" w:rsidP="00E26B2E">
      <w:pPr>
        <w:pStyle w:val="Heading6"/>
        <w:rPr>
          <w:rFonts w:eastAsia="TimesNewRoman"/>
        </w:rPr>
      </w:pPr>
      <w:r>
        <w:rPr>
          <w:rFonts w:eastAsia="TimesNewRoman"/>
        </w:rPr>
        <w:t>Sponsor’s response</w:t>
      </w:r>
    </w:p>
    <w:p w:rsidR="00B37C25" w:rsidRPr="00080DFD" w:rsidRDefault="00B37C25" w:rsidP="00B37C25">
      <w:pPr>
        <w:pStyle w:val="ListParagraph"/>
        <w:autoSpaceDE w:val="0"/>
        <w:autoSpaceDN w:val="0"/>
        <w:adjustRightInd w:val="0"/>
        <w:spacing w:before="0" w:line="240" w:lineRule="auto"/>
        <w:ind w:left="0"/>
        <w:contextualSpacing w:val="0"/>
        <w:rPr>
          <w:rFonts w:eastAsia="TimesNewRoman" w:cs="TimesNewRoman"/>
          <w:color w:val="000000"/>
        </w:rPr>
      </w:pPr>
      <w:r w:rsidRPr="00080DFD">
        <w:rPr>
          <w:rFonts w:eastAsia="TimesNewRoman" w:cs="TimesNewRoman"/>
        </w:rPr>
        <w:t>Please refer to the responses provided in the ertugliflozin monotherapy document</w:t>
      </w:r>
      <w:r w:rsidRPr="00080DFD">
        <w:rPr>
          <w:rFonts w:eastAsia="TimesNewRoman" w:cs="TimesNewRoman"/>
          <w:color w:val="000000"/>
        </w:rPr>
        <w:t>.</w:t>
      </w:r>
    </w:p>
    <w:p w:rsidR="00E26B2E" w:rsidRDefault="00B37C25" w:rsidP="00E26B2E">
      <w:pPr>
        <w:pStyle w:val="Heading6"/>
        <w:rPr>
          <w:rFonts w:eastAsia="TimesNewRoman"/>
        </w:rPr>
      </w:pPr>
      <w:r w:rsidRPr="00080DFD">
        <w:rPr>
          <w:rFonts w:eastAsia="TimesNewRoman"/>
        </w:rPr>
        <w:t xml:space="preserve">Evaluator’s </w:t>
      </w:r>
      <w:r w:rsidR="00E26B2E">
        <w:rPr>
          <w:rFonts w:eastAsia="TimesNewRoman"/>
        </w:rPr>
        <w:t>c</w:t>
      </w:r>
      <w:r w:rsidRPr="00080DFD">
        <w:rPr>
          <w:rFonts w:eastAsia="TimesNewRoman"/>
        </w:rPr>
        <w:t>omments</w:t>
      </w:r>
    </w:p>
    <w:p w:rsidR="00B37C25" w:rsidRPr="00080DFD" w:rsidRDefault="00B37C25" w:rsidP="00B37C25">
      <w:pPr>
        <w:pStyle w:val="ListParagraph"/>
        <w:autoSpaceDE w:val="0"/>
        <w:autoSpaceDN w:val="0"/>
        <w:adjustRightInd w:val="0"/>
        <w:spacing w:before="0" w:line="240" w:lineRule="auto"/>
        <w:ind w:left="0"/>
        <w:contextualSpacing w:val="0"/>
        <w:rPr>
          <w:rFonts w:eastAsia="TimesNewRoman" w:cs="TimesNewRoman"/>
          <w:color w:val="000000"/>
        </w:rPr>
      </w:pPr>
      <w:r w:rsidRPr="00080DFD">
        <w:rPr>
          <w:rFonts w:cstheme="minorHAnsi"/>
        </w:rPr>
        <w:t>Please refer to evaluator’s comments provided in the second round report for</w:t>
      </w:r>
      <w:r>
        <w:rPr>
          <w:rFonts w:cstheme="minorHAnsi"/>
        </w:rPr>
        <w:t xml:space="preserve"> ertugliflozin</w:t>
      </w:r>
      <w:r w:rsidRPr="00080DFD">
        <w:rPr>
          <w:rFonts w:cstheme="minorHAnsi"/>
        </w:rPr>
        <w:t xml:space="preserve">. </w:t>
      </w:r>
      <w:r w:rsidRPr="00080DFD">
        <w:rPr>
          <w:rFonts w:eastAsia="TimesNewRoman" w:cs="TimesNewRoman"/>
          <w:color w:val="000000"/>
        </w:rPr>
        <w:t xml:space="preserve">Overall, </w:t>
      </w:r>
      <w:r w:rsidR="00B433F6">
        <w:rPr>
          <w:rFonts w:eastAsia="TimesNewRoman" w:cs="TimesNewRoman"/>
          <w:color w:val="000000"/>
        </w:rPr>
        <w:t>t</w:t>
      </w:r>
      <w:r w:rsidR="0013015A">
        <w:rPr>
          <w:rFonts w:eastAsia="TimesNewRoman" w:cs="TimesNewRoman"/>
          <w:color w:val="000000"/>
        </w:rPr>
        <w:t>he sponsor</w:t>
      </w:r>
      <w:r w:rsidRPr="00080DFD">
        <w:rPr>
          <w:rFonts w:eastAsia="TimesNewRoman" w:cs="TimesNewRoman"/>
          <w:color w:val="000000"/>
        </w:rPr>
        <w:t>’s response was satisfactory</w:t>
      </w:r>
      <w:r w:rsidR="00C14E6F">
        <w:rPr>
          <w:rFonts w:eastAsia="TimesNewRoman" w:cs="TimesNewRoman"/>
          <w:color w:val="000000"/>
        </w:rPr>
        <w:t xml:space="preserve"> (see Attachment 2 for further details).</w:t>
      </w:r>
    </w:p>
    <w:p w:rsidR="00B37C25" w:rsidRPr="00080DFD" w:rsidRDefault="00B37C25" w:rsidP="00E26B2E">
      <w:pPr>
        <w:pStyle w:val="Heading4"/>
      </w:pPr>
      <w:bookmarkStart w:id="578" w:name="_Toc504036187"/>
      <w:r w:rsidRPr="00080DFD">
        <w:t>Safety</w:t>
      </w:r>
      <w:bookmarkEnd w:id="578"/>
    </w:p>
    <w:p w:rsidR="00E26B2E" w:rsidRDefault="00B37C25" w:rsidP="00E26B2E">
      <w:pPr>
        <w:pStyle w:val="Heading5"/>
        <w:rPr>
          <w:rFonts w:eastAsia="TimesNewRoman"/>
        </w:rPr>
      </w:pPr>
      <w:r w:rsidRPr="00080DFD">
        <w:rPr>
          <w:rFonts w:eastAsia="TimesNewRoman"/>
        </w:rPr>
        <w:t>Question 4</w:t>
      </w:r>
    </w:p>
    <w:p w:rsidR="00B37C25" w:rsidRPr="00E957A2" w:rsidRDefault="00B37C25" w:rsidP="00B37C25">
      <w:pPr>
        <w:autoSpaceDE w:val="0"/>
        <w:autoSpaceDN w:val="0"/>
        <w:adjustRightInd w:val="0"/>
        <w:spacing w:before="0" w:line="240" w:lineRule="auto"/>
        <w:rPr>
          <w:rFonts w:eastAsia="TimesNewRoman" w:cs="TimesNewRoman"/>
          <w:i/>
        </w:rPr>
      </w:pPr>
      <w:r w:rsidRPr="00E957A2">
        <w:rPr>
          <w:rFonts w:eastAsia="TimesNewRoman" w:cs="TimesNewRoman"/>
          <w:i/>
        </w:rPr>
        <w:t xml:space="preserve">The questions related to safety of ertugliflozin, the NCE in the proposed FDC should be addressed. Please refer to the evaluation report for </w:t>
      </w:r>
      <w:r w:rsidR="00B433F6" w:rsidRPr="00E957A2">
        <w:rPr>
          <w:rFonts w:eastAsia="TimesNewRoman" w:cs="TimesNewRoman"/>
          <w:i/>
        </w:rPr>
        <w:t>the s</w:t>
      </w:r>
      <w:r w:rsidRPr="00E957A2">
        <w:rPr>
          <w:rFonts w:eastAsia="TimesNewRoman" w:cs="TimesNewRoman"/>
          <w:i/>
        </w:rPr>
        <w:t xml:space="preserve">ubmission </w:t>
      </w:r>
      <w:r w:rsidR="00754BDD" w:rsidRPr="00E957A2">
        <w:rPr>
          <w:rFonts w:eastAsia="TimesNewRoman" w:cs="TimesNewRoman"/>
          <w:i/>
        </w:rPr>
        <w:t>for Steglatro</w:t>
      </w:r>
      <w:r w:rsidRPr="00E957A2">
        <w:rPr>
          <w:rFonts w:eastAsia="TimesNewRoman,Bold" w:cs="TimesNewRoman,Bold"/>
          <w:bCs/>
          <w:i/>
        </w:rPr>
        <w:t xml:space="preserve"> </w:t>
      </w:r>
      <w:r w:rsidRPr="00E957A2">
        <w:rPr>
          <w:rFonts w:eastAsia="TimesNewRoman" w:cs="TimesNewRoman"/>
          <w:i/>
        </w:rPr>
        <w:t>for questions regarding the ertugliflozin submission.</w:t>
      </w:r>
    </w:p>
    <w:p w:rsidR="00E26B2E" w:rsidRDefault="00B37C25" w:rsidP="00E26B2E">
      <w:pPr>
        <w:pStyle w:val="Heading6"/>
        <w:rPr>
          <w:rFonts w:eastAsia="TimesNewRoman"/>
        </w:rPr>
      </w:pPr>
      <w:r w:rsidRPr="00080DFD">
        <w:rPr>
          <w:rFonts w:eastAsia="TimesNewRoman"/>
        </w:rPr>
        <w:lastRenderedPageBreak/>
        <w:t xml:space="preserve">Sponsor’s </w:t>
      </w:r>
      <w:r w:rsidR="00E26B2E">
        <w:rPr>
          <w:rFonts w:eastAsia="TimesNewRoman"/>
        </w:rPr>
        <w:t>r</w:t>
      </w:r>
      <w:r w:rsidRPr="00080DFD">
        <w:rPr>
          <w:rFonts w:eastAsia="TimesNewRoman"/>
        </w:rPr>
        <w:t>esponse</w:t>
      </w:r>
    </w:p>
    <w:p w:rsidR="00B37C25" w:rsidRPr="00080DFD" w:rsidRDefault="00B37C25" w:rsidP="00B37C25">
      <w:pPr>
        <w:pStyle w:val="ListParagraph"/>
        <w:autoSpaceDE w:val="0"/>
        <w:autoSpaceDN w:val="0"/>
        <w:adjustRightInd w:val="0"/>
        <w:spacing w:before="0" w:line="240" w:lineRule="auto"/>
        <w:ind w:left="0"/>
        <w:contextualSpacing w:val="0"/>
        <w:rPr>
          <w:rFonts w:eastAsia="TimesNewRoman" w:cs="TimesNewRoman"/>
          <w:color w:val="000000"/>
        </w:rPr>
      </w:pPr>
      <w:r w:rsidRPr="00080DFD">
        <w:rPr>
          <w:rFonts w:eastAsia="TimesNewRoman" w:cs="TimesNewRoman"/>
        </w:rPr>
        <w:t>Please refer to the responses provided in the ertugliflozin monotherapy document</w:t>
      </w:r>
      <w:r w:rsidR="00E26B2E">
        <w:rPr>
          <w:rFonts w:eastAsia="TimesNewRoman" w:cs="TimesNewRoman"/>
        </w:rPr>
        <w:t>.</w:t>
      </w:r>
    </w:p>
    <w:p w:rsidR="00E26B2E" w:rsidRDefault="00B37C25" w:rsidP="00E26B2E">
      <w:pPr>
        <w:pStyle w:val="Heading6"/>
        <w:rPr>
          <w:rFonts w:eastAsia="TimesNewRoman"/>
        </w:rPr>
      </w:pPr>
      <w:r w:rsidRPr="00080DFD">
        <w:rPr>
          <w:rFonts w:eastAsia="TimesNewRoman"/>
        </w:rPr>
        <w:t xml:space="preserve">Evaluator’s </w:t>
      </w:r>
      <w:r w:rsidR="00E26B2E">
        <w:rPr>
          <w:rFonts w:eastAsia="TimesNewRoman"/>
        </w:rPr>
        <w:t>c</w:t>
      </w:r>
      <w:r w:rsidRPr="00080DFD">
        <w:rPr>
          <w:rFonts w:eastAsia="TimesNewRoman"/>
        </w:rPr>
        <w:t>omments</w:t>
      </w:r>
    </w:p>
    <w:p w:rsidR="00B37C25" w:rsidRPr="00080DFD" w:rsidRDefault="00B37C25" w:rsidP="001109F5">
      <w:pPr>
        <w:rPr>
          <w:rFonts w:eastAsia="TimesNewRoman" w:cs="TimesNewRoman"/>
          <w:color w:val="000000"/>
        </w:rPr>
      </w:pPr>
      <w:r w:rsidRPr="00080DFD">
        <w:t xml:space="preserve">Please refer to evaluator’s comments provided in the second round report for ertugliflozin. </w:t>
      </w:r>
      <w:r w:rsidR="00E26B2E">
        <w:rPr>
          <w:rFonts w:eastAsia="TimesNewRoman" w:cs="TimesNewRoman"/>
          <w:color w:val="000000"/>
        </w:rPr>
        <w:t>Overall, the sponsor’s</w:t>
      </w:r>
      <w:r w:rsidRPr="00080DFD">
        <w:rPr>
          <w:rFonts w:eastAsia="TimesNewRoman" w:cs="TimesNewRoman"/>
          <w:color w:val="000000"/>
        </w:rPr>
        <w:t xml:space="preserve"> response was satisfactory</w:t>
      </w:r>
      <w:r w:rsidR="00C14E6F">
        <w:rPr>
          <w:rFonts w:eastAsia="TimesNewRoman" w:cs="TimesNewRoman"/>
          <w:color w:val="000000"/>
        </w:rPr>
        <w:t xml:space="preserve"> (see Attachment 2 for further details).</w:t>
      </w:r>
    </w:p>
    <w:p w:rsidR="00B37C25" w:rsidRPr="00080DFD" w:rsidRDefault="00B37C25" w:rsidP="00E26B2E">
      <w:pPr>
        <w:pStyle w:val="Heading3"/>
      </w:pPr>
      <w:bookmarkStart w:id="579" w:name="_Toc504036188"/>
      <w:bookmarkStart w:id="580" w:name="_Toc4573614"/>
      <w:r w:rsidRPr="00080DFD">
        <w:t>Second round benefit-risk assessment</w:t>
      </w:r>
      <w:bookmarkEnd w:id="579"/>
      <w:bookmarkEnd w:id="580"/>
    </w:p>
    <w:p w:rsidR="00B37C25" w:rsidRPr="00080DFD" w:rsidRDefault="00B37C25" w:rsidP="00E26B2E">
      <w:pPr>
        <w:pStyle w:val="Heading4"/>
      </w:pPr>
      <w:bookmarkStart w:id="581" w:name="_Toc272414709"/>
      <w:bookmarkStart w:id="582" w:name="_Toc290888575"/>
      <w:bookmarkStart w:id="583" w:name="_Toc416353792"/>
      <w:bookmarkStart w:id="584" w:name="_Toc421005334"/>
      <w:bookmarkStart w:id="585" w:name="_Toc432079207"/>
      <w:bookmarkStart w:id="586" w:name="_Toc432080780"/>
      <w:bookmarkStart w:id="587" w:name="_Toc504036189"/>
      <w:r w:rsidRPr="00080DFD">
        <w:t>Second round assessment of benefits</w:t>
      </w:r>
      <w:bookmarkEnd w:id="581"/>
      <w:bookmarkEnd w:id="582"/>
      <w:bookmarkEnd w:id="583"/>
      <w:bookmarkEnd w:id="584"/>
      <w:bookmarkEnd w:id="585"/>
      <w:bookmarkEnd w:id="586"/>
      <w:bookmarkEnd w:id="587"/>
    </w:p>
    <w:p w:rsidR="00B37C25" w:rsidRPr="00080DFD" w:rsidRDefault="00B37C25" w:rsidP="00B37C25">
      <w:pPr>
        <w:spacing w:before="0" w:line="240" w:lineRule="auto"/>
        <w:rPr>
          <w:lang w:eastAsia="ja-JP"/>
        </w:rPr>
      </w:pPr>
      <w:bookmarkStart w:id="588" w:name="_Toc272414710"/>
      <w:bookmarkStart w:id="589" w:name="_Toc290888576"/>
      <w:bookmarkStart w:id="590" w:name="_Toc416353793"/>
      <w:bookmarkStart w:id="591" w:name="_Toc421005335"/>
      <w:bookmarkStart w:id="592" w:name="_Toc432079208"/>
      <w:bookmarkStart w:id="593" w:name="_Toc432080781"/>
      <w:r w:rsidRPr="00080DFD">
        <w:rPr>
          <w:lang w:eastAsia="ja-JP"/>
        </w:rPr>
        <w:t xml:space="preserve">After consideration of the responses to clinical questions, the benefits of ertugliflozin+ sitagliptin FDC in the proposed usage are unchanged from those identified in </w:t>
      </w:r>
      <w:r w:rsidR="00E26B2E">
        <w:rPr>
          <w:lang w:eastAsia="ja-JP"/>
        </w:rPr>
        <w:t>the first round evaluation of Steglujan</w:t>
      </w:r>
      <w:r w:rsidRPr="00080DFD">
        <w:rPr>
          <w:lang w:eastAsia="ja-JP"/>
        </w:rPr>
        <w:t>.</w:t>
      </w:r>
    </w:p>
    <w:p w:rsidR="00B37C25" w:rsidRPr="00080DFD" w:rsidRDefault="00B37C25" w:rsidP="00E26B2E">
      <w:pPr>
        <w:pStyle w:val="Heading4"/>
      </w:pPr>
      <w:bookmarkStart w:id="594" w:name="_Toc504036190"/>
      <w:r w:rsidRPr="00080DFD">
        <w:t>Second round assessment of risks</w:t>
      </w:r>
      <w:bookmarkEnd w:id="588"/>
      <w:bookmarkEnd w:id="589"/>
      <w:bookmarkEnd w:id="590"/>
      <w:bookmarkEnd w:id="591"/>
      <w:bookmarkEnd w:id="592"/>
      <w:bookmarkEnd w:id="593"/>
      <w:bookmarkEnd w:id="594"/>
    </w:p>
    <w:p w:rsidR="00B37C25" w:rsidRPr="00080DFD" w:rsidRDefault="00B37C25" w:rsidP="00B37C25">
      <w:pPr>
        <w:spacing w:before="0" w:line="240" w:lineRule="auto"/>
        <w:rPr>
          <w:lang w:eastAsia="ja-JP"/>
        </w:rPr>
      </w:pPr>
      <w:bookmarkStart w:id="595" w:name="_Toc272414711"/>
      <w:bookmarkStart w:id="596" w:name="_Toc290888577"/>
      <w:bookmarkStart w:id="597" w:name="_Toc416353794"/>
      <w:bookmarkStart w:id="598" w:name="_Toc421005336"/>
      <w:bookmarkStart w:id="599" w:name="_Toc432079209"/>
      <w:bookmarkStart w:id="600" w:name="_Toc432080782"/>
      <w:r w:rsidRPr="00080DFD">
        <w:rPr>
          <w:lang w:eastAsia="ja-JP"/>
        </w:rPr>
        <w:t xml:space="preserve">After consideration of the responses to clinical questions, the risks of ertugliflozin+sitagliptin FDC in the proposed usage are unchanged from those identified in </w:t>
      </w:r>
      <w:r w:rsidR="00E26B2E">
        <w:rPr>
          <w:lang w:eastAsia="ja-JP"/>
        </w:rPr>
        <w:t>the first round evaluation of Steglujan</w:t>
      </w:r>
      <w:r w:rsidRPr="00080DFD">
        <w:rPr>
          <w:lang w:eastAsia="ja-JP"/>
        </w:rPr>
        <w:t>.</w:t>
      </w:r>
    </w:p>
    <w:p w:rsidR="00B37C25" w:rsidRPr="00080DFD" w:rsidRDefault="00B37C25" w:rsidP="00E26B2E">
      <w:pPr>
        <w:pStyle w:val="Heading4"/>
      </w:pPr>
      <w:bookmarkStart w:id="601" w:name="_Toc504036191"/>
      <w:r w:rsidRPr="00080DFD">
        <w:t xml:space="preserve">Second round assessment of benefit-risk </w:t>
      </w:r>
      <w:bookmarkEnd w:id="595"/>
      <w:bookmarkEnd w:id="596"/>
      <w:bookmarkEnd w:id="597"/>
      <w:bookmarkEnd w:id="598"/>
      <w:r w:rsidRPr="00080DFD">
        <w:t>balance</w:t>
      </w:r>
      <w:bookmarkEnd w:id="599"/>
      <w:bookmarkEnd w:id="600"/>
      <w:bookmarkEnd w:id="601"/>
    </w:p>
    <w:p w:rsidR="00B37C25" w:rsidRPr="00080DFD" w:rsidRDefault="00B37C25" w:rsidP="00B37C25">
      <w:pPr>
        <w:spacing w:before="0" w:line="240" w:lineRule="auto"/>
        <w:rPr>
          <w:lang w:eastAsia="ja-JP"/>
        </w:rPr>
      </w:pPr>
      <w:r w:rsidRPr="00080DFD">
        <w:rPr>
          <w:lang w:eastAsia="ja-JP"/>
        </w:rPr>
        <w:t>The benefit-risk balance of ertugliflozin+sitagliptin (</w:t>
      </w:r>
      <w:r w:rsidR="004D7DDA">
        <w:rPr>
          <w:lang w:eastAsia="ja-JP"/>
        </w:rPr>
        <w:t>Steglujan</w:t>
      </w:r>
      <w:r w:rsidRPr="00080DFD">
        <w:rPr>
          <w:lang w:eastAsia="ja-JP"/>
        </w:rPr>
        <w:t>), given the proposed usage is favourable.</w:t>
      </w:r>
    </w:p>
    <w:p w:rsidR="00B37C25" w:rsidRPr="00080DFD" w:rsidRDefault="00B37C25" w:rsidP="00B37C25">
      <w:pPr>
        <w:spacing w:before="0" w:line="240" w:lineRule="auto"/>
        <w:rPr>
          <w:lang w:eastAsia="ja-JP"/>
        </w:rPr>
      </w:pPr>
      <w:r w:rsidRPr="00080DFD">
        <w:rPr>
          <w:lang w:eastAsia="ja-JP"/>
        </w:rPr>
        <w:t>All the clinical questions raised in the first round report have been addressed satisfactorily. Furthermore, all changes recommended by the evaluators to the draft PI in the first round report have been incorporated.</w:t>
      </w:r>
    </w:p>
    <w:p w:rsidR="00B37C25" w:rsidRPr="00080DFD" w:rsidRDefault="00B37C25" w:rsidP="00E26B2E">
      <w:pPr>
        <w:pStyle w:val="Heading3"/>
      </w:pPr>
      <w:bookmarkStart w:id="602" w:name="_Toc504036192"/>
      <w:bookmarkStart w:id="603" w:name="_Toc4573615"/>
      <w:r w:rsidRPr="00080DFD">
        <w:t>Second round recommendation regarding authorisation</w:t>
      </w:r>
      <w:bookmarkEnd w:id="602"/>
      <w:bookmarkEnd w:id="603"/>
    </w:p>
    <w:p w:rsidR="00B37C25" w:rsidRPr="00080DFD" w:rsidRDefault="00B37C25" w:rsidP="00B37C25">
      <w:pPr>
        <w:autoSpaceDE w:val="0"/>
        <w:autoSpaceDN w:val="0"/>
        <w:adjustRightInd w:val="0"/>
        <w:spacing w:line="240" w:lineRule="auto"/>
        <w:rPr>
          <w:rFonts w:cs="Calibri"/>
        </w:rPr>
      </w:pPr>
      <w:r w:rsidRPr="00080DFD">
        <w:rPr>
          <w:rFonts w:cs="Calibri"/>
        </w:rPr>
        <w:t xml:space="preserve">Approval of </w:t>
      </w:r>
      <w:r w:rsidR="004D7DDA">
        <w:rPr>
          <w:rFonts w:cs="Calibri"/>
        </w:rPr>
        <w:t>Steglujan</w:t>
      </w:r>
      <w:r w:rsidRPr="00080DFD">
        <w:rPr>
          <w:rFonts w:cs="Calibri"/>
        </w:rPr>
        <w:t xml:space="preserve"> (ertugliflozin and sitagliptin FDC) is recommended for the following indication:</w:t>
      </w:r>
    </w:p>
    <w:p w:rsidR="00B37C25" w:rsidRPr="006A6A92" w:rsidRDefault="00B37C25" w:rsidP="00E26B2E">
      <w:pPr>
        <w:autoSpaceDE w:val="0"/>
        <w:autoSpaceDN w:val="0"/>
        <w:adjustRightInd w:val="0"/>
        <w:spacing w:line="240" w:lineRule="auto"/>
        <w:ind w:left="720"/>
        <w:rPr>
          <w:rFonts w:cs="Calibri"/>
        </w:rPr>
      </w:pPr>
      <w:r w:rsidRPr="00080DFD">
        <w:rPr>
          <w:rFonts w:eastAsiaTheme="minorHAnsi" w:cs="Calibri"/>
          <w:i/>
        </w:rPr>
        <w:t xml:space="preserve">MSD-ertugliflozin-sitagliptin (ertugliflozin and sitagliptin phosphate monohydrate) is indicated as an adjunct to diet and exercise to improve glycaemic control in adults with type 2 diabetes mellitus when treatment with both ertugliflozin and sitagliptin is </w:t>
      </w:r>
      <w:r w:rsidRPr="006A6A92">
        <w:rPr>
          <w:rFonts w:eastAsiaTheme="minorHAnsi" w:cs="Calibri"/>
          <w:i/>
        </w:rPr>
        <w:t>appropriate (refer Clinical Trials, Precautions).</w:t>
      </w:r>
    </w:p>
    <w:p w:rsidR="00B37C25" w:rsidRPr="00080DFD" w:rsidRDefault="00B37C25" w:rsidP="00E26B2E">
      <w:pPr>
        <w:rPr>
          <w:lang w:eastAsia="ja-JP"/>
        </w:rPr>
      </w:pPr>
      <w:r w:rsidRPr="00080DFD">
        <w:rPr>
          <w:lang w:eastAsia="ja-JP"/>
        </w:rPr>
        <w:t>Approval for the above indication is subject to the following:</w:t>
      </w:r>
    </w:p>
    <w:p w:rsidR="00B37C25" w:rsidRPr="00080DFD" w:rsidRDefault="00B37C25" w:rsidP="00E26B2E">
      <w:pPr>
        <w:pStyle w:val="ListBullet"/>
        <w:rPr>
          <w:lang w:eastAsia="ja-JP"/>
        </w:rPr>
      </w:pPr>
      <w:r w:rsidRPr="00080DFD">
        <w:rPr>
          <w:lang w:eastAsia="ja-JP"/>
        </w:rPr>
        <w:t xml:space="preserve">Results from the ongoing Phase B of all 7 </w:t>
      </w:r>
      <w:r w:rsidR="009B2F3C">
        <w:rPr>
          <w:lang w:eastAsia="ja-JP"/>
        </w:rPr>
        <w:t>Phase III</w:t>
      </w:r>
      <w:r w:rsidRPr="00080DFD">
        <w:rPr>
          <w:lang w:eastAsia="ja-JP"/>
        </w:rPr>
        <w:t xml:space="preserve"> studies should be submitted to enable assessment of long-term efficacy and safety of ertugliflozin component of the proposed FDC.</w:t>
      </w:r>
    </w:p>
    <w:p w:rsidR="00B37C25" w:rsidRPr="00080DFD" w:rsidRDefault="00B37C25" w:rsidP="00E26B2E">
      <w:pPr>
        <w:pStyle w:val="ListBullet"/>
        <w:rPr>
          <w:lang w:eastAsia="ja-JP"/>
        </w:rPr>
      </w:pPr>
      <w:r w:rsidRPr="00080DFD">
        <w:rPr>
          <w:rFonts w:eastAsia="TimesNewRoman" w:cs="TimesNewRoman"/>
          <w:color w:val="000000"/>
        </w:rPr>
        <w:t xml:space="preserve">Submission of results of the cardiovascular meta-analysis (CVMA) of adjudicated, confirmed CV events from the </w:t>
      </w:r>
      <w:r w:rsidR="009B2F3C">
        <w:rPr>
          <w:rFonts w:eastAsia="TimesNewRoman" w:cs="TimesNewRoman"/>
          <w:color w:val="000000"/>
        </w:rPr>
        <w:t>Phase II</w:t>
      </w:r>
      <w:r w:rsidRPr="00080DFD">
        <w:rPr>
          <w:rFonts w:eastAsia="TimesNewRoman" w:cs="TimesNewRoman"/>
          <w:color w:val="000000"/>
        </w:rPr>
        <w:t>/</w:t>
      </w:r>
      <w:r w:rsidR="00E26B2E">
        <w:rPr>
          <w:rFonts w:eastAsia="TimesNewRoman" w:cs="TimesNewRoman"/>
          <w:color w:val="000000"/>
        </w:rPr>
        <w:t>III</w:t>
      </w:r>
      <w:r w:rsidRPr="00080DFD">
        <w:rPr>
          <w:rFonts w:eastAsia="TimesNewRoman" w:cs="TimesNewRoman"/>
          <w:color w:val="000000"/>
        </w:rPr>
        <w:t xml:space="preserve"> studies and</w:t>
      </w:r>
      <w:r w:rsidRPr="00080DFD">
        <w:rPr>
          <w:rFonts w:eastAsia="TimesNewRoman" w:cs="TimesNewRoman"/>
        </w:rPr>
        <w:t xml:space="preserve"> from the ongoing CV outcome study (</w:t>
      </w:r>
      <w:r w:rsidR="00C14E6F">
        <w:rPr>
          <w:rFonts w:eastAsia="TimesNewRoman" w:cs="TimesNewRoman"/>
        </w:rPr>
        <w:t>Study </w:t>
      </w:r>
      <w:r w:rsidRPr="00080DFD">
        <w:rPr>
          <w:rFonts w:eastAsia="TimesNewRoman" w:cs="TimesNewRoman"/>
        </w:rPr>
        <w:t>P004/1021) upon completion.</w:t>
      </w:r>
    </w:p>
    <w:p w:rsidR="00B37C25" w:rsidRDefault="00B37C25" w:rsidP="00E26B2E">
      <w:pPr>
        <w:pStyle w:val="Heading2"/>
      </w:pPr>
      <w:bookmarkStart w:id="604" w:name="_Toc504036197"/>
      <w:bookmarkStart w:id="605" w:name="_Toc4573616"/>
      <w:r>
        <w:t>References</w:t>
      </w:r>
      <w:bookmarkEnd w:id="604"/>
      <w:bookmarkEnd w:id="605"/>
    </w:p>
    <w:p w:rsidR="00B37C25" w:rsidRPr="002E02C3" w:rsidRDefault="00B37C25" w:rsidP="00E26B2E">
      <w:pPr>
        <w:ind w:left="142" w:hanging="142"/>
        <w:rPr>
          <w:lang w:eastAsia="ja-JP"/>
        </w:rPr>
      </w:pPr>
      <w:r w:rsidRPr="002E02C3">
        <w:t>American Association of Clinical Endocrinologists, American</w:t>
      </w:r>
      <w:r>
        <w:t xml:space="preserve"> </w:t>
      </w:r>
      <w:r w:rsidRPr="002E02C3">
        <w:t>College of Endocrinology-2002. The American Association of</w:t>
      </w:r>
      <w:r>
        <w:t xml:space="preserve"> </w:t>
      </w:r>
      <w:r w:rsidRPr="002E02C3">
        <w:t>Clinical Endocrinologists medical guidelines for the</w:t>
      </w:r>
      <w:r>
        <w:t xml:space="preserve"> </w:t>
      </w:r>
      <w:r w:rsidRPr="002E02C3">
        <w:t>management of diabetes mellitus: The AACE system of</w:t>
      </w:r>
      <w:r>
        <w:t xml:space="preserve"> </w:t>
      </w:r>
      <w:r w:rsidRPr="002E02C3">
        <w:t xml:space="preserve">intensive diabetes self-management -2002 update. </w:t>
      </w:r>
      <w:r w:rsidRPr="001109F5">
        <w:rPr>
          <w:i/>
        </w:rPr>
        <w:t>Endocrine Practice</w:t>
      </w:r>
      <w:r w:rsidRPr="002E02C3">
        <w:t xml:space="preserve"> 2002;</w:t>
      </w:r>
      <w:r w:rsidR="001109F5">
        <w:t xml:space="preserve"> </w:t>
      </w:r>
      <w:r w:rsidRPr="002E02C3">
        <w:t>8(Suppl.1):</w:t>
      </w:r>
      <w:r w:rsidR="001109F5">
        <w:t xml:space="preserve"> </w:t>
      </w:r>
      <w:r w:rsidRPr="002E02C3">
        <w:t>40-82.</w:t>
      </w:r>
    </w:p>
    <w:p w:rsidR="00B37C25" w:rsidRPr="002E02C3" w:rsidRDefault="00B37C25" w:rsidP="00E26B2E">
      <w:pPr>
        <w:ind w:left="142" w:hanging="142"/>
      </w:pPr>
      <w:r w:rsidRPr="002E02C3">
        <w:t xml:space="preserve">Fu AZ, </w:t>
      </w:r>
      <w:r w:rsidR="001109F5">
        <w:t>et al.</w:t>
      </w:r>
      <w:r w:rsidRPr="002E02C3">
        <w:t xml:space="preserve"> Treatment</w:t>
      </w:r>
      <w:r>
        <w:t xml:space="preserve"> </w:t>
      </w:r>
      <w:r w:rsidRPr="002E02C3">
        <w:t>intensification in patients with type 2 diabetes who failed</w:t>
      </w:r>
      <w:r>
        <w:t xml:space="preserve"> </w:t>
      </w:r>
      <w:r w:rsidRPr="002E02C3">
        <w:t xml:space="preserve">metformin monotherapy. </w:t>
      </w:r>
      <w:r w:rsidRPr="001109F5">
        <w:rPr>
          <w:i/>
        </w:rPr>
        <w:t>Diabetes Obes Metab.</w:t>
      </w:r>
      <w:r w:rsidRPr="002E02C3">
        <w:t xml:space="preserve"> 2011;</w:t>
      </w:r>
      <w:r w:rsidR="001109F5">
        <w:t xml:space="preserve"> 13</w:t>
      </w:r>
      <w:r w:rsidRPr="002E02C3">
        <w:t>:</w:t>
      </w:r>
      <w:r w:rsidR="001109F5">
        <w:t xml:space="preserve"> </w:t>
      </w:r>
      <w:r w:rsidRPr="002E02C3">
        <w:t>765-</w:t>
      </w:r>
      <w:r w:rsidR="001109F5">
        <w:t>76</w:t>
      </w:r>
      <w:r w:rsidRPr="002E02C3">
        <w:t>9.</w:t>
      </w:r>
    </w:p>
    <w:p w:rsidR="00B37C25" w:rsidRPr="002E02C3" w:rsidRDefault="00B37C25" w:rsidP="00E26B2E">
      <w:pPr>
        <w:ind w:left="142" w:hanging="142"/>
      </w:pPr>
      <w:r w:rsidRPr="002E02C3">
        <w:lastRenderedPageBreak/>
        <w:t xml:space="preserve">Khunti K, </w:t>
      </w:r>
      <w:r w:rsidR="001109F5">
        <w:t>et al</w:t>
      </w:r>
      <w:r w:rsidRPr="002E02C3">
        <w:t>.</w:t>
      </w:r>
      <w:r>
        <w:t xml:space="preserve"> </w:t>
      </w:r>
      <w:r w:rsidRPr="002E02C3">
        <w:t>Clinical inertia in people with type 2 diabetes: a retrospective</w:t>
      </w:r>
      <w:r>
        <w:t xml:space="preserve"> </w:t>
      </w:r>
      <w:r w:rsidRPr="002E02C3">
        <w:t xml:space="preserve">cohort study of more than 80,000 people. </w:t>
      </w:r>
      <w:r w:rsidRPr="001109F5">
        <w:rPr>
          <w:i/>
        </w:rPr>
        <w:t>Diabetes Care.</w:t>
      </w:r>
      <w:r w:rsidRPr="002E02C3">
        <w:t xml:space="preserve"> 2013;</w:t>
      </w:r>
      <w:r w:rsidR="001109F5">
        <w:t xml:space="preserve"> 36</w:t>
      </w:r>
      <w:r w:rsidRPr="002E02C3">
        <w:t>:</w:t>
      </w:r>
      <w:r w:rsidR="001109F5">
        <w:t xml:space="preserve"> </w:t>
      </w:r>
      <w:r w:rsidRPr="002E02C3">
        <w:t>3411-</w:t>
      </w:r>
      <w:r w:rsidR="001109F5">
        <w:t>341</w:t>
      </w:r>
      <w:r w:rsidRPr="002E02C3">
        <w:t>7.</w:t>
      </w:r>
    </w:p>
    <w:p w:rsidR="00B37C25" w:rsidRDefault="00B37C25" w:rsidP="00E26B2E">
      <w:pPr>
        <w:ind w:left="142" w:hanging="142"/>
        <w:rPr>
          <w:rFonts w:eastAsiaTheme="minorHAnsi" w:cs="AdvFRUIT-LC"/>
        </w:rPr>
      </w:pPr>
      <w:r>
        <w:rPr>
          <w:rFonts w:eastAsiaTheme="minorHAnsi" w:cs="AdvPSFT-I"/>
        </w:rPr>
        <w:t xml:space="preserve">Seck, T, et al. Safety and efficacy of treatment with sitagliptin or glipizide in patients with type 2 diabetes inadequately controlled on metformin: a 2 –year study. </w:t>
      </w:r>
      <w:r w:rsidRPr="001109F5">
        <w:rPr>
          <w:rFonts w:eastAsiaTheme="minorHAnsi" w:cs="AdvPSFT-I"/>
          <w:i/>
        </w:rPr>
        <w:t>Int J Clin Pract</w:t>
      </w:r>
      <w:r w:rsidR="001109F5">
        <w:rPr>
          <w:rFonts w:eastAsiaTheme="minorHAnsi" w:cs="AdvFRUIT-LC"/>
        </w:rPr>
        <w:t>.</w:t>
      </w:r>
      <w:r w:rsidRPr="00EF4C62">
        <w:rPr>
          <w:rFonts w:eastAsiaTheme="minorHAnsi" w:cs="AdvFRUIT-LC"/>
        </w:rPr>
        <w:t xml:space="preserve"> </w:t>
      </w:r>
      <w:r w:rsidR="001109F5">
        <w:rPr>
          <w:rFonts w:eastAsiaTheme="minorHAnsi" w:cs="AdvFRUIT-LC"/>
        </w:rPr>
        <w:t xml:space="preserve">2010; </w:t>
      </w:r>
      <w:r w:rsidRPr="00EF4C62">
        <w:rPr>
          <w:rFonts w:eastAsiaTheme="minorHAnsi" w:cs="AdvPSFT-R"/>
        </w:rPr>
        <w:t>64</w:t>
      </w:r>
      <w:r w:rsidR="001109F5">
        <w:rPr>
          <w:rFonts w:eastAsiaTheme="minorHAnsi" w:cs="AdvFRUIT-LC"/>
        </w:rPr>
        <w:t xml:space="preserve">: </w:t>
      </w:r>
      <w:r w:rsidRPr="00EF4C62">
        <w:rPr>
          <w:rFonts w:eastAsiaTheme="minorHAnsi" w:cs="AdvFRUIT-LC"/>
        </w:rPr>
        <w:t>562–576</w:t>
      </w:r>
      <w:r>
        <w:rPr>
          <w:rFonts w:eastAsiaTheme="minorHAnsi" w:cs="AdvFRUIT-LC"/>
        </w:rPr>
        <w:t>.</w:t>
      </w:r>
    </w:p>
    <w:p w:rsidR="003D1E62" w:rsidRPr="001D043B" w:rsidRDefault="003D1E62" w:rsidP="002666AC">
      <w:pPr>
        <w:sectPr w:rsidR="003D1E62" w:rsidRPr="001D043B" w:rsidSect="008D770F">
          <w:headerReference w:type="even" r:id="rId39"/>
          <w:headerReference w:type="default" r:id="rId40"/>
          <w:headerReference w:type="first" r:id="rId41"/>
          <w:footerReference w:type="first" r:id="rId42"/>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B37C25">
        <w:trPr>
          <w:trHeight w:hRule="exact" w:val="564"/>
        </w:trPr>
        <w:tc>
          <w:tcPr>
            <w:tcW w:w="9175" w:type="dxa"/>
          </w:tcPr>
          <w:p w:rsidR="00B3567E" w:rsidRPr="00487162" w:rsidRDefault="00B3567E" w:rsidP="00B37C25">
            <w:pPr>
              <w:pStyle w:val="TGASignoff"/>
            </w:pPr>
            <w:r w:rsidRPr="00487162">
              <w:lastRenderedPageBreak/>
              <w:t>Therapeutic Goods Administration</w:t>
            </w:r>
          </w:p>
        </w:tc>
      </w:tr>
      <w:tr w:rsidR="00B3567E" w:rsidRPr="00487162" w:rsidTr="00B37C25">
        <w:trPr>
          <w:trHeight w:val="1221"/>
        </w:trPr>
        <w:tc>
          <w:tcPr>
            <w:tcW w:w="9175" w:type="dxa"/>
            <w:tcMar>
              <w:top w:w="28" w:type="dxa"/>
            </w:tcMar>
          </w:tcPr>
          <w:p w:rsidR="00B3567E" w:rsidRPr="00487162" w:rsidRDefault="00B3567E" w:rsidP="00B37C25">
            <w:pPr>
              <w:pStyle w:val="Address"/>
            </w:pPr>
            <w:r w:rsidRPr="00487162">
              <w:t>PO Box 100 Woden ACT 2606 Australia</w:t>
            </w:r>
          </w:p>
          <w:p w:rsidR="00B3567E" w:rsidRPr="00487162" w:rsidRDefault="00B3567E" w:rsidP="00B37C25">
            <w:pPr>
              <w:pStyle w:val="Address"/>
            </w:pPr>
            <w:r w:rsidRPr="00487162">
              <w:t xml:space="preserve">Email: </w:t>
            </w:r>
            <w:hyperlink r:id="rId43" w:history="1">
              <w:r w:rsidRPr="008D770F">
                <w:rPr>
                  <w:rStyle w:val="Hyperlink"/>
                </w:rPr>
                <w:t>info@tga.gov.au</w:t>
              </w:r>
            </w:hyperlink>
            <w:r w:rsidR="006F48AD">
              <w:t xml:space="preserve"> </w:t>
            </w:r>
            <w:r w:rsidRPr="00487162">
              <w:t>Phone: 1800 020 653</w:t>
            </w:r>
            <w:r w:rsidR="006F48AD">
              <w:t xml:space="preserve"> </w:t>
            </w:r>
            <w:r w:rsidRPr="00487162">
              <w:t>Fax: 02 6232 8605</w:t>
            </w:r>
          </w:p>
          <w:p w:rsidR="00B3567E" w:rsidRPr="008D770F" w:rsidRDefault="004A75C1" w:rsidP="00B37C25">
            <w:pPr>
              <w:pStyle w:val="Address"/>
              <w:spacing w:line="260" w:lineRule="atLeast"/>
              <w:rPr>
                <w:b/>
                <w:color w:val="0000FF"/>
                <w:u w:val="single"/>
              </w:rPr>
            </w:pPr>
            <w:hyperlink r:id="rId44"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5"/>
      <w:headerReference w:type="default" r:id="rId46"/>
      <w:footerReference w:type="default" r:id="rId47"/>
      <w:headerReference w:type="first" r:id="rId48"/>
      <w:footerReference w:type="first" r:id="rId4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2DE" w:rsidRDefault="005812DE" w:rsidP="00C40A36">
      <w:pPr>
        <w:spacing w:after="0"/>
      </w:pPr>
      <w:r>
        <w:separator/>
      </w:r>
    </w:p>
  </w:endnote>
  <w:endnote w:type="continuationSeparator" w:id="0">
    <w:p w:rsidR="005812DE" w:rsidRDefault="005812D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Bold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Arial-ItalicMT">
    <w:altName w:val="MS Gothic"/>
    <w:panose1 w:val="00000000000000000000"/>
    <w:charset w:val="00"/>
    <w:family w:val="swiss"/>
    <w:notTrueType/>
    <w:pitch w:val="default"/>
    <w:sig w:usb0="00000000" w:usb1="08070000" w:usb2="00000010" w:usb3="00000000" w:csb0="00020001" w:csb1="00000000"/>
  </w:font>
  <w:font w:name="AdvPSFT-I">
    <w:panose1 w:val="00000000000000000000"/>
    <w:charset w:val="00"/>
    <w:family w:val="swiss"/>
    <w:notTrueType/>
    <w:pitch w:val="default"/>
    <w:sig w:usb0="00000003" w:usb1="00000000" w:usb2="00000000" w:usb3="00000000" w:csb0="00000001" w:csb1="00000000"/>
  </w:font>
  <w:font w:name="AdvFRUIT-LC">
    <w:panose1 w:val="00000000000000000000"/>
    <w:charset w:val="00"/>
    <w:family w:val="swiss"/>
    <w:notTrueType/>
    <w:pitch w:val="default"/>
    <w:sig w:usb0="00000003" w:usb1="00000000" w:usb2="00000000" w:usb3="00000000" w:csb0="00000001" w:csb1="00000000"/>
  </w:font>
  <w:font w:name="AdvPSFT-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5812DE" w:rsidRPr="00487162" w:rsidTr="00B546FE">
      <w:trPr>
        <w:trHeight w:val="269"/>
      </w:trPr>
      <w:tc>
        <w:tcPr>
          <w:tcW w:w="7797" w:type="dxa"/>
          <w:tcMar>
            <w:top w:w="142" w:type="dxa"/>
            <w:bottom w:w="0" w:type="dxa"/>
          </w:tcMar>
        </w:tcPr>
        <w:p w:rsidR="005812DE" w:rsidRDefault="005812DE" w:rsidP="00B546FE">
          <w:pPr>
            <w:pStyle w:val="Footer"/>
          </w:pPr>
          <w:r>
            <w:t>Submission</w:t>
          </w:r>
          <w:r w:rsidRPr="00487162">
            <w:t xml:space="preserve"> PM-20</w:t>
          </w:r>
          <w:r>
            <w:t>17</w:t>
          </w:r>
          <w:r w:rsidRPr="00487162">
            <w:t>-</w:t>
          </w:r>
          <w:r>
            <w:t>01329-1-5 Extract from the Clinical Evaluation Report for Steglujan</w:t>
          </w:r>
        </w:p>
        <w:p w:rsidR="005812DE" w:rsidRPr="00487162" w:rsidRDefault="005812DE" w:rsidP="00B546FE">
          <w:pPr>
            <w:pStyle w:val="Footer"/>
          </w:pPr>
          <w:r>
            <w:t>FINAL 4 February 2019</w:t>
          </w:r>
        </w:p>
      </w:tc>
      <w:tc>
        <w:tcPr>
          <w:tcW w:w="1064" w:type="dxa"/>
          <w:tcMar>
            <w:top w:w="142" w:type="dxa"/>
            <w:bottom w:w="0" w:type="dxa"/>
          </w:tcMar>
        </w:tcPr>
        <w:p w:rsidR="005812DE" w:rsidRPr="00981D66" w:rsidRDefault="005812D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4A75C1">
            <w:rPr>
              <w:noProof/>
            </w:rPr>
            <w:t>3</w:t>
          </w:r>
          <w:r w:rsidRPr="00981D66">
            <w:fldChar w:fldCharType="end"/>
          </w:r>
          <w:r w:rsidRPr="00981D66">
            <w:t xml:space="preserve"> of </w:t>
          </w:r>
          <w:fldSimple w:instr=" NUMPAGES  \* Arabic  \* MERGEFORMAT ">
            <w:r w:rsidR="004A75C1">
              <w:rPr>
                <w:noProof/>
              </w:rPr>
              <w:t>64</w:t>
            </w:r>
          </w:fldSimple>
        </w:p>
      </w:tc>
    </w:tr>
  </w:tbl>
  <w:p w:rsidR="005812DE" w:rsidRDefault="005812D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812DE" w:rsidRPr="00487162" w:rsidTr="00E45619">
      <w:trPr>
        <w:trHeight w:val="269"/>
      </w:trPr>
      <w:tc>
        <w:tcPr>
          <w:tcW w:w="4519" w:type="dxa"/>
          <w:tcBorders>
            <w:top w:val="single" w:sz="4" w:space="0" w:color="auto"/>
          </w:tcBorders>
          <w:tcMar>
            <w:top w:w="142" w:type="dxa"/>
            <w:bottom w:w="0" w:type="dxa"/>
          </w:tcMar>
        </w:tcPr>
        <w:p w:rsidR="005812DE" w:rsidRPr="00487162" w:rsidRDefault="005812DE" w:rsidP="00FE1DEE">
          <w:pPr>
            <w:pStyle w:val="Footer"/>
          </w:pPr>
          <w:r w:rsidRPr="00487162">
            <w:t>Document title, Part #, Section # - Section title</w:t>
          </w:r>
        </w:p>
        <w:p w:rsidR="005812DE" w:rsidRPr="00487162" w:rsidRDefault="005812DE" w:rsidP="00FE1DEE">
          <w:pPr>
            <w:pStyle w:val="Footer"/>
          </w:pPr>
          <w:r w:rsidRPr="00487162">
            <w:t>V1.0 October 2010</w:t>
          </w:r>
        </w:p>
      </w:tc>
      <w:tc>
        <w:tcPr>
          <w:tcW w:w="4342" w:type="dxa"/>
          <w:tcBorders>
            <w:top w:val="single" w:sz="4" w:space="0" w:color="auto"/>
          </w:tcBorders>
          <w:tcMar>
            <w:top w:w="142" w:type="dxa"/>
            <w:bottom w:w="0" w:type="dxa"/>
          </w:tcMar>
        </w:tcPr>
        <w:p w:rsidR="005812DE" w:rsidRPr="00487162" w:rsidRDefault="005812D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5812DE" w:rsidRDefault="005812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DE" w:rsidRDefault="005812D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812DE" w:rsidTr="0010601F">
      <w:trPr>
        <w:trHeight w:val="108"/>
      </w:trPr>
      <w:tc>
        <w:tcPr>
          <w:tcW w:w="8875" w:type="dxa"/>
          <w:gridSpan w:val="2"/>
          <w:tcBorders>
            <w:bottom w:val="single" w:sz="4" w:space="0" w:color="auto"/>
          </w:tcBorders>
          <w:tcMar>
            <w:right w:w="284" w:type="dxa"/>
          </w:tcMar>
        </w:tcPr>
        <w:p w:rsidR="005812DE" w:rsidRDefault="005812DE" w:rsidP="006E08B3">
          <w:pPr>
            <w:pStyle w:val="Heading3"/>
          </w:pPr>
          <w:r>
            <w:t>Copyright</w:t>
          </w:r>
        </w:p>
        <w:p w:rsidR="005812DE" w:rsidRDefault="005812DE" w:rsidP="006E08B3">
          <w:r>
            <w:rPr>
              <w:rFonts w:cs="Arial"/>
            </w:rPr>
            <w:t>©</w:t>
          </w:r>
          <w:r>
            <w:t xml:space="preserve"> Commonwealth of Australia [add year]</w:t>
          </w:r>
        </w:p>
        <w:p w:rsidR="005812DE" w:rsidRDefault="005812DE" w:rsidP="006E08B3"/>
        <w:p w:rsidR="005812DE" w:rsidRDefault="005812D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812DE" w:rsidRDefault="005812DE" w:rsidP="006E08B3"/>
        <w:p w:rsidR="005812DE" w:rsidRDefault="005812DE" w:rsidP="006E08B3">
          <w:pPr>
            <w:pStyle w:val="Heading3"/>
          </w:pPr>
          <w:r>
            <w:t>Confidentiality</w:t>
          </w:r>
        </w:p>
        <w:p w:rsidR="005812DE" w:rsidRDefault="005812D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812DE" w:rsidRDefault="005812DE" w:rsidP="006E08B3"/>
        <w:p w:rsidR="005812DE" w:rsidRDefault="005812DE" w:rsidP="006E08B3">
          <w:r>
            <w:t>For submission made by individuals, all personal details, other than your name, will be removed from your submission before it is published on the TGA’s Internet site.</w:t>
          </w:r>
        </w:p>
        <w:p w:rsidR="005812DE" w:rsidRDefault="005812DE" w:rsidP="006E08B3"/>
        <w:p w:rsidR="005812DE" w:rsidRDefault="005812DE" w:rsidP="006E08B3">
          <w:r>
            <w:t>In addition, a list of parties making submissions will be published. If you do not wish to be identified with your submission you must specifically request this in the space provided ib the submission coversheet.</w:t>
          </w:r>
        </w:p>
      </w:tc>
    </w:tr>
    <w:tr w:rsidR="005812DE" w:rsidTr="0010601F">
      <w:trPr>
        <w:trHeight w:val="417"/>
      </w:trPr>
      <w:tc>
        <w:tcPr>
          <w:tcW w:w="4519" w:type="dxa"/>
          <w:tcBorders>
            <w:top w:val="single" w:sz="4" w:space="0" w:color="auto"/>
          </w:tcBorders>
          <w:tcMar>
            <w:top w:w="142" w:type="dxa"/>
            <w:bottom w:w="0" w:type="dxa"/>
          </w:tcMar>
        </w:tcPr>
        <w:p w:rsidR="005812DE" w:rsidRDefault="005812DE" w:rsidP="006E08B3">
          <w:r>
            <w:t>Document title, Part #, Section # - Section title</w:t>
          </w:r>
        </w:p>
        <w:p w:rsidR="005812DE" w:rsidRDefault="005812DE" w:rsidP="006E08B3">
          <w:r>
            <w:t>V1.0 October 2010</w:t>
          </w:r>
        </w:p>
      </w:tc>
      <w:tc>
        <w:tcPr>
          <w:tcW w:w="4356" w:type="dxa"/>
          <w:tcBorders>
            <w:top w:val="single" w:sz="4" w:space="0" w:color="auto"/>
          </w:tcBorders>
          <w:tcMar>
            <w:top w:w="142" w:type="dxa"/>
            <w:bottom w:w="0" w:type="dxa"/>
          </w:tcMar>
        </w:tcPr>
        <w:p w:rsidR="005812DE" w:rsidRDefault="005812D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5812DE" w:rsidRDefault="005812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2DE" w:rsidRDefault="005812DE" w:rsidP="00C40A36">
      <w:pPr>
        <w:spacing w:after="0"/>
      </w:pPr>
      <w:r>
        <w:separator/>
      </w:r>
    </w:p>
  </w:footnote>
  <w:footnote w:type="continuationSeparator" w:id="0">
    <w:p w:rsidR="005812DE" w:rsidRDefault="005812DE" w:rsidP="00C40A36">
      <w:pPr>
        <w:spacing w:after="0"/>
      </w:pPr>
      <w:r>
        <w:continuationSeparator/>
      </w:r>
    </w:p>
  </w:footnote>
  <w:footnote w:id="1">
    <w:p w:rsidR="005812DE" w:rsidRPr="005812DE" w:rsidRDefault="005812DE" w:rsidP="005812DE">
      <w:pPr>
        <w:pStyle w:val="FootnoteText"/>
        <w:rPr>
          <w:sz w:val="18"/>
          <w:szCs w:val="18"/>
        </w:rPr>
      </w:pPr>
      <w:r w:rsidRPr="005812DE">
        <w:rPr>
          <w:rStyle w:val="FootnoteReference"/>
          <w:sz w:val="18"/>
          <w:szCs w:val="18"/>
        </w:rPr>
        <w:footnoteRef/>
      </w:r>
      <w:r w:rsidRPr="005812DE">
        <w:rPr>
          <w:sz w:val="18"/>
          <w:szCs w:val="18"/>
        </w:rPr>
        <w:t xml:space="preserve"> IDF Diabetes Atlas Group. Update of mortality attributable to diabetes for the IDF Diabetes Atlas: Estimates for the year 2013. </w:t>
      </w:r>
      <w:r w:rsidRPr="005812DE">
        <w:rPr>
          <w:i/>
          <w:sz w:val="18"/>
          <w:szCs w:val="18"/>
        </w:rPr>
        <w:t>Diabetes Res Clin Pract</w:t>
      </w:r>
      <w:r w:rsidRPr="005812DE">
        <w:rPr>
          <w:sz w:val="18"/>
          <w:szCs w:val="18"/>
        </w:rPr>
        <w:t>. 2015;</w:t>
      </w:r>
      <w:r>
        <w:rPr>
          <w:sz w:val="18"/>
          <w:szCs w:val="18"/>
        </w:rPr>
        <w:t xml:space="preserve"> 109</w:t>
      </w:r>
      <w:r w:rsidRPr="005812DE">
        <w:rPr>
          <w:sz w:val="18"/>
          <w:szCs w:val="18"/>
        </w:rPr>
        <w:t>:</w:t>
      </w:r>
      <w:r>
        <w:rPr>
          <w:sz w:val="18"/>
          <w:szCs w:val="18"/>
        </w:rPr>
        <w:t xml:space="preserve"> </w:t>
      </w:r>
      <w:r w:rsidRPr="005812DE">
        <w:rPr>
          <w:sz w:val="18"/>
          <w:szCs w:val="18"/>
        </w:rPr>
        <w:t>461-</w:t>
      </w:r>
      <w:r>
        <w:rPr>
          <w:sz w:val="18"/>
          <w:szCs w:val="18"/>
        </w:rPr>
        <w:t>46</w:t>
      </w:r>
      <w:r w:rsidRPr="005812DE">
        <w:rPr>
          <w:sz w:val="18"/>
          <w:szCs w:val="18"/>
        </w:rPr>
        <w:t>5.</w:t>
      </w:r>
    </w:p>
  </w:footnote>
  <w:footnote w:id="2">
    <w:p w:rsidR="005812DE" w:rsidRPr="005812DE" w:rsidRDefault="005812DE" w:rsidP="005812DE">
      <w:pPr>
        <w:pStyle w:val="FootnoteText"/>
        <w:rPr>
          <w:sz w:val="18"/>
          <w:szCs w:val="18"/>
        </w:rPr>
      </w:pPr>
      <w:r w:rsidRPr="005812DE">
        <w:rPr>
          <w:rStyle w:val="FootnoteReference"/>
          <w:sz w:val="18"/>
          <w:szCs w:val="18"/>
        </w:rPr>
        <w:footnoteRef/>
      </w:r>
      <w:r w:rsidRPr="005812DE">
        <w:rPr>
          <w:sz w:val="18"/>
          <w:szCs w:val="18"/>
        </w:rPr>
        <w:t xml:space="preserve"> www.diabetesaustralia.com.au</w:t>
      </w:r>
    </w:p>
  </w:footnote>
  <w:footnote w:id="3">
    <w:p w:rsidR="005812DE" w:rsidRPr="004B7746" w:rsidRDefault="005812DE" w:rsidP="00B37C25">
      <w:pPr>
        <w:autoSpaceDE w:val="0"/>
        <w:autoSpaceDN w:val="0"/>
        <w:adjustRightInd w:val="0"/>
        <w:spacing w:before="0" w:after="0" w:line="240" w:lineRule="auto"/>
        <w:rPr>
          <w:rStyle w:val="FootnoteTextChar"/>
          <w:sz w:val="18"/>
          <w:szCs w:val="18"/>
        </w:rPr>
      </w:pPr>
      <w:r w:rsidRPr="00367FAA">
        <w:rPr>
          <w:rStyle w:val="FootnoteReference"/>
          <w:rFonts w:asciiTheme="minorHAnsi" w:hAnsiTheme="minorHAnsi"/>
          <w:sz w:val="16"/>
          <w:szCs w:val="16"/>
        </w:rPr>
        <w:footnoteRef/>
      </w:r>
      <w:r w:rsidRPr="00367FAA">
        <w:rPr>
          <w:rFonts w:asciiTheme="minorHAnsi" w:hAnsiTheme="minorHAnsi"/>
          <w:sz w:val="16"/>
          <w:szCs w:val="16"/>
        </w:rPr>
        <w:t xml:space="preserve"> </w:t>
      </w:r>
      <w:r w:rsidRPr="004B7746">
        <w:rPr>
          <w:rStyle w:val="FootnoteTextChar"/>
          <w:sz w:val="18"/>
          <w:szCs w:val="18"/>
        </w:rPr>
        <w:t>Obtained from the 120-minute time point after administration of a mixed meal tolerance test (MMTT) challenge (in selected studies)</w:t>
      </w:r>
    </w:p>
  </w:footnote>
  <w:footnote w:id="4">
    <w:p w:rsidR="005812DE" w:rsidRPr="00D64DB1" w:rsidRDefault="005812DE" w:rsidP="00B37C25">
      <w:pPr>
        <w:pStyle w:val="FootnoteText"/>
        <w:rPr>
          <w:sz w:val="18"/>
          <w:szCs w:val="18"/>
        </w:rPr>
      </w:pPr>
      <w:r w:rsidRPr="00D64DB1">
        <w:rPr>
          <w:rStyle w:val="FootnoteReference"/>
          <w:sz w:val="18"/>
          <w:szCs w:val="18"/>
        </w:rPr>
        <w:footnoteRef/>
      </w:r>
      <w:r w:rsidRPr="00D64DB1">
        <w:rPr>
          <w:sz w:val="18"/>
          <w:szCs w:val="18"/>
        </w:rPr>
        <w:t xml:space="preserve"> </w:t>
      </w:r>
      <w:r w:rsidRPr="00D64DB1">
        <w:rPr>
          <w:rFonts w:asciiTheme="minorHAnsi" w:eastAsia="TimesNewRoman" w:hAnsiTheme="minorHAnsi" w:cs="TimesNewRoman"/>
          <w:color w:val="000000"/>
          <w:sz w:val="18"/>
          <w:szCs w:val="18"/>
        </w:rPr>
        <w:t>A [information redacted] patient in the E5/S100 group, experienced a SAE of pyelonephritis acute on Day 64</w:t>
      </w:r>
    </w:p>
  </w:footnote>
  <w:footnote w:id="5">
    <w:p w:rsidR="005812DE" w:rsidRPr="00605F47" w:rsidRDefault="005812DE" w:rsidP="00B37C25">
      <w:pPr>
        <w:autoSpaceDE w:val="0"/>
        <w:autoSpaceDN w:val="0"/>
        <w:adjustRightInd w:val="0"/>
        <w:spacing w:before="0" w:after="0" w:line="240" w:lineRule="auto"/>
        <w:rPr>
          <w:rFonts w:asciiTheme="minorHAnsi" w:hAnsiTheme="minorHAnsi"/>
          <w:sz w:val="16"/>
          <w:szCs w:val="16"/>
        </w:rPr>
      </w:pPr>
      <w:r w:rsidRPr="00605F47">
        <w:rPr>
          <w:rStyle w:val="FootnoteReference"/>
          <w:rFonts w:asciiTheme="minorHAnsi" w:hAnsiTheme="minorHAnsi"/>
          <w:sz w:val="16"/>
          <w:szCs w:val="16"/>
        </w:rPr>
        <w:footnoteRef/>
      </w:r>
      <w:r w:rsidRPr="00605F47">
        <w:rPr>
          <w:rFonts w:asciiTheme="minorHAnsi" w:hAnsiTheme="minorHAnsi"/>
          <w:sz w:val="16"/>
          <w:szCs w:val="16"/>
        </w:rPr>
        <w:t xml:space="preserve"> </w:t>
      </w:r>
      <w:r w:rsidRPr="00605F47">
        <w:rPr>
          <w:rFonts w:asciiTheme="minorHAnsi" w:eastAsiaTheme="minorHAnsi" w:hAnsiTheme="minorHAnsi"/>
          <w:sz w:val="16"/>
          <w:szCs w:val="16"/>
        </w:rPr>
        <w:t>Subject</w:t>
      </w:r>
      <w:r>
        <w:rPr>
          <w:rFonts w:asciiTheme="minorHAnsi" w:eastAsiaTheme="minorHAnsi" w:hAnsiTheme="minorHAnsi"/>
          <w:sz w:val="16"/>
          <w:szCs w:val="16"/>
        </w:rPr>
        <w:t xml:space="preserve"> </w:t>
      </w:r>
      <w:r w:rsidRPr="00605F47">
        <w:rPr>
          <w:rFonts w:asciiTheme="minorHAnsi" w:eastAsiaTheme="minorHAnsi" w:hAnsiTheme="minorHAnsi"/>
          <w:sz w:val="16"/>
          <w:szCs w:val="16"/>
        </w:rPr>
        <w:t>in the E15/S100 group with an SAE of endometrial adenocarcinoma and</w:t>
      </w:r>
      <w:r>
        <w:rPr>
          <w:rFonts w:asciiTheme="minorHAnsi" w:eastAsiaTheme="minorHAnsi" w:hAnsiTheme="minorHAnsi"/>
          <w:sz w:val="16"/>
          <w:szCs w:val="16"/>
        </w:rPr>
        <w:t xml:space="preserve"> </w:t>
      </w:r>
      <w:r w:rsidRPr="00605F47">
        <w:rPr>
          <w:rFonts w:asciiTheme="minorHAnsi" w:eastAsiaTheme="minorHAnsi" w:hAnsiTheme="minorHAnsi"/>
          <w:sz w:val="16"/>
          <w:szCs w:val="16"/>
        </w:rPr>
        <w:t>subject in the placebo group with an SAE of ischemic stroke</w:t>
      </w:r>
    </w:p>
  </w:footnote>
  <w:footnote w:id="6">
    <w:p w:rsidR="005812DE" w:rsidRPr="001109F5" w:rsidRDefault="005812DE" w:rsidP="00B37C25">
      <w:pPr>
        <w:autoSpaceDE w:val="0"/>
        <w:autoSpaceDN w:val="0"/>
        <w:adjustRightInd w:val="0"/>
        <w:spacing w:before="0" w:after="0" w:line="240" w:lineRule="auto"/>
        <w:rPr>
          <w:rStyle w:val="FootnoteTextChar"/>
          <w:sz w:val="18"/>
          <w:szCs w:val="18"/>
        </w:rPr>
      </w:pPr>
      <w:r w:rsidRPr="00452B10">
        <w:rPr>
          <w:rStyle w:val="FootnoteReference"/>
          <w:sz w:val="18"/>
          <w:szCs w:val="18"/>
        </w:rPr>
        <w:footnoteRef/>
      </w:r>
      <w:r w:rsidRPr="00452B10">
        <w:rPr>
          <w:sz w:val="18"/>
          <w:szCs w:val="18"/>
        </w:rPr>
        <w:t xml:space="preserve"> </w:t>
      </w:r>
      <w:r w:rsidRPr="001109F5">
        <w:rPr>
          <w:rStyle w:val="FootnoteTextChar"/>
          <w:sz w:val="18"/>
          <w:szCs w:val="18"/>
        </w:rPr>
        <w:t>This subject, a [information redacted] with a baseline eGFR of 58 mL/min/1.73 m</w:t>
      </w:r>
      <w:r w:rsidRPr="001109F5">
        <w:rPr>
          <w:rStyle w:val="FootnoteTextChar"/>
          <w:sz w:val="18"/>
          <w:szCs w:val="18"/>
          <w:vertAlign w:val="superscript"/>
        </w:rPr>
        <w:t>2</w:t>
      </w:r>
      <w:r w:rsidRPr="001109F5">
        <w:rPr>
          <w:rStyle w:val="FootnoteTextChar"/>
          <w:sz w:val="18"/>
          <w:szCs w:val="18"/>
        </w:rPr>
        <w:t>, had an eGFR of 12 mL/min/1.73 m</w:t>
      </w:r>
      <w:r w:rsidRPr="001109F5">
        <w:rPr>
          <w:rStyle w:val="FootnoteTextChar"/>
          <w:sz w:val="18"/>
          <w:szCs w:val="18"/>
          <w:vertAlign w:val="superscript"/>
        </w:rPr>
        <w:t>2</w:t>
      </w:r>
      <w:r w:rsidRPr="001109F5">
        <w:rPr>
          <w:rStyle w:val="FootnoteTextChar"/>
          <w:sz w:val="18"/>
          <w:szCs w:val="18"/>
        </w:rPr>
        <w:t xml:space="preserve"> on Day 98, a concurrent serious adverse event of pancreatitis, and concurrent non-serious adverse events of urinary tract infection and cholecystitis acute, for which a laparoscopic cholecystectomy was performed. The eGFR on Day 103 was 104 mL/min/1.73 m</w:t>
      </w:r>
      <w:r w:rsidRPr="001109F5">
        <w:rPr>
          <w:rStyle w:val="FootnoteTextChar"/>
          <w:sz w:val="18"/>
          <w:szCs w:val="18"/>
          <w:vertAlign w:val="superscript"/>
        </w:rPr>
        <w:t>2</w:t>
      </w:r>
      <w:r w:rsidRPr="001109F5">
        <w:rPr>
          <w:rStyle w:val="FootnoteTextChar"/>
          <w:sz w:val="18"/>
          <w:szCs w:val="18"/>
        </w:rPr>
        <w:t>. The investigator considered the event of acute kidney injury to be secondary to dehydration and use of angiotensin-converting inhibitors.</w:t>
      </w:r>
    </w:p>
  </w:footnote>
  <w:footnote w:id="7">
    <w:p w:rsidR="005812DE" w:rsidRPr="001109F5" w:rsidRDefault="005812DE" w:rsidP="00B37C25">
      <w:pPr>
        <w:autoSpaceDE w:val="0"/>
        <w:autoSpaceDN w:val="0"/>
        <w:adjustRightInd w:val="0"/>
        <w:spacing w:before="0" w:after="0" w:line="240" w:lineRule="auto"/>
        <w:rPr>
          <w:rStyle w:val="FootnoteTextChar"/>
          <w:sz w:val="18"/>
          <w:szCs w:val="18"/>
        </w:rPr>
      </w:pPr>
      <w:r w:rsidRPr="00F7529C">
        <w:rPr>
          <w:rStyle w:val="FootnoteReference"/>
          <w:sz w:val="18"/>
          <w:szCs w:val="18"/>
        </w:rPr>
        <w:footnoteRef/>
      </w:r>
      <w:r w:rsidRPr="00F7529C">
        <w:rPr>
          <w:sz w:val="18"/>
          <w:szCs w:val="18"/>
        </w:rPr>
        <w:t xml:space="preserve"> </w:t>
      </w:r>
      <w:r w:rsidRPr="001109F5">
        <w:rPr>
          <w:rStyle w:val="FootnoteTextChar"/>
          <w:sz w:val="18"/>
          <w:szCs w:val="18"/>
        </w:rPr>
        <w:t xml:space="preserve">The subject who met this criterion in the E5/S100 group had a QTcF interval </w:t>
      </w:r>
      <w:r w:rsidR="001109F5">
        <w:rPr>
          <w:rStyle w:val="FootnoteTextChar"/>
          <w:sz w:val="18"/>
          <w:szCs w:val="18"/>
        </w:rPr>
        <w:t>on Day 183 (Week 26) of 520 ms</w:t>
      </w:r>
      <w:r w:rsidRPr="001109F5">
        <w:rPr>
          <w:rStyle w:val="FootnoteTextChar"/>
          <w:sz w:val="18"/>
          <w:szCs w:val="18"/>
        </w:rPr>
        <w:t>; however, the subject’</w:t>
      </w:r>
      <w:r w:rsidR="001109F5">
        <w:rPr>
          <w:rStyle w:val="FootnoteTextChar"/>
          <w:sz w:val="18"/>
          <w:szCs w:val="18"/>
        </w:rPr>
        <w:t>s pre-treatment result (501 ms</w:t>
      </w:r>
      <w:r w:rsidRPr="001109F5">
        <w:rPr>
          <w:rStyle w:val="FootnoteTextChar"/>
          <w:sz w:val="18"/>
          <w:szCs w:val="18"/>
        </w:rPr>
        <w:t>) also met this PDLC criterion, and was consistent with the result on Day 183.</w:t>
      </w:r>
    </w:p>
  </w:footnote>
  <w:footnote w:id="8">
    <w:p w:rsidR="005812DE" w:rsidRPr="00B433F6" w:rsidRDefault="005812DE" w:rsidP="00B37C25">
      <w:pPr>
        <w:pStyle w:val="FootnoteText"/>
        <w:rPr>
          <w:sz w:val="18"/>
          <w:szCs w:val="18"/>
        </w:rPr>
      </w:pPr>
      <w:r w:rsidRPr="00B433F6">
        <w:rPr>
          <w:rStyle w:val="FootnoteReference"/>
          <w:sz w:val="18"/>
          <w:szCs w:val="18"/>
        </w:rPr>
        <w:footnoteRef/>
      </w:r>
      <w:r w:rsidRPr="00B433F6">
        <w:rPr>
          <w:sz w:val="18"/>
          <w:szCs w:val="18"/>
        </w:rPr>
        <w:t xml:space="preserve"> </w:t>
      </w:r>
      <w:r w:rsidRPr="00B433F6">
        <w:rPr>
          <w:rFonts w:asciiTheme="minorHAnsi" w:hAnsiTheme="minorHAnsi"/>
          <w:sz w:val="18"/>
          <w:szCs w:val="18"/>
        </w:rPr>
        <w:t>Because these reactions are reported voluntarily from a population of uncertain size, it is generally not possible to reliably estimate their frequency or establish a causal relationship to drug exposure</w:t>
      </w:r>
      <w:r>
        <w:rPr>
          <w:rFonts w:asciiTheme="minorHAnsi" w:hAnsiTheme="minorHAnsi"/>
          <w:sz w:val="18"/>
          <w:szCs w:val="18"/>
        </w:rPr>
        <w:t>.</w:t>
      </w:r>
    </w:p>
  </w:footnote>
  <w:footnote w:id="9">
    <w:p w:rsidR="005812DE" w:rsidRPr="0011613F" w:rsidRDefault="005812DE" w:rsidP="00B37C25">
      <w:pPr>
        <w:autoSpaceDE w:val="0"/>
        <w:autoSpaceDN w:val="0"/>
        <w:adjustRightInd w:val="0"/>
        <w:spacing w:before="0" w:after="0" w:line="240" w:lineRule="auto"/>
        <w:rPr>
          <w:rFonts w:asciiTheme="minorHAnsi" w:hAnsiTheme="minorHAnsi"/>
          <w:sz w:val="16"/>
          <w:szCs w:val="16"/>
        </w:rPr>
      </w:pPr>
      <w:r w:rsidRPr="0011613F">
        <w:rPr>
          <w:rStyle w:val="FootnoteReference"/>
          <w:rFonts w:asciiTheme="minorHAnsi" w:hAnsiTheme="minorHAnsi"/>
          <w:sz w:val="16"/>
          <w:szCs w:val="16"/>
        </w:rPr>
        <w:footnoteRef/>
      </w:r>
      <w:r w:rsidRPr="0011613F">
        <w:rPr>
          <w:rFonts w:asciiTheme="minorHAnsi" w:hAnsiTheme="minorHAnsi"/>
          <w:sz w:val="16"/>
          <w:szCs w:val="16"/>
        </w:rPr>
        <w:t xml:space="preserve"> </w:t>
      </w:r>
      <w:r w:rsidRPr="0011613F">
        <w:rPr>
          <w:rFonts w:asciiTheme="minorHAnsi" w:eastAsia="TimesNewRoman" w:hAnsiTheme="minorHAnsi" w:cs="TimesNewRoman"/>
          <w:sz w:val="16"/>
          <w:szCs w:val="16"/>
        </w:rPr>
        <w:t>The subject in the E15/S100 group had 2 events of severe</w:t>
      </w:r>
      <w:r>
        <w:rPr>
          <w:rFonts w:asciiTheme="minorHAnsi" w:eastAsia="TimesNewRoman" w:hAnsiTheme="minorHAnsi" w:cs="TimesNewRoman"/>
          <w:sz w:val="16"/>
          <w:szCs w:val="16"/>
        </w:rPr>
        <w:t xml:space="preserve"> </w:t>
      </w:r>
      <w:r w:rsidRPr="0011613F">
        <w:rPr>
          <w:rFonts w:asciiTheme="minorHAnsi" w:eastAsia="TimesNewRoman" w:hAnsiTheme="minorHAnsi" w:cs="TimesNewRoman"/>
          <w:sz w:val="16"/>
          <w:szCs w:val="16"/>
        </w:rPr>
        <w:t>hypoglycaemia (associated glucose values per event were [3.3 mmol/L</w:t>
      </w:r>
      <w:r>
        <w:rPr>
          <w:rFonts w:asciiTheme="minorHAnsi" w:eastAsia="TimesNewRoman" w:hAnsiTheme="minorHAnsi" w:cs="TimesNewRoman"/>
          <w:sz w:val="16"/>
          <w:szCs w:val="16"/>
        </w:rPr>
        <w:t xml:space="preserve"> </w:t>
      </w:r>
      <w:r w:rsidRPr="0011613F">
        <w:rPr>
          <w:rFonts w:asciiTheme="minorHAnsi" w:eastAsia="TimesNewRoman" w:hAnsiTheme="minorHAnsi" w:cs="TimesNewRoman"/>
          <w:sz w:val="16"/>
          <w:szCs w:val="16"/>
        </w:rPr>
        <w:t>and</w:t>
      </w:r>
      <w:r>
        <w:rPr>
          <w:rFonts w:asciiTheme="minorHAnsi" w:eastAsia="TimesNewRoman" w:hAnsiTheme="minorHAnsi" w:cs="TimesNewRoman"/>
          <w:sz w:val="16"/>
          <w:szCs w:val="16"/>
        </w:rPr>
        <w:t xml:space="preserve"> </w:t>
      </w:r>
      <w:r w:rsidRPr="0011613F">
        <w:rPr>
          <w:rFonts w:asciiTheme="minorHAnsi" w:eastAsia="TimesNewRoman" w:hAnsiTheme="minorHAnsi" w:cs="TimesNewRoman"/>
          <w:sz w:val="16"/>
          <w:szCs w:val="16"/>
        </w:rPr>
        <w:t>2.8 mmol/L which were each categorized as requiring non-medical assistance.</w:t>
      </w:r>
      <w:r>
        <w:rPr>
          <w:rFonts w:asciiTheme="minorHAnsi" w:eastAsia="TimesNewRoman" w:hAnsiTheme="minorHAnsi" w:cs="TimesNewRoman"/>
          <w:sz w:val="16"/>
          <w:szCs w:val="16"/>
        </w:rPr>
        <w:t xml:space="preserve"> </w:t>
      </w:r>
      <w:r w:rsidRPr="0011613F">
        <w:rPr>
          <w:rFonts w:asciiTheme="minorHAnsi" w:eastAsia="TimesNewRoman" w:hAnsiTheme="minorHAnsi" w:cs="TimesNewRoman"/>
          <w:sz w:val="16"/>
          <w:szCs w:val="16"/>
        </w:rPr>
        <w:t>The event for the subject in the ertugliflozin 15 mg group (associated glucose of 3.4 mmol/L, which was reported to have resulted in a markedly depressed level of</w:t>
      </w:r>
      <w:r>
        <w:rPr>
          <w:rFonts w:asciiTheme="minorHAnsi" w:eastAsia="TimesNewRoman" w:hAnsiTheme="minorHAnsi" w:cs="TimesNewRoman"/>
          <w:sz w:val="16"/>
          <w:szCs w:val="16"/>
        </w:rPr>
        <w:t xml:space="preserve"> </w:t>
      </w:r>
      <w:r w:rsidRPr="0011613F">
        <w:rPr>
          <w:rFonts w:asciiTheme="minorHAnsi" w:eastAsia="TimesNewRoman" w:hAnsiTheme="minorHAnsi" w:cs="TimesNewRoman"/>
          <w:sz w:val="16"/>
          <w:szCs w:val="16"/>
        </w:rPr>
        <w:t>consciousness, was categorized as requiring medical assistance</w:t>
      </w:r>
      <w:r>
        <w:rPr>
          <w:rFonts w:asciiTheme="minorHAnsi" w:eastAsia="TimesNewRoman" w:hAnsiTheme="minorHAnsi" w:cs="TimesNewRoman"/>
          <w:sz w:val="16"/>
          <w:szCs w:val="16"/>
        </w:rPr>
        <w:t>.</w:t>
      </w:r>
    </w:p>
  </w:footnote>
  <w:footnote w:id="10">
    <w:p w:rsidR="005812DE" w:rsidRPr="001109F5" w:rsidRDefault="005812DE" w:rsidP="001109F5">
      <w:pPr>
        <w:pStyle w:val="FootnoteText"/>
        <w:rPr>
          <w:sz w:val="18"/>
          <w:szCs w:val="18"/>
        </w:rPr>
      </w:pPr>
      <w:r w:rsidRPr="001109F5">
        <w:rPr>
          <w:rStyle w:val="FootnoteReference"/>
          <w:rFonts w:asciiTheme="minorHAnsi" w:hAnsiTheme="minorHAnsi"/>
          <w:sz w:val="18"/>
          <w:szCs w:val="18"/>
        </w:rPr>
        <w:footnoteRef/>
      </w:r>
      <w:r w:rsidRPr="001109F5">
        <w:rPr>
          <w:sz w:val="18"/>
          <w:szCs w:val="18"/>
        </w:rPr>
        <w:t xml:space="preserve"> This event resulted in a seizure (associated glucose of 3.6 mmol/L was categorized as requiring medical assistance. </w:t>
      </w:r>
    </w:p>
  </w:footnote>
  <w:footnote w:id="11">
    <w:p w:rsidR="005812DE" w:rsidRPr="001109F5" w:rsidRDefault="005812DE" w:rsidP="001109F5">
      <w:pPr>
        <w:pStyle w:val="FootnoteText"/>
        <w:rPr>
          <w:sz w:val="18"/>
          <w:szCs w:val="18"/>
        </w:rPr>
      </w:pPr>
      <w:r w:rsidRPr="001109F5">
        <w:rPr>
          <w:rStyle w:val="FootnoteReference"/>
          <w:sz w:val="18"/>
          <w:szCs w:val="18"/>
        </w:rPr>
        <w:footnoteRef/>
      </w:r>
      <w:r w:rsidRPr="001109F5">
        <w:rPr>
          <w:sz w:val="18"/>
          <w:szCs w:val="18"/>
        </w:rPr>
        <w:t xml:space="preserve"> The event resulted in a markedly depressed level of consciousness (associated glucose of 3.8 mmol/L, was categorised as requiring medical assistance.</w:t>
      </w:r>
    </w:p>
  </w:footnote>
  <w:footnote w:id="12">
    <w:p w:rsidR="005812DE" w:rsidRPr="001109F5" w:rsidRDefault="005812DE" w:rsidP="001109F5">
      <w:pPr>
        <w:pStyle w:val="FootnoteText"/>
        <w:rPr>
          <w:sz w:val="18"/>
          <w:szCs w:val="18"/>
        </w:rPr>
      </w:pPr>
      <w:r w:rsidRPr="001109F5">
        <w:rPr>
          <w:rStyle w:val="FootnoteReference"/>
          <w:sz w:val="18"/>
          <w:szCs w:val="18"/>
        </w:rPr>
        <w:footnoteRef/>
      </w:r>
      <w:r w:rsidRPr="001109F5">
        <w:rPr>
          <w:sz w:val="18"/>
          <w:szCs w:val="18"/>
        </w:rPr>
        <w:t xml:space="preserve"> </w:t>
      </w:r>
      <w:r w:rsidRPr="001109F5">
        <w:rPr>
          <w:color w:val="000000"/>
          <w:sz w:val="18"/>
          <w:szCs w:val="18"/>
        </w:rPr>
        <w:t>Both severe events were reported as requiring non-medical assistance. One of the 2 subjects had no associated glucose value reported, and the other subject had an associated glucos</w:t>
      </w:r>
      <w:r w:rsidR="001109F5">
        <w:rPr>
          <w:color w:val="000000"/>
          <w:sz w:val="18"/>
          <w:szCs w:val="18"/>
        </w:rPr>
        <w:t xml:space="preserve">e value of </w:t>
      </w:r>
      <w:r w:rsidRPr="001109F5">
        <w:rPr>
          <w:color w:val="000000"/>
          <w:sz w:val="18"/>
          <w:szCs w:val="18"/>
        </w:rPr>
        <w:t>5.1 mmol/L.</w:t>
      </w:r>
    </w:p>
  </w:footnote>
  <w:footnote w:id="13">
    <w:p w:rsidR="005812DE" w:rsidRPr="001109F5" w:rsidRDefault="005812DE" w:rsidP="00B37C25">
      <w:pPr>
        <w:autoSpaceDE w:val="0"/>
        <w:autoSpaceDN w:val="0"/>
        <w:adjustRightInd w:val="0"/>
        <w:spacing w:before="0" w:after="0" w:line="240" w:lineRule="auto"/>
        <w:rPr>
          <w:rStyle w:val="FootnoteTextChar"/>
          <w:sz w:val="18"/>
          <w:szCs w:val="18"/>
        </w:rPr>
      </w:pPr>
      <w:r>
        <w:rPr>
          <w:rStyle w:val="FootnoteReference"/>
        </w:rPr>
        <w:footnoteRef/>
      </w:r>
      <w:r>
        <w:t xml:space="preserve"> </w:t>
      </w:r>
      <w:r w:rsidRPr="001109F5">
        <w:rPr>
          <w:rStyle w:val="FootnoteTextChar"/>
          <w:sz w:val="18"/>
          <w:szCs w:val="18"/>
        </w:rPr>
        <w:t>A [information redacted] subject who experienced a non-serious, moderate adverse event of dermatitis allergic on Day 105, reported as not related to study medication by the investigator. The event duration was 2.57 weeks and the last dose of study medication was on Day 121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DE" w:rsidRDefault="005812D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DE" w:rsidRDefault="005812DE">
    <w:pPr>
      <w:rPr>
        <w:noProof/>
        <w:lang w:eastAsia="en-AU"/>
      </w:rPr>
    </w:pPr>
    <w:r w:rsidRPr="002D545C">
      <w:rPr>
        <w:noProof/>
        <w:lang w:eastAsia="en-AU"/>
      </w:rPr>
      <w:drawing>
        <wp:anchor distT="0" distB="0" distL="114300" distR="114300" simplePos="0" relativeHeight="251659264" behindDoc="1" locked="0" layoutInCell="1" allowOverlap="1" wp14:anchorId="1A4978C9" wp14:editId="0FAB669A">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812DE" w:rsidRDefault="005812DE" w:rsidP="00593AD1">
    <w:pPr>
      <w:pStyle w:val="HeaderNoLine"/>
    </w:pPr>
    <w:r>
      <w:rPr>
        <w:noProof/>
        <w:lang w:eastAsia="en-AU"/>
      </w:rPr>
      <w:drawing>
        <wp:inline distT="0" distB="0" distL="0" distR="0" wp14:anchorId="3D8BE289" wp14:editId="3A7E6B4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DE" w:rsidRDefault="005812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DE" w:rsidRDefault="005812D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DE" w:rsidRDefault="005812D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DE" w:rsidRDefault="005812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DE" w:rsidRDefault="005812D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2DE" w:rsidRDefault="005812DE" w:rsidP="006E08B3">
    <w:r>
      <w:t>Therapeutic Goods Administration</w:t>
    </w:r>
  </w:p>
  <w:p w:rsidR="005812DE" w:rsidRDefault="005812D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037EBA"/>
    <w:multiLevelType w:val="hybridMultilevel"/>
    <w:tmpl w:val="374230C2"/>
    <w:lvl w:ilvl="0" w:tplc="D916B7DE">
      <w:numFmt w:val="bullet"/>
      <w:lvlText w:val=""/>
      <w:lvlJc w:val="left"/>
      <w:pPr>
        <w:ind w:left="720" w:hanging="360"/>
      </w:pPr>
      <w:rPr>
        <w:rFonts w:ascii="Symbol" w:eastAsiaTheme="minorHAnsi"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355659"/>
    <w:multiLevelType w:val="hybridMultilevel"/>
    <w:tmpl w:val="C7802B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FA55031"/>
    <w:multiLevelType w:val="hybridMultilevel"/>
    <w:tmpl w:val="3CC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5FB6078"/>
    <w:multiLevelType w:val="multilevel"/>
    <w:tmpl w:val="093E15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68F13E9"/>
    <w:multiLevelType w:val="multilevel"/>
    <w:tmpl w:val="FE4EB13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924235B"/>
    <w:multiLevelType w:val="hybridMultilevel"/>
    <w:tmpl w:val="BF1AEE06"/>
    <w:lvl w:ilvl="0" w:tplc="8900421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D6B7566"/>
    <w:multiLevelType w:val="hybridMultilevel"/>
    <w:tmpl w:val="8B42FE54"/>
    <w:lvl w:ilvl="0" w:tplc="E280EF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32572A9"/>
    <w:multiLevelType w:val="hybridMultilevel"/>
    <w:tmpl w:val="CBAAB9A4"/>
    <w:lvl w:ilvl="0" w:tplc="EA124BC8">
      <w:start w:val="6"/>
      <w:numFmt w:val="bullet"/>
      <w:lvlText w:val="-"/>
      <w:lvlJc w:val="left"/>
      <w:pPr>
        <w:ind w:left="720" w:hanging="360"/>
      </w:pPr>
      <w:rPr>
        <w:rFonts w:ascii="Cambria" w:eastAsiaTheme="minorHAnsi" w:hAnsi="Cambria"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7">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17C0F15"/>
    <w:multiLevelType w:val="hybridMultilevel"/>
    <w:tmpl w:val="7B724AAA"/>
    <w:lvl w:ilvl="0" w:tplc="66648B54">
      <w:start w:val="5"/>
      <w:numFmt w:val="bullet"/>
      <w:lvlText w:val="-"/>
      <w:lvlJc w:val="left"/>
      <w:pPr>
        <w:ind w:left="720" w:hanging="360"/>
      </w:pPr>
      <w:rPr>
        <w:rFonts w:ascii="Cambria" w:eastAsia="TimesNewRoman" w:hAnsi="Cambria" w:cs="TimesNew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2AB0F63"/>
    <w:multiLevelType w:val="hybridMultilevel"/>
    <w:tmpl w:val="13E6BF70"/>
    <w:lvl w:ilvl="0" w:tplc="0C09000F">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8A24A95"/>
    <w:multiLevelType w:val="hybridMultilevel"/>
    <w:tmpl w:val="59DE364E"/>
    <w:lvl w:ilvl="0" w:tplc="21A0721E">
      <w:start w:val="12"/>
      <w:numFmt w:val="bullet"/>
      <w:lvlText w:val="-"/>
      <w:lvlJc w:val="left"/>
      <w:pPr>
        <w:ind w:left="1080" w:hanging="360"/>
      </w:pPr>
      <w:rPr>
        <w:rFonts w:ascii="Cambria" w:eastAsia="Cambria" w:hAnsi="Cambri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3">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71272CDB"/>
    <w:multiLevelType w:val="hybridMultilevel"/>
    <w:tmpl w:val="0B809B78"/>
    <w:lvl w:ilvl="0" w:tplc="70D661AE">
      <w:start w:val="1"/>
      <w:numFmt w:val="decimal"/>
      <w:lvlText w:val="%1."/>
      <w:lvlJc w:val="left"/>
      <w:pPr>
        <w:tabs>
          <w:tab w:val="num" w:pos="720"/>
        </w:tabs>
        <w:ind w:left="720" w:hanging="360"/>
      </w:pPr>
      <w:rPr>
        <w:rFonts w:ascii="Arial" w:hAnsi="Arial" w:hint="default"/>
        <w:b w:val="0"/>
        <w:i w:val="0"/>
        <w:outline w:val="0"/>
        <w:shadow w:val="0"/>
        <w:emboss w:val="0"/>
        <w:imprint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7E073953"/>
    <w:multiLevelType w:val="hybridMultilevel"/>
    <w:tmpl w:val="1338998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4"/>
  </w:num>
  <w:num w:numId="27">
    <w:abstractNumId w:val="17"/>
  </w:num>
  <w:num w:numId="28">
    <w:abstractNumId w:val="20"/>
  </w:num>
  <w:num w:numId="29">
    <w:abstractNumId w:val="22"/>
  </w:num>
  <w:num w:numId="30">
    <w:abstractNumId w:val="22"/>
  </w:num>
  <w:num w:numId="31">
    <w:abstractNumId w:val="22"/>
  </w:num>
  <w:num w:numId="3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11"/>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5"/>
  </w:num>
  <w:num w:numId="39">
    <w:abstractNumId w:val="6"/>
  </w:num>
  <w:num w:numId="40">
    <w:abstractNumId w:val="8"/>
  </w:num>
  <w:num w:numId="41">
    <w:abstractNumId w:val="10"/>
  </w:num>
  <w:num w:numId="42">
    <w:abstractNumId w:val="13"/>
  </w:num>
  <w:num w:numId="43">
    <w:abstractNumId w:val="15"/>
  </w:num>
  <w:num w:numId="44">
    <w:abstractNumId w:val="25"/>
  </w:num>
  <w:num w:numId="45">
    <w:abstractNumId w:val="24"/>
  </w:num>
  <w:num w:numId="46">
    <w:abstractNumId w:val="4"/>
  </w:num>
  <w:num w:numId="47">
    <w:abstractNumId w:val="18"/>
  </w:num>
  <w:num w:numId="48">
    <w:abstractNumId w:val="19"/>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C25"/>
    <w:rsid w:val="00002031"/>
    <w:rsid w:val="00004734"/>
    <w:rsid w:val="00006B22"/>
    <w:rsid w:val="0001276A"/>
    <w:rsid w:val="000131F6"/>
    <w:rsid w:val="000246AE"/>
    <w:rsid w:val="00025C67"/>
    <w:rsid w:val="00040ACB"/>
    <w:rsid w:val="0005559E"/>
    <w:rsid w:val="00077775"/>
    <w:rsid w:val="000824C6"/>
    <w:rsid w:val="00090471"/>
    <w:rsid w:val="00095A89"/>
    <w:rsid w:val="00097B5E"/>
    <w:rsid w:val="000A3AED"/>
    <w:rsid w:val="000A63AF"/>
    <w:rsid w:val="000B3532"/>
    <w:rsid w:val="000B3A75"/>
    <w:rsid w:val="000C690F"/>
    <w:rsid w:val="000D1295"/>
    <w:rsid w:val="000D391B"/>
    <w:rsid w:val="000D3D6D"/>
    <w:rsid w:val="000D4FC7"/>
    <w:rsid w:val="000E01BE"/>
    <w:rsid w:val="000E3FEB"/>
    <w:rsid w:val="000F02F9"/>
    <w:rsid w:val="000F4869"/>
    <w:rsid w:val="000F5B42"/>
    <w:rsid w:val="000F6E6F"/>
    <w:rsid w:val="0010193C"/>
    <w:rsid w:val="00104613"/>
    <w:rsid w:val="0010601F"/>
    <w:rsid w:val="0010788A"/>
    <w:rsid w:val="00107A31"/>
    <w:rsid w:val="001109F5"/>
    <w:rsid w:val="00110EA5"/>
    <w:rsid w:val="00112F56"/>
    <w:rsid w:val="00125318"/>
    <w:rsid w:val="0013015A"/>
    <w:rsid w:val="001305A2"/>
    <w:rsid w:val="00133238"/>
    <w:rsid w:val="0014197B"/>
    <w:rsid w:val="00144616"/>
    <w:rsid w:val="001447CD"/>
    <w:rsid w:val="001516B1"/>
    <w:rsid w:val="00154EBB"/>
    <w:rsid w:val="00156316"/>
    <w:rsid w:val="001645FE"/>
    <w:rsid w:val="00165389"/>
    <w:rsid w:val="0017078F"/>
    <w:rsid w:val="001708EC"/>
    <w:rsid w:val="0017693F"/>
    <w:rsid w:val="0018110E"/>
    <w:rsid w:val="00181684"/>
    <w:rsid w:val="001843C6"/>
    <w:rsid w:val="001850E0"/>
    <w:rsid w:val="001A2158"/>
    <w:rsid w:val="001A525F"/>
    <w:rsid w:val="001B09F9"/>
    <w:rsid w:val="001B5D98"/>
    <w:rsid w:val="001B6448"/>
    <w:rsid w:val="001C657B"/>
    <w:rsid w:val="001E07CF"/>
    <w:rsid w:val="001E59F1"/>
    <w:rsid w:val="001F2C0F"/>
    <w:rsid w:val="001F497A"/>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E5CE6"/>
    <w:rsid w:val="002F11F8"/>
    <w:rsid w:val="002F3F56"/>
    <w:rsid w:val="002F44B5"/>
    <w:rsid w:val="00311AC0"/>
    <w:rsid w:val="0032583B"/>
    <w:rsid w:val="00327883"/>
    <w:rsid w:val="00330A1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47B4A"/>
    <w:rsid w:val="00452B10"/>
    <w:rsid w:val="004564A7"/>
    <w:rsid w:val="004617BF"/>
    <w:rsid w:val="00463658"/>
    <w:rsid w:val="004722CC"/>
    <w:rsid w:val="0049037E"/>
    <w:rsid w:val="004936E4"/>
    <w:rsid w:val="00494E60"/>
    <w:rsid w:val="00497487"/>
    <w:rsid w:val="004A75C1"/>
    <w:rsid w:val="004A7E13"/>
    <w:rsid w:val="004B0649"/>
    <w:rsid w:val="004B7746"/>
    <w:rsid w:val="004B7B76"/>
    <w:rsid w:val="004C2DCA"/>
    <w:rsid w:val="004D2D10"/>
    <w:rsid w:val="004D7DDA"/>
    <w:rsid w:val="004F0F38"/>
    <w:rsid w:val="004F4AF5"/>
    <w:rsid w:val="00501921"/>
    <w:rsid w:val="00530354"/>
    <w:rsid w:val="00533882"/>
    <w:rsid w:val="0053625B"/>
    <w:rsid w:val="005434C6"/>
    <w:rsid w:val="00543B39"/>
    <w:rsid w:val="00550096"/>
    <w:rsid w:val="00557FF9"/>
    <w:rsid w:val="00575E67"/>
    <w:rsid w:val="00576378"/>
    <w:rsid w:val="00577945"/>
    <w:rsid w:val="00577E38"/>
    <w:rsid w:val="005812DE"/>
    <w:rsid w:val="00585322"/>
    <w:rsid w:val="005857C6"/>
    <w:rsid w:val="00586F98"/>
    <w:rsid w:val="00592F6E"/>
    <w:rsid w:val="00593AD1"/>
    <w:rsid w:val="005A68B6"/>
    <w:rsid w:val="005C5570"/>
    <w:rsid w:val="005C79A4"/>
    <w:rsid w:val="005D5442"/>
    <w:rsid w:val="00603F32"/>
    <w:rsid w:val="006170F0"/>
    <w:rsid w:val="00620406"/>
    <w:rsid w:val="00625A92"/>
    <w:rsid w:val="00632398"/>
    <w:rsid w:val="006357FA"/>
    <w:rsid w:val="00640FC3"/>
    <w:rsid w:val="00642020"/>
    <w:rsid w:val="00646206"/>
    <w:rsid w:val="0065337B"/>
    <w:rsid w:val="0065419D"/>
    <w:rsid w:val="006604D8"/>
    <w:rsid w:val="00664A5B"/>
    <w:rsid w:val="006763D2"/>
    <w:rsid w:val="00680C08"/>
    <w:rsid w:val="00686D12"/>
    <w:rsid w:val="006931B1"/>
    <w:rsid w:val="006A15C0"/>
    <w:rsid w:val="006A6A92"/>
    <w:rsid w:val="006B4C50"/>
    <w:rsid w:val="006C130C"/>
    <w:rsid w:val="006C3E2A"/>
    <w:rsid w:val="006C642F"/>
    <w:rsid w:val="006D03E5"/>
    <w:rsid w:val="006D5D3E"/>
    <w:rsid w:val="006E08B3"/>
    <w:rsid w:val="006F17AC"/>
    <w:rsid w:val="006F1D37"/>
    <w:rsid w:val="006F26D0"/>
    <w:rsid w:val="006F2796"/>
    <w:rsid w:val="006F48AD"/>
    <w:rsid w:val="006F572E"/>
    <w:rsid w:val="007046D6"/>
    <w:rsid w:val="00705DB0"/>
    <w:rsid w:val="0072236F"/>
    <w:rsid w:val="00722B57"/>
    <w:rsid w:val="0074253D"/>
    <w:rsid w:val="0074429B"/>
    <w:rsid w:val="007513B4"/>
    <w:rsid w:val="00754BDD"/>
    <w:rsid w:val="007615BC"/>
    <w:rsid w:val="00762F05"/>
    <w:rsid w:val="007652FF"/>
    <w:rsid w:val="00770EF1"/>
    <w:rsid w:val="00773EF7"/>
    <w:rsid w:val="00774E1D"/>
    <w:rsid w:val="0077675A"/>
    <w:rsid w:val="00780355"/>
    <w:rsid w:val="00785721"/>
    <w:rsid w:val="00793A59"/>
    <w:rsid w:val="007A0D40"/>
    <w:rsid w:val="007B6E9F"/>
    <w:rsid w:val="007C1216"/>
    <w:rsid w:val="007C1AF7"/>
    <w:rsid w:val="007C5BC7"/>
    <w:rsid w:val="007E6E27"/>
    <w:rsid w:val="007F3E00"/>
    <w:rsid w:val="00805D27"/>
    <w:rsid w:val="00821776"/>
    <w:rsid w:val="008321F5"/>
    <w:rsid w:val="00832369"/>
    <w:rsid w:val="00834660"/>
    <w:rsid w:val="00836BC2"/>
    <w:rsid w:val="008414A0"/>
    <w:rsid w:val="0085641B"/>
    <w:rsid w:val="00857136"/>
    <w:rsid w:val="00884A9A"/>
    <w:rsid w:val="00886D15"/>
    <w:rsid w:val="00887DD8"/>
    <w:rsid w:val="008948B2"/>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3D71"/>
    <w:rsid w:val="0094614A"/>
    <w:rsid w:val="00946EA5"/>
    <w:rsid w:val="0095160F"/>
    <w:rsid w:val="00963C08"/>
    <w:rsid w:val="00981D66"/>
    <w:rsid w:val="0098585A"/>
    <w:rsid w:val="0098669D"/>
    <w:rsid w:val="00994C95"/>
    <w:rsid w:val="009A4CED"/>
    <w:rsid w:val="009A690D"/>
    <w:rsid w:val="009A7A85"/>
    <w:rsid w:val="009B1D12"/>
    <w:rsid w:val="009B2F3C"/>
    <w:rsid w:val="009B416B"/>
    <w:rsid w:val="009C4BD5"/>
    <w:rsid w:val="009D7B77"/>
    <w:rsid w:val="009E0BB0"/>
    <w:rsid w:val="009E3FBB"/>
    <w:rsid w:val="00A102E4"/>
    <w:rsid w:val="00A12C42"/>
    <w:rsid w:val="00A14DF7"/>
    <w:rsid w:val="00A235D9"/>
    <w:rsid w:val="00A3246D"/>
    <w:rsid w:val="00A36FA7"/>
    <w:rsid w:val="00A46791"/>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AF7F50"/>
    <w:rsid w:val="00B009C6"/>
    <w:rsid w:val="00B00B40"/>
    <w:rsid w:val="00B01548"/>
    <w:rsid w:val="00B02208"/>
    <w:rsid w:val="00B1425E"/>
    <w:rsid w:val="00B21D29"/>
    <w:rsid w:val="00B25034"/>
    <w:rsid w:val="00B275F4"/>
    <w:rsid w:val="00B33588"/>
    <w:rsid w:val="00B33863"/>
    <w:rsid w:val="00B3567E"/>
    <w:rsid w:val="00B37C25"/>
    <w:rsid w:val="00B37D17"/>
    <w:rsid w:val="00B4175E"/>
    <w:rsid w:val="00B433F6"/>
    <w:rsid w:val="00B452CE"/>
    <w:rsid w:val="00B546FE"/>
    <w:rsid w:val="00B54C25"/>
    <w:rsid w:val="00B76B91"/>
    <w:rsid w:val="00B77EB1"/>
    <w:rsid w:val="00B811C6"/>
    <w:rsid w:val="00B85A87"/>
    <w:rsid w:val="00B92E08"/>
    <w:rsid w:val="00B96EBE"/>
    <w:rsid w:val="00BC622A"/>
    <w:rsid w:val="00BC7DA5"/>
    <w:rsid w:val="00BD45E3"/>
    <w:rsid w:val="00BE0A78"/>
    <w:rsid w:val="00BE32A6"/>
    <w:rsid w:val="00BE6252"/>
    <w:rsid w:val="00BE79F0"/>
    <w:rsid w:val="00BF046D"/>
    <w:rsid w:val="00BF1190"/>
    <w:rsid w:val="00BF5D04"/>
    <w:rsid w:val="00C1164D"/>
    <w:rsid w:val="00C137CE"/>
    <w:rsid w:val="00C14E6F"/>
    <w:rsid w:val="00C16861"/>
    <w:rsid w:val="00C22678"/>
    <w:rsid w:val="00C404A6"/>
    <w:rsid w:val="00C40A36"/>
    <w:rsid w:val="00C414EE"/>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072D9"/>
    <w:rsid w:val="00D224FE"/>
    <w:rsid w:val="00D53A31"/>
    <w:rsid w:val="00D53EC4"/>
    <w:rsid w:val="00D6493E"/>
    <w:rsid w:val="00D64DB1"/>
    <w:rsid w:val="00D7301E"/>
    <w:rsid w:val="00D83AE1"/>
    <w:rsid w:val="00D855D4"/>
    <w:rsid w:val="00D87961"/>
    <w:rsid w:val="00D93466"/>
    <w:rsid w:val="00DA1124"/>
    <w:rsid w:val="00DB6BB5"/>
    <w:rsid w:val="00DB75B7"/>
    <w:rsid w:val="00DC156B"/>
    <w:rsid w:val="00DC6E02"/>
    <w:rsid w:val="00DE02AE"/>
    <w:rsid w:val="00DF1D7F"/>
    <w:rsid w:val="00DF4BE4"/>
    <w:rsid w:val="00E02FB4"/>
    <w:rsid w:val="00E07F15"/>
    <w:rsid w:val="00E20571"/>
    <w:rsid w:val="00E235F7"/>
    <w:rsid w:val="00E23659"/>
    <w:rsid w:val="00E239D4"/>
    <w:rsid w:val="00E26130"/>
    <w:rsid w:val="00E26B2E"/>
    <w:rsid w:val="00E2741C"/>
    <w:rsid w:val="00E40B22"/>
    <w:rsid w:val="00E45619"/>
    <w:rsid w:val="00E4588F"/>
    <w:rsid w:val="00E46DA3"/>
    <w:rsid w:val="00E51BB1"/>
    <w:rsid w:val="00E624A5"/>
    <w:rsid w:val="00E7344E"/>
    <w:rsid w:val="00E73F66"/>
    <w:rsid w:val="00E77B22"/>
    <w:rsid w:val="00E936E3"/>
    <w:rsid w:val="00E957A2"/>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1AAD"/>
    <w:rsid w:val="00F53C07"/>
    <w:rsid w:val="00F54B65"/>
    <w:rsid w:val="00F640B6"/>
    <w:rsid w:val="00F7529C"/>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B37C25"/>
    <w:pPr>
      <w:keepNext/>
      <w:keepLines/>
      <w:spacing w:before="200" w:after="0"/>
      <w:ind w:left="1418" w:hanging="1418"/>
      <w:outlineLvl w:val="7"/>
    </w:pPr>
    <w:rPr>
      <w:rFonts w:ascii="Calibri" w:eastAsiaTheme="majorEastAsia" w:hAnsi="Calibri" w:cstheme="minorHAnsi"/>
      <w:b/>
      <w:color w:val="404040" w:themeColor="text1" w:themeTint="BF"/>
      <w:sz w:val="20"/>
      <w:szCs w:val="20"/>
    </w:rPr>
  </w:style>
  <w:style w:type="paragraph" w:styleId="Heading9">
    <w:name w:val="heading 9"/>
    <w:basedOn w:val="Normal"/>
    <w:next w:val="Normal"/>
    <w:link w:val="Heading9Char"/>
    <w:uiPriority w:val="9"/>
    <w:unhideWhenUsed/>
    <w:qFormat/>
    <w:rsid w:val="00B37C25"/>
    <w:pPr>
      <w:keepNext/>
      <w:keepLines/>
      <w:spacing w:before="200" w:after="0"/>
      <w:outlineLvl w:val="8"/>
    </w:pPr>
    <w:rPr>
      <w:rFonts w:asciiTheme="minorHAnsi" w:eastAsiaTheme="majorEastAsia" w:hAnsiTheme="minorHAnsi" w:cstheme="min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A75C1"/>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B37C25"/>
    <w:rPr>
      <w:rFonts w:ascii="Calibri" w:eastAsiaTheme="majorEastAsia" w:hAnsi="Calibri" w:cstheme="minorHAnsi"/>
      <w:b/>
      <w:color w:val="404040" w:themeColor="text1" w:themeTint="BF"/>
      <w:sz w:val="20"/>
      <w:szCs w:val="20"/>
    </w:rPr>
  </w:style>
  <w:style w:type="character" w:customStyle="1" w:styleId="Heading9Char">
    <w:name w:val="Heading 9 Char"/>
    <w:basedOn w:val="DefaultParagraphFont"/>
    <w:link w:val="Heading9"/>
    <w:uiPriority w:val="9"/>
    <w:rsid w:val="00B37C25"/>
    <w:rPr>
      <w:rFonts w:eastAsiaTheme="majorEastAsia" w:cstheme="minorHAnsi"/>
      <w:i/>
      <w:iCs/>
      <w:color w:val="404040" w:themeColor="text1" w:themeTint="BF"/>
      <w:sz w:val="20"/>
      <w:szCs w:val="20"/>
    </w:rPr>
  </w:style>
  <w:style w:type="paragraph" w:customStyle="1" w:styleId="Bullet2">
    <w:name w:val="Bullet 2"/>
    <w:basedOn w:val="Normal"/>
    <w:rsid w:val="00B37C25"/>
    <w:pPr>
      <w:numPr>
        <w:numId w:val="35"/>
      </w:numPr>
      <w:spacing w:after="0" w:line="240" w:lineRule="auto"/>
    </w:pPr>
    <w:rPr>
      <w:rFonts w:eastAsia="Times New Roman"/>
      <w:kern w:val="24"/>
      <w:szCs w:val="24"/>
      <w:lang w:eastAsia="en-AU"/>
    </w:rPr>
  </w:style>
  <w:style w:type="paragraph" w:customStyle="1" w:styleId="Instructions1">
    <w:name w:val="Instructions 1"/>
    <w:basedOn w:val="Normal"/>
    <w:qFormat/>
    <w:rsid w:val="00B37C2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B37C25"/>
    <w:pPr>
      <w:numPr>
        <w:numId w:val="3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B37C2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B37C25"/>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B37C25"/>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B37C25"/>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B37C25"/>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B37C25"/>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B37C25"/>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B37C25"/>
    <w:rPr>
      <w:i/>
      <w:color w:val="007099"/>
    </w:rPr>
  </w:style>
  <w:style w:type="paragraph" w:styleId="TableofFigures">
    <w:name w:val="table of figures"/>
    <w:basedOn w:val="Normal"/>
    <w:next w:val="Normal"/>
    <w:uiPriority w:val="99"/>
    <w:unhideWhenUsed/>
    <w:rsid w:val="00B37C25"/>
    <w:pPr>
      <w:spacing w:after="0"/>
    </w:pPr>
  </w:style>
  <w:style w:type="paragraph" w:customStyle="1" w:styleId="Default">
    <w:name w:val="Default"/>
    <w:rsid w:val="00B37C2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37C25"/>
    <w:pPr>
      <w:ind w:left="720"/>
      <w:contextualSpacing/>
    </w:pPr>
  </w:style>
  <w:style w:type="paragraph" w:styleId="FootnoteText">
    <w:name w:val="footnote text"/>
    <w:basedOn w:val="Normal"/>
    <w:link w:val="FootnoteTextChar"/>
    <w:uiPriority w:val="99"/>
    <w:unhideWhenUsed/>
    <w:rsid w:val="00B37C25"/>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37C25"/>
    <w:rPr>
      <w:rFonts w:ascii="Cambria" w:eastAsia="Cambria" w:hAnsi="Cambria" w:cs="Times New Roman"/>
      <w:sz w:val="20"/>
      <w:szCs w:val="20"/>
    </w:rPr>
  </w:style>
  <w:style w:type="character" w:styleId="FootnoteReference">
    <w:name w:val="footnote reference"/>
    <w:basedOn w:val="DefaultParagraphFont"/>
    <w:uiPriority w:val="99"/>
    <w:unhideWhenUsed/>
    <w:rsid w:val="00B37C25"/>
    <w:rPr>
      <w:vertAlign w:val="superscript"/>
    </w:rPr>
  </w:style>
  <w:style w:type="paragraph" w:styleId="BodyText">
    <w:name w:val="Body Text"/>
    <w:basedOn w:val="Normal"/>
    <w:link w:val="BodyTextChar"/>
    <w:rsid w:val="00B37C25"/>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B37C25"/>
    <w:rPr>
      <w:rFonts w:ascii="Times New Roman" w:eastAsia="Times New Roman" w:hAnsi="Times New Roman" w:cs="Times New Roman"/>
      <w:sz w:val="24"/>
      <w:szCs w:val="20"/>
      <w:lang w:val="en-US"/>
    </w:rPr>
  </w:style>
  <w:style w:type="character" w:styleId="Emphasis">
    <w:name w:val="Emphasis"/>
    <w:uiPriority w:val="20"/>
    <w:qFormat/>
    <w:rsid w:val="00B37C25"/>
    <w:rPr>
      <w:i/>
      <w:iCs/>
    </w:rPr>
  </w:style>
  <w:style w:type="character" w:customStyle="1" w:styleId="authors">
    <w:name w:val="authors"/>
    <w:basedOn w:val="DefaultParagraphFont"/>
    <w:rsid w:val="00B37C25"/>
  </w:style>
  <w:style w:type="character" w:customStyle="1" w:styleId="Title1">
    <w:name w:val="Title1"/>
    <w:basedOn w:val="DefaultParagraphFont"/>
    <w:rsid w:val="00B37C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B37C25"/>
    <w:pPr>
      <w:keepNext/>
      <w:keepLines/>
      <w:spacing w:before="200" w:after="0"/>
      <w:ind w:left="1418" w:hanging="1418"/>
      <w:outlineLvl w:val="7"/>
    </w:pPr>
    <w:rPr>
      <w:rFonts w:ascii="Calibri" w:eastAsiaTheme="majorEastAsia" w:hAnsi="Calibri" w:cstheme="minorHAnsi"/>
      <w:b/>
      <w:color w:val="404040" w:themeColor="text1" w:themeTint="BF"/>
      <w:sz w:val="20"/>
      <w:szCs w:val="20"/>
    </w:rPr>
  </w:style>
  <w:style w:type="paragraph" w:styleId="Heading9">
    <w:name w:val="heading 9"/>
    <w:basedOn w:val="Normal"/>
    <w:next w:val="Normal"/>
    <w:link w:val="Heading9Char"/>
    <w:uiPriority w:val="9"/>
    <w:unhideWhenUsed/>
    <w:qFormat/>
    <w:rsid w:val="00B37C25"/>
    <w:pPr>
      <w:keepNext/>
      <w:keepLines/>
      <w:spacing w:before="200" w:after="0"/>
      <w:outlineLvl w:val="8"/>
    </w:pPr>
    <w:rPr>
      <w:rFonts w:asciiTheme="minorHAnsi" w:eastAsiaTheme="majorEastAsia" w:hAnsiTheme="minorHAnsi" w:cstheme="min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A75C1"/>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8Char">
    <w:name w:val="Heading 8 Char"/>
    <w:basedOn w:val="DefaultParagraphFont"/>
    <w:link w:val="Heading8"/>
    <w:rsid w:val="00B37C25"/>
    <w:rPr>
      <w:rFonts w:ascii="Calibri" w:eastAsiaTheme="majorEastAsia" w:hAnsi="Calibri" w:cstheme="minorHAnsi"/>
      <w:b/>
      <w:color w:val="404040" w:themeColor="text1" w:themeTint="BF"/>
      <w:sz w:val="20"/>
      <w:szCs w:val="20"/>
    </w:rPr>
  </w:style>
  <w:style w:type="character" w:customStyle="1" w:styleId="Heading9Char">
    <w:name w:val="Heading 9 Char"/>
    <w:basedOn w:val="DefaultParagraphFont"/>
    <w:link w:val="Heading9"/>
    <w:uiPriority w:val="9"/>
    <w:rsid w:val="00B37C25"/>
    <w:rPr>
      <w:rFonts w:eastAsiaTheme="majorEastAsia" w:cstheme="minorHAnsi"/>
      <w:i/>
      <w:iCs/>
      <w:color w:val="404040" w:themeColor="text1" w:themeTint="BF"/>
      <w:sz w:val="20"/>
      <w:szCs w:val="20"/>
    </w:rPr>
  </w:style>
  <w:style w:type="paragraph" w:customStyle="1" w:styleId="Bullet2">
    <w:name w:val="Bullet 2"/>
    <w:basedOn w:val="Normal"/>
    <w:rsid w:val="00B37C25"/>
    <w:pPr>
      <w:numPr>
        <w:numId w:val="35"/>
      </w:numPr>
      <w:spacing w:after="0" w:line="240" w:lineRule="auto"/>
    </w:pPr>
    <w:rPr>
      <w:rFonts w:eastAsia="Times New Roman"/>
      <w:kern w:val="24"/>
      <w:szCs w:val="24"/>
      <w:lang w:eastAsia="en-AU"/>
    </w:rPr>
  </w:style>
  <w:style w:type="paragraph" w:customStyle="1" w:styleId="Instructions1">
    <w:name w:val="Instructions 1"/>
    <w:basedOn w:val="Normal"/>
    <w:qFormat/>
    <w:rsid w:val="00B37C2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B37C25"/>
    <w:pPr>
      <w:numPr>
        <w:numId w:val="3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B37C2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B37C25"/>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B37C25"/>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B37C25"/>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B37C25"/>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B37C25"/>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B37C25"/>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B37C25"/>
    <w:rPr>
      <w:i/>
      <w:color w:val="007099"/>
    </w:rPr>
  </w:style>
  <w:style w:type="paragraph" w:styleId="TableofFigures">
    <w:name w:val="table of figures"/>
    <w:basedOn w:val="Normal"/>
    <w:next w:val="Normal"/>
    <w:uiPriority w:val="99"/>
    <w:unhideWhenUsed/>
    <w:rsid w:val="00B37C25"/>
    <w:pPr>
      <w:spacing w:after="0"/>
    </w:pPr>
  </w:style>
  <w:style w:type="paragraph" w:customStyle="1" w:styleId="Default">
    <w:name w:val="Default"/>
    <w:rsid w:val="00B37C2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37C25"/>
    <w:pPr>
      <w:ind w:left="720"/>
      <w:contextualSpacing/>
    </w:pPr>
  </w:style>
  <w:style w:type="paragraph" w:styleId="FootnoteText">
    <w:name w:val="footnote text"/>
    <w:basedOn w:val="Normal"/>
    <w:link w:val="FootnoteTextChar"/>
    <w:uiPriority w:val="99"/>
    <w:unhideWhenUsed/>
    <w:rsid w:val="00B37C25"/>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37C25"/>
    <w:rPr>
      <w:rFonts w:ascii="Cambria" w:eastAsia="Cambria" w:hAnsi="Cambria" w:cs="Times New Roman"/>
      <w:sz w:val="20"/>
      <w:szCs w:val="20"/>
    </w:rPr>
  </w:style>
  <w:style w:type="character" w:styleId="FootnoteReference">
    <w:name w:val="footnote reference"/>
    <w:basedOn w:val="DefaultParagraphFont"/>
    <w:uiPriority w:val="99"/>
    <w:unhideWhenUsed/>
    <w:rsid w:val="00B37C25"/>
    <w:rPr>
      <w:vertAlign w:val="superscript"/>
    </w:rPr>
  </w:style>
  <w:style w:type="paragraph" w:styleId="BodyText">
    <w:name w:val="Body Text"/>
    <w:basedOn w:val="Normal"/>
    <w:link w:val="BodyTextChar"/>
    <w:rsid w:val="00B37C25"/>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B37C25"/>
    <w:rPr>
      <w:rFonts w:ascii="Times New Roman" w:eastAsia="Times New Roman" w:hAnsi="Times New Roman" w:cs="Times New Roman"/>
      <w:sz w:val="24"/>
      <w:szCs w:val="20"/>
      <w:lang w:val="en-US"/>
    </w:rPr>
  </w:style>
  <w:style w:type="character" w:styleId="Emphasis">
    <w:name w:val="Emphasis"/>
    <w:uiPriority w:val="20"/>
    <w:qFormat/>
    <w:rsid w:val="00B37C25"/>
    <w:rPr>
      <w:i/>
      <w:iCs/>
    </w:rPr>
  </w:style>
  <w:style w:type="character" w:customStyle="1" w:styleId="authors">
    <w:name w:val="authors"/>
    <w:basedOn w:val="DefaultParagraphFont"/>
    <w:rsid w:val="00B37C25"/>
  </w:style>
  <w:style w:type="character" w:customStyle="1" w:styleId="Title1">
    <w:name w:val="Title1"/>
    <w:basedOn w:val="DefaultParagraphFont"/>
    <w:rsid w:val="00B37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9.png"/><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2.emf"/><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microsoft.com/office/2007/relationships/hdphoto" Target="media/hdphoto3.wdp"/><Relationship Id="rId37" Type="http://schemas.openxmlformats.org/officeDocument/2006/relationships/image" Target="media/image21.emf"/><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0.png"/><Relationship Id="rId49" Type="http://schemas.openxmlformats.org/officeDocument/2006/relationships/footer" Target="footer4.xml"/><Relationship Id="rId10" Type="http://schemas.openxmlformats.org/officeDocument/2006/relationships/hyperlink" Target="https://www.tga.gov.au/product-information-pi" TargetMode="External"/><Relationship Id="rId19" Type="http://schemas.microsoft.com/office/2007/relationships/hdphoto" Target="media/hdphoto1.wdp"/><Relationship Id="rId31" Type="http://schemas.openxmlformats.org/officeDocument/2006/relationships/image" Target="media/image17.png"/><Relationship Id="rId44" Type="http://schemas.openxmlformats.org/officeDocument/2006/relationships/hyperlink" Target="https://www.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microsoft.com/office/2007/relationships/hdphoto" Target="media/hdphoto4.wdp"/><Relationship Id="rId43" Type="http://schemas.openxmlformats.org/officeDocument/2006/relationships/hyperlink" Target="mailto:info@tga.gov.au" TargetMode="Externa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496\t0PG1ST6.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753A4-1DEB-4B8C-8BAA-6D9E848F4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t0PG1ST6.DOTX</Template>
  <TotalTime>9</TotalTime>
  <Pages>64</Pages>
  <Words>21310</Words>
  <Characters>120830</Characters>
  <Application>Microsoft Office Word</Application>
  <DocSecurity>0</DocSecurity>
  <Lines>2237</Lines>
  <Paragraphs>1022</Paragraphs>
  <ScaleCrop>false</ScaleCrop>
  <HeadingPairs>
    <vt:vector size="2" baseType="variant">
      <vt:variant>
        <vt:lpstr>Title</vt:lpstr>
      </vt:variant>
      <vt:variant>
        <vt:i4>1</vt:i4>
      </vt:variant>
    </vt:vector>
  </HeadingPairs>
  <TitlesOfParts>
    <vt:vector size="1" baseType="lpstr">
      <vt:lpstr>Attachment: Extract from Clinical Evaluation: Ertugliflozin/ Sitagliptin</vt:lpstr>
    </vt:vector>
  </TitlesOfParts>
  <Company>Department of Health TGA</Company>
  <LinksUpToDate>false</LinksUpToDate>
  <CharactersWithSpaces>141118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Ertugliflozin/ Sitagliptin</dc:title>
  <dc:subject>prescription medicines</dc:subject>
  <dc:creator>Therapeutic Goods Administration</dc:creator>
  <cp:keywords>AusPARs</cp:keywords>
  <cp:lastPrinted>2015-09-22T23:53:00Z</cp:lastPrinted>
  <dcterms:created xsi:type="dcterms:W3CDTF">2019-03-24T23:07:00Z</dcterms:created>
  <dcterms:modified xsi:type="dcterms:W3CDTF">2019-03-26T23:05:00Z</dcterms:modified>
</cp:coreProperties>
</file>