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859E7" w14:textId="77777777" w:rsidR="00704C82" w:rsidRPr="00084EED" w:rsidRDefault="00704C82" w:rsidP="00704C82">
      <w:pPr>
        <w:rPr>
          <w:rFonts w:eastAsia="MS Mincho"/>
        </w:rPr>
      </w:pPr>
      <w:bookmarkStart w:id="0" w:name="bookmark1"/>
      <w:bookmarkStart w:id="1" w:name="bookmark0"/>
      <w:bookmarkStart w:id="2" w:name="4.2_Dose_and_method_of_administration"/>
      <w:bookmarkStart w:id="3" w:name="4.1_Therapeutic_indications"/>
      <w:bookmarkStart w:id="4" w:name="4_Clinical_particulars"/>
      <w:bookmarkStart w:id="5" w:name="3_Pharmaceutical_form"/>
      <w:bookmarkStart w:id="6" w:name="2_Qualitative_and_quantitative_compositi"/>
      <w:bookmarkStart w:id="7" w:name="1_Name_of_the_medicine"/>
      <w:bookmarkStart w:id="8" w:name="Australian_PI_–_OLUMIANT_(baricitinib)"/>
      <w:bookmarkStart w:id="9" w:name="_Toc472411340"/>
      <w:bookmarkStart w:id="10" w:name="OLE_LINK1"/>
      <w:bookmarkStart w:id="11" w:name="OLE_LINK2"/>
      <w:bookmarkStart w:id="12" w:name="OLE_LINK3"/>
      <w:bookmarkStart w:id="13" w:name="OLE_LINK4"/>
      <w:bookmarkEnd w:id="0"/>
      <w:bookmarkEnd w:id="1"/>
      <w:bookmarkEnd w:id="2"/>
      <w:bookmarkEnd w:id="3"/>
      <w:bookmarkEnd w:id="4"/>
      <w:bookmarkEnd w:id="5"/>
      <w:bookmarkEnd w:id="6"/>
      <w:bookmarkEnd w:id="7"/>
      <w:bookmarkEnd w:id="8"/>
      <w:r w:rsidRPr="00084EED">
        <w:rPr>
          <w:rStyle w:val="StyleSimSun20ptCondensedby01pt"/>
          <w:rFonts w:hint="eastAsia"/>
        </w:rPr>
        <w:t>▼</w:t>
      </w:r>
      <w:bookmarkStart w:id="14" w:name="_GoBack"/>
      <w:bookmarkEnd w:id="14"/>
      <w:r w:rsidRPr="00084EED">
        <w:rPr>
          <w:rFonts w:eastAsia="SimSun"/>
        </w:rPr>
        <w:t xml:space="preserve">This medicinal product is subject to additional monitoring in Australia. </w:t>
      </w:r>
      <w:r>
        <w:rPr>
          <w:rFonts w:eastAsia="SimSun"/>
        </w:rPr>
        <w:t xml:space="preserve"> </w:t>
      </w:r>
      <w:r w:rsidRPr="00084EED">
        <w:rPr>
          <w:rFonts w:eastAsia="SimSun"/>
        </w:rPr>
        <w:t xml:space="preserve">This will allow quick </w:t>
      </w:r>
      <w:r w:rsidRPr="00084EED">
        <w:rPr>
          <w:rFonts w:eastAsia="MS Mincho"/>
        </w:rPr>
        <w:t xml:space="preserve">identification of new safety information. </w:t>
      </w:r>
      <w:r>
        <w:rPr>
          <w:rFonts w:eastAsia="MS Mincho"/>
        </w:rPr>
        <w:t xml:space="preserve"> </w:t>
      </w:r>
      <w:r w:rsidRPr="00084EED">
        <w:rPr>
          <w:rFonts w:eastAsia="MS Mincho"/>
        </w:rPr>
        <w:t xml:space="preserve">Healthcare professionals are asked to report any suspected adverse events at </w:t>
      </w:r>
      <w:hyperlink r:id="rId14" w:history="1">
        <w:r w:rsidRPr="00084EED">
          <w:rPr>
            <w:rFonts w:eastAsia="MS Mincho"/>
          </w:rPr>
          <w:t>https://www.tga.gov.au/reporting-problems.</w:t>
        </w:r>
      </w:hyperlink>
    </w:p>
    <w:p w14:paraId="68F83D22" w14:textId="6791F124" w:rsidR="00DE44AE" w:rsidRPr="00F644FD" w:rsidRDefault="004D69E3" w:rsidP="00713B17">
      <w:pPr>
        <w:pStyle w:val="Title"/>
      </w:pPr>
      <w:r w:rsidRPr="00F644FD">
        <w:t xml:space="preserve">AUSTRALIAN </w:t>
      </w:r>
      <w:r w:rsidR="00F842F7" w:rsidRPr="00F644FD">
        <w:t>PRODUCT INFORMATION</w:t>
      </w:r>
      <w:bookmarkEnd w:id="9"/>
      <w:r w:rsidRPr="00F644FD">
        <w:t xml:space="preserve"> </w:t>
      </w:r>
      <w:r w:rsidR="004D626B" w:rsidRPr="00F644FD">
        <w:t xml:space="preserve">– </w:t>
      </w:r>
      <w:r w:rsidRPr="00F644FD">
        <w:t>SEGLUROMET</w:t>
      </w:r>
      <w:r w:rsidR="00430F3A">
        <w:rPr>
          <w:vertAlign w:val="superscript"/>
        </w:rPr>
        <w:t>®</w:t>
      </w:r>
      <w:r w:rsidRPr="00F644FD">
        <w:t xml:space="preserve"> (</w:t>
      </w:r>
      <w:proofErr w:type="spellStart"/>
      <w:r w:rsidRPr="00F644FD">
        <w:t>Ertugliflozin</w:t>
      </w:r>
      <w:proofErr w:type="spellEnd"/>
      <w:r w:rsidR="000F03FB" w:rsidRPr="00F644FD">
        <w:t>/Metformin)</w:t>
      </w:r>
    </w:p>
    <w:p w14:paraId="3F1FB559" w14:textId="6CD898FB" w:rsidR="007C1698" w:rsidRPr="00F644FD" w:rsidRDefault="000941C3" w:rsidP="007C1698">
      <w:pPr>
        <w:pStyle w:val="Heading1"/>
      </w:pPr>
      <w:bookmarkStart w:id="15" w:name="_Toc472411341"/>
      <w:r w:rsidRPr="00F644FD">
        <w:t>1</w:t>
      </w:r>
      <w:r w:rsidRPr="00F644FD">
        <w:tab/>
      </w:r>
      <w:r w:rsidR="007C1698" w:rsidRPr="00F644FD">
        <w:t>NAME OF THE MEDICINE</w:t>
      </w:r>
    </w:p>
    <w:p w14:paraId="2D2D8CDE" w14:textId="78270B5C" w:rsidR="002F7869" w:rsidRPr="00BE5275" w:rsidRDefault="0023455A" w:rsidP="00461677">
      <w:pPr>
        <w:contextualSpacing/>
      </w:pPr>
      <w:proofErr w:type="spellStart"/>
      <w:r w:rsidRPr="00BE5275">
        <w:t>E</w:t>
      </w:r>
      <w:r w:rsidR="00461677" w:rsidRPr="00BE5275">
        <w:t>rtugliflozin</w:t>
      </w:r>
      <w:proofErr w:type="spellEnd"/>
      <w:r w:rsidR="00461677" w:rsidRPr="00BE5275">
        <w:t xml:space="preserve"> /metformin hydrochloride </w:t>
      </w:r>
    </w:p>
    <w:p w14:paraId="0D5C3A90" w14:textId="6475F7AB" w:rsidR="000941C3" w:rsidRPr="00F644FD" w:rsidRDefault="000941C3" w:rsidP="000941C3">
      <w:pPr>
        <w:pStyle w:val="Heading1"/>
      </w:pPr>
      <w:r w:rsidRPr="00BE5275">
        <w:t>2</w:t>
      </w:r>
      <w:r w:rsidRPr="00BE5275">
        <w:tab/>
        <w:t>QUALITATIVE AND QUANTITATIVE</w:t>
      </w:r>
      <w:r w:rsidRPr="00F644FD">
        <w:t xml:space="preserve"> COMPOSITION</w:t>
      </w:r>
    </w:p>
    <w:p w14:paraId="740EBCB5" w14:textId="77777777" w:rsidR="009C1E51" w:rsidRPr="00F644FD" w:rsidRDefault="009C1E51" w:rsidP="009C1E51">
      <w:r w:rsidRPr="00F644FD">
        <w:t xml:space="preserve">SEGLUROMET contains </w:t>
      </w:r>
      <w:proofErr w:type="spellStart"/>
      <w:r w:rsidRPr="00F644FD">
        <w:t>ertugliflozin</w:t>
      </w:r>
      <w:proofErr w:type="spellEnd"/>
      <w:r w:rsidRPr="00F644FD">
        <w:t xml:space="preserve">, a sodium-glucose co-transporter </w:t>
      </w:r>
      <w:proofErr w:type="gramStart"/>
      <w:r w:rsidRPr="00F644FD">
        <w:t>2 (SGLT2) inhibitor,</w:t>
      </w:r>
      <w:proofErr w:type="gramEnd"/>
      <w:r w:rsidRPr="00F644FD">
        <w:t xml:space="preserve"> and metformin hydrochloride, a member of the </w:t>
      </w:r>
      <w:proofErr w:type="spellStart"/>
      <w:r w:rsidRPr="00F644FD">
        <w:t>biguanide</w:t>
      </w:r>
      <w:proofErr w:type="spellEnd"/>
      <w:r w:rsidRPr="00F644FD">
        <w:t xml:space="preserve"> class.</w:t>
      </w:r>
    </w:p>
    <w:p w14:paraId="41F6549A" w14:textId="77777777" w:rsidR="009C1E51" w:rsidRPr="00F644FD" w:rsidRDefault="009C1E51" w:rsidP="009C1E51"/>
    <w:p w14:paraId="14A2FB7D" w14:textId="77777777" w:rsidR="009C1E51" w:rsidRPr="00F644FD" w:rsidRDefault="009C1E51" w:rsidP="009C1E51">
      <w:r w:rsidRPr="00F644FD">
        <w:t>SEGLUROMET is available for oral use as film-coated tablets containing:</w:t>
      </w:r>
    </w:p>
    <w:p w14:paraId="6F41BBF5" w14:textId="77777777" w:rsidR="009C1E51" w:rsidRPr="00F644FD" w:rsidRDefault="009C1E51" w:rsidP="000F03FB">
      <w:pPr>
        <w:pStyle w:val="ListBullet"/>
      </w:pPr>
      <w:r w:rsidRPr="00F644FD">
        <w:t xml:space="preserve">3.24 mg </w:t>
      </w:r>
      <w:proofErr w:type="spellStart"/>
      <w:r w:rsidRPr="00F644FD">
        <w:t>ertugliflozin</w:t>
      </w:r>
      <w:proofErr w:type="spellEnd"/>
      <w:r w:rsidRPr="00F644FD">
        <w:t xml:space="preserve"> </w:t>
      </w:r>
      <w:proofErr w:type="spellStart"/>
      <w:r w:rsidRPr="00F644FD">
        <w:t>pyroglutamic</w:t>
      </w:r>
      <w:proofErr w:type="spellEnd"/>
      <w:r w:rsidRPr="00F644FD">
        <w:t xml:space="preserve"> acid equivalent to 2.5 mg of </w:t>
      </w:r>
      <w:proofErr w:type="spellStart"/>
      <w:r w:rsidRPr="00F644FD">
        <w:t>ertugliflozin</w:t>
      </w:r>
      <w:proofErr w:type="spellEnd"/>
      <w:r w:rsidRPr="00F644FD">
        <w:t xml:space="preserve"> and 500 mg metformin hydrochloride (SEGLUROMET 2.5/500)</w:t>
      </w:r>
    </w:p>
    <w:p w14:paraId="47D49D5D" w14:textId="77777777" w:rsidR="009C1E51" w:rsidRPr="00F644FD" w:rsidRDefault="009C1E51" w:rsidP="000F03FB">
      <w:pPr>
        <w:pStyle w:val="ListBullet"/>
      </w:pPr>
      <w:r w:rsidRPr="00F644FD">
        <w:t xml:space="preserve">3.24 mg </w:t>
      </w:r>
      <w:proofErr w:type="spellStart"/>
      <w:r w:rsidRPr="00F644FD">
        <w:t>ertugliflozin</w:t>
      </w:r>
      <w:proofErr w:type="spellEnd"/>
      <w:r w:rsidRPr="00F644FD">
        <w:t xml:space="preserve"> </w:t>
      </w:r>
      <w:proofErr w:type="spellStart"/>
      <w:r w:rsidRPr="00F644FD">
        <w:t>pyroglutamic</w:t>
      </w:r>
      <w:proofErr w:type="spellEnd"/>
      <w:r w:rsidRPr="00F644FD">
        <w:t xml:space="preserve"> acid equivalent to 2.5 mg of </w:t>
      </w:r>
      <w:proofErr w:type="spellStart"/>
      <w:r w:rsidRPr="00F644FD">
        <w:t>ertugliflozin</w:t>
      </w:r>
      <w:proofErr w:type="spellEnd"/>
      <w:r w:rsidRPr="00F644FD">
        <w:t xml:space="preserve"> and 1000 mg metformin hydrochloride (SEGLUROMET 2.5/1000)</w:t>
      </w:r>
    </w:p>
    <w:p w14:paraId="42A5E043" w14:textId="77777777" w:rsidR="009C1E51" w:rsidRPr="00F644FD" w:rsidRDefault="009C1E51" w:rsidP="000F03FB">
      <w:pPr>
        <w:pStyle w:val="ListBullet"/>
      </w:pPr>
      <w:r w:rsidRPr="00F644FD">
        <w:t xml:space="preserve">9.71 mg </w:t>
      </w:r>
      <w:proofErr w:type="spellStart"/>
      <w:r w:rsidRPr="00F644FD">
        <w:t>ertugliflozin</w:t>
      </w:r>
      <w:proofErr w:type="spellEnd"/>
      <w:r w:rsidRPr="00F644FD">
        <w:t xml:space="preserve"> </w:t>
      </w:r>
      <w:proofErr w:type="spellStart"/>
      <w:r w:rsidRPr="00F644FD">
        <w:t>pyroglutamic</w:t>
      </w:r>
      <w:proofErr w:type="spellEnd"/>
      <w:r w:rsidRPr="00F644FD">
        <w:t xml:space="preserve"> acid equivalent to 7.5 mg of </w:t>
      </w:r>
      <w:proofErr w:type="spellStart"/>
      <w:r w:rsidRPr="00F644FD">
        <w:t>ertugliflozin</w:t>
      </w:r>
      <w:proofErr w:type="spellEnd"/>
      <w:r w:rsidRPr="00F644FD">
        <w:t xml:space="preserve"> and 500 mg metformin hydrochloride (SEGLUROMET 7.5/500)</w:t>
      </w:r>
    </w:p>
    <w:p w14:paraId="70993E42" w14:textId="77777777" w:rsidR="009C1E51" w:rsidRPr="00F644FD" w:rsidRDefault="009C1E51" w:rsidP="000F03FB">
      <w:pPr>
        <w:pStyle w:val="ListBullet"/>
      </w:pPr>
      <w:r w:rsidRPr="00F644FD">
        <w:t xml:space="preserve">9.71 mg </w:t>
      </w:r>
      <w:proofErr w:type="spellStart"/>
      <w:r w:rsidRPr="00F644FD">
        <w:t>ertugliflozin</w:t>
      </w:r>
      <w:proofErr w:type="spellEnd"/>
      <w:r w:rsidRPr="00F644FD">
        <w:t xml:space="preserve"> </w:t>
      </w:r>
      <w:proofErr w:type="spellStart"/>
      <w:r w:rsidRPr="00F644FD">
        <w:t>pyroglutamic</w:t>
      </w:r>
      <w:proofErr w:type="spellEnd"/>
      <w:r w:rsidRPr="00F644FD">
        <w:t xml:space="preserve"> acid equivalent to 7.5 mg of </w:t>
      </w:r>
      <w:proofErr w:type="spellStart"/>
      <w:r w:rsidRPr="00F644FD">
        <w:t>ertugliflozin</w:t>
      </w:r>
      <w:proofErr w:type="spellEnd"/>
      <w:r w:rsidRPr="00F644FD">
        <w:t xml:space="preserve"> and 1000 mg metformin hydrochloride (SEGLUROMET 7.5/1000)</w:t>
      </w:r>
    </w:p>
    <w:p w14:paraId="5E2A3793" w14:textId="77777777" w:rsidR="009C1E51" w:rsidRPr="00F644FD" w:rsidRDefault="009C1E51" w:rsidP="009C1E51"/>
    <w:p w14:paraId="152D50D4" w14:textId="1D68B4AA" w:rsidR="009C1E51" w:rsidRPr="00F644FD" w:rsidRDefault="009C1E51" w:rsidP="009C1E51">
      <w:pPr>
        <w:rPr>
          <w:rFonts w:eastAsia="Cambria"/>
        </w:rPr>
      </w:pPr>
      <w:r w:rsidRPr="007971D6">
        <w:rPr>
          <w:rFonts w:eastAsia="Cambria"/>
        </w:rPr>
        <w:t xml:space="preserve">For the full list of excipients see Section 6.1 </w:t>
      </w:r>
      <w:r w:rsidR="007560C3" w:rsidRPr="007971D6">
        <w:rPr>
          <w:rFonts w:eastAsia="Cambria"/>
        </w:rPr>
        <w:t>LIST OF EXCIPIENTS</w:t>
      </w:r>
    </w:p>
    <w:p w14:paraId="769F8433" w14:textId="77777777" w:rsidR="009C1E51" w:rsidRPr="00F644FD" w:rsidRDefault="009C1E51" w:rsidP="009C1E51">
      <w:pPr>
        <w:pStyle w:val="Heading1"/>
      </w:pPr>
      <w:r w:rsidRPr="00F644FD">
        <w:t>3</w:t>
      </w:r>
      <w:r w:rsidRPr="00F644FD">
        <w:tab/>
        <w:t>PHARMACEUTICAL FORM</w:t>
      </w:r>
    </w:p>
    <w:p w14:paraId="71D19641" w14:textId="33D00800" w:rsidR="009C1E51" w:rsidRPr="00F644FD" w:rsidRDefault="009C1E51" w:rsidP="009C1E51">
      <w:pPr>
        <w:contextualSpacing/>
      </w:pPr>
      <w:r w:rsidRPr="00F644FD">
        <w:t>SEGLUROMET, 2.5 / 500 pink, oval, film-coated tablets debossed with “2.5/500” on one side and plain on the other side.</w:t>
      </w:r>
    </w:p>
    <w:p w14:paraId="107E39F2" w14:textId="77777777" w:rsidR="009C1E51" w:rsidRPr="00F644FD" w:rsidRDefault="009C1E51" w:rsidP="009C1E51">
      <w:pPr>
        <w:contextualSpacing/>
      </w:pPr>
    </w:p>
    <w:p w14:paraId="5581B5D4" w14:textId="5E6C92A4" w:rsidR="009C1E51" w:rsidRPr="00F644FD" w:rsidRDefault="009C1E51" w:rsidP="009C1E51">
      <w:pPr>
        <w:contextualSpacing/>
      </w:pPr>
      <w:r w:rsidRPr="00F644FD">
        <w:t>SEGLUROMET 2.5 / 1000 pink, oval, film-coated tablets debossed with “2.5/1000” on one side and plain on the other side.</w:t>
      </w:r>
    </w:p>
    <w:p w14:paraId="6C2979B4" w14:textId="77777777" w:rsidR="009C1E51" w:rsidRPr="00F644FD" w:rsidRDefault="009C1E51" w:rsidP="009C1E51">
      <w:pPr>
        <w:contextualSpacing/>
      </w:pPr>
    </w:p>
    <w:p w14:paraId="0E2ED99E" w14:textId="756649F6" w:rsidR="009C1E51" w:rsidRPr="00F644FD" w:rsidRDefault="009C1E51" w:rsidP="009C1E51">
      <w:pPr>
        <w:contextualSpacing/>
      </w:pPr>
      <w:r w:rsidRPr="00F644FD">
        <w:t>SEGLUROMET 7.5 / 500 red, oval, film-coated tablets debossed with “7.5/500” on one side and plain on the other side.</w:t>
      </w:r>
    </w:p>
    <w:p w14:paraId="365F332D" w14:textId="77777777" w:rsidR="009C1E51" w:rsidRPr="00F644FD" w:rsidRDefault="009C1E51" w:rsidP="009C1E51">
      <w:pPr>
        <w:contextualSpacing/>
      </w:pPr>
    </w:p>
    <w:p w14:paraId="667E7666" w14:textId="78A2025D" w:rsidR="000941C3" w:rsidRPr="00F644FD" w:rsidRDefault="009C1E51" w:rsidP="00881E16">
      <w:pPr>
        <w:contextualSpacing/>
      </w:pPr>
      <w:r w:rsidRPr="00F644FD">
        <w:t>SEGLUROMET 7.5 / 1000 red, oval, film-coated tablets debossed with “7.5/1000” on one side and plain on the other side.</w:t>
      </w:r>
    </w:p>
    <w:p w14:paraId="40FE7355" w14:textId="77777777" w:rsidR="009C1E51" w:rsidRPr="00F644FD" w:rsidRDefault="009C1E51" w:rsidP="002E0B7F">
      <w:pPr>
        <w:pStyle w:val="Heading1"/>
        <w:rPr>
          <w:rFonts w:eastAsia="Cambria"/>
        </w:rPr>
      </w:pPr>
      <w:r w:rsidRPr="00F644FD">
        <w:rPr>
          <w:rFonts w:eastAsia="Cambria"/>
        </w:rPr>
        <w:lastRenderedPageBreak/>
        <w:t>4</w:t>
      </w:r>
      <w:r w:rsidRPr="00F644FD">
        <w:rPr>
          <w:rFonts w:eastAsia="Cambria"/>
        </w:rPr>
        <w:tab/>
        <w:t>CLINICAL PARTICULARS</w:t>
      </w:r>
    </w:p>
    <w:p w14:paraId="7C9B697A" w14:textId="65125865" w:rsidR="009C1E51" w:rsidRPr="00F644FD" w:rsidRDefault="009C1E51" w:rsidP="009C1E51">
      <w:pPr>
        <w:pStyle w:val="Heading2"/>
      </w:pPr>
      <w:r w:rsidRPr="00F644FD">
        <w:rPr>
          <w:rFonts w:eastAsia="Cambria"/>
        </w:rPr>
        <w:t>4.1</w:t>
      </w:r>
      <w:r w:rsidRPr="00F644FD">
        <w:rPr>
          <w:rFonts w:eastAsia="Cambria"/>
        </w:rPr>
        <w:tab/>
      </w:r>
      <w:r w:rsidR="007560C3">
        <w:rPr>
          <w:rFonts w:eastAsia="Cambria"/>
        </w:rPr>
        <w:t xml:space="preserve">THERAPEUTIC </w:t>
      </w:r>
      <w:r w:rsidRPr="00F644FD">
        <w:t>INDICATIONS</w:t>
      </w:r>
    </w:p>
    <w:p w14:paraId="764290D4" w14:textId="77777777" w:rsidR="00542329" w:rsidRDefault="009C1E51" w:rsidP="009C1E51">
      <w:pPr>
        <w:contextualSpacing/>
      </w:pPr>
      <w:r w:rsidRPr="00F644FD">
        <w:t>SEGLUROMET (</w:t>
      </w:r>
      <w:proofErr w:type="spellStart"/>
      <w:r w:rsidRPr="00F644FD">
        <w:t>ertugliflozin</w:t>
      </w:r>
      <w:proofErr w:type="spellEnd"/>
      <w:r w:rsidRPr="00F644FD">
        <w:t xml:space="preserve"> and metformin hydrochloride) is indicated as an adjunct to diet and exercise to improve glycaemic control in adults with type 2 diabetes mellitus when treatment with both </w:t>
      </w:r>
      <w:proofErr w:type="spellStart"/>
      <w:r w:rsidRPr="00F644FD">
        <w:t>ertugliflozin</w:t>
      </w:r>
      <w:proofErr w:type="spellEnd"/>
      <w:r w:rsidRPr="00F644FD">
        <w:t xml:space="preserve"> and metformin is appropriate </w:t>
      </w:r>
    </w:p>
    <w:p w14:paraId="528A10A2" w14:textId="77777777" w:rsidR="00542329" w:rsidRDefault="00542329" w:rsidP="009C1E51">
      <w:pPr>
        <w:contextualSpacing/>
      </w:pPr>
    </w:p>
    <w:p w14:paraId="79CC3EEA" w14:textId="35E2D395" w:rsidR="009C1E51" w:rsidRPr="00F644FD" w:rsidRDefault="0023455A" w:rsidP="009C1E51">
      <w:pPr>
        <w:contextualSpacing/>
        <w:rPr>
          <w:bCs/>
          <w:iCs/>
          <w:szCs w:val="22"/>
        </w:rPr>
      </w:pPr>
      <w:r>
        <w:t>[</w:t>
      </w:r>
      <w:proofErr w:type="gramStart"/>
      <w:r w:rsidR="00F82DDA" w:rsidRPr="00F644FD">
        <w:t>see</w:t>
      </w:r>
      <w:proofErr w:type="gramEnd"/>
      <w:r w:rsidR="00F82DDA" w:rsidRPr="00F644FD">
        <w:t xml:space="preserve"> 5.1 PHARMACODYNAMIC PROPERTIES, Clinical trials</w:t>
      </w:r>
      <w:r w:rsidR="00933F74" w:rsidRPr="00F644FD">
        <w:t xml:space="preserve"> </w:t>
      </w:r>
      <w:r w:rsidR="00F82DDA" w:rsidRPr="00F644FD">
        <w:rPr>
          <w:bCs/>
          <w:iCs/>
          <w:szCs w:val="22"/>
        </w:rPr>
        <w:t>and</w:t>
      </w:r>
      <w:r w:rsidR="009C1E51" w:rsidRPr="00F644FD">
        <w:rPr>
          <w:bCs/>
          <w:iCs/>
          <w:szCs w:val="22"/>
        </w:rPr>
        <w:t xml:space="preserve"> </w:t>
      </w:r>
      <w:r w:rsidR="00F82DDA" w:rsidRPr="00F644FD">
        <w:rPr>
          <w:bCs/>
          <w:iCs/>
          <w:szCs w:val="22"/>
        </w:rPr>
        <w:t>4.</w:t>
      </w:r>
      <w:r w:rsidR="007D747C" w:rsidRPr="00F644FD">
        <w:rPr>
          <w:bCs/>
          <w:iCs/>
          <w:szCs w:val="22"/>
        </w:rPr>
        <w:t>2</w:t>
      </w:r>
      <w:r w:rsidR="00F82DDA" w:rsidRPr="00F644FD">
        <w:rPr>
          <w:bCs/>
          <w:iCs/>
          <w:szCs w:val="22"/>
        </w:rPr>
        <w:t xml:space="preserve"> </w:t>
      </w:r>
      <w:r w:rsidR="009C1E51" w:rsidRPr="00F644FD">
        <w:rPr>
          <w:bCs/>
          <w:iCs/>
          <w:szCs w:val="22"/>
        </w:rPr>
        <w:t xml:space="preserve">DOSE AND </w:t>
      </w:r>
      <w:r w:rsidR="00F82DDA" w:rsidRPr="00F644FD">
        <w:rPr>
          <w:bCs/>
          <w:iCs/>
          <w:szCs w:val="22"/>
        </w:rPr>
        <w:t xml:space="preserve">METHOD OF </w:t>
      </w:r>
      <w:r w:rsidR="009C1E51" w:rsidRPr="00F644FD">
        <w:rPr>
          <w:bCs/>
          <w:iCs/>
          <w:szCs w:val="22"/>
        </w:rPr>
        <w:t>ADMINISTRATION</w:t>
      </w:r>
      <w:r>
        <w:rPr>
          <w:bCs/>
          <w:iCs/>
          <w:szCs w:val="22"/>
        </w:rPr>
        <w:t>]</w:t>
      </w:r>
      <w:r w:rsidR="009C1E51" w:rsidRPr="00F644FD">
        <w:rPr>
          <w:bCs/>
          <w:iCs/>
          <w:szCs w:val="22"/>
        </w:rPr>
        <w:t>.</w:t>
      </w:r>
    </w:p>
    <w:p w14:paraId="51A42A6D" w14:textId="77777777" w:rsidR="009C1E51" w:rsidRPr="00F644FD" w:rsidRDefault="009C1E51" w:rsidP="009C1E51">
      <w:pPr>
        <w:pStyle w:val="Heading2"/>
      </w:pPr>
      <w:r w:rsidRPr="00F644FD">
        <w:rPr>
          <w:rFonts w:eastAsia="Cambria"/>
        </w:rPr>
        <w:t>4.2</w:t>
      </w:r>
      <w:r w:rsidRPr="00F644FD">
        <w:rPr>
          <w:rFonts w:eastAsia="Cambria"/>
        </w:rPr>
        <w:tab/>
        <w:t xml:space="preserve">DOSE AND METHOD OF </w:t>
      </w:r>
      <w:r w:rsidRPr="00F644FD">
        <w:t>ADMINISTRATION</w:t>
      </w:r>
    </w:p>
    <w:p w14:paraId="18B17549" w14:textId="0A7F7B2E" w:rsidR="009C1E51" w:rsidRPr="00F644FD" w:rsidRDefault="009C1E51" w:rsidP="009C1E51">
      <w:pPr>
        <w:pStyle w:val="Heading3"/>
      </w:pPr>
      <w:r w:rsidRPr="00F644FD">
        <w:t xml:space="preserve">General </w:t>
      </w:r>
    </w:p>
    <w:p w14:paraId="55D411F6" w14:textId="77777777" w:rsidR="0023455A" w:rsidRPr="00F644FD" w:rsidRDefault="0023455A" w:rsidP="0023455A">
      <w:pPr>
        <w:pStyle w:val="ListBullet"/>
      </w:pPr>
      <w:r w:rsidRPr="00F644FD">
        <w:t xml:space="preserve">Take </w:t>
      </w:r>
      <w:r w:rsidRPr="00F644FD" w:rsidDel="00DE35C9">
        <w:t>SEGLUROMET</w:t>
      </w:r>
      <w:r w:rsidRPr="00F644FD">
        <w:t xml:space="preserve"> twice daily with meals, with gradual dose escalation for those initiating metformin to reduce the gastrointestinal side effects due to metformin.</w:t>
      </w:r>
    </w:p>
    <w:p w14:paraId="6AED31F5" w14:textId="15275E06" w:rsidR="009C1E51" w:rsidRPr="00F644FD" w:rsidRDefault="009C1E51" w:rsidP="000F03FB">
      <w:pPr>
        <w:pStyle w:val="ListBullet"/>
      </w:pPr>
      <w:r w:rsidRPr="00F644FD">
        <w:t xml:space="preserve">Individualise the starting dose of </w:t>
      </w:r>
      <w:r w:rsidRPr="00F644FD" w:rsidDel="00DE35C9">
        <w:t>SEGLUROMET</w:t>
      </w:r>
      <w:r w:rsidRPr="00F644FD">
        <w:t xml:space="preserve"> (</w:t>
      </w:r>
      <w:proofErr w:type="spellStart"/>
      <w:r w:rsidRPr="00F644FD">
        <w:t>ertugliflozin</w:t>
      </w:r>
      <w:proofErr w:type="spellEnd"/>
      <w:r w:rsidRPr="00F644FD">
        <w:t xml:space="preserve"> and metformin hydrochloride) based on the patient’s current regimen: </w:t>
      </w:r>
    </w:p>
    <w:p w14:paraId="28A265F0" w14:textId="77777777" w:rsidR="009C1E51" w:rsidRPr="00F644FD" w:rsidRDefault="009C1E51" w:rsidP="000F03FB">
      <w:pPr>
        <w:pStyle w:val="ListBullet2"/>
        <w:rPr>
          <w:lang w:val="en-AU"/>
        </w:rPr>
      </w:pPr>
      <w:r w:rsidRPr="00F644FD">
        <w:rPr>
          <w:lang w:val="en-AU"/>
        </w:rPr>
        <w:t xml:space="preserve">In patients on metformin, switch to </w:t>
      </w:r>
      <w:r w:rsidRPr="00F644FD" w:rsidDel="00DE35C9">
        <w:rPr>
          <w:lang w:val="en-AU"/>
        </w:rPr>
        <w:t>SEGLUROMET</w:t>
      </w:r>
      <w:r w:rsidRPr="00F644FD">
        <w:rPr>
          <w:lang w:val="en-AU"/>
        </w:rPr>
        <w:t xml:space="preserve"> tablets containing 2.5 mg </w:t>
      </w:r>
      <w:proofErr w:type="spellStart"/>
      <w:r w:rsidRPr="00F644FD">
        <w:rPr>
          <w:lang w:val="en-AU"/>
        </w:rPr>
        <w:t>ertugliflozin</w:t>
      </w:r>
      <w:proofErr w:type="spellEnd"/>
      <w:r w:rsidRPr="00F644FD">
        <w:rPr>
          <w:lang w:val="en-AU"/>
        </w:rPr>
        <w:t>, with a similar total daily dose of metformin.</w:t>
      </w:r>
    </w:p>
    <w:p w14:paraId="5E783F87" w14:textId="77777777" w:rsidR="009C1E51" w:rsidRPr="00F644FD" w:rsidRDefault="009C1E51" w:rsidP="000F03FB">
      <w:pPr>
        <w:pStyle w:val="ListBullet2"/>
        <w:rPr>
          <w:lang w:val="en-AU"/>
        </w:rPr>
      </w:pPr>
      <w:r w:rsidRPr="00F644FD">
        <w:rPr>
          <w:lang w:val="en-AU"/>
        </w:rPr>
        <w:t xml:space="preserve">In patients already treated with </w:t>
      </w:r>
      <w:proofErr w:type="spellStart"/>
      <w:r w:rsidRPr="00F644FD">
        <w:rPr>
          <w:lang w:val="en-AU"/>
        </w:rPr>
        <w:t>ertugliflozin</w:t>
      </w:r>
      <w:proofErr w:type="spellEnd"/>
      <w:r w:rsidRPr="00F644FD">
        <w:rPr>
          <w:lang w:val="en-AU"/>
        </w:rPr>
        <w:t xml:space="preserve"> and metformin, switch to </w:t>
      </w:r>
      <w:r w:rsidRPr="00F644FD" w:rsidDel="00DE35C9">
        <w:rPr>
          <w:lang w:val="en-AU"/>
        </w:rPr>
        <w:t>SEGLUROMET</w:t>
      </w:r>
      <w:r w:rsidRPr="00F644FD">
        <w:rPr>
          <w:lang w:val="en-AU"/>
        </w:rPr>
        <w:t xml:space="preserve"> tablets containing the same total daily dose of </w:t>
      </w:r>
      <w:proofErr w:type="spellStart"/>
      <w:r w:rsidRPr="00F644FD">
        <w:rPr>
          <w:lang w:val="en-AU"/>
        </w:rPr>
        <w:t>ertugliflozin</w:t>
      </w:r>
      <w:proofErr w:type="spellEnd"/>
      <w:r w:rsidRPr="00F644FD">
        <w:rPr>
          <w:lang w:val="en-AU"/>
        </w:rPr>
        <w:t xml:space="preserve"> and a similar daily dose of metformin.</w:t>
      </w:r>
    </w:p>
    <w:p w14:paraId="6B2C873C" w14:textId="77777777" w:rsidR="009C1E51" w:rsidRPr="00F644FD" w:rsidRDefault="009C1E51" w:rsidP="000F03FB">
      <w:pPr>
        <w:pStyle w:val="ListBullet"/>
      </w:pPr>
      <w:r w:rsidRPr="00F644FD">
        <w:t xml:space="preserve">Dosing may be adjusted based on effectiveness and tolerability while not exceeding the maximum recommended daily dose of 15 mg </w:t>
      </w:r>
      <w:proofErr w:type="spellStart"/>
      <w:r w:rsidRPr="00F644FD">
        <w:t>ertugliflozin</w:t>
      </w:r>
      <w:proofErr w:type="spellEnd"/>
      <w:r w:rsidRPr="00F644FD">
        <w:t xml:space="preserve"> and 2,000 mg metformin </w:t>
      </w:r>
      <w:proofErr w:type="spellStart"/>
      <w:r w:rsidRPr="00F644FD">
        <w:t>HCl</w:t>
      </w:r>
      <w:proofErr w:type="spellEnd"/>
      <w:r w:rsidRPr="00F644FD">
        <w:t>.</w:t>
      </w:r>
    </w:p>
    <w:p w14:paraId="264D05EE" w14:textId="5F49F59F" w:rsidR="009C1E51" w:rsidRPr="00F644FD" w:rsidRDefault="009C1E51" w:rsidP="009C1E51">
      <w:pPr>
        <w:pStyle w:val="Heading3"/>
      </w:pPr>
      <w:r w:rsidRPr="00F644FD">
        <w:t xml:space="preserve">Renal </w:t>
      </w:r>
      <w:r w:rsidR="00B1112D" w:rsidRPr="00F644FD">
        <w:t xml:space="preserve">impairment </w:t>
      </w:r>
    </w:p>
    <w:p w14:paraId="73E93BF9" w14:textId="0F8FA420" w:rsidR="009C1E51" w:rsidRPr="00F644FD" w:rsidRDefault="009C1E51" w:rsidP="009C1E51">
      <w:r w:rsidRPr="00F644FD">
        <w:t xml:space="preserve">Assess renal function prior to initiation of </w:t>
      </w:r>
      <w:r w:rsidRPr="00F644FD" w:rsidDel="00DE35C9">
        <w:t>SEGLUROMET</w:t>
      </w:r>
      <w:r w:rsidRPr="00F644FD">
        <w:t xml:space="preserve"> and periodically thereafter [see </w:t>
      </w:r>
      <w:r w:rsidR="00F82DDA" w:rsidRPr="00F644FD">
        <w:t xml:space="preserve">4.4 SPECIAL WARNINGS AND </w:t>
      </w:r>
      <w:r w:rsidRPr="00F644FD">
        <w:t>PRECAUTIONS</w:t>
      </w:r>
      <w:r w:rsidR="000B50ED">
        <w:t xml:space="preserve"> FOR USE</w:t>
      </w:r>
      <w:r w:rsidRPr="00F644FD">
        <w:t>].</w:t>
      </w:r>
    </w:p>
    <w:p w14:paraId="55AEA85B" w14:textId="77777777" w:rsidR="009C1E51" w:rsidRPr="00F644FD" w:rsidRDefault="009C1E51" w:rsidP="009C1E51">
      <w:pPr>
        <w:rPr>
          <w:rFonts w:cs="Arial"/>
        </w:rPr>
      </w:pPr>
    </w:p>
    <w:p w14:paraId="287D904A" w14:textId="516949BF" w:rsidR="009C1E51" w:rsidRPr="00F644FD" w:rsidRDefault="009C1E51" w:rsidP="009C1E51">
      <w:pPr>
        <w:pStyle w:val="Body"/>
        <w:rPr>
          <w:rFonts w:cs="Arial"/>
        </w:rPr>
      </w:pPr>
      <w:r w:rsidRPr="00F644FD" w:rsidDel="00DE35C9">
        <w:t>SEGLUROMET</w:t>
      </w:r>
      <w:r w:rsidRPr="00F644FD">
        <w:rPr>
          <w:rFonts w:cs="Arial"/>
        </w:rPr>
        <w:t xml:space="preserve"> is contraindicated in patients with an </w:t>
      </w:r>
      <w:proofErr w:type="spellStart"/>
      <w:r w:rsidRPr="00F644FD">
        <w:rPr>
          <w:rFonts w:cs="Arial"/>
        </w:rPr>
        <w:t>eGFR</w:t>
      </w:r>
      <w:proofErr w:type="spellEnd"/>
      <w:r w:rsidRPr="00F644FD">
        <w:rPr>
          <w:rFonts w:cs="Arial"/>
        </w:rPr>
        <w:t xml:space="preserve"> less than </w:t>
      </w:r>
      <w:r w:rsidRPr="00F644FD">
        <w:t>60</w:t>
      </w:r>
      <w:r w:rsidRPr="00F644FD">
        <w:rPr>
          <w:rFonts w:cs="Arial"/>
        </w:rPr>
        <w:t> mL/min/1.73 m</w:t>
      </w:r>
      <w:r w:rsidRPr="00F644FD">
        <w:rPr>
          <w:rFonts w:cs="Arial"/>
          <w:vertAlign w:val="superscript"/>
        </w:rPr>
        <w:t>2</w:t>
      </w:r>
      <w:r w:rsidRPr="00F644FD">
        <w:rPr>
          <w:rFonts w:cs="Arial"/>
        </w:rPr>
        <w:t xml:space="preserve"> [</w:t>
      </w:r>
      <w:r w:rsidRPr="00F644FD">
        <w:t xml:space="preserve">see </w:t>
      </w:r>
      <w:r w:rsidR="00FE3765" w:rsidRPr="00F644FD">
        <w:t xml:space="preserve">4.3 </w:t>
      </w:r>
      <w:r w:rsidRPr="00F644FD">
        <w:t xml:space="preserve">CONTRAINDICATIONS and </w:t>
      </w:r>
      <w:r w:rsidR="00F82DDA" w:rsidRPr="00F644FD">
        <w:t xml:space="preserve">4.4 SPECIAL WARNINGS AND </w:t>
      </w:r>
      <w:r w:rsidRPr="00F644FD" w:rsidDel="00A2385D">
        <w:t>PRECAUTIONS</w:t>
      </w:r>
      <w:r w:rsidR="000B50ED">
        <w:t xml:space="preserve"> FOR USE</w:t>
      </w:r>
      <w:r w:rsidRPr="00F644FD">
        <w:rPr>
          <w:rFonts w:cs="Arial"/>
        </w:rPr>
        <w:t>].</w:t>
      </w:r>
    </w:p>
    <w:p w14:paraId="74152991" w14:textId="25FEA4D7" w:rsidR="009C1E51" w:rsidRPr="00F644FD" w:rsidRDefault="009C1E51" w:rsidP="009C1E51">
      <w:pPr>
        <w:pStyle w:val="Heading3"/>
      </w:pPr>
      <w:r w:rsidRPr="00F644FD">
        <w:t xml:space="preserve">Hepatic </w:t>
      </w:r>
      <w:r w:rsidR="00B1112D" w:rsidRPr="00F644FD">
        <w:t>impairment</w:t>
      </w:r>
    </w:p>
    <w:p w14:paraId="6AE892D7" w14:textId="2A0D5384" w:rsidR="009C1E51" w:rsidRPr="00F644FD" w:rsidRDefault="009C1E51" w:rsidP="009C1E51">
      <w:pPr>
        <w:pStyle w:val="BodyText"/>
        <w:rPr>
          <w:b/>
        </w:rPr>
      </w:pPr>
      <w:r w:rsidRPr="00F644FD">
        <w:t xml:space="preserve">Use of metformin in patients with hepatic impairment has been associated with some cases of lactic acidosis. </w:t>
      </w:r>
      <w:r w:rsidR="00BE64F9" w:rsidRPr="00F644FD">
        <w:t xml:space="preserve"> </w:t>
      </w:r>
      <w:r w:rsidRPr="00F644FD" w:rsidDel="00DE35C9">
        <w:t>SEGLUROMET</w:t>
      </w:r>
      <w:r w:rsidRPr="00F644FD">
        <w:t xml:space="preserve"> is not recommended in patients with hepatic impairment [see </w:t>
      </w:r>
      <w:r w:rsidR="00F82DDA" w:rsidRPr="00F644FD">
        <w:t xml:space="preserve">4.4 SPECIAL WARNINGS AND </w:t>
      </w:r>
      <w:r w:rsidRPr="00F644FD">
        <w:t>PRECAUTIONS</w:t>
      </w:r>
      <w:r w:rsidR="000B50ED">
        <w:t xml:space="preserve"> FOR USE</w:t>
      </w:r>
      <w:r w:rsidRPr="00F644FD">
        <w:t>].</w:t>
      </w:r>
    </w:p>
    <w:p w14:paraId="2C7DE98D" w14:textId="77777777" w:rsidR="009C1E51" w:rsidRPr="00F644FD" w:rsidRDefault="009C1E51" w:rsidP="009C1E51">
      <w:pPr>
        <w:pStyle w:val="Heading3"/>
      </w:pPr>
      <w:r w:rsidRPr="00F644FD">
        <w:t>Elderly</w:t>
      </w:r>
    </w:p>
    <w:p w14:paraId="75759425" w14:textId="462B630F" w:rsidR="009C1E51" w:rsidRDefault="009C1E51" w:rsidP="009C1E51">
      <w:r w:rsidRPr="00F644FD">
        <w:t xml:space="preserve">No dosage adjustment of SEGLUROMET is recommended based on age.  Elderly patients are more likely to have decreased renal function.  Because renal function abnormalities can occur after initiating </w:t>
      </w:r>
      <w:proofErr w:type="spellStart"/>
      <w:r w:rsidRPr="00F644FD">
        <w:t>ertugliflozin</w:t>
      </w:r>
      <w:proofErr w:type="spellEnd"/>
      <w:r w:rsidRPr="00F644FD">
        <w:t xml:space="preserve">, and metformin is known to be substantially excreted by the kidneys, care should be taken in dose selection in the elderly.  It may be useful to assess renal </w:t>
      </w:r>
      <w:r w:rsidRPr="00F644FD">
        <w:lastRenderedPageBreak/>
        <w:t xml:space="preserve">function in these patients prior to initiating dosing and periodically thereafter [see </w:t>
      </w:r>
      <w:r w:rsidR="00F82DDA" w:rsidRPr="00F644FD">
        <w:t xml:space="preserve">4.4 SPECIAL WARNINGS AND </w:t>
      </w:r>
      <w:r w:rsidRPr="00F644FD">
        <w:t>PRECAUTIONS</w:t>
      </w:r>
      <w:r w:rsidR="000B50ED">
        <w:t xml:space="preserve"> FOR USE</w:t>
      </w:r>
      <w:r w:rsidRPr="00F644FD">
        <w:t xml:space="preserve">]. </w:t>
      </w:r>
    </w:p>
    <w:p w14:paraId="0994D654" w14:textId="567B9BBD" w:rsidR="00FE01E8" w:rsidRPr="00F644FD" w:rsidRDefault="00FE01E8" w:rsidP="00FE01E8">
      <w:pPr>
        <w:pStyle w:val="Heading3"/>
      </w:pPr>
      <w:r w:rsidRPr="00F644FD">
        <w:t xml:space="preserve">Paediatric </w:t>
      </w:r>
      <w:r w:rsidR="00B1112D" w:rsidRPr="00F644FD">
        <w:t>population</w:t>
      </w:r>
    </w:p>
    <w:p w14:paraId="2B0BA49B" w14:textId="404D8F4B" w:rsidR="00FE01E8" w:rsidRPr="00F644FD" w:rsidRDefault="00FE01E8" w:rsidP="009C1E51">
      <w:r w:rsidRPr="00F644FD">
        <w:t xml:space="preserve">Safety and effectiveness of SEGLUROMET in paediatric patients under 18 years of age have not been established. </w:t>
      </w:r>
    </w:p>
    <w:p w14:paraId="55A39641" w14:textId="53C2E6D9" w:rsidR="002E0B7F" w:rsidRPr="00F644FD" w:rsidRDefault="002E0B7F" w:rsidP="002E0B7F">
      <w:pPr>
        <w:pStyle w:val="Heading2"/>
      </w:pPr>
      <w:r w:rsidRPr="00F644FD">
        <w:t>4.3</w:t>
      </w:r>
      <w:r w:rsidRPr="00F644FD">
        <w:tab/>
        <w:t>CONTRAINDICATIONS</w:t>
      </w:r>
    </w:p>
    <w:p w14:paraId="7FC822C9" w14:textId="77777777" w:rsidR="002E0B7F" w:rsidRPr="00F644FD" w:rsidRDefault="002E0B7F" w:rsidP="000F03FB">
      <w:pPr>
        <w:pStyle w:val="ListBullet"/>
      </w:pPr>
      <w:r w:rsidRPr="00F644FD">
        <w:t xml:space="preserve">History of a serious hypersensitivity reaction to SEGLUROMET, </w:t>
      </w:r>
      <w:proofErr w:type="spellStart"/>
      <w:r w:rsidRPr="00F644FD">
        <w:t>ertugliflozin</w:t>
      </w:r>
      <w:proofErr w:type="spellEnd"/>
      <w:r w:rsidRPr="00F644FD">
        <w:t>, metformin hydrochloride, or to any of the excipients.</w:t>
      </w:r>
    </w:p>
    <w:p w14:paraId="3BEB7DCB" w14:textId="7EA82449" w:rsidR="002E0B7F" w:rsidRPr="00F644FD" w:rsidRDefault="002E0B7F" w:rsidP="000F03FB">
      <w:pPr>
        <w:pStyle w:val="ListBullet"/>
      </w:pPr>
      <w:r w:rsidRPr="00F644FD">
        <w:t>Moderate or severe renal impairment (</w:t>
      </w:r>
      <w:proofErr w:type="spellStart"/>
      <w:r w:rsidRPr="00F644FD">
        <w:t>eGFR</w:t>
      </w:r>
      <w:proofErr w:type="spellEnd"/>
      <w:r w:rsidRPr="00F644FD">
        <w:t xml:space="preserve"> less than 60 mL/min/1.73 m</w:t>
      </w:r>
      <w:r w:rsidRPr="00F644FD">
        <w:rPr>
          <w:vertAlign w:val="superscript"/>
        </w:rPr>
        <w:t>2</w:t>
      </w:r>
      <w:r w:rsidRPr="00F644FD">
        <w:t xml:space="preserve">) [see </w:t>
      </w:r>
      <w:r w:rsidR="00F82DDA" w:rsidRPr="00F644FD">
        <w:t xml:space="preserve">4.4 SPECIAL WARNINGS AND </w:t>
      </w:r>
      <w:r w:rsidRPr="00F644FD">
        <w:t>PRECAUTIONS</w:t>
      </w:r>
      <w:r w:rsidR="000B50ED">
        <w:t xml:space="preserve"> FOR USE</w:t>
      </w:r>
      <w:r w:rsidRPr="00F644FD">
        <w:t>].</w:t>
      </w:r>
    </w:p>
    <w:p w14:paraId="5445A97D" w14:textId="77777777" w:rsidR="002E0B7F" w:rsidRPr="00F644FD" w:rsidRDefault="002E0B7F" w:rsidP="000F03FB">
      <w:pPr>
        <w:pStyle w:val="ListBullet"/>
      </w:pPr>
      <w:r w:rsidRPr="00F644FD">
        <w:t>Acute or chronic metabolic acidosis, including diabetic ketoacidosis, with or without coma.</w:t>
      </w:r>
    </w:p>
    <w:p w14:paraId="0F840AF6" w14:textId="6C757911" w:rsidR="002E0B7F" w:rsidRPr="00F644FD" w:rsidRDefault="002E0B7F" w:rsidP="000F03FB">
      <w:pPr>
        <w:pStyle w:val="ListBullet"/>
        <w:rPr>
          <w:rFonts w:eastAsia="Times New Roman" w:cs="Arial"/>
          <w:szCs w:val="20"/>
        </w:rPr>
      </w:pPr>
      <w:r w:rsidRPr="00F644FD">
        <w:rPr>
          <w:lang w:eastAsia="en-AU"/>
        </w:rPr>
        <w:t xml:space="preserve">Acute conditions with the potential to alter renal function such as: dehydration, severe infection, shock, or intravascular administration of iodinated contrast agents [see </w:t>
      </w:r>
      <w:r w:rsidR="00F82DDA" w:rsidRPr="00F644FD">
        <w:t xml:space="preserve">4.4 SPECIAL WARNINGS AND </w:t>
      </w:r>
      <w:r w:rsidRPr="00F644FD">
        <w:rPr>
          <w:rFonts w:eastAsia="Times New Roman" w:cs="Arial"/>
          <w:szCs w:val="20"/>
        </w:rPr>
        <w:t>PRECAUTIONS</w:t>
      </w:r>
      <w:r w:rsidR="000B50ED">
        <w:rPr>
          <w:rFonts w:eastAsia="Times New Roman" w:cs="Arial"/>
          <w:szCs w:val="20"/>
        </w:rPr>
        <w:t xml:space="preserve"> FOR USE</w:t>
      </w:r>
      <w:r w:rsidRPr="00F644FD">
        <w:rPr>
          <w:rFonts w:eastAsia="Times New Roman" w:cs="Arial"/>
          <w:szCs w:val="20"/>
        </w:rPr>
        <w:t>].</w:t>
      </w:r>
    </w:p>
    <w:p w14:paraId="57A53E15" w14:textId="71B26640" w:rsidR="002E0B7F" w:rsidRPr="00F644FD" w:rsidRDefault="002E0B7F" w:rsidP="000F03FB">
      <w:pPr>
        <w:pStyle w:val="ListBullet"/>
        <w:rPr>
          <w:rFonts w:eastAsia="MS Mincho" w:cs="Arial"/>
          <w:lang w:eastAsia="en-AU"/>
        </w:rPr>
      </w:pPr>
      <w:r w:rsidRPr="00F644FD">
        <w:rPr>
          <w:rFonts w:eastAsia="MS Mincho" w:cs="Arial"/>
          <w:lang w:eastAsia="en-AU"/>
        </w:rPr>
        <w:t>Acute or chronic disease which may cause tissue hypoxia such as: cardiac or respiratory failure, pulmonary embolism, recent myocardial infarction, shock, acute significant blood loss, sepsis, gangrene, pancreatitis.</w:t>
      </w:r>
    </w:p>
    <w:p w14:paraId="794B86BD" w14:textId="6409A6CD" w:rsidR="002E0B7F" w:rsidRPr="00F644FD" w:rsidRDefault="002E0B7F" w:rsidP="000F03FB">
      <w:pPr>
        <w:pStyle w:val="ListBullet"/>
        <w:rPr>
          <w:rFonts w:eastAsia="MS Mincho" w:cs="Arial"/>
          <w:lang w:eastAsia="en-AU"/>
        </w:rPr>
      </w:pPr>
      <w:r w:rsidRPr="00F644FD">
        <w:rPr>
          <w:rFonts w:eastAsia="MS Mincho" w:cs="Arial"/>
          <w:lang w:eastAsia="en-AU"/>
        </w:rPr>
        <w:t>During or immediately following surgery where insulin is essential.</w:t>
      </w:r>
    </w:p>
    <w:p w14:paraId="617CFC11" w14:textId="77777777" w:rsidR="002E0B7F" w:rsidRPr="00F644FD" w:rsidRDefault="002E0B7F" w:rsidP="000F03FB">
      <w:pPr>
        <w:pStyle w:val="ListBullet"/>
        <w:rPr>
          <w:lang w:eastAsia="en-AU"/>
        </w:rPr>
      </w:pPr>
      <w:r w:rsidRPr="00F644FD">
        <w:rPr>
          <w:lang w:eastAsia="en-AU"/>
        </w:rPr>
        <w:t xml:space="preserve">Due to </w:t>
      </w:r>
      <w:r w:rsidRPr="00F644FD">
        <w:t>its</w:t>
      </w:r>
      <w:r w:rsidRPr="00F644FD">
        <w:rPr>
          <w:lang w:eastAsia="en-AU"/>
        </w:rPr>
        <w:t xml:space="preserve"> metformin component, </w:t>
      </w:r>
      <w:r w:rsidRPr="00F644FD">
        <w:t xml:space="preserve">SEGLUROMET </w:t>
      </w:r>
      <w:r w:rsidRPr="00F644FD">
        <w:rPr>
          <w:lang w:eastAsia="en-AU"/>
        </w:rPr>
        <w:t>is contraindicated in patients with conditions that can lead to severe hepatic insufficiency such as:</w:t>
      </w:r>
    </w:p>
    <w:p w14:paraId="12DEF850" w14:textId="77777777" w:rsidR="002E0B7F" w:rsidRPr="00F644FD" w:rsidRDefault="002E0B7F" w:rsidP="000F03FB">
      <w:pPr>
        <w:pStyle w:val="ListBullet2"/>
        <w:rPr>
          <w:lang w:val="en-AU"/>
        </w:rPr>
      </w:pPr>
      <w:r w:rsidRPr="00F644FD">
        <w:rPr>
          <w:lang w:val="en-AU"/>
        </w:rPr>
        <w:t>acute alcohol intoxication</w:t>
      </w:r>
    </w:p>
    <w:p w14:paraId="0EE8CA44" w14:textId="77777777" w:rsidR="002E0B7F" w:rsidRPr="00F644FD" w:rsidRDefault="002E0B7F" w:rsidP="000F03FB">
      <w:pPr>
        <w:pStyle w:val="ListBullet2"/>
        <w:rPr>
          <w:lang w:val="en-AU"/>
        </w:rPr>
      </w:pPr>
      <w:r w:rsidRPr="00F644FD">
        <w:rPr>
          <w:lang w:val="en-AU"/>
        </w:rPr>
        <w:t>alcoholism</w:t>
      </w:r>
    </w:p>
    <w:p w14:paraId="250A6EDE" w14:textId="77777777" w:rsidR="002E0B7F" w:rsidRDefault="002E0B7F" w:rsidP="002E0B7F">
      <w:pPr>
        <w:pStyle w:val="Heading2"/>
        <w:rPr>
          <w:rFonts w:eastAsia="Cambria"/>
        </w:rPr>
      </w:pPr>
      <w:r w:rsidRPr="00F644FD">
        <w:rPr>
          <w:rFonts w:eastAsia="Cambria"/>
        </w:rPr>
        <w:t>4.4</w:t>
      </w:r>
      <w:r w:rsidRPr="00F644FD">
        <w:rPr>
          <w:rFonts w:eastAsia="Cambria"/>
        </w:rPr>
        <w:tab/>
        <w:t>SPECIAL WARNINGS AND PRECAUTIONS FOR USE</w:t>
      </w:r>
    </w:p>
    <w:p w14:paraId="468ADB44" w14:textId="55393F25" w:rsidR="0061436D" w:rsidRPr="00F644FD" w:rsidRDefault="0061436D" w:rsidP="0061436D">
      <w:pPr>
        <w:pStyle w:val="Heading3"/>
      </w:pPr>
      <w:r w:rsidRPr="00F644FD">
        <w:t>General</w:t>
      </w:r>
    </w:p>
    <w:p w14:paraId="73729033" w14:textId="767723BC" w:rsidR="002A75E9" w:rsidRPr="00F644FD" w:rsidRDefault="0061436D" w:rsidP="0061436D">
      <w:r w:rsidRPr="00F644FD">
        <w:t>SEGLUROMET</w:t>
      </w:r>
      <w:r w:rsidRPr="00F644FD" w:rsidDel="00436CFA">
        <w:t xml:space="preserve"> </w:t>
      </w:r>
      <w:r w:rsidRPr="00F644FD">
        <w:t>should not be used in patients with type 1 diabetes mellitus or for the treatment of diabetic ketoacidosis.</w:t>
      </w:r>
    </w:p>
    <w:p w14:paraId="56231182" w14:textId="310600C5" w:rsidR="00970987" w:rsidRDefault="0061436D" w:rsidP="00970987">
      <w:pPr>
        <w:pStyle w:val="Heading3"/>
        <w:rPr>
          <w:rFonts w:cs="Arial"/>
          <w:b w:val="0"/>
          <w:szCs w:val="22"/>
        </w:rPr>
      </w:pPr>
      <w:r w:rsidRPr="00F644FD">
        <w:t xml:space="preserve">Lactic </w:t>
      </w:r>
      <w:r w:rsidR="00B1112D" w:rsidRPr="00F644FD">
        <w:t>acidosis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70987" w14:paraId="0E7A554F" w14:textId="77777777" w:rsidTr="00543962">
        <w:tc>
          <w:tcPr>
            <w:tcW w:w="9576" w:type="dxa"/>
            <w:tcBorders>
              <w:top w:val="single" w:sz="4" w:space="0" w:color="auto"/>
              <w:left w:val="single" w:sz="4" w:space="0" w:color="auto"/>
              <w:bottom w:val="single" w:sz="4" w:space="0" w:color="auto"/>
              <w:right w:val="single" w:sz="4" w:space="0" w:color="auto"/>
            </w:tcBorders>
          </w:tcPr>
          <w:p w14:paraId="1A6384C4" w14:textId="77777777" w:rsidR="00970987" w:rsidRDefault="00970987" w:rsidP="00543962">
            <w:pPr>
              <w:rPr>
                <w:rFonts w:ascii="Arial" w:hAnsi="Arial" w:cs="Arial"/>
                <w:sz w:val="22"/>
                <w:szCs w:val="22"/>
              </w:rPr>
            </w:pPr>
          </w:p>
          <w:p w14:paraId="53A2CA53" w14:textId="77777777" w:rsidR="00970987" w:rsidRDefault="00970987" w:rsidP="00543962">
            <w:pPr>
              <w:rPr>
                <w:rFonts w:cs="Arial"/>
                <w:szCs w:val="22"/>
              </w:rPr>
            </w:pPr>
            <w:r>
              <w:rPr>
                <w:rFonts w:cs="Arial"/>
                <w:szCs w:val="22"/>
              </w:rPr>
              <w:t xml:space="preserve">Life-threatening lactic acidosis can occur due to accumulation of metformin. </w:t>
            </w:r>
          </w:p>
          <w:p w14:paraId="76E91330" w14:textId="2738A2B4" w:rsidR="00970987" w:rsidRDefault="00970987" w:rsidP="00543962">
            <w:pPr>
              <w:rPr>
                <w:rFonts w:cs="Arial"/>
                <w:szCs w:val="22"/>
              </w:rPr>
            </w:pPr>
            <w:r>
              <w:rPr>
                <w:rFonts w:cs="Arial"/>
                <w:szCs w:val="22"/>
              </w:rPr>
              <w:t>Risk factors include renal impairment, old age and the use of high doses of metformin above 2000 mg per day.</w:t>
            </w:r>
          </w:p>
          <w:p w14:paraId="66921D49" w14:textId="77777777" w:rsidR="00970987" w:rsidRPr="00210DCF" w:rsidRDefault="00970987" w:rsidP="00543962">
            <w:pPr>
              <w:rPr>
                <w:rFonts w:cs="Arial"/>
                <w:szCs w:val="22"/>
              </w:rPr>
            </w:pPr>
          </w:p>
        </w:tc>
      </w:tr>
    </w:tbl>
    <w:p w14:paraId="44FFF800" w14:textId="77777777" w:rsidR="002A75E9" w:rsidRPr="002A75E9" w:rsidRDefault="002A75E9" w:rsidP="002A75E9"/>
    <w:p w14:paraId="1ECC31D8" w14:textId="69CEB3C5" w:rsidR="0061436D" w:rsidRPr="00F644FD" w:rsidRDefault="0061436D" w:rsidP="0061436D">
      <w:r w:rsidRPr="00F644FD">
        <w:t xml:space="preserve">There have been post-marketing cases of lactic acidosis in patients receiving metformin, a component of SEGLUROMET, including fatal cases.  These cases had a subtle onset and were accompanied by nonspecific symptoms such as malaise, </w:t>
      </w:r>
      <w:proofErr w:type="spellStart"/>
      <w:r w:rsidRPr="00F644FD">
        <w:t>myalgias</w:t>
      </w:r>
      <w:proofErr w:type="spellEnd"/>
      <w:r w:rsidRPr="00F644FD">
        <w:t xml:space="preserve">, abdominal pain, </w:t>
      </w:r>
      <w:r w:rsidRPr="00F644FD">
        <w:lastRenderedPageBreak/>
        <w:t xml:space="preserve">respiratory distress, or increased somnolence; however, hypothermia, hypotension, and resistant </w:t>
      </w:r>
      <w:proofErr w:type="spellStart"/>
      <w:r w:rsidRPr="00F644FD">
        <w:t>bradyarrhythmias</w:t>
      </w:r>
      <w:proofErr w:type="spellEnd"/>
      <w:r w:rsidRPr="00F644FD">
        <w:t xml:space="preserve"> have occurred with severe acidosis.  Metformin</w:t>
      </w:r>
      <w:r w:rsidRPr="00F644FD">
        <w:noBreakHyphen/>
        <w:t xml:space="preserve">associated lactic </w:t>
      </w:r>
      <w:r w:rsidRPr="00062A75">
        <w:t>acidosis was characterized by elevated blood lactate concentrations (&gt;5 </w:t>
      </w:r>
      <w:proofErr w:type="spellStart"/>
      <w:r w:rsidRPr="00062A75">
        <w:t>mmol</w:t>
      </w:r>
      <w:proofErr w:type="spellEnd"/>
      <w:r w:rsidRPr="00062A75">
        <w:t>/L), anion gap</w:t>
      </w:r>
      <w:r w:rsidRPr="00F644FD">
        <w:t xml:space="preserve"> acidosis (without evidence of </w:t>
      </w:r>
      <w:proofErr w:type="spellStart"/>
      <w:r w:rsidRPr="00F644FD">
        <w:t>ketonuria</w:t>
      </w:r>
      <w:proofErr w:type="spellEnd"/>
      <w:r w:rsidRPr="00F644FD">
        <w:t xml:space="preserve"> or </w:t>
      </w:r>
      <w:proofErr w:type="spellStart"/>
      <w:r w:rsidRPr="00F644FD">
        <w:t>ketonaemia</w:t>
      </w:r>
      <w:proofErr w:type="spellEnd"/>
      <w:r w:rsidRPr="00F644FD">
        <w:t xml:space="preserve">), and an increased </w:t>
      </w:r>
      <w:proofErr w:type="spellStart"/>
      <w:r w:rsidRPr="00F644FD">
        <w:t>lactate</w:t>
      </w:r>
      <w:proofErr w:type="gramStart"/>
      <w:r w:rsidRPr="00F644FD">
        <w:t>:pyruvate</w:t>
      </w:r>
      <w:proofErr w:type="spellEnd"/>
      <w:proofErr w:type="gramEnd"/>
      <w:r w:rsidRPr="00F644FD">
        <w:t xml:space="preserve"> ratio; metformin plasma levels generally &gt;5 mcg/</w:t>
      </w:r>
      <w:proofErr w:type="spellStart"/>
      <w:r w:rsidRPr="00F644FD">
        <w:t>mL.</w:t>
      </w:r>
      <w:proofErr w:type="spellEnd"/>
      <w:r w:rsidRPr="00F644FD">
        <w:t xml:space="preserve">  Metformin decreases liver uptake of lactate increasing lactate blood levels which may increase the risk of lactic acidosis, especially in patients at risk.</w:t>
      </w:r>
    </w:p>
    <w:p w14:paraId="1AA0F62D" w14:textId="77777777" w:rsidR="0061436D" w:rsidRPr="00F644FD" w:rsidRDefault="0061436D" w:rsidP="0061436D"/>
    <w:p w14:paraId="2C10D37F" w14:textId="4BE02468" w:rsidR="0061436D" w:rsidRPr="00F644FD" w:rsidRDefault="0061436D" w:rsidP="0061436D">
      <w:r w:rsidRPr="00F644FD">
        <w:t>If metformin</w:t>
      </w:r>
      <w:r w:rsidRPr="00F644FD">
        <w:noBreakHyphen/>
        <w:t xml:space="preserve">associated lactic acidosis is suspected, general supportive measures should be instituted promptly in a hospital setting, along with immediate discontinuation of </w:t>
      </w:r>
      <w:r w:rsidRPr="00F644FD" w:rsidDel="005B128C">
        <w:t>SEGLUROMET</w:t>
      </w:r>
      <w:r w:rsidRPr="00F644FD">
        <w:t xml:space="preserve">.  In </w:t>
      </w:r>
      <w:r w:rsidRPr="00F644FD" w:rsidDel="005B128C">
        <w:t>SEGLUROMET</w:t>
      </w:r>
      <w:r w:rsidRPr="00F644FD">
        <w:noBreakHyphen/>
        <w:t xml:space="preserve">treated </w:t>
      </w:r>
      <w:proofErr w:type="gramStart"/>
      <w:r w:rsidRPr="00F644FD">
        <w:t xml:space="preserve">patients with a diagnosis or strong suspicion of lactic acidosis, prompt </w:t>
      </w:r>
      <w:r w:rsidRPr="004D33E3">
        <w:t>h</w:t>
      </w:r>
      <w:r w:rsidR="0015696B" w:rsidRPr="004D33E3">
        <w:t>a</w:t>
      </w:r>
      <w:r w:rsidRPr="004D33E3">
        <w:t>emodialysis is</w:t>
      </w:r>
      <w:proofErr w:type="gramEnd"/>
      <w:r w:rsidRPr="004D33E3">
        <w:t xml:space="preserve"> recommended to correct the acidosis and remove accumulated metformin (metformin hydrochloride is dialyzable, with a clearance of up to 170 mL/minute under good h</w:t>
      </w:r>
      <w:r w:rsidR="0015696B" w:rsidRPr="004D33E3">
        <w:t>a</w:t>
      </w:r>
      <w:r w:rsidRPr="004D33E3">
        <w:t xml:space="preserve">emodynamic conditions). </w:t>
      </w:r>
      <w:r w:rsidR="0066050E">
        <w:t xml:space="preserve"> </w:t>
      </w:r>
      <w:r w:rsidRPr="004D33E3">
        <w:t>H</w:t>
      </w:r>
      <w:r w:rsidR="0015696B" w:rsidRPr="004D33E3">
        <w:t>a</w:t>
      </w:r>
      <w:r w:rsidRPr="004D33E3">
        <w:t>emodialysis has often resulted in reversal of symptoms and recovery.</w:t>
      </w:r>
    </w:p>
    <w:p w14:paraId="1C8E7CFD" w14:textId="77777777" w:rsidR="0061436D" w:rsidRPr="00F644FD" w:rsidRDefault="0061436D" w:rsidP="0061436D"/>
    <w:p w14:paraId="25627CA9" w14:textId="4E12869F" w:rsidR="0061436D" w:rsidRPr="00F644FD" w:rsidRDefault="0022596E" w:rsidP="0061436D">
      <w:r w:rsidRPr="00F644FD">
        <w:t xml:space="preserve">Information on </w:t>
      </w:r>
      <w:r w:rsidR="0061436D" w:rsidRPr="00F644FD">
        <w:t>the known and possible risk factors for metformin</w:t>
      </w:r>
      <w:r w:rsidR="0061436D" w:rsidRPr="00F644FD">
        <w:noBreakHyphen/>
        <w:t>associated lactic acidosis is provided below:</w:t>
      </w:r>
    </w:p>
    <w:p w14:paraId="61528A4C" w14:textId="77777777" w:rsidR="0015696B" w:rsidRPr="00F644FD" w:rsidRDefault="0015696B" w:rsidP="0061436D"/>
    <w:p w14:paraId="4E55180A" w14:textId="5A6559A6" w:rsidR="0061436D" w:rsidRPr="00F644FD" w:rsidRDefault="0061436D" w:rsidP="0061436D">
      <w:pPr>
        <w:ind w:left="720"/>
      </w:pPr>
      <w:r w:rsidRPr="00F644FD">
        <w:rPr>
          <w:i/>
        </w:rPr>
        <w:t xml:space="preserve">Renal </w:t>
      </w:r>
      <w:r w:rsidR="00B1112D" w:rsidRPr="00F644FD">
        <w:rPr>
          <w:i/>
        </w:rPr>
        <w:t>impairment</w:t>
      </w:r>
      <w:r w:rsidRPr="00F644FD">
        <w:rPr>
          <w:i/>
        </w:rPr>
        <w:t>:</w:t>
      </w:r>
      <w:r w:rsidRPr="00F644FD">
        <w:t xml:space="preserve"> The </w:t>
      </w:r>
      <w:proofErr w:type="spellStart"/>
      <w:r w:rsidRPr="00F644FD">
        <w:t>postmarketing</w:t>
      </w:r>
      <w:proofErr w:type="spellEnd"/>
      <w:r w:rsidRPr="00F644FD">
        <w:t xml:space="preserve"> metformin-associated lactic acidosis cases primarily occurred in patients with significant renal impairment.  The risk of metformin accumulation and metformin associated lactic acidosis increases with the severity of renal impairment because metformin is substantially excreted by the kidney [see </w:t>
      </w:r>
      <w:r w:rsidR="00F82DDA" w:rsidRPr="00F644FD">
        <w:t xml:space="preserve">4.4 SPECIAL WARNINGS AND </w:t>
      </w:r>
      <w:r w:rsidRPr="00F644FD">
        <w:t>PRECAUTIONS</w:t>
      </w:r>
      <w:r w:rsidR="000B50ED">
        <w:t xml:space="preserve"> FOR USE</w:t>
      </w:r>
      <w:r w:rsidRPr="00F644FD">
        <w:t xml:space="preserve">, Use in </w:t>
      </w:r>
      <w:r w:rsidR="002A192B" w:rsidRPr="00F644FD">
        <w:t xml:space="preserve">patients </w:t>
      </w:r>
      <w:r w:rsidRPr="00F644FD">
        <w:t xml:space="preserve">with </w:t>
      </w:r>
      <w:r w:rsidR="002A192B" w:rsidRPr="00F644FD">
        <w:t>renal impairment</w:t>
      </w:r>
      <w:r w:rsidRPr="00F644FD">
        <w:t>].</w:t>
      </w:r>
    </w:p>
    <w:p w14:paraId="31881DC3" w14:textId="77777777" w:rsidR="0061436D" w:rsidRPr="00F644FD" w:rsidRDefault="0061436D" w:rsidP="0061436D">
      <w:pPr>
        <w:ind w:left="720"/>
      </w:pPr>
    </w:p>
    <w:p w14:paraId="4DEA8B6B" w14:textId="41AD9AA0" w:rsidR="0061436D" w:rsidRPr="00F644FD" w:rsidRDefault="0061436D" w:rsidP="0061436D">
      <w:pPr>
        <w:ind w:left="720"/>
      </w:pPr>
      <w:r w:rsidRPr="00F644FD">
        <w:rPr>
          <w:i/>
        </w:rPr>
        <w:t xml:space="preserve">Drug </w:t>
      </w:r>
      <w:r w:rsidR="00B1112D" w:rsidRPr="00F644FD">
        <w:rPr>
          <w:i/>
        </w:rPr>
        <w:t>interactions</w:t>
      </w:r>
      <w:r w:rsidRPr="00F644FD">
        <w:rPr>
          <w:i/>
        </w:rPr>
        <w:t>:</w:t>
      </w:r>
      <w:r w:rsidRPr="00F644FD">
        <w:t xml:space="preserve"> The concomitant use of SEGLUROMET with specific drugs may increase the risk of metformin</w:t>
      </w:r>
      <w:r w:rsidR="00AA1915">
        <w:t>-</w:t>
      </w:r>
      <w:r w:rsidRPr="00F644FD">
        <w:t>associated lactic acidosis: those that impair renal function, result in significant h</w:t>
      </w:r>
      <w:r w:rsidR="004D33E3">
        <w:t>a</w:t>
      </w:r>
      <w:r w:rsidRPr="00F644FD">
        <w:t xml:space="preserve">emodynamic change, interfere with acid base balance, or increase metformin accumulation (e.g., cationic drugs) [see </w:t>
      </w:r>
      <w:r w:rsidR="007D747C" w:rsidRPr="00F644FD">
        <w:t xml:space="preserve">4.5 </w:t>
      </w:r>
      <w:r w:rsidRPr="00F644FD">
        <w:t>DRUG INTERACTIONS AND OTHER FORMS OF INTERACTIONS].  Therefore, consider more frequent monitoring of patients.</w:t>
      </w:r>
    </w:p>
    <w:p w14:paraId="39F36FF2" w14:textId="77777777" w:rsidR="0061436D" w:rsidRPr="00F644FD" w:rsidRDefault="0061436D" w:rsidP="0061436D">
      <w:pPr>
        <w:ind w:left="720"/>
      </w:pPr>
    </w:p>
    <w:p w14:paraId="4B1A7C37" w14:textId="17AAE026" w:rsidR="0061436D" w:rsidRPr="00F644FD" w:rsidRDefault="0061436D" w:rsidP="0061436D">
      <w:pPr>
        <w:ind w:left="720"/>
      </w:pPr>
      <w:r w:rsidRPr="00F644FD">
        <w:rPr>
          <w:i/>
        </w:rPr>
        <w:t xml:space="preserve">Age 65 or </w:t>
      </w:r>
      <w:r w:rsidR="00B1112D" w:rsidRPr="00F644FD">
        <w:rPr>
          <w:i/>
        </w:rPr>
        <w:t>greater</w:t>
      </w:r>
      <w:r w:rsidRPr="00F644FD">
        <w:rPr>
          <w:i/>
        </w:rPr>
        <w:t>:</w:t>
      </w:r>
      <w:r w:rsidRPr="00F644FD">
        <w:t xml:space="preserve"> The risk of metformin</w:t>
      </w:r>
      <w:r w:rsidR="004D33E3">
        <w:t>-</w:t>
      </w:r>
      <w:r w:rsidRPr="00F644FD">
        <w:t xml:space="preserve">associated lactic acidosis increases with the patient’s age because elderly patients have a greater likelihood of having hepatic, renal, or cardiac impairment than younger patients.  Assess renal function more frequently in elderly patients [see </w:t>
      </w:r>
      <w:r w:rsidR="00F82DDA" w:rsidRPr="00F644FD">
        <w:t xml:space="preserve">4.4 SPECIAL WARNINGS AND </w:t>
      </w:r>
      <w:r w:rsidRPr="00F644FD">
        <w:t>PRECAUTIONS</w:t>
      </w:r>
      <w:r w:rsidR="000B50ED">
        <w:t xml:space="preserve"> FOR USE</w:t>
      </w:r>
      <w:r w:rsidRPr="00F644FD">
        <w:t>].</w:t>
      </w:r>
    </w:p>
    <w:p w14:paraId="521C39FF" w14:textId="77777777" w:rsidR="0061436D" w:rsidRPr="00F644FD" w:rsidRDefault="0061436D" w:rsidP="0061436D">
      <w:pPr>
        <w:ind w:left="720"/>
      </w:pPr>
    </w:p>
    <w:p w14:paraId="1FE9DAAF" w14:textId="7FD77A85" w:rsidR="0061436D" w:rsidRPr="00F644FD" w:rsidRDefault="0061436D" w:rsidP="0061436D">
      <w:pPr>
        <w:ind w:left="720"/>
      </w:pPr>
      <w:r w:rsidRPr="00F644FD">
        <w:rPr>
          <w:i/>
        </w:rPr>
        <w:t xml:space="preserve">Radiological </w:t>
      </w:r>
      <w:r w:rsidR="00B1112D" w:rsidRPr="00F644FD">
        <w:rPr>
          <w:i/>
        </w:rPr>
        <w:t xml:space="preserve">studies </w:t>
      </w:r>
      <w:r w:rsidRPr="00F644FD">
        <w:rPr>
          <w:i/>
        </w:rPr>
        <w:t xml:space="preserve">with </w:t>
      </w:r>
      <w:r w:rsidR="00B1112D" w:rsidRPr="00F644FD">
        <w:rPr>
          <w:i/>
        </w:rPr>
        <w:t>contrast</w:t>
      </w:r>
      <w:r w:rsidRPr="00F644FD">
        <w:rPr>
          <w:i/>
        </w:rPr>
        <w:t>:</w:t>
      </w:r>
      <w:r w:rsidRPr="00F644FD">
        <w:t xml:space="preserve"> Administration of intravascular iodinated contrast agents in metformin</w:t>
      </w:r>
      <w:r w:rsidR="004D33E3">
        <w:t>-</w:t>
      </w:r>
      <w:r w:rsidRPr="00F644FD">
        <w:t xml:space="preserve">treated patients has led to an acute decrease in renal function and the occurrence of lactic acidosis.  Stop SEGLUROMET at the time of, or prior to, an iodinated contrast imaging.  Re-evaluate </w:t>
      </w:r>
      <w:proofErr w:type="spellStart"/>
      <w:r w:rsidRPr="00F644FD">
        <w:t>eGFR</w:t>
      </w:r>
      <w:proofErr w:type="spellEnd"/>
      <w:r w:rsidRPr="00F644FD">
        <w:t xml:space="preserve"> 48 hours after the imaging procedure, and restart SEGLUROMET if renal function is stable. </w:t>
      </w:r>
    </w:p>
    <w:p w14:paraId="69772664" w14:textId="77777777" w:rsidR="0061436D" w:rsidRPr="00F644FD" w:rsidRDefault="0061436D" w:rsidP="0061436D">
      <w:pPr>
        <w:ind w:left="720"/>
      </w:pPr>
    </w:p>
    <w:p w14:paraId="1B08BAB9" w14:textId="1ACD2964" w:rsidR="0061436D" w:rsidRPr="00F644FD" w:rsidRDefault="0061436D" w:rsidP="0061436D">
      <w:pPr>
        <w:ind w:left="720"/>
      </w:pPr>
      <w:r w:rsidRPr="00F644FD">
        <w:rPr>
          <w:i/>
        </w:rPr>
        <w:t>Surgery:</w:t>
      </w:r>
      <w:r w:rsidRPr="00F644FD">
        <w:t xml:space="preserve"> Due to the metformin component, SEGLUROMET must be discontinued 48 hours before elective surgery with general, spinal or </w:t>
      </w:r>
      <w:proofErr w:type="spellStart"/>
      <w:r w:rsidRPr="00F644FD">
        <w:t>peridural</w:t>
      </w:r>
      <w:proofErr w:type="spellEnd"/>
      <w:r w:rsidRPr="00F644FD">
        <w:t xml:space="preserve"> anaesthesia. </w:t>
      </w:r>
      <w:r w:rsidR="0022596E" w:rsidRPr="00F644FD">
        <w:t xml:space="preserve"> </w:t>
      </w:r>
      <w:r w:rsidRPr="00F644FD">
        <w:t xml:space="preserve">Therapy may be restarted no earlier than 48 hours following surgery or resumption of oral nutrition and only if normal renal function has been established, as withholding of </w:t>
      </w:r>
      <w:r w:rsidRPr="00F644FD">
        <w:lastRenderedPageBreak/>
        <w:t>food and fluids during surgical or other procedures may increase the risk for volume depletion, hypotension and renal impairment.</w:t>
      </w:r>
    </w:p>
    <w:p w14:paraId="38F0105E" w14:textId="77777777" w:rsidR="0061436D" w:rsidRPr="00F644FD" w:rsidRDefault="0061436D" w:rsidP="0061436D">
      <w:pPr>
        <w:ind w:left="720"/>
      </w:pPr>
    </w:p>
    <w:p w14:paraId="6CB0B2B9" w14:textId="73EE57ED" w:rsidR="0061436D" w:rsidRPr="00F644FD" w:rsidRDefault="0061436D" w:rsidP="0061436D">
      <w:pPr>
        <w:ind w:left="720"/>
      </w:pPr>
      <w:r w:rsidRPr="00F644FD">
        <w:rPr>
          <w:i/>
        </w:rPr>
        <w:t xml:space="preserve">Hypoxic </w:t>
      </w:r>
      <w:r w:rsidR="00B1112D" w:rsidRPr="00F644FD">
        <w:rPr>
          <w:i/>
        </w:rPr>
        <w:t>states</w:t>
      </w:r>
      <w:r w:rsidRPr="00F644FD">
        <w:rPr>
          <w:i/>
        </w:rPr>
        <w:t>:</w:t>
      </w:r>
      <w:r w:rsidRPr="00F644FD">
        <w:t xml:space="preserve"> Several of the </w:t>
      </w:r>
      <w:proofErr w:type="spellStart"/>
      <w:r w:rsidRPr="00F644FD">
        <w:t>postmarketing</w:t>
      </w:r>
      <w:proofErr w:type="spellEnd"/>
      <w:r w:rsidRPr="00F644FD">
        <w:t xml:space="preserve"> cases of metformin-associated lactic acidosis occurred in the setting of acute congestive heart failure (particularly when accompanied by </w:t>
      </w:r>
      <w:proofErr w:type="spellStart"/>
      <w:r w:rsidRPr="00F644FD">
        <w:t>hypoperfusion</w:t>
      </w:r>
      <w:proofErr w:type="spellEnd"/>
      <w:r w:rsidRPr="00F644FD">
        <w:t xml:space="preserve"> and hypoxemia).  Cardiovascular collapse (shock), acute myocardial infarction, sepsis, and other conditions associated with hypoxemia </w:t>
      </w:r>
      <w:r w:rsidRPr="004D33E3">
        <w:t>have been associated with lactic acidosis and may also cause pre-renal azot</w:t>
      </w:r>
      <w:r w:rsidR="00B14AC3" w:rsidRPr="004D33E3">
        <w:t>a</w:t>
      </w:r>
      <w:r w:rsidRPr="004D33E3">
        <w:t>emia.</w:t>
      </w:r>
      <w:r w:rsidRPr="00F644FD">
        <w:t xml:space="preserve">  When such events occur, discontinue SEGLUROMET.</w:t>
      </w:r>
    </w:p>
    <w:p w14:paraId="51C55579" w14:textId="77777777" w:rsidR="0061436D" w:rsidRPr="00F644FD" w:rsidRDefault="0061436D" w:rsidP="0061436D">
      <w:pPr>
        <w:ind w:left="720"/>
      </w:pPr>
    </w:p>
    <w:p w14:paraId="1A6CDCF3" w14:textId="6BE9C472" w:rsidR="0061436D" w:rsidRPr="00F644FD" w:rsidRDefault="0061436D" w:rsidP="0061436D">
      <w:pPr>
        <w:ind w:left="720"/>
      </w:pPr>
      <w:r w:rsidRPr="00F644FD">
        <w:rPr>
          <w:i/>
        </w:rPr>
        <w:t xml:space="preserve">Excessive </w:t>
      </w:r>
      <w:r w:rsidR="00B1112D" w:rsidRPr="00F644FD">
        <w:rPr>
          <w:i/>
        </w:rPr>
        <w:t>alcohol intake</w:t>
      </w:r>
      <w:r w:rsidRPr="00F644FD">
        <w:rPr>
          <w:i/>
        </w:rPr>
        <w:t>:</w:t>
      </w:r>
      <w:r w:rsidRPr="00F644FD">
        <w:t xml:space="preserve"> Alcohol potentiates the effect of metformin on lactate metabolism and this may increase the risk of metformin-associated lactic acidosis.  Warn patients against excessive alcohol intake while receiving SEGLUROMET [see </w:t>
      </w:r>
      <w:r w:rsidR="00FE3765" w:rsidRPr="00F644FD">
        <w:t xml:space="preserve">4.3 </w:t>
      </w:r>
      <w:r w:rsidRPr="00F644FD">
        <w:t>CONTRAINDICATIONS].</w:t>
      </w:r>
    </w:p>
    <w:p w14:paraId="5D650F85" w14:textId="77777777" w:rsidR="0061436D" w:rsidRPr="00F644FD" w:rsidRDefault="0061436D" w:rsidP="0061436D">
      <w:pPr>
        <w:ind w:left="720"/>
      </w:pPr>
    </w:p>
    <w:p w14:paraId="091158D5" w14:textId="3230C1D2" w:rsidR="0061436D" w:rsidRPr="00F644FD" w:rsidRDefault="0061436D" w:rsidP="0061436D">
      <w:pPr>
        <w:pStyle w:val="Body"/>
        <w:ind w:left="720"/>
        <w:rPr>
          <w:szCs w:val="22"/>
        </w:rPr>
      </w:pPr>
      <w:r w:rsidRPr="00F644FD">
        <w:rPr>
          <w:i/>
        </w:rPr>
        <w:t xml:space="preserve">Hepatic </w:t>
      </w:r>
      <w:r w:rsidR="00B1112D" w:rsidRPr="00F644FD">
        <w:rPr>
          <w:i/>
        </w:rPr>
        <w:t>impairment</w:t>
      </w:r>
      <w:r w:rsidRPr="00F644FD">
        <w:rPr>
          <w:i/>
        </w:rPr>
        <w:t>:</w:t>
      </w:r>
      <w:r w:rsidRPr="00F644FD">
        <w:t xml:space="preserve"> Patients with hepatic impairment have developed metformin-associated lactic acidosis.  This may be due to impaired lactate clearance resulting in higher lactate blood levels.  SEGLUROMET </w:t>
      </w:r>
      <w:r w:rsidR="00F715E6" w:rsidRPr="00F644FD">
        <w:t xml:space="preserve">is not recommended </w:t>
      </w:r>
      <w:r w:rsidRPr="00F644FD">
        <w:t xml:space="preserve">in patients with </w:t>
      </w:r>
      <w:r w:rsidR="00F715E6" w:rsidRPr="00F644FD">
        <w:t>hepatic impairment.</w:t>
      </w:r>
    </w:p>
    <w:p w14:paraId="79898BFD" w14:textId="77777777" w:rsidR="0061436D" w:rsidRPr="00F644FD" w:rsidRDefault="0061436D" w:rsidP="00FE4072">
      <w:pPr>
        <w:pStyle w:val="Heading3"/>
      </w:pPr>
      <w:r w:rsidRPr="00F644FD">
        <w:t>Hypotension</w:t>
      </w:r>
    </w:p>
    <w:p w14:paraId="2CCC53FC" w14:textId="615C0980" w:rsidR="0061436D" w:rsidRPr="00F644FD" w:rsidRDefault="0061436D" w:rsidP="0061436D">
      <w:proofErr w:type="spellStart"/>
      <w:r w:rsidRPr="00F644FD">
        <w:t>Ertugliflozin</w:t>
      </w:r>
      <w:proofErr w:type="spellEnd"/>
      <w:r w:rsidRPr="00F644FD">
        <w:t xml:space="preserve">, a component of SEGLUROMET, causes an osmotic diuresis, which may lead to intravascular volume contraction.  Therefore, symptomatic hypotension may occur after initiating </w:t>
      </w:r>
      <w:r w:rsidRPr="00F644FD" w:rsidDel="00DE35C9">
        <w:t>SEGLUROMET</w:t>
      </w:r>
      <w:r w:rsidRPr="00F644FD">
        <w:t xml:space="preserve"> [see </w:t>
      </w:r>
      <w:r w:rsidR="007D747C" w:rsidRPr="00F644FD">
        <w:t xml:space="preserve">4.8 </w:t>
      </w:r>
      <w:r w:rsidRPr="00F644FD">
        <w:t>ADVERSE EFFECTS</w:t>
      </w:r>
      <w:r w:rsidR="007D747C" w:rsidRPr="00F644FD">
        <w:t xml:space="preserve"> (UNDESIRABLE EFFECTS)</w:t>
      </w:r>
      <w:r w:rsidRPr="00F644FD">
        <w:t>] particularly in patients with impaired renal function (</w:t>
      </w:r>
      <w:proofErr w:type="spellStart"/>
      <w:r w:rsidRPr="00F644FD">
        <w:t>eGFR</w:t>
      </w:r>
      <w:proofErr w:type="spellEnd"/>
      <w:r w:rsidRPr="00F644FD">
        <w:t xml:space="preserve"> less than 60 mL/min/1.73 m</w:t>
      </w:r>
      <w:r w:rsidRPr="00F644FD">
        <w:rPr>
          <w:vertAlign w:val="superscript"/>
        </w:rPr>
        <w:t>2</w:t>
      </w:r>
      <w:r w:rsidRPr="00F644FD">
        <w:t xml:space="preserve">), elderly patients (≥ 65 years), or patients on diuretics.  Before initiating </w:t>
      </w:r>
      <w:r w:rsidRPr="00F644FD" w:rsidDel="00DE35C9">
        <w:t>SEGLUROMET</w:t>
      </w:r>
      <w:r w:rsidRPr="00F644FD">
        <w:t>,</w:t>
      </w:r>
      <w:r w:rsidR="00512F9D" w:rsidRPr="00512F9D">
        <w:t xml:space="preserve"> intravascular volume status should be assessed and patients advised on the importance of adequate hydration</w:t>
      </w:r>
      <w:r w:rsidRPr="00F644FD">
        <w:t xml:space="preserve">.  Monitor </w:t>
      </w:r>
      <w:r w:rsidR="00512F9D" w:rsidRPr="00512F9D">
        <w:t xml:space="preserve">intravascular volume status in addition to </w:t>
      </w:r>
      <w:r w:rsidR="00141508">
        <w:t>blood pressure</w:t>
      </w:r>
      <w:r w:rsidR="00512F9D" w:rsidRPr="00512F9D">
        <w:t xml:space="preserve"> and renal function </w:t>
      </w:r>
      <w:r w:rsidRPr="00F644FD">
        <w:t>after initiating therapy.</w:t>
      </w:r>
    </w:p>
    <w:p w14:paraId="35BEB3C1" w14:textId="77777777" w:rsidR="0061436D" w:rsidRPr="00F644FD" w:rsidRDefault="0061436D" w:rsidP="0061436D"/>
    <w:p w14:paraId="7002B858" w14:textId="18B2CA45" w:rsidR="0061436D" w:rsidRPr="00F644FD" w:rsidRDefault="0061436D" w:rsidP="0061436D">
      <w:pPr>
        <w:rPr>
          <w:iCs/>
        </w:rPr>
      </w:pPr>
      <w:r w:rsidRPr="00F644FD">
        <w:rPr>
          <w:iCs/>
        </w:rPr>
        <w:t xml:space="preserve">In case of conditions that may lead to fluid loss (e.g. gastrointestinal illness, heat stress or severe infections), careful monitoring of volume status (e.g. physical examination, blood pressure measurements, laboratory tests including haematocrit) and electrolytes is recommended for patients receiving SEGLUROMET. </w:t>
      </w:r>
      <w:r w:rsidR="0015696B" w:rsidRPr="00F644FD">
        <w:rPr>
          <w:iCs/>
        </w:rPr>
        <w:t xml:space="preserve"> </w:t>
      </w:r>
      <w:r w:rsidRPr="00F644FD">
        <w:rPr>
          <w:iCs/>
        </w:rPr>
        <w:t>Temporary interruption of SEGLUROMET should be considered until the fluid loss is corrected.</w:t>
      </w:r>
    </w:p>
    <w:p w14:paraId="336701E1" w14:textId="77777777" w:rsidR="0061436D" w:rsidRPr="00F644FD" w:rsidRDefault="0061436D" w:rsidP="00FE4072">
      <w:pPr>
        <w:pStyle w:val="Heading3"/>
      </w:pPr>
      <w:r w:rsidRPr="00F644FD">
        <w:t>Ketoacidosis</w:t>
      </w:r>
    </w:p>
    <w:p w14:paraId="11BFDC99" w14:textId="3794A1C0" w:rsidR="0061436D" w:rsidRPr="00F644FD" w:rsidRDefault="0061436D" w:rsidP="0061436D">
      <w:r w:rsidRPr="00F644FD">
        <w:t xml:space="preserve">Reports of ketoacidosis, including life-threatening cases, have been identified in clinical trials and </w:t>
      </w:r>
      <w:proofErr w:type="spellStart"/>
      <w:r w:rsidRPr="00F644FD">
        <w:t>postmarketing</w:t>
      </w:r>
      <w:proofErr w:type="spellEnd"/>
      <w:r w:rsidRPr="00F644FD">
        <w:t xml:space="preserve"> surveillance in patients with type 1 and type 2 diabetes mellitus receiving sodium glucose co-transporter-2 (SGLT2) inhibitors.  SEGLUROMET is not indicated for the treatment of patients with type 1 diabetes mellitus.</w:t>
      </w:r>
    </w:p>
    <w:p w14:paraId="087E947B" w14:textId="77777777" w:rsidR="0061436D" w:rsidRPr="00F644FD" w:rsidRDefault="0061436D" w:rsidP="0061436D"/>
    <w:p w14:paraId="7205E1D3" w14:textId="5C8076DE" w:rsidR="00512F9D" w:rsidRDefault="0061436D" w:rsidP="0061436D">
      <w:r w:rsidRPr="00F644FD">
        <w:t xml:space="preserve">Patients treated with </w:t>
      </w:r>
      <w:r w:rsidRPr="00F644FD" w:rsidDel="00DE35C9">
        <w:t>SEGLUROMET</w:t>
      </w:r>
      <w:r w:rsidRPr="00F644FD">
        <w:t xml:space="preserve"> who present with signs and symptoms consistent with severe metabolic acidosis should be promptly assessed for ketoacidosis regardless of presenting blood glucose levels, as ketoacidosis associated with SGLT2 inhibitors may be present even if blood glucose levels are less than 14 </w:t>
      </w:r>
      <w:proofErr w:type="spellStart"/>
      <w:r w:rsidRPr="00F644FD">
        <w:t>mmol</w:t>
      </w:r>
      <w:proofErr w:type="spellEnd"/>
      <w:r w:rsidRPr="00F644FD">
        <w:t xml:space="preserve">/L.  If ketoacidosis is suspected, </w:t>
      </w:r>
      <w:r w:rsidRPr="00F644FD" w:rsidDel="00DE35C9">
        <w:t>SEGLUROMET</w:t>
      </w:r>
      <w:r w:rsidRPr="00F644FD">
        <w:t xml:space="preserve"> should be discontinued, patient should be evaluated, and prompt treatment </w:t>
      </w:r>
      <w:r w:rsidRPr="00F644FD">
        <w:lastRenderedPageBreak/>
        <w:t>should be instituted.</w:t>
      </w:r>
      <w:r w:rsidR="00512F9D">
        <w:t xml:space="preserve">  S</w:t>
      </w:r>
      <w:r w:rsidRPr="00F644FD">
        <w:t>igns and symptoms consistent with severe metabolic acidosis</w:t>
      </w:r>
      <w:r w:rsidR="00512F9D">
        <w:t xml:space="preserve"> include</w:t>
      </w:r>
      <w:r w:rsidRPr="00F644FD">
        <w:t xml:space="preserve"> nausea, vomiting, abdominal pain, generali</w:t>
      </w:r>
      <w:r w:rsidR="00E0360E">
        <w:t>s</w:t>
      </w:r>
      <w:r w:rsidRPr="00F644FD">
        <w:t xml:space="preserve">ed malaise, and shortness of breath.  </w:t>
      </w:r>
    </w:p>
    <w:p w14:paraId="56B430C1" w14:textId="77777777" w:rsidR="00512F9D" w:rsidRDefault="00512F9D" w:rsidP="0061436D"/>
    <w:p w14:paraId="1CB9B8F8" w14:textId="6BC22C08" w:rsidR="0061436D" w:rsidRPr="00F644FD" w:rsidRDefault="00512F9D" w:rsidP="0061436D">
      <w:r>
        <w:t>F</w:t>
      </w:r>
      <w:r w:rsidR="0061436D" w:rsidRPr="00F644FD">
        <w:t>actors predisposing to ketoacidosis such as insulin dose reduction, acute febrile illness, reduced caloric intake due to illness or surgery, pancreatic disorders suggesting insulin deficiency (e.g., type 1 diabetes, history of pancreatitis or pancreatic surgery), and alcohol abuse were identified</w:t>
      </w:r>
      <w:r w:rsidRPr="00512F9D">
        <w:t xml:space="preserve"> </w:t>
      </w:r>
      <w:r>
        <w:t>i</w:t>
      </w:r>
      <w:r w:rsidRPr="00F644FD">
        <w:t>n some but not all cases</w:t>
      </w:r>
      <w:r w:rsidR="0061436D" w:rsidRPr="00F644FD">
        <w:t>.</w:t>
      </w:r>
    </w:p>
    <w:p w14:paraId="1BF9CA7A" w14:textId="77777777" w:rsidR="0061436D" w:rsidRPr="00F644FD" w:rsidRDefault="0061436D" w:rsidP="0061436D"/>
    <w:p w14:paraId="58D96FA1" w14:textId="77777777" w:rsidR="0061436D" w:rsidRPr="00F644FD" w:rsidRDefault="0061436D" w:rsidP="0061436D">
      <w:r w:rsidRPr="00F644FD">
        <w:t xml:space="preserve">Before initiating </w:t>
      </w:r>
      <w:r w:rsidRPr="00F644FD" w:rsidDel="00DE35C9">
        <w:t>SEGLUROMET</w:t>
      </w:r>
      <w:r w:rsidRPr="00F644FD">
        <w:t xml:space="preserve">, consider factors in the patient history that may predispose to ketoacidosis.  In patients treated with </w:t>
      </w:r>
      <w:r w:rsidRPr="00F644FD" w:rsidDel="00DE35C9">
        <w:t>SEGLUROMET</w:t>
      </w:r>
      <w:r w:rsidRPr="00F644FD">
        <w:t xml:space="preserve"> consider monitoring for ketoacidosis and temporarily discontinuing </w:t>
      </w:r>
      <w:r w:rsidRPr="00F644FD" w:rsidDel="00DE35C9">
        <w:t>SEGLUROMET</w:t>
      </w:r>
      <w:r w:rsidRPr="00F644FD">
        <w:t xml:space="preserve"> in clinical situations known to predispose to ketoacidosis (e.g., prolonged fasting due to acute illness or surgery).</w:t>
      </w:r>
    </w:p>
    <w:p w14:paraId="289C4E01" w14:textId="2854132A" w:rsidR="0061436D" w:rsidRPr="00F644FD" w:rsidRDefault="0061436D" w:rsidP="00FE4072">
      <w:pPr>
        <w:pStyle w:val="Heading3"/>
      </w:pPr>
      <w:r w:rsidRPr="00F644FD">
        <w:t xml:space="preserve">Hypoglycaemia with </w:t>
      </w:r>
      <w:r w:rsidR="00B1112D" w:rsidRPr="00F644FD">
        <w:t xml:space="preserve">concomitant use </w:t>
      </w:r>
      <w:r w:rsidRPr="00F644FD">
        <w:t xml:space="preserve">with </w:t>
      </w:r>
      <w:r w:rsidR="00B1112D" w:rsidRPr="00F644FD">
        <w:t xml:space="preserve">insulin </w:t>
      </w:r>
      <w:r w:rsidRPr="00F644FD">
        <w:t xml:space="preserve">and </w:t>
      </w:r>
      <w:r w:rsidR="00B1112D" w:rsidRPr="00F644FD">
        <w:t xml:space="preserve">insulin </w:t>
      </w:r>
      <w:proofErr w:type="spellStart"/>
      <w:r w:rsidR="00B1112D" w:rsidRPr="00F644FD">
        <w:t>secretagogues</w:t>
      </w:r>
      <w:proofErr w:type="spellEnd"/>
    </w:p>
    <w:p w14:paraId="0F694007" w14:textId="77777777" w:rsidR="0061436D" w:rsidRPr="00F644FD" w:rsidRDefault="0061436D" w:rsidP="0061436D">
      <w:pPr>
        <w:pStyle w:val="Heading5"/>
      </w:pPr>
      <w:proofErr w:type="spellStart"/>
      <w:r w:rsidRPr="00F644FD">
        <w:t>Ertugliflozin</w:t>
      </w:r>
      <w:proofErr w:type="spellEnd"/>
    </w:p>
    <w:p w14:paraId="53CA00D8" w14:textId="3F3F3BAF" w:rsidR="0061436D" w:rsidRPr="00F644FD" w:rsidRDefault="0061436D" w:rsidP="0061436D">
      <w:r w:rsidRPr="00F644FD">
        <w:t xml:space="preserve">Insulin and insulin </w:t>
      </w:r>
      <w:proofErr w:type="spellStart"/>
      <w:r w:rsidRPr="00F644FD">
        <w:t>secretagogues</w:t>
      </w:r>
      <w:proofErr w:type="spellEnd"/>
      <w:r w:rsidRPr="00F644FD">
        <w:t xml:space="preserve"> are known to cause hypoglycaemia.  </w:t>
      </w:r>
      <w:proofErr w:type="spellStart"/>
      <w:r w:rsidRPr="00F644FD">
        <w:t>Ertugliflozin</w:t>
      </w:r>
      <w:proofErr w:type="spellEnd"/>
      <w:r w:rsidRPr="00F644FD">
        <w:t xml:space="preserve"> may increase the risk of hypoglycaemia when used in combination with insulin and/or an insulin </w:t>
      </w:r>
      <w:proofErr w:type="spellStart"/>
      <w:r w:rsidRPr="00F644FD">
        <w:t>secretagogue</w:t>
      </w:r>
      <w:proofErr w:type="spellEnd"/>
      <w:r w:rsidRPr="00F644FD">
        <w:t xml:space="preserve"> [see </w:t>
      </w:r>
      <w:r w:rsidR="007D747C" w:rsidRPr="00F644FD">
        <w:t xml:space="preserve">4.8 </w:t>
      </w:r>
      <w:r w:rsidRPr="00F644FD">
        <w:t>ADVERSE EFFECTS</w:t>
      </w:r>
      <w:r w:rsidR="007D747C" w:rsidRPr="00F644FD">
        <w:t xml:space="preserve"> (UNDESIRABLE EFFECTS)</w:t>
      </w:r>
      <w:r w:rsidRPr="00F644FD">
        <w:t xml:space="preserve">].  Therefore, a lower dose of insulin or insulin </w:t>
      </w:r>
      <w:proofErr w:type="spellStart"/>
      <w:r w:rsidRPr="00F644FD">
        <w:t>secretagogue</w:t>
      </w:r>
      <w:proofErr w:type="spellEnd"/>
      <w:r w:rsidRPr="00F644FD">
        <w:t xml:space="preserve"> may be required to minimize the risk of hypoglycaemia when used in combination with </w:t>
      </w:r>
      <w:r w:rsidRPr="00F644FD" w:rsidDel="00DE35C9">
        <w:t>SEGLUROMET</w:t>
      </w:r>
      <w:r w:rsidRPr="00F644FD">
        <w:t>.</w:t>
      </w:r>
    </w:p>
    <w:p w14:paraId="078F3012" w14:textId="77777777" w:rsidR="0061436D" w:rsidRPr="00F644FD" w:rsidRDefault="0061436D" w:rsidP="0061436D">
      <w:pPr>
        <w:pStyle w:val="Heading5"/>
      </w:pPr>
      <w:r w:rsidRPr="00F644FD">
        <w:t>Metformin</w:t>
      </w:r>
    </w:p>
    <w:p w14:paraId="1B33CE99" w14:textId="77777777" w:rsidR="0061436D" w:rsidRPr="00F644FD" w:rsidRDefault="0061436D" w:rsidP="0061436D">
      <w:r w:rsidRPr="00F644FD">
        <w:t>Hypoglycaemia does not occur in patients receiving metformin</w:t>
      </w:r>
      <w:r w:rsidRPr="00F644FD" w:rsidDel="00F960EA">
        <w:t xml:space="preserve">, </w:t>
      </w:r>
      <w:r w:rsidRPr="00F644FD">
        <w:t xml:space="preserve">alone under usual circumstances of use, but could occur when caloric intake is deficient, when strenuous exercise is not compensated by caloric supplementation, or during concomitant use with other glucose-lowering agents (such as sulfonylureas and insulin) or ethanol.  Elderly, debilitated, or malnourished </w:t>
      </w:r>
      <w:proofErr w:type="gramStart"/>
      <w:r w:rsidRPr="00F644FD">
        <w:t>patients,</w:t>
      </w:r>
      <w:proofErr w:type="gramEnd"/>
      <w:r w:rsidRPr="00F644FD">
        <w:t xml:space="preserve"> and those with adrenal or pituitary insufficiency or alcohol intoxication are particularly susceptible to hypoglycaemic effects.  Hypoglycaemia may be difficult to recognize in the elderly and in people who are taking β-adrenergic blocking drugs.</w:t>
      </w:r>
    </w:p>
    <w:p w14:paraId="2D8995EE" w14:textId="312B9046" w:rsidR="0061436D" w:rsidRPr="00F644FD" w:rsidRDefault="0061436D" w:rsidP="00FE4072">
      <w:pPr>
        <w:pStyle w:val="Heading3"/>
      </w:pPr>
      <w:r w:rsidRPr="00F644FD">
        <w:t xml:space="preserve">Genital </w:t>
      </w:r>
      <w:r w:rsidR="00B1112D" w:rsidRPr="00F644FD">
        <w:t>mycotic infections</w:t>
      </w:r>
    </w:p>
    <w:p w14:paraId="124996D8" w14:textId="6C5FB406" w:rsidR="0061436D" w:rsidRPr="00F644FD" w:rsidRDefault="0061436D" w:rsidP="0061436D">
      <w:proofErr w:type="spellStart"/>
      <w:r w:rsidRPr="00F644FD">
        <w:t>Ertugliflozin</w:t>
      </w:r>
      <w:proofErr w:type="spellEnd"/>
      <w:r w:rsidRPr="00F644FD">
        <w:t xml:space="preserve">, a component of </w:t>
      </w:r>
      <w:r w:rsidRPr="00F644FD" w:rsidDel="00DE35C9">
        <w:t>SEGLUROMET</w:t>
      </w:r>
      <w:r w:rsidRPr="00F644FD">
        <w:t xml:space="preserve">, increases the risk of genital mycotic infections.  In trials with SGLT2 inhibitors, patients with a history of genital mycotic infections and uncircumcised males were more likely to develop genital mycotic infections [see </w:t>
      </w:r>
      <w:r w:rsidR="007D747C" w:rsidRPr="00F644FD">
        <w:t xml:space="preserve">4.8 </w:t>
      </w:r>
      <w:r w:rsidRPr="00F644FD">
        <w:t>ADVERSE EFFECTS</w:t>
      </w:r>
      <w:r w:rsidR="007D747C" w:rsidRPr="00F644FD">
        <w:t xml:space="preserve"> (UNDESIRABLE EFFECTS)</w:t>
      </w:r>
      <w:r w:rsidRPr="00F644FD">
        <w:t>].  Monitor and treat appropriately.</w:t>
      </w:r>
    </w:p>
    <w:p w14:paraId="2C2C859B" w14:textId="1CCF2173" w:rsidR="0061436D" w:rsidRPr="00F644FD" w:rsidRDefault="0061436D" w:rsidP="00FE4072">
      <w:pPr>
        <w:pStyle w:val="Heading3"/>
      </w:pPr>
      <w:r w:rsidRPr="00F644FD">
        <w:t>Vitamin B</w:t>
      </w:r>
      <w:r w:rsidRPr="00F644FD">
        <w:rPr>
          <w:vertAlign w:val="subscript"/>
        </w:rPr>
        <w:t>12</w:t>
      </w:r>
      <w:r w:rsidRPr="00F644FD">
        <w:t xml:space="preserve"> </w:t>
      </w:r>
      <w:r w:rsidR="00B1112D" w:rsidRPr="00F644FD">
        <w:t>levels</w:t>
      </w:r>
    </w:p>
    <w:p w14:paraId="430E5A6F" w14:textId="02CAAD82" w:rsidR="0061436D" w:rsidRPr="00F644FD" w:rsidRDefault="0061436D" w:rsidP="0061436D">
      <w:r w:rsidRPr="00F644FD">
        <w:t xml:space="preserve">In controlled clinical trials of metformin, a component of </w:t>
      </w:r>
      <w:r w:rsidRPr="00F644FD" w:rsidDel="00DE35C9">
        <w:t>SEGLUROMET</w:t>
      </w:r>
      <w:r w:rsidRPr="00F644FD">
        <w:t>, of 29 weeks duration, a decrease to subnormal levels of previously normal serum vitamin B12 levels, without clinical manifestations, was observed in approximately 7% of patients.  Such decrease, possibly due to interference with B</w:t>
      </w:r>
      <w:r w:rsidRPr="00F644FD">
        <w:rPr>
          <w:vertAlign w:val="subscript"/>
        </w:rPr>
        <w:t>12</w:t>
      </w:r>
      <w:r w:rsidRPr="00F644FD">
        <w:t xml:space="preserve"> absorption from the B</w:t>
      </w:r>
      <w:r w:rsidRPr="00F644FD">
        <w:rPr>
          <w:vertAlign w:val="subscript"/>
        </w:rPr>
        <w:t>12</w:t>
      </w:r>
      <w:r w:rsidRPr="00F644FD">
        <w:t xml:space="preserve"> intrinsic factor complex, is, however, very rarely associated with anaemia and appears to be rapidly reversible with discontinuation of metformin or vitamin B</w:t>
      </w:r>
      <w:r w:rsidRPr="00F644FD">
        <w:rPr>
          <w:vertAlign w:val="subscript"/>
        </w:rPr>
        <w:t xml:space="preserve">12 </w:t>
      </w:r>
      <w:r w:rsidRPr="00F644FD">
        <w:t xml:space="preserve">supplementation.  Measurement of </w:t>
      </w:r>
      <w:proofErr w:type="spellStart"/>
      <w:r w:rsidRPr="00F644FD">
        <w:t>h</w:t>
      </w:r>
      <w:r w:rsidR="004D33E3">
        <w:t>a</w:t>
      </w:r>
      <w:r w:rsidRPr="00F644FD">
        <w:t>ematologic</w:t>
      </w:r>
      <w:proofErr w:type="spellEnd"/>
      <w:r w:rsidRPr="00F644FD">
        <w:t xml:space="preserve"> parameters on an annual basis is advised in patients on </w:t>
      </w:r>
      <w:r w:rsidRPr="00F644FD" w:rsidDel="00DE35C9">
        <w:t>SEGLUROMET</w:t>
      </w:r>
      <w:r w:rsidRPr="00F644FD">
        <w:t xml:space="preserve"> and any apparent abnormalities should be appropriately investigated and managed.</w:t>
      </w:r>
    </w:p>
    <w:p w14:paraId="18B026F9" w14:textId="77777777" w:rsidR="0061436D" w:rsidRPr="00F644FD" w:rsidRDefault="0061436D" w:rsidP="0061436D"/>
    <w:p w14:paraId="38D3DF58" w14:textId="77777777" w:rsidR="0061436D" w:rsidRPr="00F644FD" w:rsidRDefault="0061436D" w:rsidP="0061436D">
      <w:r w:rsidRPr="00F644FD">
        <w:lastRenderedPageBreak/>
        <w:t>Certain individuals (those with inadequate vitamin B</w:t>
      </w:r>
      <w:r w:rsidRPr="00F644FD">
        <w:rPr>
          <w:vertAlign w:val="subscript"/>
        </w:rPr>
        <w:t>12</w:t>
      </w:r>
      <w:r w:rsidRPr="00F644FD">
        <w:t xml:space="preserve"> or calcium intake or absorption) appear to be predisposed to developing subnormal vitamin B</w:t>
      </w:r>
      <w:r w:rsidRPr="00F644FD">
        <w:rPr>
          <w:vertAlign w:val="subscript"/>
        </w:rPr>
        <w:t>12</w:t>
      </w:r>
      <w:r w:rsidRPr="00F644FD">
        <w:t xml:space="preserve"> levels.  In these patients, routine serum vitamin B</w:t>
      </w:r>
      <w:r w:rsidRPr="00F644FD">
        <w:rPr>
          <w:vertAlign w:val="subscript"/>
        </w:rPr>
        <w:t>12</w:t>
      </w:r>
      <w:r w:rsidRPr="00F644FD">
        <w:t xml:space="preserve"> measurements at two- to three-year intervals may be useful.</w:t>
      </w:r>
    </w:p>
    <w:p w14:paraId="332C1859" w14:textId="1FB0974B" w:rsidR="0061436D" w:rsidRPr="00F644FD" w:rsidRDefault="0061436D" w:rsidP="0061436D">
      <w:pPr>
        <w:pStyle w:val="Heading3"/>
      </w:pPr>
      <w:r w:rsidRPr="00F644FD">
        <w:t xml:space="preserve">Use in </w:t>
      </w:r>
      <w:r w:rsidR="00B1112D" w:rsidRPr="00F644FD">
        <w:t xml:space="preserve">patients </w:t>
      </w:r>
      <w:r w:rsidRPr="00F644FD">
        <w:t xml:space="preserve">with </w:t>
      </w:r>
      <w:r w:rsidR="00B1112D" w:rsidRPr="00F644FD">
        <w:t>renal impairment</w:t>
      </w:r>
    </w:p>
    <w:p w14:paraId="3DAEDEF5" w14:textId="77777777" w:rsidR="0061436D" w:rsidRPr="00F644FD" w:rsidRDefault="0061436D" w:rsidP="0061436D">
      <w:pPr>
        <w:rPr>
          <w:i/>
        </w:rPr>
      </w:pPr>
      <w:r w:rsidRPr="00F644FD">
        <w:rPr>
          <w:i/>
        </w:rPr>
        <w:t>SEGLUROMET</w:t>
      </w:r>
    </w:p>
    <w:p w14:paraId="78AC218F" w14:textId="6B35BCE6" w:rsidR="0061436D" w:rsidRPr="00F644FD" w:rsidRDefault="0061436D" w:rsidP="0061436D">
      <w:r w:rsidRPr="00F644FD">
        <w:t xml:space="preserve">SEGLUROMET is not recommended in patients with moderate and severe renal impairment [see </w:t>
      </w:r>
      <w:r w:rsidR="00FE3765" w:rsidRPr="00F644FD">
        <w:t xml:space="preserve">4.3 </w:t>
      </w:r>
      <w:r w:rsidRPr="00F644FD">
        <w:t>CONTRAINDICATIONS].</w:t>
      </w:r>
    </w:p>
    <w:p w14:paraId="3A09CBEB" w14:textId="77777777" w:rsidR="004B296F" w:rsidRPr="00F644FD" w:rsidRDefault="004B296F" w:rsidP="0061436D"/>
    <w:p w14:paraId="7E9072DE" w14:textId="77777777" w:rsidR="0061436D" w:rsidRPr="00F644FD" w:rsidRDefault="0061436D" w:rsidP="0061436D">
      <w:pPr>
        <w:pStyle w:val="BodyText"/>
      </w:pPr>
      <w:r w:rsidRPr="00F644FD">
        <w:t>Monitoring of renal function is recommended:</w:t>
      </w:r>
    </w:p>
    <w:p w14:paraId="06939B86" w14:textId="77777777" w:rsidR="0061436D" w:rsidRPr="00F644FD" w:rsidRDefault="0061436D" w:rsidP="000F03FB">
      <w:pPr>
        <w:pStyle w:val="ListBullet"/>
      </w:pPr>
      <w:r w:rsidRPr="00F644FD">
        <w:t xml:space="preserve">prior to initiating SEGLUROMET and periodically thereafter, i.e. at least yearly; </w:t>
      </w:r>
    </w:p>
    <w:p w14:paraId="67C2144E" w14:textId="77777777" w:rsidR="0061436D" w:rsidRPr="00F644FD" w:rsidRDefault="0061436D" w:rsidP="000F03FB">
      <w:pPr>
        <w:pStyle w:val="ListBullet"/>
      </w:pPr>
      <w:r w:rsidRPr="00F644FD">
        <w:t>prior to initiation of concomitant medicines that may reduce renal function and periodically thereafter;</w:t>
      </w:r>
    </w:p>
    <w:p w14:paraId="1B91F01F" w14:textId="1BFABD14" w:rsidR="0061436D" w:rsidRPr="00F644FD" w:rsidRDefault="0061436D" w:rsidP="000F03FB">
      <w:pPr>
        <w:pStyle w:val="ListBullet"/>
      </w:pPr>
      <w:proofErr w:type="gramStart"/>
      <w:r w:rsidRPr="00F644FD">
        <w:t>more</w:t>
      </w:r>
      <w:proofErr w:type="gramEnd"/>
      <w:r w:rsidRPr="00F644FD">
        <w:t xml:space="preserve"> frequently (2 to 4 times per year) in patients approaching moderate renal impairment (</w:t>
      </w:r>
      <w:proofErr w:type="spellStart"/>
      <w:r w:rsidRPr="00F644FD">
        <w:t>eGFR</w:t>
      </w:r>
      <w:proofErr w:type="spellEnd"/>
      <w:r w:rsidRPr="00F644FD">
        <w:t xml:space="preserve"> of 60 mL/min/1.73 m</w:t>
      </w:r>
      <w:r w:rsidRPr="00F644FD">
        <w:rPr>
          <w:vertAlign w:val="superscript"/>
        </w:rPr>
        <w:t>2</w:t>
      </w:r>
      <w:r w:rsidR="0023455A" w:rsidRPr="00F644FD" w:rsidDel="0023455A">
        <w:t xml:space="preserve"> </w:t>
      </w:r>
      <w:r w:rsidRPr="00F644FD">
        <w:t>) or those at increased risk for the development of renal impairment (e.g., the elderly).</w:t>
      </w:r>
    </w:p>
    <w:p w14:paraId="48B58B6F" w14:textId="77777777" w:rsidR="0061436D" w:rsidRPr="00F644FD" w:rsidRDefault="0061436D" w:rsidP="0061436D"/>
    <w:p w14:paraId="77B307AC" w14:textId="4579C2DF" w:rsidR="0061436D" w:rsidRPr="00F644FD" w:rsidRDefault="0061436D" w:rsidP="0061436D">
      <w:pPr>
        <w:pStyle w:val="BodyText"/>
      </w:pPr>
      <w:r w:rsidRPr="00F644FD">
        <w:t xml:space="preserve">SEGLUROMET should be discontinued when </w:t>
      </w:r>
      <w:proofErr w:type="spellStart"/>
      <w:r w:rsidRPr="00F644FD">
        <w:t>eGFR</w:t>
      </w:r>
      <w:proofErr w:type="spellEnd"/>
      <w:r w:rsidRPr="00F644FD">
        <w:t xml:space="preserve"> is persistently below 60 mL/min/1.73m</w:t>
      </w:r>
      <w:r w:rsidRPr="00F644FD">
        <w:rPr>
          <w:vertAlign w:val="superscript"/>
        </w:rPr>
        <w:t>2</w:t>
      </w:r>
      <w:r w:rsidRPr="00F644FD">
        <w:t xml:space="preserve"> or </w:t>
      </w:r>
      <w:proofErr w:type="spellStart"/>
      <w:r w:rsidRPr="00F644FD">
        <w:t>CrCl</w:t>
      </w:r>
      <w:proofErr w:type="spellEnd"/>
      <w:r w:rsidRPr="00F644FD">
        <w:t xml:space="preserve"> is persistently below 60 mL/min [see </w:t>
      </w:r>
      <w:r w:rsidR="00FE3765" w:rsidRPr="00F644FD">
        <w:t xml:space="preserve">4.3 </w:t>
      </w:r>
      <w:r w:rsidRPr="00F644FD">
        <w:t>CONTRAINDICATIONS].</w:t>
      </w:r>
    </w:p>
    <w:p w14:paraId="1B0ED6AB" w14:textId="77777777" w:rsidR="0061436D" w:rsidRPr="00F644FD" w:rsidRDefault="0061436D" w:rsidP="0061436D">
      <w:pPr>
        <w:pStyle w:val="Heading5"/>
      </w:pPr>
      <w:proofErr w:type="spellStart"/>
      <w:r w:rsidRPr="00F644FD">
        <w:t>Ertugliflozin</w:t>
      </w:r>
      <w:proofErr w:type="spellEnd"/>
    </w:p>
    <w:p w14:paraId="234E2528" w14:textId="7D3F0C1B" w:rsidR="0061436D" w:rsidRPr="00F644FD" w:rsidRDefault="0061436D" w:rsidP="0061436D">
      <w:r w:rsidRPr="00F644FD">
        <w:t xml:space="preserve">The efficacy of </w:t>
      </w:r>
      <w:proofErr w:type="spellStart"/>
      <w:r w:rsidRPr="00F644FD">
        <w:t>ertugliflozin</w:t>
      </w:r>
      <w:proofErr w:type="spellEnd"/>
      <w:r w:rsidRPr="00F644FD">
        <w:t xml:space="preserve"> is dependent on renal function.</w:t>
      </w:r>
      <w:r w:rsidR="0066050E">
        <w:t xml:space="preserve">  </w:t>
      </w:r>
      <w:proofErr w:type="spellStart"/>
      <w:r w:rsidRPr="00F644FD">
        <w:t>Ertugliflozin</w:t>
      </w:r>
      <w:proofErr w:type="spellEnd"/>
      <w:r w:rsidRPr="00F644FD">
        <w:t xml:space="preserve"> increases serum creatinine and decreases </w:t>
      </w:r>
      <w:proofErr w:type="spellStart"/>
      <w:r w:rsidRPr="00F644FD">
        <w:t>eGFR</w:t>
      </w:r>
      <w:proofErr w:type="spellEnd"/>
      <w:r w:rsidR="004B296F" w:rsidRPr="00F644FD">
        <w:t>;</w:t>
      </w:r>
      <w:r w:rsidRPr="00F644FD">
        <w:t xml:space="preserve"> patients with moderate renal impairment at baseline have larger mean changes [see </w:t>
      </w:r>
      <w:r w:rsidR="00AA1915">
        <w:t xml:space="preserve">4.8 </w:t>
      </w:r>
      <w:r w:rsidRPr="00F644FD">
        <w:t>ADVERSE REACTIONS</w:t>
      </w:r>
      <w:r w:rsidR="00AA1915">
        <w:t xml:space="preserve"> (UNDESIRABLE EFFECTS)</w:t>
      </w:r>
      <w:r w:rsidRPr="00F644FD">
        <w:t xml:space="preserve"> and </w:t>
      </w:r>
      <w:r w:rsidR="00F82DDA" w:rsidRPr="00F644FD">
        <w:t xml:space="preserve">4.4 SPECIAL WARNINGS AND </w:t>
      </w:r>
      <w:r w:rsidRPr="00F644FD">
        <w:t>PRECAUTIONS</w:t>
      </w:r>
      <w:r w:rsidR="0090578A">
        <w:t xml:space="preserve"> FOR USE</w:t>
      </w:r>
      <w:r w:rsidRPr="00F644FD">
        <w:t>].</w:t>
      </w:r>
    </w:p>
    <w:p w14:paraId="07F42A81" w14:textId="77777777" w:rsidR="0061436D" w:rsidRPr="00F644FD" w:rsidRDefault="0061436D" w:rsidP="0061436D"/>
    <w:p w14:paraId="3D0F4877" w14:textId="77777777" w:rsidR="0061436D" w:rsidRPr="00F644FD" w:rsidRDefault="0061436D" w:rsidP="0061436D">
      <w:r w:rsidRPr="00F644FD">
        <w:t xml:space="preserve">The efficacy and safety of </w:t>
      </w:r>
      <w:proofErr w:type="spellStart"/>
      <w:r w:rsidRPr="00F644FD">
        <w:t>ertugliflozin</w:t>
      </w:r>
      <w:proofErr w:type="spellEnd"/>
      <w:r w:rsidRPr="00F644FD">
        <w:t xml:space="preserve"> have not been established in patients with severe renal impairment, with ESRD, or receiving dialysis.  </w:t>
      </w:r>
      <w:proofErr w:type="spellStart"/>
      <w:r w:rsidRPr="00F644FD">
        <w:t>Ertugliflozin</w:t>
      </w:r>
      <w:proofErr w:type="spellEnd"/>
      <w:r w:rsidRPr="00F644FD">
        <w:t xml:space="preserve"> is not expected to be effective in these patient populations.</w:t>
      </w:r>
    </w:p>
    <w:p w14:paraId="0E5BE084" w14:textId="77777777" w:rsidR="0061436D" w:rsidRPr="00F644FD" w:rsidRDefault="0061436D" w:rsidP="0061436D">
      <w:pPr>
        <w:pStyle w:val="Heading5"/>
      </w:pPr>
      <w:r w:rsidRPr="00F644FD">
        <w:t>Metformin hydrochloride</w:t>
      </w:r>
    </w:p>
    <w:p w14:paraId="75C0CEEA" w14:textId="67D9C80C" w:rsidR="0061436D" w:rsidRPr="00F644FD" w:rsidRDefault="0061436D" w:rsidP="0061436D">
      <w:r w:rsidRPr="00F644FD">
        <w:t xml:space="preserve">Metformin is substantially excreted by the kidney, and the risk of metformin accumulation and lactic acidosis increases with the degree of renal impairment. </w:t>
      </w:r>
      <w:r w:rsidR="0066050E">
        <w:t xml:space="preserve"> </w:t>
      </w:r>
      <w:r w:rsidRPr="00F644FD">
        <w:t xml:space="preserve">Decreased renal function in elderly subjects is frequent and asymptomatic. </w:t>
      </w:r>
      <w:r w:rsidR="0066050E">
        <w:t xml:space="preserve"> </w:t>
      </w:r>
      <w:r w:rsidRPr="00F644FD">
        <w:t>Special caution should be exercised in situations where renal function may become impaired, for example in case of dehydration, or when initiating antihypertensive therapy or diuretic therapy and when starting therapy with an NSAID.</w:t>
      </w:r>
    </w:p>
    <w:p w14:paraId="00CED23C" w14:textId="6EDDB8DD" w:rsidR="0061436D" w:rsidRPr="00F644FD" w:rsidRDefault="0061436D" w:rsidP="004B296F">
      <w:pPr>
        <w:pStyle w:val="Heading3"/>
      </w:pPr>
      <w:proofErr w:type="spellStart"/>
      <w:r w:rsidRPr="00F644FD">
        <w:t>Urosepsis</w:t>
      </w:r>
      <w:proofErr w:type="spellEnd"/>
      <w:r w:rsidRPr="00F644FD">
        <w:t xml:space="preserve"> and </w:t>
      </w:r>
      <w:r w:rsidR="00B1112D" w:rsidRPr="00F644FD">
        <w:t xml:space="preserve">pyelonephritis </w:t>
      </w:r>
    </w:p>
    <w:p w14:paraId="1963F894" w14:textId="47086D40" w:rsidR="0061436D" w:rsidRPr="00F644FD" w:rsidRDefault="0061436D" w:rsidP="0061436D">
      <w:r w:rsidRPr="00F644FD">
        <w:t xml:space="preserve">There have been </w:t>
      </w:r>
      <w:proofErr w:type="spellStart"/>
      <w:r w:rsidRPr="00F644FD">
        <w:t>postmarketing</w:t>
      </w:r>
      <w:proofErr w:type="spellEnd"/>
      <w:r w:rsidRPr="00F644FD">
        <w:t xml:space="preserve"> reports of serious urinary tract infections including </w:t>
      </w:r>
      <w:proofErr w:type="spellStart"/>
      <w:r w:rsidRPr="00F644FD">
        <w:t>urosepsis</w:t>
      </w:r>
      <w:proofErr w:type="spellEnd"/>
      <w:r w:rsidRPr="00F644FD">
        <w:t xml:space="preserve"> and pyelonephritis requiring hospitalisation in patients receiving SGLT2 inhibitors. </w:t>
      </w:r>
      <w:r w:rsidR="0066050E">
        <w:t xml:space="preserve"> </w:t>
      </w:r>
      <w:r w:rsidRPr="00F644FD">
        <w:t xml:space="preserve">Evaluate patients for signs and symptoms of urinary tract infections and treat promptly, if indicated [see </w:t>
      </w:r>
      <w:r w:rsidR="007D747C" w:rsidRPr="00F644FD">
        <w:t xml:space="preserve">4.8 </w:t>
      </w:r>
      <w:r w:rsidRPr="00F644FD">
        <w:t>ADVERSE EFFECTS</w:t>
      </w:r>
      <w:r w:rsidR="007D747C" w:rsidRPr="00F644FD">
        <w:t xml:space="preserve"> (UNDESIRABLE EFFECTS)</w:t>
      </w:r>
      <w:r w:rsidRPr="00F644FD">
        <w:t xml:space="preserve">]. </w:t>
      </w:r>
      <w:r w:rsidR="0066050E">
        <w:t xml:space="preserve"> </w:t>
      </w:r>
      <w:r w:rsidRPr="00F644FD">
        <w:t>Discontinuation of SEGLUROMET may be considered in cases of recurrent urinary tract infections.</w:t>
      </w:r>
    </w:p>
    <w:p w14:paraId="6E8AD7BD" w14:textId="77777777" w:rsidR="009E678D" w:rsidRPr="00F644FD" w:rsidRDefault="009E678D" w:rsidP="009E678D">
      <w:pPr>
        <w:pStyle w:val="Heading3"/>
      </w:pPr>
      <w:r w:rsidRPr="00F644FD">
        <w:lastRenderedPageBreak/>
        <w:t>Use in the elderly</w:t>
      </w:r>
    </w:p>
    <w:p w14:paraId="5F8351FD" w14:textId="0A98A028" w:rsidR="009E678D" w:rsidRPr="00F644FD" w:rsidRDefault="009E678D" w:rsidP="009E678D">
      <w:r w:rsidRPr="00F644FD">
        <w:t xml:space="preserve">Elderly patients may be at an increased risk of volume depletion.  Patients 65 years and older treated with </w:t>
      </w:r>
      <w:proofErr w:type="spellStart"/>
      <w:r w:rsidRPr="00F644FD">
        <w:t>ertugliflozin</w:t>
      </w:r>
      <w:proofErr w:type="spellEnd"/>
      <w:r w:rsidRPr="00F644FD">
        <w:t xml:space="preserve"> had a higher incidence of adverse reactions related to volume depletion compared to younger patients.  The risk of metformin-associated lactic acidosis increases with the patient’s age because elderly patients have a greater likelihood of having hepatic, renal, or cardiac impairment than younger patients.  SEGLUROMET is expected to have diminished efficacy in elderly patients with renal impairment [</w:t>
      </w:r>
      <w:r w:rsidRPr="00F644FD" w:rsidDel="0023234F">
        <w:t xml:space="preserve">see </w:t>
      </w:r>
      <w:r w:rsidRPr="00F644FD">
        <w:t>4.2 DOSE AND METHOD OF ADMINISTRATION</w:t>
      </w:r>
      <w:r w:rsidRPr="00F644FD" w:rsidDel="0023234F">
        <w:t xml:space="preserve"> and</w:t>
      </w:r>
      <w:r w:rsidRPr="00F644FD">
        <w:t xml:space="preserve"> 4.8 </w:t>
      </w:r>
      <w:r w:rsidRPr="00F644FD" w:rsidDel="0023234F">
        <w:t>ADVERSE</w:t>
      </w:r>
      <w:r w:rsidRPr="00F644FD">
        <w:t xml:space="preserve"> EFFECTS (UNDESIRABLE EFFECTS)].  Assess renal function more frequently in elderly patients.</w:t>
      </w:r>
    </w:p>
    <w:p w14:paraId="2B4402C3" w14:textId="77777777" w:rsidR="0061436D" w:rsidRPr="00F644FD" w:rsidRDefault="0061436D" w:rsidP="004B296F">
      <w:pPr>
        <w:pStyle w:val="Heading3"/>
      </w:pPr>
      <w:r w:rsidRPr="00F644FD">
        <w:t>Paediatric use</w:t>
      </w:r>
    </w:p>
    <w:p w14:paraId="6B34CD80" w14:textId="77777777" w:rsidR="007D4AFC" w:rsidRDefault="0061436D" w:rsidP="0061436D">
      <w:r w:rsidRPr="00F644FD">
        <w:t xml:space="preserve">Safety and effectiveness of </w:t>
      </w:r>
      <w:r w:rsidRPr="00F644FD">
        <w:rPr>
          <w:rFonts w:eastAsia="MS Mincho"/>
          <w:lang w:eastAsia="en-AU"/>
        </w:rPr>
        <w:t>SEGLUROMET</w:t>
      </w:r>
      <w:r w:rsidRPr="00F644FD">
        <w:t xml:space="preserve"> in paediatric patients under 18 years of age have not been established.</w:t>
      </w:r>
    </w:p>
    <w:p w14:paraId="468B91A6" w14:textId="45C2A103" w:rsidR="007D4AFC" w:rsidRPr="00FE6C39" w:rsidRDefault="007D4AFC" w:rsidP="007D4AFC">
      <w:pPr>
        <w:pStyle w:val="Heading3"/>
      </w:pPr>
      <w:r w:rsidRPr="00FE6C39">
        <w:t xml:space="preserve">Lower </w:t>
      </w:r>
      <w:r>
        <w:t>l</w:t>
      </w:r>
      <w:r w:rsidRPr="00FE6C39">
        <w:t>imb amputations</w:t>
      </w:r>
    </w:p>
    <w:p w14:paraId="6B2AAC45" w14:textId="4D6E7F9E" w:rsidR="0061436D" w:rsidRPr="00CA6E03" w:rsidRDefault="007D4AFC" w:rsidP="0061436D">
      <w:r w:rsidRPr="00FE6C39">
        <w:t xml:space="preserve">An increase in cases of lower limb amputation (primarily of the toe) has been observed </w:t>
      </w:r>
      <w:r w:rsidRPr="00CA6E03">
        <w:t xml:space="preserve">in clinical </w:t>
      </w:r>
      <w:r w:rsidR="00081BEA">
        <w:t xml:space="preserve">trials </w:t>
      </w:r>
      <w:r w:rsidRPr="00CA6E03">
        <w:t xml:space="preserve">with another SGLT2 inhibitor.  </w:t>
      </w:r>
      <w:r w:rsidR="00CA6E03" w:rsidRPr="00CA6E03">
        <w:rPr>
          <w:szCs w:val="24"/>
          <w:lang w:eastAsia="en-AU"/>
        </w:rPr>
        <w:t xml:space="preserve">A numerical imbalance in non-traumatic lower limb amputations was reported in trials with </w:t>
      </w:r>
      <w:proofErr w:type="spellStart"/>
      <w:proofErr w:type="gramStart"/>
      <w:r w:rsidR="00CA6E03" w:rsidRPr="00CA6E03">
        <w:rPr>
          <w:szCs w:val="24"/>
          <w:lang w:eastAsia="en-AU"/>
        </w:rPr>
        <w:t>ertugliflozin</w:t>
      </w:r>
      <w:proofErr w:type="spellEnd"/>
      <w:r w:rsidR="00CA6E03" w:rsidRPr="00CA6E03">
        <w:rPr>
          <w:szCs w:val="24"/>
          <w:lang w:eastAsia="en-AU"/>
        </w:rPr>
        <w:t>,</w:t>
      </w:r>
      <w:proofErr w:type="gramEnd"/>
      <w:r w:rsidR="00CA6E03" w:rsidRPr="00CA6E03">
        <w:rPr>
          <w:szCs w:val="24"/>
          <w:lang w:eastAsia="en-AU"/>
        </w:rPr>
        <w:t xml:space="preserve"> however a causal association between </w:t>
      </w:r>
      <w:proofErr w:type="spellStart"/>
      <w:r w:rsidR="00CA6E03" w:rsidRPr="00CA6E03">
        <w:rPr>
          <w:szCs w:val="24"/>
          <w:lang w:eastAsia="en-AU"/>
        </w:rPr>
        <w:t>ertugliflozin</w:t>
      </w:r>
      <w:proofErr w:type="spellEnd"/>
      <w:r w:rsidR="00CA6E03" w:rsidRPr="00CA6E03">
        <w:rPr>
          <w:szCs w:val="24"/>
          <w:lang w:eastAsia="en-AU"/>
        </w:rPr>
        <w:t xml:space="preserve"> and lower limb amputation has not been definitively established.</w:t>
      </w:r>
      <w:r w:rsidR="00CA6E03" w:rsidRPr="00CA6E03">
        <w:rPr>
          <w:color w:val="FF0000"/>
          <w:szCs w:val="24"/>
          <w:lang w:eastAsia="en-AU"/>
        </w:rPr>
        <w:t xml:space="preserve"> </w:t>
      </w:r>
      <w:r w:rsidRPr="00CA6E03">
        <w:t xml:space="preserve"> </w:t>
      </w:r>
      <w:r w:rsidR="00512F9D" w:rsidRPr="00CA6E03">
        <w:t>I</w:t>
      </w:r>
      <w:r w:rsidRPr="00CA6E03">
        <w:t>t is important to counsel patients on routine preventative foot-care.</w:t>
      </w:r>
    </w:p>
    <w:p w14:paraId="367B31F0" w14:textId="3F88460F" w:rsidR="00DA0DFA" w:rsidRPr="00F644FD" w:rsidRDefault="009C7F59" w:rsidP="00DA0DFA">
      <w:pPr>
        <w:pStyle w:val="Heading3"/>
      </w:pPr>
      <w:r w:rsidRPr="00CA6E03">
        <w:t>Effects on</w:t>
      </w:r>
      <w:r w:rsidR="00DA0DFA" w:rsidRPr="00CA6E03">
        <w:t xml:space="preserve"> </w:t>
      </w:r>
      <w:r w:rsidR="00B1112D" w:rsidRPr="00CA6E03">
        <w:t>laboratory tests</w:t>
      </w:r>
      <w:r w:rsidR="00B1112D" w:rsidRPr="00F644FD">
        <w:t xml:space="preserve"> </w:t>
      </w:r>
    </w:p>
    <w:p w14:paraId="2F37944A" w14:textId="77777777" w:rsidR="00DA0DFA" w:rsidRPr="00F644FD" w:rsidRDefault="00DA0DFA" w:rsidP="00DA0DFA">
      <w:pPr>
        <w:pStyle w:val="Heading5"/>
      </w:pPr>
      <w:proofErr w:type="spellStart"/>
      <w:r w:rsidRPr="00F644FD">
        <w:t>Ertugliflozin</w:t>
      </w:r>
      <w:proofErr w:type="spellEnd"/>
    </w:p>
    <w:p w14:paraId="02409508" w14:textId="0ADB78A5" w:rsidR="00DA0DFA" w:rsidRPr="00F644FD" w:rsidRDefault="00DA0DFA" w:rsidP="00DA0DFA">
      <w:pPr>
        <w:pStyle w:val="Heading4"/>
      </w:pPr>
      <w:r w:rsidRPr="00F644FD">
        <w:t xml:space="preserve">Positive </w:t>
      </w:r>
      <w:r w:rsidR="00B1112D" w:rsidRPr="00F644FD">
        <w:t>urine glucose test</w:t>
      </w:r>
    </w:p>
    <w:p w14:paraId="02A20596" w14:textId="77777777" w:rsidR="00DA0DFA" w:rsidRPr="00F644FD" w:rsidRDefault="00DA0DFA" w:rsidP="00DA0DFA">
      <w:r w:rsidRPr="00F644FD">
        <w:t>Monitoring glycaemic control with urine glucose tests is not recommended in patients taking medicines containing an SGLT2 inhibitor as SGLT2 inhibitors increase urinary glucose excretion and will lead to positive urine glucose tests.  Use alternative methods to monitor glycaemic control.</w:t>
      </w:r>
    </w:p>
    <w:p w14:paraId="1CBD0F62" w14:textId="1D5679D4" w:rsidR="00DA0DFA" w:rsidRPr="00F644FD" w:rsidRDefault="00DA0DFA" w:rsidP="00DA0DFA">
      <w:pPr>
        <w:pStyle w:val="Heading4"/>
      </w:pPr>
      <w:r w:rsidRPr="00F644FD">
        <w:t>Interference with 1</w:t>
      </w:r>
      <w:proofErr w:type="gramStart"/>
      <w:r w:rsidRPr="00F644FD">
        <w:t>,5</w:t>
      </w:r>
      <w:proofErr w:type="gramEnd"/>
      <w:r w:rsidRPr="00F644FD">
        <w:t xml:space="preserve">-anhydroglucitol (1,5-AG) </w:t>
      </w:r>
      <w:r w:rsidR="00B1112D" w:rsidRPr="00F644FD">
        <w:t>assay</w:t>
      </w:r>
    </w:p>
    <w:p w14:paraId="1C03DC72" w14:textId="77777777" w:rsidR="00DA0DFA" w:rsidRDefault="00DA0DFA" w:rsidP="00DA0DFA">
      <w:r w:rsidRPr="00F644FD">
        <w:t>Monitoring glycaemic control with 1,5-AG assay is not recommended as measurements of 1,5-AG are unreliable in assessing glycaemic control in patients taking medicines containing an SGLT2 inhibitor.  Use alternative methods to monitor glycaemic control.</w:t>
      </w:r>
    </w:p>
    <w:p w14:paraId="74FA4101" w14:textId="77777777" w:rsidR="00A178F1" w:rsidRPr="00F644FD" w:rsidRDefault="00A178F1" w:rsidP="00A178F1">
      <w:pPr>
        <w:pStyle w:val="Heading2"/>
        <w:rPr>
          <w:rFonts w:eastAsia="Cambria"/>
        </w:rPr>
      </w:pPr>
      <w:r w:rsidRPr="00F644FD">
        <w:rPr>
          <w:rFonts w:eastAsia="Cambria"/>
        </w:rPr>
        <w:t>4.5</w:t>
      </w:r>
      <w:r w:rsidRPr="00F644FD">
        <w:rPr>
          <w:rFonts w:eastAsia="Cambria"/>
        </w:rPr>
        <w:tab/>
        <w:t>INTERACTIONS WITH OTHER MEDICINES AND OTHER FORMS OF INTERACTIONS</w:t>
      </w:r>
    </w:p>
    <w:p w14:paraId="6248D8C0" w14:textId="77777777" w:rsidR="00A178F1" w:rsidRPr="00F644FD" w:rsidRDefault="00A178F1" w:rsidP="00A178F1">
      <w:pPr>
        <w:pStyle w:val="Heading5"/>
      </w:pPr>
      <w:r w:rsidRPr="00F644FD" w:rsidDel="00DE35C9">
        <w:t>SEGLUROMET</w:t>
      </w:r>
    </w:p>
    <w:p w14:paraId="1FB01ABD" w14:textId="77777777" w:rsidR="00A178F1" w:rsidRPr="00F644FD" w:rsidRDefault="00A178F1" w:rsidP="00A178F1">
      <w:r w:rsidRPr="00F644FD">
        <w:t xml:space="preserve">No clinically significant pharmacokinetic interaction was seen when </w:t>
      </w:r>
      <w:proofErr w:type="spellStart"/>
      <w:r w:rsidRPr="00F644FD">
        <w:t>ertugliflozin</w:t>
      </w:r>
      <w:proofErr w:type="spellEnd"/>
      <w:r w:rsidRPr="00F644FD">
        <w:t xml:space="preserve"> was </w:t>
      </w:r>
      <w:proofErr w:type="spellStart"/>
      <w:r w:rsidRPr="00F644FD">
        <w:t>coadministered</w:t>
      </w:r>
      <w:proofErr w:type="spellEnd"/>
      <w:r w:rsidRPr="00F644FD">
        <w:t xml:space="preserve"> with metformin.</w:t>
      </w:r>
    </w:p>
    <w:p w14:paraId="41FE8819" w14:textId="77777777" w:rsidR="00A178F1" w:rsidRPr="00F644FD" w:rsidRDefault="00A178F1" w:rsidP="00A178F1"/>
    <w:p w14:paraId="5CB7ECD7" w14:textId="77777777" w:rsidR="00A178F1" w:rsidRPr="00F644FD" w:rsidRDefault="00A178F1" w:rsidP="00A178F1">
      <w:r w:rsidRPr="00F644FD">
        <w:t xml:space="preserve">Pharmacokinetic drug interaction studies with </w:t>
      </w:r>
      <w:r w:rsidRPr="00F644FD" w:rsidDel="00DE35C9">
        <w:t>SEGLUROMET</w:t>
      </w:r>
      <w:r w:rsidRPr="00F644FD">
        <w:t xml:space="preserve"> have not been performed; however, such studies have been conducted with </w:t>
      </w:r>
      <w:proofErr w:type="spellStart"/>
      <w:r w:rsidRPr="00F644FD">
        <w:t>ertugliflozin</w:t>
      </w:r>
      <w:proofErr w:type="spellEnd"/>
      <w:r w:rsidRPr="00F644FD">
        <w:t xml:space="preserve"> and metformin, the individual components of </w:t>
      </w:r>
      <w:r w:rsidRPr="00F644FD" w:rsidDel="00DE35C9">
        <w:t>SEGLUROMET</w:t>
      </w:r>
      <w:r w:rsidRPr="00F644FD">
        <w:t>.</w:t>
      </w:r>
    </w:p>
    <w:p w14:paraId="1705D212" w14:textId="76C1EF0D" w:rsidR="00A178F1" w:rsidRPr="00F644FD" w:rsidRDefault="00A178F1" w:rsidP="00A178F1">
      <w:pPr>
        <w:pStyle w:val="Heading3"/>
      </w:pPr>
      <w:r w:rsidRPr="00B1112D">
        <w:rPr>
          <w:i/>
        </w:rPr>
        <w:lastRenderedPageBreak/>
        <w:t xml:space="preserve">In </w:t>
      </w:r>
      <w:r w:rsidR="00B1112D">
        <w:rPr>
          <w:i/>
        </w:rPr>
        <w:t>v</w:t>
      </w:r>
      <w:r w:rsidRPr="00B1112D">
        <w:rPr>
          <w:i/>
        </w:rPr>
        <w:t>itro</w:t>
      </w:r>
      <w:r w:rsidRPr="00B1112D">
        <w:t xml:space="preserve"> </w:t>
      </w:r>
      <w:r w:rsidR="00B1112D" w:rsidRPr="00B1112D">
        <w:t xml:space="preserve">assessment </w:t>
      </w:r>
      <w:r w:rsidRPr="00B1112D">
        <w:t xml:space="preserve">of </w:t>
      </w:r>
      <w:r w:rsidR="00B1112D" w:rsidRPr="00B1112D">
        <w:t xml:space="preserve">drug interactions </w:t>
      </w:r>
      <w:r w:rsidRPr="00B1112D">
        <w:t xml:space="preserve">with </w:t>
      </w:r>
      <w:proofErr w:type="spellStart"/>
      <w:r w:rsidR="00B1112D" w:rsidRPr="00B1112D">
        <w:t>ertugliflozin</w:t>
      </w:r>
      <w:proofErr w:type="spellEnd"/>
    </w:p>
    <w:p w14:paraId="5558A779" w14:textId="56A597AB" w:rsidR="00A178F1" w:rsidRPr="00F644FD" w:rsidRDefault="00A178F1" w:rsidP="00A178F1">
      <w:r w:rsidRPr="00F644FD">
        <w:t xml:space="preserve">In </w:t>
      </w:r>
      <w:r w:rsidRPr="00F644FD">
        <w:rPr>
          <w:i/>
        </w:rPr>
        <w:t>in vitro</w:t>
      </w:r>
      <w:r w:rsidRPr="00F644FD">
        <w:t xml:space="preserve"> studies, </w:t>
      </w:r>
      <w:proofErr w:type="spellStart"/>
      <w:r w:rsidRPr="00F644FD">
        <w:t>ertugliflozin</w:t>
      </w:r>
      <w:proofErr w:type="spellEnd"/>
      <w:r w:rsidRPr="00F644FD">
        <w:t xml:space="preserve"> and </w:t>
      </w:r>
      <w:r w:rsidR="0060689E" w:rsidRPr="0060689E">
        <w:t>its two major glucuronide metabolites</w:t>
      </w:r>
      <w:r w:rsidRPr="00F644FD">
        <w:t xml:space="preserve"> did not inhibit CYP450 isoenzymes (CYPs) 1A2, 2C9, 2C19, 2C8, 2B6, 2D6, or 3A4</w:t>
      </w:r>
      <w:r w:rsidR="0060689E">
        <w:t xml:space="preserve"> </w:t>
      </w:r>
      <w:r w:rsidR="0060689E" w:rsidRPr="0060689E">
        <w:t>at clinically relevant concentrations</w:t>
      </w:r>
      <w:r w:rsidRPr="00F644FD">
        <w:t xml:space="preserve">, and did not induce CYPs 1A2, 2B6, or 3A4.  </w:t>
      </w:r>
      <w:proofErr w:type="spellStart"/>
      <w:r w:rsidRPr="00F644FD">
        <w:t>Ertugliflozin</w:t>
      </w:r>
      <w:proofErr w:type="spellEnd"/>
      <w:r w:rsidRPr="00F644FD">
        <w:t xml:space="preserve"> was not a time-dependent inhibitor of CYP3A </w:t>
      </w:r>
      <w:r w:rsidRPr="00F644FD">
        <w:rPr>
          <w:i/>
        </w:rPr>
        <w:t>in vitro</w:t>
      </w:r>
      <w:r w:rsidRPr="00F644FD">
        <w:t xml:space="preserve">.  </w:t>
      </w:r>
      <w:r w:rsidR="0060689E">
        <w:t xml:space="preserve">As well </w:t>
      </w:r>
      <w:proofErr w:type="spellStart"/>
      <w:r w:rsidR="0060689E">
        <w:t>e</w:t>
      </w:r>
      <w:r w:rsidRPr="00F644FD">
        <w:t>rtugliflozin</w:t>
      </w:r>
      <w:proofErr w:type="spellEnd"/>
      <w:r w:rsidRPr="00F644FD">
        <w:t xml:space="preserve"> </w:t>
      </w:r>
      <w:r w:rsidR="0060689E" w:rsidRPr="0060689E">
        <w:t>and its two major</w:t>
      </w:r>
      <w:r w:rsidR="0060689E">
        <w:t xml:space="preserve"> </w:t>
      </w:r>
      <w:r w:rsidRPr="00F644FD">
        <w:t>glucuronide</w:t>
      </w:r>
      <w:r w:rsidR="0060689E">
        <w:t xml:space="preserve"> metabolites</w:t>
      </w:r>
      <w:r w:rsidRPr="00F644FD">
        <w:t xml:space="preserve"> did not inhibit UGT1A1, 1A4, 1A6, 1A9, or 2B7 </w:t>
      </w:r>
      <w:r w:rsidRPr="00F644FD">
        <w:rPr>
          <w:i/>
        </w:rPr>
        <w:t>in vitro</w:t>
      </w:r>
      <w:r w:rsidR="0060689E" w:rsidRPr="0060689E">
        <w:rPr>
          <w:b/>
          <w:i/>
        </w:rPr>
        <w:t xml:space="preserve"> </w:t>
      </w:r>
      <w:r w:rsidR="0060689E" w:rsidRPr="0060689E">
        <w:t xml:space="preserve">at clinically relevant concentrations. </w:t>
      </w:r>
      <w:r w:rsidR="0060689E">
        <w:t xml:space="preserve"> </w:t>
      </w:r>
      <w:r w:rsidR="0060689E" w:rsidRPr="0060689E">
        <w:t>Only weak inhibitory activity was observed, with the IC</w:t>
      </w:r>
      <w:r w:rsidR="0060689E" w:rsidRPr="00704C82">
        <w:rPr>
          <w:vertAlign w:val="subscript"/>
        </w:rPr>
        <w:t>50</w:t>
      </w:r>
      <w:r w:rsidR="0060689E" w:rsidRPr="0060689E">
        <w:t xml:space="preserve"> at the most sensitive target (39 </w:t>
      </w:r>
      <w:proofErr w:type="spellStart"/>
      <w:r w:rsidR="0060689E" w:rsidRPr="0060689E">
        <w:t>μM</w:t>
      </w:r>
      <w:proofErr w:type="spellEnd"/>
      <w:r w:rsidR="0060689E" w:rsidRPr="0060689E">
        <w:t xml:space="preserve"> for </w:t>
      </w:r>
      <w:proofErr w:type="spellStart"/>
      <w:r w:rsidR="0060689E" w:rsidRPr="0060689E">
        <w:t>ertugliflozin</w:t>
      </w:r>
      <w:proofErr w:type="spellEnd"/>
      <w:r w:rsidR="0060689E" w:rsidRPr="0060689E">
        <w:t xml:space="preserve"> against UGT1A4) almost 1000 times higher than the peak plasma concentration of unbound drug in patients at the MRHD of 15 mg/day</w:t>
      </w:r>
      <w:r w:rsidRPr="0060689E">
        <w:t xml:space="preserve">. </w:t>
      </w:r>
      <w:r w:rsidRPr="00F644FD">
        <w:t xml:space="preserve"> Overall, </w:t>
      </w:r>
      <w:proofErr w:type="spellStart"/>
      <w:r w:rsidRPr="00F644FD">
        <w:t>ertugliflozin</w:t>
      </w:r>
      <w:proofErr w:type="spellEnd"/>
      <w:r w:rsidRPr="00F644FD">
        <w:t xml:space="preserve"> is unlikely to affect the pharmacokinetics of drugs eliminated by these enzymes.  </w:t>
      </w:r>
      <w:proofErr w:type="spellStart"/>
      <w:r w:rsidRPr="00F644FD">
        <w:t>Ertugliflozin</w:t>
      </w:r>
      <w:proofErr w:type="spellEnd"/>
      <w:r w:rsidRPr="00F644FD">
        <w:t xml:space="preserve"> is a substrate of P</w:t>
      </w:r>
      <w:r w:rsidRPr="00F644FD">
        <w:noBreakHyphen/>
        <w:t>glycoprotein (P</w:t>
      </w:r>
      <w:r w:rsidRPr="00F644FD">
        <w:noBreakHyphen/>
      </w:r>
      <w:proofErr w:type="spellStart"/>
      <w:r w:rsidRPr="00F644FD">
        <w:t>gp</w:t>
      </w:r>
      <w:proofErr w:type="spellEnd"/>
      <w:r w:rsidRPr="00F644FD">
        <w:t xml:space="preserve">) and breast cancer resistance protein (BCRP) transporters and is not a substrate of </w:t>
      </w:r>
      <w:r w:rsidRPr="00F644FD">
        <w:rPr>
          <w:rFonts w:cs="Arial"/>
        </w:rPr>
        <w:t>organic anion transporters</w:t>
      </w:r>
      <w:r w:rsidRPr="00F644FD">
        <w:t xml:space="preserve"> (OAT1, OAT3), </w:t>
      </w:r>
      <w:r w:rsidRPr="00F644FD">
        <w:rPr>
          <w:rFonts w:cs="Arial"/>
        </w:rPr>
        <w:t>organic cation transporters</w:t>
      </w:r>
      <w:r w:rsidRPr="00F644FD">
        <w:t xml:space="preserve"> (OCT1, OCT2), or </w:t>
      </w:r>
      <w:r w:rsidRPr="00F644FD">
        <w:rPr>
          <w:rFonts w:cs="Arial"/>
        </w:rPr>
        <w:t>organic anion transporting</w:t>
      </w:r>
      <w:r w:rsidRPr="00F644FD">
        <w:t xml:space="preserve"> polypeptides (OATP1B1, OATP1B3</w:t>
      </w:r>
      <w:r w:rsidR="006E502C" w:rsidRPr="0060689E">
        <w:t>, OATP2B1</w:t>
      </w:r>
      <w:r w:rsidRPr="00F644FD">
        <w:t xml:space="preserve">).  </w:t>
      </w:r>
      <w:proofErr w:type="spellStart"/>
      <w:r w:rsidRPr="00F644FD">
        <w:t>Ertugliflozin</w:t>
      </w:r>
      <w:proofErr w:type="spellEnd"/>
      <w:r w:rsidRPr="00F644FD">
        <w:t xml:space="preserve"> or </w:t>
      </w:r>
      <w:r w:rsidR="0060689E" w:rsidRPr="0060689E">
        <w:t>its two major glucuronide metabolites</w:t>
      </w:r>
      <w:r w:rsidR="0060689E">
        <w:t xml:space="preserve"> </w:t>
      </w:r>
      <w:r w:rsidRPr="00F644FD">
        <w:t>do not meaningfully inhibit P</w:t>
      </w:r>
      <w:r w:rsidRPr="00F644FD">
        <w:noBreakHyphen/>
      </w:r>
      <w:proofErr w:type="spellStart"/>
      <w:r w:rsidRPr="00F644FD">
        <w:t>gp</w:t>
      </w:r>
      <w:proofErr w:type="spellEnd"/>
      <w:r w:rsidRPr="00F644FD">
        <w:t xml:space="preserve">, </w:t>
      </w:r>
      <w:r w:rsidR="0060689E" w:rsidRPr="0060689E">
        <w:t>BCRP, OCT1,</w:t>
      </w:r>
      <w:r w:rsidR="0060689E">
        <w:t xml:space="preserve"> </w:t>
      </w:r>
      <w:r w:rsidRPr="00F644FD">
        <w:t>OCT2, OAT1, OAT3</w:t>
      </w:r>
      <w:r w:rsidR="00CA6E03">
        <w:t xml:space="preserve"> transporters,</w:t>
      </w:r>
      <w:r w:rsidRPr="00F644FD">
        <w:t xml:space="preserve"> </w:t>
      </w:r>
      <w:r w:rsidR="00CA6E03">
        <w:t xml:space="preserve">or transporting polypeptides </w:t>
      </w:r>
      <w:r w:rsidR="0060689E" w:rsidRPr="0060689E">
        <w:t>OATP1B1 or OATPB3</w:t>
      </w:r>
      <w:r w:rsidR="0060689E">
        <w:t xml:space="preserve"> </w:t>
      </w:r>
      <w:r w:rsidR="0060689E" w:rsidRPr="0060689E">
        <w:rPr>
          <w:i/>
        </w:rPr>
        <w:t>in vitro</w:t>
      </w:r>
      <w:r w:rsidR="0060689E">
        <w:t xml:space="preserve"> </w:t>
      </w:r>
      <w:r w:rsidRPr="00F644FD">
        <w:t xml:space="preserve">at clinically relevant concentrations.  Overall, </w:t>
      </w:r>
      <w:proofErr w:type="spellStart"/>
      <w:r w:rsidRPr="00F644FD">
        <w:t>ertugliflozin</w:t>
      </w:r>
      <w:proofErr w:type="spellEnd"/>
      <w:r w:rsidRPr="00F644FD">
        <w:t xml:space="preserve"> is unlikely to affect the pharmacokinetics of concurrently administered medications that are substrates of these transporters.</w:t>
      </w:r>
    </w:p>
    <w:p w14:paraId="451DA9DE" w14:textId="06ED01C4" w:rsidR="00A178F1" w:rsidRPr="00F644FD" w:rsidRDefault="00A178F1" w:rsidP="00A178F1">
      <w:pPr>
        <w:pStyle w:val="Heading3"/>
      </w:pPr>
      <w:r w:rsidRPr="00B1112D">
        <w:rPr>
          <w:i/>
        </w:rPr>
        <w:t xml:space="preserve">In </w:t>
      </w:r>
      <w:r w:rsidR="00B1112D">
        <w:rPr>
          <w:i/>
        </w:rPr>
        <w:t>v</w:t>
      </w:r>
      <w:r w:rsidRPr="00B1112D">
        <w:rPr>
          <w:i/>
        </w:rPr>
        <w:t>ivo</w:t>
      </w:r>
      <w:r w:rsidRPr="00F644FD">
        <w:t xml:space="preserve"> </w:t>
      </w:r>
      <w:r w:rsidR="00B1112D" w:rsidRPr="00F644FD">
        <w:t xml:space="preserve">assessment </w:t>
      </w:r>
      <w:r w:rsidRPr="00F644FD">
        <w:t xml:space="preserve">of </w:t>
      </w:r>
      <w:r w:rsidR="00B1112D" w:rsidRPr="00F644FD">
        <w:t xml:space="preserve">drug interactions </w:t>
      </w:r>
      <w:r w:rsidRPr="00F644FD">
        <w:t xml:space="preserve">with </w:t>
      </w:r>
      <w:proofErr w:type="spellStart"/>
      <w:r w:rsidR="00B1112D" w:rsidRPr="00F644FD">
        <w:t>ertugliflozin</w:t>
      </w:r>
      <w:proofErr w:type="spellEnd"/>
    </w:p>
    <w:p w14:paraId="1E0A8C7B" w14:textId="4CBD2B47" w:rsidR="00A178F1" w:rsidRPr="004A377C" w:rsidRDefault="00A178F1" w:rsidP="00A178F1">
      <w:r w:rsidRPr="00F644FD">
        <w:t xml:space="preserve">No dose adjustment of </w:t>
      </w:r>
      <w:r w:rsidRPr="00F644FD" w:rsidDel="00DE35C9">
        <w:t>SEGLUROMET</w:t>
      </w:r>
      <w:r w:rsidRPr="00F644FD">
        <w:t xml:space="preserve"> is recommended when </w:t>
      </w:r>
      <w:proofErr w:type="spellStart"/>
      <w:r w:rsidRPr="00F644FD">
        <w:t>coadministered</w:t>
      </w:r>
      <w:proofErr w:type="spellEnd"/>
      <w:r w:rsidRPr="00F644FD">
        <w:t xml:space="preserve"> with commonly prescribed medicinal products.  </w:t>
      </w:r>
      <w:proofErr w:type="spellStart"/>
      <w:r w:rsidRPr="00F644FD">
        <w:t>Ertugliflozin</w:t>
      </w:r>
      <w:proofErr w:type="spellEnd"/>
      <w:r w:rsidRPr="00F644FD">
        <w:t xml:space="preserve"> pharmacokinetics were similar with and without </w:t>
      </w:r>
      <w:proofErr w:type="spellStart"/>
      <w:r w:rsidRPr="00F644FD">
        <w:t>coadministration</w:t>
      </w:r>
      <w:proofErr w:type="spellEnd"/>
      <w:r w:rsidRPr="00F644FD">
        <w:t xml:space="preserve"> of metformin, glimepiride, </w:t>
      </w:r>
      <w:proofErr w:type="spellStart"/>
      <w:r w:rsidRPr="00F644FD">
        <w:t>sitagliptin</w:t>
      </w:r>
      <w:proofErr w:type="spellEnd"/>
      <w:r w:rsidRPr="00F644FD">
        <w:t xml:space="preserve">, and simvastatin in healthy </w:t>
      </w:r>
      <w:r w:rsidRPr="004A377C">
        <w:t>subjects (see Figure </w:t>
      </w:r>
      <w:r w:rsidR="001024FE" w:rsidRPr="004A377C">
        <w:t>1</w:t>
      </w:r>
      <w:r w:rsidRPr="004A377C">
        <w:t xml:space="preserve">).  </w:t>
      </w:r>
      <w:proofErr w:type="spellStart"/>
      <w:r w:rsidRPr="004A377C">
        <w:t>Coadministration</w:t>
      </w:r>
      <w:proofErr w:type="spellEnd"/>
      <w:r w:rsidRPr="004A377C">
        <w:t xml:space="preserve"> of </w:t>
      </w:r>
      <w:proofErr w:type="spellStart"/>
      <w:r w:rsidRPr="004A377C">
        <w:t>ertugliflozin</w:t>
      </w:r>
      <w:proofErr w:type="spellEnd"/>
      <w:r w:rsidRPr="004A377C">
        <w:t xml:space="preserve"> with multiple doses of 600 mg once daily rifampicin (an inducer of UGT and CYP enzymes) resulted in approximately 39% and 15% mean reductions in </w:t>
      </w:r>
      <w:proofErr w:type="spellStart"/>
      <w:r w:rsidRPr="004A377C">
        <w:t>ertugliflozin</w:t>
      </w:r>
      <w:proofErr w:type="spellEnd"/>
      <w:r w:rsidRPr="004A377C">
        <w:t xml:space="preserve"> AUC and </w:t>
      </w:r>
      <w:proofErr w:type="spellStart"/>
      <w:r w:rsidRPr="004A377C">
        <w:t>C</w:t>
      </w:r>
      <w:r w:rsidRPr="004A377C">
        <w:rPr>
          <w:vertAlign w:val="subscript"/>
        </w:rPr>
        <w:t>max</w:t>
      </w:r>
      <w:proofErr w:type="spellEnd"/>
      <w:r w:rsidRPr="004A377C">
        <w:t xml:space="preserve">, respectively, relative to </w:t>
      </w:r>
      <w:proofErr w:type="spellStart"/>
      <w:r w:rsidRPr="004A377C">
        <w:t>ertugliflozin</w:t>
      </w:r>
      <w:proofErr w:type="spellEnd"/>
      <w:r w:rsidRPr="004A377C">
        <w:t xml:space="preserve"> administered alone.  These changes in exposure are not considered clinically relevant.  </w:t>
      </w:r>
      <w:proofErr w:type="spellStart"/>
      <w:r w:rsidRPr="004A377C">
        <w:t>Ertugliflozin</w:t>
      </w:r>
      <w:proofErr w:type="spellEnd"/>
      <w:r w:rsidRPr="004A377C">
        <w:t xml:space="preserve"> had no clinically relevant effect on the pharmacokinetics of </w:t>
      </w:r>
      <w:proofErr w:type="gramStart"/>
      <w:r w:rsidRPr="004A377C">
        <w:t>metformin,</w:t>
      </w:r>
      <w:proofErr w:type="gramEnd"/>
      <w:r w:rsidRPr="004A377C">
        <w:t xml:space="preserve"> glimepiride, </w:t>
      </w:r>
      <w:proofErr w:type="spellStart"/>
      <w:r w:rsidRPr="004A377C">
        <w:t>sitagliptin</w:t>
      </w:r>
      <w:proofErr w:type="spellEnd"/>
      <w:r w:rsidRPr="004A377C">
        <w:t xml:space="preserve">, and simvastatin when </w:t>
      </w:r>
      <w:proofErr w:type="spellStart"/>
      <w:r w:rsidRPr="004A377C">
        <w:t>coadministered</w:t>
      </w:r>
      <w:proofErr w:type="spellEnd"/>
      <w:r w:rsidRPr="004A377C">
        <w:t xml:space="preserve"> in healthy subjects (see Figure </w:t>
      </w:r>
      <w:r w:rsidR="001024FE" w:rsidRPr="004A377C">
        <w:t>2</w:t>
      </w:r>
      <w:r w:rsidRPr="004A377C">
        <w:t xml:space="preserve">).  Physiologically-based PK (PBPK) modelling suggests that </w:t>
      </w:r>
      <w:proofErr w:type="spellStart"/>
      <w:r w:rsidRPr="004A377C">
        <w:t>coadministration</w:t>
      </w:r>
      <w:proofErr w:type="spellEnd"/>
      <w:r w:rsidRPr="004A377C">
        <w:t xml:space="preserve"> of </w:t>
      </w:r>
      <w:proofErr w:type="spellStart"/>
      <w:r w:rsidRPr="004A377C">
        <w:t>mefenamic</w:t>
      </w:r>
      <w:proofErr w:type="spellEnd"/>
      <w:r w:rsidRPr="004A377C">
        <w:t xml:space="preserve"> acid (UGT inhibitor) may increase the AUC and </w:t>
      </w:r>
      <w:proofErr w:type="spellStart"/>
      <w:r w:rsidRPr="004A377C">
        <w:t>C</w:t>
      </w:r>
      <w:r w:rsidRPr="004A377C">
        <w:rPr>
          <w:vertAlign w:val="subscript"/>
        </w:rPr>
        <w:t>max</w:t>
      </w:r>
      <w:proofErr w:type="spellEnd"/>
      <w:r w:rsidRPr="004A377C">
        <w:t xml:space="preserve"> of </w:t>
      </w:r>
      <w:proofErr w:type="spellStart"/>
      <w:r w:rsidRPr="004A377C">
        <w:t>ertugliflozin</w:t>
      </w:r>
      <w:proofErr w:type="spellEnd"/>
      <w:r w:rsidRPr="004A377C">
        <w:t xml:space="preserve"> by 1.51- and 1.19-fold, respectively.  These predicted changes in exposure are not considered clinically relevant.</w:t>
      </w:r>
    </w:p>
    <w:p w14:paraId="15BC1491" w14:textId="73351FFB" w:rsidR="00A178F1" w:rsidRPr="00F644FD" w:rsidRDefault="0023455A" w:rsidP="00A178F1">
      <w:pPr>
        <w:pStyle w:val="Heading3"/>
      </w:pPr>
      <w:r>
        <w:t xml:space="preserve">Clinical studies </w:t>
      </w:r>
      <w:r w:rsidR="00CA6E03">
        <w:t>of the</w:t>
      </w:r>
      <w:r>
        <w:t xml:space="preserve"> e</w:t>
      </w:r>
      <w:r w:rsidR="00A178F1" w:rsidRPr="004A377C">
        <w:t xml:space="preserve">ffects of </w:t>
      </w:r>
      <w:r w:rsidR="00B1112D" w:rsidRPr="004A377C">
        <w:t xml:space="preserve">other drugs </w:t>
      </w:r>
      <w:r w:rsidR="00A178F1" w:rsidRPr="004A377C">
        <w:t xml:space="preserve">on the </w:t>
      </w:r>
      <w:r w:rsidR="00B1112D" w:rsidRPr="004A377C">
        <w:t xml:space="preserve">pharmacokinetics </w:t>
      </w:r>
      <w:r w:rsidR="00A178F1" w:rsidRPr="004A377C">
        <w:t xml:space="preserve">of </w:t>
      </w:r>
      <w:proofErr w:type="spellStart"/>
      <w:r w:rsidR="00B1112D" w:rsidRPr="004A377C">
        <w:t>ertugliflozin</w:t>
      </w:r>
      <w:proofErr w:type="spellEnd"/>
      <w:r w:rsidR="00B1112D" w:rsidRPr="004A377C">
        <w:t xml:space="preserve"> </w:t>
      </w:r>
      <w:r w:rsidR="00A178F1" w:rsidRPr="004A377C">
        <w:t>(see Figure </w:t>
      </w:r>
      <w:r w:rsidR="001024FE" w:rsidRPr="004A377C">
        <w:t>1</w:t>
      </w:r>
      <w:r w:rsidR="00A178F1" w:rsidRPr="004A377C">
        <w:t>)</w:t>
      </w:r>
    </w:p>
    <w:p w14:paraId="6B6DB5E5" w14:textId="48DD73DF" w:rsidR="00A178F1" w:rsidRPr="00F644FD" w:rsidRDefault="00A178F1" w:rsidP="00A178F1">
      <w:r w:rsidRPr="00F644FD">
        <w:t xml:space="preserve">The effects of </w:t>
      </w:r>
      <w:proofErr w:type="spellStart"/>
      <w:r w:rsidRPr="00F644FD">
        <w:t>coadministered</w:t>
      </w:r>
      <w:proofErr w:type="spellEnd"/>
      <w:r w:rsidRPr="00F644FD">
        <w:t xml:space="preserve"> drugs on the pharmacokinetics of </w:t>
      </w:r>
      <w:proofErr w:type="spellStart"/>
      <w:r w:rsidRPr="00F644FD">
        <w:t>ertugliflozin</w:t>
      </w:r>
      <w:proofErr w:type="spellEnd"/>
      <w:r w:rsidRPr="00F644FD">
        <w:t xml:space="preserve"> have been assessed in drug-drug interaction studies.</w:t>
      </w:r>
      <w:r w:rsidR="0023455A">
        <w:t xml:space="preserve">  </w:t>
      </w:r>
      <w:r w:rsidR="00CA6E03">
        <w:t>There were n</w:t>
      </w:r>
      <w:r w:rsidR="0023455A" w:rsidRPr="0023455A">
        <w:t>o clinically significant drug interactions identified.</w:t>
      </w:r>
    </w:p>
    <w:p w14:paraId="6AE80D5F" w14:textId="77777777" w:rsidR="00A178F1" w:rsidRPr="00F644FD" w:rsidRDefault="00A178F1" w:rsidP="00A178F1">
      <w:pPr>
        <w:pStyle w:val="Heading5"/>
      </w:pPr>
      <w:proofErr w:type="spellStart"/>
      <w:r w:rsidRPr="00F644FD">
        <w:t>Sitagliptin</w:t>
      </w:r>
      <w:proofErr w:type="spellEnd"/>
    </w:p>
    <w:p w14:paraId="6355E707" w14:textId="77777777" w:rsidR="00A178F1" w:rsidRPr="00F644FD" w:rsidRDefault="00A178F1" w:rsidP="00A178F1">
      <w:r w:rsidRPr="00F644FD">
        <w:t xml:space="preserve">Single-dose administration of </w:t>
      </w:r>
      <w:proofErr w:type="spellStart"/>
      <w:r w:rsidRPr="00F644FD">
        <w:t>sitagliptin</w:t>
      </w:r>
      <w:proofErr w:type="spellEnd"/>
      <w:r w:rsidRPr="00F644FD">
        <w:t xml:space="preserve"> 100 mg had no clinically meaningful effect on the exposure of </w:t>
      </w:r>
      <w:proofErr w:type="spellStart"/>
      <w:r w:rsidRPr="00F644FD">
        <w:t>ertugliflozin</w:t>
      </w:r>
      <w:proofErr w:type="spellEnd"/>
      <w:r w:rsidRPr="00F644FD">
        <w:t xml:space="preserve"> 15 mg.  The geometric mean ratios (GMR) and 90% CI (expressed as percentages) for </w:t>
      </w:r>
      <w:proofErr w:type="spellStart"/>
      <w:r w:rsidRPr="00F644FD">
        <w:t>ertugliflozin</w:t>
      </w:r>
      <w:proofErr w:type="spellEnd"/>
      <w:r w:rsidRPr="00F644FD">
        <w:t xml:space="preserv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w:t>
      </w:r>
      <w:proofErr w:type="spellStart"/>
      <w:r w:rsidRPr="00F644FD">
        <w:t>sitagliptin</w:t>
      </w:r>
      <w:proofErr w:type="spellEnd"/>
      <w:r w:rsidRPr="00F644FD">
        <w:t xml:space="preserve"> vs. </w:t>
      </w:r>
      <w:proofErr w:type="spellStart"/>
      <w:r w:rsidRPr="00F644FD">
        <w:t>ertugliflozin</w:t>
      </w:r>
      <w:proofErr w:type="spellEnd"/>
      <w:r w:rsidRPr="00F644FD">
        <w:t xml:space="preserve"> alone were 102.27% (99.72%, 104.89%) and 98.18% (91.20%, 105.70%), respectively.</w:t>
      </w:r>
    </w:p>
    <w:p w14:paraId="718CD893" w14:textId="3A87442E" w:rsidR="00A178F1" w:rsidRPr="00F644FD" w:rsidRDefault="00A178F1" w:rsidP="00A178F1">
      <w:pPr>
        <w:pStyle w:val="Heading5"/>
      </w:pPr>
      <w:r w:rsidRPr="00F644FD">
        <w:lastRenderedPageBreak/>
        <w:t>Metformin</w:t>
      </w:r>
    </w:p>
    <w:p w14:paraId="435D61DC" w14:textId="77777777" w:rsidR="00A178F1" w:rsidRPr="00F644FD" w:rsidRDefault="00A178F1" w:rsidP="00A178F1">
      <w:r w:rsidRPr="00F644FD">
        <w:t xml:space="preserve">Single-dose administration of metformin 1,000 mg had no clinically meaningful effect on the exposure of </w:t>
      </w:r>
      <w:proofErr w:type="spellStart"/>
      <w:r w:rsidRPr="00F644FD">
        <w:t>ertugliflozin</w:t>
      </w:r>
      <w:proofErr w:type="spellEnd"/>
      <w:r w:rsidRPr="00F644FD">
        <w:t xml:space="preserve"> 15 mg.  The GMR and 90% CI (expressed as percentages) for </w:t>
      </w:r>
      <w:proofErr w:type="spellStart"/>
      <w:r w:rsidRPr="00F644FD">
        <w:t>ertugliflozin</w:t>
      </w:r>
      <w:proofErr w:type="spellEnd"/>
      <w:r w:rsidRPr="00F644FD">
        <w:t xml:space="preserv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metformin vs. </w:t>
      </w:r>
      <w:proofErr w:type="spellStart"/>
      <w:r w:rsidRPr="00F644FD">
        <w:t>ertugliflozin</w:t>
      </w:r>
      <w:proofErr w:type="spellEnd"/>
      <w:r w:rsidRPr="00F644FD">
        <w:t xml:space="preserve"> alone were 100.34% (97.43%, 103.34%) and 97.14 % (88.77%, 106.30%), respectively.</w:t>
      </w:r>
    </w:p>
    <w:p w14:paraId="70800252" w14:textId="77777777" w:rsidR="00A178F1" w:rsidRPr="00F644FD" w:rsidRDefault="00A178F1" w:rsidP="00A178F1">
      <w:pPr>
        <w:pStyle w:val="Heading5"/>
      </w:pPr>
      <w:r w:rsidRPr="00F644FD">
        <w:t>Glimepiride</w:t>
      </w:r>
    </w:p>
    <w:p w14:paraId="79E5F5FA" w14:textId="77777777" w:rsidR="00A178F1" w:rsidRPr="00F644FD" w:rsidRDefault="00A178F1" w:rsidP="00A178F1">
      <w:r w:rsidRPr="00F644FD">
        <w:t xml:space="preserve">Single-dose administration of glimepiride 1 mg had no clinically meaningful effect on the exposure of </w:t>
      </w:r>
      <w:proofErr w:type="spellStart"/>
      <w:r w:rsidRPr="00F644FD">
        <w:t>ertugliflozin</w:t>
      </w:r>
      <w:proofErr w:type="spellEnd"/>
      <w:r w:rsidRPr="00F644FD">
        <w:t xml:space="preserve"> 15 mg.  The GMR and 90% CI (expressed as percentages) for </w:t>
      </w:r>
      <w:proofErr w:type="spellStart"/>
      <w:r w:rsidRPr="00F644FD">
        <w:t>ertugliflozin</w:t>
      </w:r>
      <w:proofErr w:type="spellEnd"/>
      <w:r w:rsidRPr="00F644FD">
        <w:t xml:space="preserv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glimepiride vs. </w:t>
      </w:r>
      <w:proofErr w:type="spellStart"/>
      <w:r w:rsidRPr="00F644FD">
        <w:t>ertugliflozin</w:t>
      </w:r>
      <w:proofErr w:type="spellEnd"/>
      <w:r w:rsidRPr="00F644FD">
        <w:t xml:space="preserve"> alone were 102.11% (97.19%, 107.27%) and 98.20% (92.17%, 104.63%), respectively.</w:t>
      </w:r>
    </w:p>
    <w:p w14:paraId="061A7122" w14:textId="77777777" w:rsidR="00A178F1" w:rsidRPr="00F644FD" w:rsidRDefault="00A178F1" w:rsidP="00A178F1">
      <w:pPr>
        <w:pStyle w:val="Heading5"/>
      </w:pPr>
      <w:r w:rsidRPr="00F644FD">
        <w:t>Simvastatin</w:t>
      </w:r>
    </w:p>
    <w:p w14:paraId="3F72DBD3" w14:textId="77777777" w:rsidR="00A178F1" w:rsidRPr="00F644FD" w:rsidRDefault="00A178F1" w:rsidP="00A178F1">
      <w:r w:rsidRPr="00F644FD">
        <w:t xml:space="preserve">Single-dose administration of simvastatin 40 mg had no clinically meaningful effect on the exposure of </w:t>
      </w:r>
      <w:proofErr w:type="spellStart"/>
      <w:r w:rsidRPr="00F644FD">
        <w:t>ertugliflozin</w:t>
      </w:r>
      <w:proofErr w:type="spellEnd"/>
      <w:r w:rsidRPr="00F644FD">
        <w:t xml:space="preserve"> 15 mg.  The GMR and 90% CI (expressed as percentages) for </w:t>
      </w:r>
      <w:proofErr w:type="spellStart"/>
      <w:r w:rsidRPr="00F644FD">
        <w:t>ertugliflozin</w:t>
      </w:r>
      <w:proofErr w:type="spellEnd"/>
      <w:r w:rsidRPr="00F644FD">
        <w:t xml:space="preserv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simvastatin vs. </w:t>
      </w:r>
      <w:proofErr w:type="spellStart"/>
      <w:r w:rsidRPr="00F644FD">
        <w:t>ertugliflozin</w:t>
      </w:r>
      <w:proofErr w:type="spellEnd"/>
      <w:r w:rsidRPr="00F644FD">
        <w:t xml:space="preserve"> alone were 102.40% (99.57%, 105.31%) and 105.16% (98.26%, 112.54%), respectively.</w:t>
      </w:r>
    </w:p>
    <w:p w14:paraId="34680984" w14:textId="77777777" w:rsidR="00A178F1" w:rsidRPr="00F644FD" w:rsidRDefault="00A178F1" w:rsidP="00A178F1">
      <w:pPr>
        <w:pStyle w:val="Heading5"/>
      </w:pPr>
      <w:r w:rsidRPr="00F644FD">
        <w:t>Rifampicin</w:t>
      </w:r>
    </w:p>
    <w:p w14:paraId="1641DAF5" w14:textId="77777777" w:rsidR="00A178F1" w:rsidRPr="00F644FD" w:rsidRDefault="00A178F1" w:rsidP="00A178F1">
      <w:r w:rsidRPr="00F644FD">
        <w:t xml:space="preserve">Multiple-dose administration of rifampicin 600 mg </w:t>
      </w:r>
      <w:proofErr w:type="spellStart"/>
      <w:r w:rsidRPr="00F644FD">
        <w:t>q.d.x</w:t>
      </w:r>
      <w:proofErr w:type="spellEnd"/>
      <w:r w:rsidRPr="00F644FD">
        <w:t xml:space="preserve"> 10 days was associated with a decrease in exposure of </w:t>
      </w:r>
      <w:proofErr w:type="spellStart"/>
      <w:r w:rsidRPr="00F644FD">
        <w:t>ertugliflozin</w:t>
      </w:r>
      <w:proofErr w:type="spellEnd"/>
      <w:r w:rsidRPr="00F644FD">
        <w:t xml:space="preserve"> 15 mg.  The GMR and 90% CI (expressed as percentages) for </w:t>
      </w:r>
      <w:proofErr w:type="spellStart"/>
      <w:r w:rsidRPr="00F644FD">
        <w:t>ertugliflozin</w:t>
      </w:r>
      <w:proofErr w:type="spellEnd"/>
      <w:r w:rsidRPr="00F644FD">
        <w:t xml:space="preserv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rifampicin vs. </w:t>
      </w:r>
      <w:proofErr w:type="spellStart"/>
      <w:r w:rsidRPr="00F644FD">
        <w:t>ertugliflozin</w:t>
      </w:r>
      <w:proofErr w:type="spellEnd"/>
      <w:r w:rsidRPr="00F644FD">
        <w:t xml:space="preserve"> alone were 61.16% (57.22%, 65.37%) and 84.62% (74.17%, 96.53%), respectively.</w:t>
      </w:r>
    </w:p>
    <w:p w14:paraId="77799FD9" w14:textId="77777777" w:rsidR="00A178F1" w:rsidRPr="00F644FD" w:rsidRDefault="00A178F1" w:rsidP="00A178F1">
      <w:pPr>
        <w:pStyle w:val="Heading7"/>
        <w:rPr>
          <w:lang w:val="en-AU"/>
        </w:rPr>
      </w:pPr>
      <w:r w:rsidRPr="00F644FD">
        <w:rPr>
          <w:lang w:val="en-AU"/>
        </w:rPr>
        <w:t xml:space="preserve">Effects of Other Drugs on the Pharmacokinetics of </w:t>
      </w:r>
      <w:proofErr w:type="spellStart"/>
      <w:r w:rsidRPr="00F644FD">
        <w:rPr>
          <w:iCs/>
          <w:lang w:val="en-AU"/>
        </w:rPr>
        <w:t>Ertugliflozin</w:t>
      </w:r>
      <w:proofErr w:type="spellEnd"/>
    </w:p>
    <w:p w14:paraId="5BF87BF2" w14:textId="40AEB725" w:rsidR="008D5ADA" w:rsidRPr="00F644FD" w:rsidRDefault="008D5ADA" w:rsidP="00A178F1">
      <w:r w:rsidRPr="00345D1C">
        <w:rPr>
          <w:noProof/>
          <w:lang w:eastAsia="en-AU"/>
        </w:rPr>
        <w:drawing>
          <wp:inline distT="0" distB="0" distL="0" distR="0" wp14:anchorId="7997EB90" wp14:editId="65BE41B0">
            <wp:extent cx="5732145" cy="3439287"/>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 MK8835 Figure 4 clinpharmddivicti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2145" cy="3439287"/>
                    </a:xfrm>
                    <a:prstGeom prst="rect">
                      <a:avLst/>
                    </a:prstGeom>
                  </pic:spPr>
                </pic:pic>
              </a:graphicData>
            </a:graphic>
          </wp:inline>
        </w:drawing>
      </w:r>
    </w:p>
    <w:p w14:paraId="75FCD59A" w14:textId="111BBBFC" w:rsidR="00A178F1" w:rsidRPr="00F644FD" w:rsidRDefault="0023455A" w:rsidP="00A178F1">
      <w:pPr>
        <w:pStyle w:val="Heading3"/>
      </w:pPr>
      <w:r w:rsidRPr="00CA6E03">
        <w:lastRenderedPageBreak/>
        <w:t>Clinical studies o</w:t>
      </w:r>
      <w:r w:rsidR="00CA6E03" w:rsidRPr="00CA6E03">
        <w:t>f the</w:t>
      </w:r>
      <w:r w:rsidRPr="00CA6E03">
        <w:t xml:space="preserve"> e</w:t>
      </w:r>
      <w:r w:rsidR="00A178F1" w:rsidRPr="00CA6E03">
        <w:t xml:space="preserve">ffects of </w:t>
      </w:r>
      <w:proofErr w:type="spellStart"/>
      <w:r w:rsidR="00B1112D" w:rsidRPr="00CA6E03">
        <w:t>ertugliflozin</w:t>
      </w:r>
      <w:proofErr w:type="spellEnd"/>
      <w:r w:rsidR="00B1112D" w:rsidRPr="00CA6E03">
        <w:t xml:space="preserve"> </w:t>
      </w:r>
      <w:r w:rsidR="00A178F1" w:rsidRPr="00CA6E03">
        <w:t xml:space="preserve">on the </w:t>
      </w:r>
      <w:r w:rsidR="00B1112D" w:rsidRPr="00CA6E03">
        <w:t xml:space="preserve">pharmacokinetics </w:t>
      </w:r>
      <w:r w:rsidR="00A178F1" w:rsidRPr="00CA6E03">
        <w:t xml:space="preserve">of </w:t>
      </w:r>
      <w:r w:rsidR="00B1112D" w:rsidRPr="00CA6E03">
        <w:t>other drugs</w:t>
      </w:r>
      <w:r w:rsidR="00B1112D" w:rsidRPr="004A377C">
        <w:t xml:space="preserve"> </w:t>
      </w:r>
      <w:r w:rsidR="00A178F1" w:rsidRPr="004A377C">
        <w:t>(see Figure </w:t>
      </w:r>
      <w:r w:rsidR="001024FE" w:rsidRPr="004A377C">
        <w:t>2</w:t>
      </w:r>
      <w:r w:rsidR="00A178F1" w:rsidRPr="004A377C">
        <w:t>)</w:t>
      </w:r>
    </w:p>
    <w:p w14:paraId="7F9B5AFE" w14:textId="7468CCB7" w:rsidR="00A178F1" w:rsidRPr="00F644FD" w:rsidRDefault="00A178F1" w:rsidP="00A178F1">
      <w:r w:rsidRPr="00F644FD">
        <w:t xml:space="preserve">The effects of </w:t>
      </w:r>
      <w:proofErr w:type="spellStart"/>
      <w:r w:rsidRPr="00F644FD">
        <w:t>ertugliflozin</w:t>
      </w:r>
      <w:proofErr w:type="spellEnd"/>
      <w:r w:rsidRPr="00F644FD">
        <w:t xml:space="preserve"> on the pharmacokinetics of </w:t>
      </w:r>
      <w:proofErr w:type="spellStart"/>
      <w:r w:rsidRPr="00F644FD">
        <w:t>coadministered</w:t>
      </w:r>
      <w:proofErr w:type="spellEnd"/>
      <w:r w:rsidRPr="00F644FD">
        <w:t xml:space="preserve"> drugs have been assessed in drug-drug interaction studies.</w:t>
      </w:r>
      <w:r w:rsidR="0026514D">
        <w:t xml:space="preserve">  </w:t>
      </w:r>
      <w:r w:rsidR="00CA6E03">
        <w:t>There were n</w:t>
      </w:r>
      <w:r w:rsidR="00CA6E03" w:rsidRPr="0023455A">
        <w:t>o clinically significant drug interactions identified.</w:t>
      </w:r>
    </w:p>
    <w:p w14:paraId="05FED19D" w14:textId="77777777" w:rsidR="00A178F1" w:rsidRPr="00F644FD" w:rsidRDefault="00A178F1" w:rsidP="00A178F1">
      <w:pPr>
        <w:pStyle w:val="Heading5"/>
      </w:pPr>
      <w:proofErr w:type="spellStart"/>
      <w:r w:rsidRPr="00F644FD">
        <w:t>Sitagliptin</w:t>
      </w:r>
      <w:proofErr w:type="spellEnd"/>
    </w:p>
    <w:p w14:paraId="1BBC39F2" w14:textId="77777777" w:rsidR="00A178F1" w:rsidRPr="00F644FD" w:rsidRDefault="00A178F1" w:rsidP="00A178F1">
      <w:r w:rsidRPr="00F644FD">
        <w:t xml:space="preserve">No clinically meaningful change in </w:t>
      </w:r>
      <w:proofErr w:type="spellStart"/>
      <w:r w:rsidRPr="00F644FD">
        <w:t>sitagliptin</w:t>
      </w:r>
      <w:proofErr w:type="spellEnd"/>
      <w:r w:rsidRPr="00F644FD">
        <w:t xml:space="preserve"> exposure was observed following concomitant administration of a single 100 mg </w:t>
      </w:r>
      <w:proofErr w:type="spellStart"/>
      <w:r w:rsidRPr="00F644FD">
        <w:t>sitagliptin</w:t>
      </w:r>
      <w:proofErr w:type="spellEnd"/>
      <w:r w:rsidRPr="00F644FD">
        <w:t xml:space="preserve"> dose with 15 mg </w:t>
      </w:r>
      <w:proofErr w:type="spellStart"/>
      <w:r w:rsidRPr="00F644FD">
        <w:t>ertugliflozin</w:t>
      </w:r>
      <w:proofErr w:type="spellEnd"/>
      <w:r w:rsidRPr="00F644FD">
        <w:t xml:space="preserve"> compared to </w:t>
      </w:r>
      <w:proofErr w:type="spellStart"/>
      <w:r w:rsidRPr="00F644FD">
        <w:t>sitagliptin</w:t>
      </w:r>
      <w:proofErr w:type="spellEnd"/>
      <w:r w:rsidRPr="00F644FD">
        <w:t xml:space="preserve"> alone.  The GMR and 90% CI (expressed as percentages) for </w:t>
      </w:r>
      <w:proofErr w:type="spellStart"/>
      <w:r w:rsidRPr="00F644FD">
        <w:t>sitagliptin</w:t>
      </w:r>
      <w:proofErr w:type="spellEnd"/>
      <w:r w:rsidRPr="00F644FD">
        <w:t xml:space="preserv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w:t>
      </w:r>
      <w:proofErr w:type="spellStart"/>
      <w:r w:rsidRPr="00F644FD">
        <w:t>ertugliflozin</w:t>
      </w:r>
      <w:proofErr w:type="spellEnd"/>
      <w:r w:rsidRPr="00F644FD">
        <w:t xml:space="preserve"> vs. </w:t>
      </w:r>
      <w:proofErr w:type="spellStart"/>
      <w:r w:rsidRPr="00F644FD">
        <w:t>sitagliptin</w:t>
      </w:r>
      <w:proofErr w:type="spellEnd"/>
      <w:r w:rsidRPr="00F644FD">
        <w:t xml:space="preserve"> alone were 101.67% (98.40%, 105.04%) and 101.68% (91.65%, 112.80%), respectively.</w:t>
      </w:r>
    </w:p>
    <w:p w14:paraId="1F07BE73" w14:textId="77777777" w:rsidR="00A178F1" w:rsidRPr="00F644FD" w:rsidRDefault="00A178F1" w:rsidP="00A178F1">
      <w:pPr>
        <w:pStyle w:val="Heading5"/>
      </w:pPr>
      <w:r w:rsidRPr="00F644FD">
        <w:t>Metformin</w:t>
      </w:r>
    </w:p>
    <w:p w14:paraId="07220AD6" w14:textId="77777777" w:rsidR="00A178F1" w:rsidRPr="00F644FD" w:rsidRDefault="00A178F1" w:rsidP="00A178F1">
      <w:r w:rsidRPr="00F644FD">
        <w:t xml:space="preserve">No clinically meaningful change in metformin exposure was observed following concomitant administration of a single 1,000 mg metformin dose with 15 mg </w:t>
      </w:r>
      <w:proofErr w:type="spellStart"/>
      <w:r w:rsidRPr="00F644FD">
        <w:t>ertugliflozin</w:t>
      </w:r>
      <w:proofErr w:type="spellEnd"/>
      <w:r w:rsidRPr="00F644FD">
        <w:t xml:space="preserve"> compared to metformin alone.  The GMR and 90% CI (expressed as percentages) for metformin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w:t>
      </w:r>
      <w:proofErr w:type="spellStart"/>
      <w:r w:rsidRPr="00F644FD">
        <w:t>ertugliflozin</w:t>
      </w:r>
      <w:proofErr w:type="spellEnd"/>
      <w:r w:rsidRPr="00F644FD">
        <w:t xml:space="preserve"> vs. metformin alone were 100.94% (90.62%, 112.44%) and 94.00% (82.94%, 106.55%), respectively.</w:t>
      </w:r>
    </w:p>
    <w:p w14:paraId="40066B0A" w14:textId="77777777" w:rsidR="00A178F1" w:rsidRPr="00F644FD" w:rsidRDefault="00A178F1" w:rsidP="00A178F1">
      <w:pPr>
        <w:pStyle w:val="Heading5"/>
      </w:pPr>
      <w:r w:rsidRPr="00F644FD">
        <w:t>Glimepiride</w:t>
      </w:r>
    </w:p>
    <w:p w14:paraId="51453A6B" w14:textId="77777777" w:rsidR="00A178F1" w:rsidRPr="00F644FD" w:rsidRDefault="00A178F1" w:rsidP="00A178F1">
      <w:r w:rsidRPr="00F644FD">
        <w:t xml:space="preserve">No clinically meaningful change in glimepiride exposure was observed following concomitant administration of a single 1 mg glimepiride dose with 15 mg </w:t>
      </w:r>
      <w:proofErr w:type="spellStart"/>
      <w:r w:rsidRPr="00F644FD">
        <w:t>ertugliflozin</w:t>
      </w:r>
      <w:proofErr w:type="spellEnd"/>
      <w:r w:rsidRPr="00F644FD">
        <w:t xml:space="preserve"> compared to glimepiride alone.  The GMR and 90% CI (expressed as percentages) for glimepiride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w:t>
      </w:r>
      <w:proofErr w:type="spellStart"/>
      <w:r w:rsidRPr="00F644FD">
        <w:t>ertugliflozin</w:t>
      </w:r>
      <w:proofErr w:type="spellEnd"/>
      <w:r w:rsidRPr="00F644FD">
        <w:t xml:space="preserve"> vs. glimepiride alone were 109.80% (98.14%, 122.86%) and 97.39% (71.07%, 133.46%), respectively.</w:t>
      </w:r>
    </w:p>
    <w:p w14:paraId="67DF0844" w14:textId="77777777" w:rsidR="00A178F1" w:rsidRPr="00F644FD" w:rsidRDefault="00A178F1" w:rsidP="00A178F1">
      <w:pPr>
        <w:pStyle w:val="Heading5"/>
      </w:pPr>
      <w:r w:rsidRPr="00F644FD">
        <w:t>Simvastatin</w:t>
      </w:r>
    </w:p>
    <w:p w14:paraId="724CFA08" w14:textId="77777777" w:rsidR="00A178F1" w:rsidRPr="00F644FD" w:rsidRDefault="00A178F1" w:rsidP="00A178F1">
      <w:proofErr w:type="spellStart"/>
      <w:r w:rsidRPr="00F644FD">
        <w:t>Coadministration</w:t>
      </w:r>
      <w:proofErr w:type="spellEnd"/>
      <w:r w:rsidRPr="00F644FD">
        <w:t xml:space="preserve"> of a single 40 mg simvastatin dose with a single dose of </w:t>
      </w:r>
      <w:proofErr w:type="spellStart"/>
      <w:r w:rsidRPr="00F644FD">
        <w:t>ertugliflozin</w:t>
      </w:r>
      <w:proofErr w:type="spellEnd"/>
      <w:r w:rsidRPr="00F644FD">
        <w:t xml:space="preserve"> 15 mg resulted in a small, non-clinically meaningful increase in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of simvastatin and simvastatin acid.  The GMR and 90% CI (expressed as percentages) for simvastatin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w:t>
      </w:r>
      <w:proofErr w:type="spellStart"/>
      <w:r w:rsidRPr="00F644FD">
        <w:t>ertugliflozin</w:t>
      </w:r>
      <w:proofErr w:type="spellEnd"/>
      <w:r w:rsidRPr="00F644FD">
        <w:t xml:space="preserve"> vs. simvastatin alone were 123.83% (90.92%, 168.66%) and 119.05% (97.22%, 145.77%), respectively.  The GMR and 90% CI for simvastatin acid </w:t>
      </w:r>
      <w:proofErr w:type="spellStart"/>
      <w:r w:rsidRPr="00F644FD">
        <w:t>AUC</w:t>
      </w:r>
      <w:r w:rsidRPr="00F644FD">
        <w:rPr>
          <w:vertAlign w:val="subscript"/>
        </w:rPr>
        <w:t>inf</w:t>
      </w:r>
      <w:proofErr w:type="spellEnd"/>
      <w:r w:rsidRPr="00F644FD">
        <w:t xml:space="preserve"> and </w:t>
      </w:r>
      <w:proofErr w:type="spellStart"/>
      <w:r w:rsidRPr="00F644FD">
        <w:t>C</w:t>
      </w:r>
      <w:r w:rsidRPr="00F644FD">
        <w:rPr>
          <w:vertAlign w:val="subscript"/>
        </w:rPr>
        <w:t>max</w:t>
      </w:r>
      <w:proofErr w:type="spellEnd"/>
      <w:r w:rsidRPr="00F644FD">
        <w:t xml:space="preserve"> for </w:t>
      </w:r>
      <w:proofErr w:type="spellStart"/>
      <w:r w:rsidRPr="00F644FD">
        <w:t>coadministration</w:t>
      </w:r>
      <w:proofErr w:type="spellEnd"/>
      <w:r w:rsidRPr="00F644FD">
        <w:t xml:space="preserve"> with </w:t>
      </w:r>
      <w:proofErr w:type="spellStart"/>
      <w:r w:rsidRPr="00F644FD">
        <w:t>ertugliflozin</w:t>
      </w:r>
      <w:proofErr w:type="spellEnd"/>
      <w:r w:rsidRPr="00F644FD">
        <w:t xml:space="preserve"> vs. simvastatin alone were 130.46% (108.32%, 157.13%) and 115.66% (95.74%, 139.71%), respectively.</w:t>
      </w:r>
    </w:p>
    <w:p w14:paraId="0E21033D" w14:textId="77777777" w:rsidR="00A178F1" w:rsidRPr="00F644FD" w:rsidRDefault="00A178F1" w:rsidP="00A178F1">
      <w:pPr>
        <w:pStyle w:val="Heading7"/>
        <w:rPr>
          <w:lang w:val="en-AU"/>
        </w:rPr>
      </w:pPr>
      <w:r w:rsidRPr="00F644FD">
        <w:rPr>
          <w:lang w:val="en-AU"/>
        </w:rPr>
        <w:lastRenderedPageBreak/>
        <w:t xml:space="preserve">Effects of </w:t>
      </w:r>
      <w:proofErr w:type="spellStart"/>
      <w:r w:rsidRPr="00F644FD">
        <w:rPr>
          <w:lang w:val="en-AU"/>
        </w:rPr>
        <w:t>Ertugliflozin</w:t>
      </w:r>
      <w:proofErr w:type="spellEnd"/>
      <w:r w:rsidRPr="00F644FD">
        <w:rPr>
          <w:lang w:val="en-AU"/>
        </w:rPr>
        <w:t xml:space="preserve"> on the Pharmacokinetics of Other Drugs</w:t>
      </w:r>
    </w:p>
    <w:p w14:paraId="5BEB4609" w14:textId="33014661" w:rsidR="008D5ADA" w:rsidRPr="00F644FD" w:rsidRDefault="008D5ADA" w:rsidP="00A178F1">
      <w:r w:rsidRPr="00345D1C">
        <w:rPr>
          <w:noProof/>
          <w:lang w:eastAsia="en-AU"/>
        </w:rPr>
        <w:drawing>
          <wp:inline distT="0" distB="0" distL="0" distR="0" wp14:anchorId="229E0792" wp14:editId="7C2614CA">
            <wp:extent cx="5732145" cy="3439160"/>
            <wp:effectExtent l="0" t="0" r="190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 MK8835 Figure 5 clinpharmddiperp.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2145" cy="3439160"/>
                    </a:xfrm>
                    <a:prstGeom prst="rect">
                      <a:avLst/>
                    </a:prstGeom>
                  </pic:spPr>
                </pic:pic>
              </a:graphicData>
            </a:graphic>
          </wp:inline>
        </w:drawing>
      </w:r>
    </w:p>
    <w:p w14:paraId="658AE497" w14:textId="541852EA" w:rsidR="00A178F1" w:rsidRPr="00F644FD" w:rsidRDefault="00A178F1" w:rsidP="00A178F1">
      <w:pPr>
        <w:pStyle w:val="Heading3"/>
      </w:pPr>
      <w:r w:rsidRPr="00F644FD">
        <w:t xml:space="preserve">Drug </w:t>
      </w:r>
      <w:r w:rsidR="00B1112D" w:rsidRPr="00F644FD">
        <w:t xml:space="preserve">interactions </w:t>
      </w:r>
      <w:r w:rsidRPr="00F644FD">
        <w:t xml:space="preserve">with </w:t>
      </w:r>
      <w:r w:rsidR="00B1112D" w:rsidRPr="00F644FD">
        <w:t>metformin hydrochloride</w:t>
      </w:r>
    </w:p>
    <w:p w14:paraId="64BDBEBE" w14:textId="5E4B7D20" w:rsidR="0026514D" w:rsidRDefault="0026514D" w:rsidP="0026514D">
      <w:pPr>
        <w:pStyle w:val="Heading5"/>
      </w:pPr>
      <w:r>
        <w:t xml:space="preserve">Drugs that increase the </w:t>
      </w:r>
      <w:r w:rsidRPr="0026514D">
        <w:t>risk</w:t>
      </w:r>
      <w:r>
        <w:t xml:space="preserve"> of lactic acidosis</w:t>
      </w:r>
    </w:p>
    <w:p w14:paraId="1C706015" w14:textId="77777777" w:rsidR="00A178F1" w:rsidRPr="00F644FD" w:rsidRDefault="00A178F1" w:rsidP="0026514D">
      <w:pPr>
        <w:pStyle w:val="Heading5"/>
        <w:numPr>
          <w:ilvl w:val="0"/>
          <w:numId w:val="13"/>
        </w:numPr>
      </w:pPr>
      <w:r w:rsidRPr="00F644FD">
        <w:t>Carbonic Anhydrase Inhibitors</w:t>
      </w:r>
    </w:p>
    <w:p w14:paraId="1E22B656" w14:textId="77777777" w:rsidR="00A178F1" w:rsidRDefault="00A178F1" w:rsidP="00A178F1">
      <w:proofErr w:type="spellStart"/>
      <w:r w:rsidRPr="00F644FD">
        <w:t>Topiramate</w:t>
      </w:r>
      <w:proofErr w:type="spellEnd"/>
      <w:r w:rsidRPr="00F644FD">
        <w:t xml:space="preserve"> or other carbonic anhydrase inhibitors (e.g., </w:t>
      </w:r>
      <w:proofErr w:type="spellStart"/>
      <w:r w:rsidRPr="00F644FD">
        <w:t>zonisamide</w:t>
      </w:r>
      <w:proofErr w:type="spellEnd"/>
      <w:r w:rsidRPr="00F644FD">
        <w:t xml:space="preserve">, acetazolamide or dichlorphenamide) frequently cause a decrease in serum bicarbonate and induce non-anion gap, </w:t>
      </w:r>
      <w:proofErr w:type="spellStart"/>
      <w:r w:rsidRPr="00F644FD">
        <w:t>hyperchloraemic</w:t>
      </w:r>
      <w:proofErr w:type="spellEnd"/>
      <w:r w:rsidRPr="00F644FD">
        <w:t xml:space="preserve"> metabolic acidosis.  Concomitant use of these drugs with SEGLUROMET may increase the risk of lactic acidosis.  Consider more frequent monitoring of these patients.</w:t>
      </w:r>
    </w:p>
    <w:p w14:paraId="62EC0451" w14:textId="47B94A43" w:rsidR="0026514D" w:rsidRPr="00203DC7" w:rsidRDefault="0026514D" w:rsidP="0026514D">
      <w:pPr>
        <w:pStyle w:val="ListParagraph"/>
        <w:numPr>
          <w:ilvl w:val="0"/>
          <w:numId w:val="13"/>
        </w:numPr>
        <w:rPr>
          <w:i/>
          <w:szCs w:val="24"/>
        </w:rPr>
      </w:pPr>
      <w:r w:rsidRPr="00203DC7">
        <w:rPr>
          <w:i/>
          <w:szCs w:val="24"/>
        </w:rPr>
        <w:t>Loop diuretics</w:t>
      </w:r>
      <w:r w:rsidR="008D5ADA" w:rsidRPr="00203DC7">
        <w:rPr>
          <w:i/>
          <w:szCs w:val="24"/>
        </w:rPr>
        <w:t xml:space="preserve">: </w:t>
      </w:r>
      <w:r w:rsidR="008D5ADA" w:rsidRPr="00203DC7">
        <w:rPr>
          <w:szCs w:val="24"/>
        </w:rPr>
        <w:t>May increase the risk of lactic acidosis due to their potential to decrease renal function.</w:t>
      </w:r>
    </w:p>
    <w:p w14:paraId="34B9B744" w14:textId="5E2848F1" w:rsidR="00A178F1" w:rsidRPr="0026514D" w:rsidRDefault="00A178F1" w:rsidP="0026514D">
      <w:pPr>
        <w:pStyle w:val="Heading5"/>
      </w:pPr>
      <w:r w:rsidRPr="0026514D">
        <w:t xml:space="preserve">Drugs that </w:t>
      </w:r>
      <w:r w:rsidR="00B1112D" w:rsidRPr="0026514D">
        <w:t>reduce metformin clearance</w:t>
      </w:r>
    </w:p>
    <w:p w14:paraId="53B8841E" w14:textId="32269F59" w:rsidR="00A178F1" w:rsidRPr="00F644FD" w:rsidRDefault="00A178F1" w:rsidP="00A178F1">
      <w:r w:rsidRPr="00F644FD">
        <w:t>Drugs that are eliminated by renal tubular secretion have the potential for interaction with metformin by competing for common renal tubular transport systems, and may increase the accumulation of metformin and the risk for lactic acidosis.  Consider more frequent monitoring of these patients.</w:t>
      </w:r>
    </w:p>
    <w:p w14:paraId="68CB3C6D" w14:textId="3FEDEEFA" w:rsidR="0026514D" w:rsidRDefault="0026514D" w:rsidP="0026514D">
      <w:pPr>
        <w:pStyle w:val="Heading5"/>
      </w:pPr>
      <w:r>
        <w:t>Cationic drugs</w:t>
      </w:r>
    </w:p>
    <w:p w14:paraId="77E6A0AF" w14:textId="2DA59C1C" w:rsidR="0026514D" w:rsidRPr="00F644FD" w:rsidRDefault="0026514D" w:rsidP="0026514D">
      <w:r>
        <w:t xml:space="preserve">Cationic drugs (e.g., </w:t>
      </w:r>
      <w:proofErr w:type="spellStart"/>
      <w:r>
        <w:t>amiloride</w:t>
      </w:r>
      <w:proofErr w:type="spellEnd"/>
      <w:r>
        <w:t xml:space="preserve">, digoxin, morphine, procainamide, quinidine, quinine, ranitidine, triamterene, trimethoprim, or vancomycin) that are eliminated by renal tubular secretion theoretically have the potential for interaction with metformin by competing for common renal tubular transport systems.  Such interaction between metformin and oral cimetidine has been observed in normal healthy volunteers in both single- and multiple dose metformin cimetidine drug interaction studies, with a 60% increase in peak metformin plasma and whole blood concentrations and a 40% increase in plasma and whole blood </w:t>
      </w:r>
      <w:r>
        <w:lastRenderedPageBreak/>
        <w:t>metformin AUC.  There was no change in elimination half-life in the single dose study.  Metformin had no effect on cimetidine pharmacokinetics.  Although such interactions remain theoretical (except for cimetidine), careful patient monitoring and dose adjustment of SEGLUROMET, and/or the interfering drug is recommended in patients who are taking cationic medications that are excreted via the proximal renal tubular secretory system.</w:t>
      </w:r>
    </w:p>
    <w:p w14:paraId="78037B76" w14:textId="77777777" w:rsidR="00A178F1" w:rsidRPr="00F644FD" w:rsidRDefault="00A178F1" w:rsidP="00A178F1">
      <w:pPr>
        <w:pStyle w:val="Heading5"/>
      </w:pPr>
      <w:r w:rsidRPr="00F644FD">
        <w:t>Alcohol</w:t>
      </w:r>
    </w:p>
    <w:p w14:paraId="341B9EB2" w14:textId="6BBAD9E0" w:rsidR="009F0E06" w:rsidRPr="00F644FD" w:rsidRDefault="00A178F1" w:rsidP="009F0E06">
      <w:r w:rsidRPr="00F644FD">
        <w:t>The risk of lactic acidosis increases with acute intoxication, particularly in cases of fasting or malnutrition and hepatic insufficiency.  Alcohol may make the signs of hypoglycaemia less clear, and delayed hypoglycaemia can occur.  The CNS depressant effects of alcohol plus hypoglycaemia can make driving and operation of dangerous machinery much more hazardous.</w:t>
      </w:r>
    </w:p>
    <w:p w14:paraId="1127936A" w14:textId="1D2C0AC0" w:rsidR="00A178F1" w:rsidRPr="00F644FD" w:rsidRDefault="00A178F1" w:rsidP="00A178F1">
      <w:pPr>
        <w:pStyle w:val="Heading3"/>
      </w:pPr>
      <w:r w:rsidRPr="00F644FD">
        <w:t xml:space="preserve">Drugs that </w:t>
      </w:r>
      <w:r w:rsidR="00B1112D" w:rsidRPr="00F644FD">
        <w:t>affect glycaemic control</w:t>
      </w:r>
    </w:p>
    <w:p w14:paraId="364F09A6" w14:textId="29541149" w:rsidR="00A178F1" w:rsidRPr="00F644FD" w:rsidRDefault="00A178F1" w:rsidP="00A178F1">
      <w:r w:rsidRPr="00F644FD">
        <w:t xml:space="preserve">Certain drugs tend to produce hyperglycaemia and may lead to loss of glycaemic control. </w:t>
      </w:r>
      <w:r w:rsidR="0066050E">
        <w:t xml:space="preserve"> </w:t>
      </w:r>
      <w:r w:rsidRPr="00F644FD">
        <w:t xml:space="preserve">These drugs include the thiazides and other diuretics, corticosteroids, </w:t>
      </w:r>
      <w:proofErr w:type="spellStart"/>
      <w:r w:rsidRPr="00F644FD">
        <w:t>phenothiazines</w:t>
      </w:r>
      <w:proofErr w:type="spellEnd"/>
      <w:r w:rsidRPr="00F644FD">
        <w:t xml:space="preserve">, thyroid products, estrogens, oral contraceptives, phenytoin, nicotinic acid, </w:t>
      </w:r>
      <w:proofErr w:type="spellStart"/>
      <w:r w:rsidRPr="00F644FD">
        <w:t>sympathomimetics</w:t>
      </w:r>
      <w:proofErr w:type="spellEnd"/>
      <w:r w:rsidRPr="00F644FD">
        <w:t>, calcium channel blocking drugs, and isoniazid.  When such drugs are administered to a patient receiving SEGLUROMET, the patient should be closely observed to maintain adequate glycaemic control.</w:t>
      </w:r>
    </w:p>
    <w:p w14:paraId="1131EB5E" w14:textId="77777777" w:rsidR="00A178F1" w:rsidRPr="00F644FD" w:rsidRDefault="00A178F1" w:rsidP="00A178F1">
      <w:pPr>
        <w:pStyle w:val="Heading5"/>
      </w:pPr>
      <w:r w:rsidRPr="00F644FD">
        <w:t>Glyburide</w:t>
      </w:r>
    </w:p>
    <w:p w14:paraId="431F2241" w14:textId="3DA53933" w:rsidR="00A178F1" w:rsidRPr="00F644FD" w:rsidRDefault="00A178F1" w:rsidP="00A178F1">
      <w:r w:rsidRPr="00F644FD">
        <w:t>In a single</w:t>
      </w:r>
      <w:r w:rsidR="009E678D">
        <w:t>-</w:t>
      </w:r>
      <w:r w:rsidRPr="00F644FD">
        <w:t xml:space="preserve">dose interaction study in type 2 diabetes patients, </w:t>
      </w:r>
      <w:proofErr w:type="spellStart"/>
      <w:r w:rsidRPr="00F644FD">
        <w:t>coadministration</w:t>
      </w:r>
      <w:proofErr w:type="spellEnd"/>
      <w:r w:rsidRPr="00F644FD">
        <w:t xml:space="preserve"> of metformin and glyburide did not result in any changes in either metformin pharmacokinetics or pharmacodynamics.  Decreases in glyburide area under the curve (AUC) and peak concentration (</w:t>
      </w:r>
      <w:proofErr w:type="spellStart"/>
      <w:r w:rsidRPr="00F644FD">
        <w:t>C</w:t>
      </w:r>
      <w:r w:rsidRPr="00F644FD">
        <w:rPr>
          <w:vertAlign w:val="subscript"/>
        </w:rPr>
        <w:t>max</w:t>
      </w:r>
      <w:proofErr w:type="spellEnd"/>
      <w:r w:rsidRPr="00F644FD">
        <w:t xml:space="preserve">) were observed, but were highly variable.  The single-dose nature of this study and the lack of correlation between glyburide blood levels and </w:t>
      </w:r>
      <w:proofErr w:type="spellStart"/>
      <w:r w:rsidRPr="00F644FD">
        <w:t>pharmacodynamic</w:t>
      </w:r>
      <w:proofErr w:type="spellEnd"/>
      <w:r w:rsidRPr="00F644FD">
        <w:t xml:space="preserve"> effects make the clinical significance of this interaction uncertain.</w:t>
      </w:r>
    </w:p>
    <w:p w14:paraId="1C71FECB" w14:textId="77777777" w:rsidR="00A178F1" w:rsidRPr="00F644FD" w:rsidRDefault="00A178F1" w:rsidP="00A178F1">
      <w:pPr>
        <w:pStyle w:val="Heading5"/>
      </w:pPr>
      <w:r w:rsidRPr="00F644FD">
        <w:t>Furosemide</w:t>
      </w:r>
    </w:p>
    <w:p w14:paraId="5C4869CB" w14:textId="0A694C48" w:rsidR="00A178F1" w:rsidRPr="00F644FD" w:rsidRDefault="00A178F1" w:rsidP="00A178F1">
      <w:r w:rsidRPr="00F644FD">
        <w:t>A single</w:t>
      </w:r>
      <w:r w:rsidR="009E678D">
        <w:t>-</w:t>
      </w:r>
      <w:r w:rsidRPr="00F644FD">
        <w:t xml:space="preserve">dose, metformin furosemide drug interaction study in healthy subjects demonstrated that pharmacokinetic parameters of both compounds were affected by </w:t>
      </w:r>
      <w:proofErr w:type="spellStart"/>
      <w:r w:rsidRPr="00F644FD">
        <w:t>coadministration</w:t>
      </w:r>
      <w:proofErr w:type="spellEnd"/>
      <w:r w:rsidRPr="00F644FD">
        <w:t xml:space="preserve">.  Furosemide increased the metformin plasma and blood </w:t>
      </w:r>
      <w:proofErr w:type="spellStart"/>
      <w:r w:rsidRPr="00F644FD">
        <w:t>C</w:t>
      </w:r>
      <w:r w:rsidRPr="00F644FD">
        <w:rPr>
          <w:vertAlign w:val="subscript"/>
        </w:rPr>
        <w:t>max</w:t>
      </w:r>
      <w:proofErr w:type="spellEnd"/>
      <w:r w:rsidRPr="00F644FD">
        <w:t xml:space="preserve"> by 22% and blood AUC by 15%, without any significant change in metformin renal clearance.  When administered with metformin, the </w:t>
      </w:r>
      <w:proofErr w:type="spellStart"/>
      <w:r w:rsidRPr="00F644FD">
        <w:t>C</w:t>
      </w:r>
      <w:r w:rsidRPr="00F644FD">
        <w:rPr>
          <w:vertAlign w:val="subscript"/>
        </w:rPr>
        <w:t>max</w:t>
      </w:r>
      <w:proofErr w:type="spellEnd"/>
      <w:r w:rsidRPr="00F644FD">
        <w:t xml:space="preserve"> and AUC of furosemide were 31% and 12% smaller, respectively, than when administered alone, and the terminal half</w:t>
      </w:r>
      <w:r w:rsidRPr="00F644FD">
        <w:noBreakHyphen/>
        <w:t>life was decreased by 32%, without any significant change in furosemide renal clearance.</w:t>
      </w:r>
      <w:r w:rsidR="009E678D">
        <w:t xml:space="preserve"> </w:t>
      </w:r>
      <w:r w:rsidRPr="00F644FD">
        <w:t xml:space="preserve"> No information is available about the interaction of metformin and furosemide when </w:t>
      </w:r>
      <w:proofErr w:type="spellStart"/>
      <w:r w:rsidRPr="00F644FD">
        <w:t>coadministered</w:t>
      </w:r>
      <w:proofErr w:type="spellEnd"/>
      <w:r w:rsidRPr="00F644FD">
        <w:t xml:space="preserve"> chronically.</w:t>
      </w:r>
    </w:p>
    <w:p w14:paraId="610F657D" w14:textId="77777777" w:rsidR="00A178F1" w:rsidRPr="00F644FD" w:rsidRDefault="00A178F1" w:rsidP="00A178F1">
      <w:pPr>
        <w:pStyle w:val="Heading5"/>
      </w:pPr>
      <w:proofErr w:type="spellStart"/>
      <w:r w:rsidRPr="00F644FD">
        <w:t>Nifedipine</w:t>
      </w:r>
      <w:proofErr w:type="spellEnd"/>
    </w:p>
    <w:p w14:paraId="26B556F6" w14:textId="102AE309" w:rsidR="00A178F1" w:rsidRPr="00F644FD" w:rsidRDefault="00A178F1" w:rsidP="00A178F1">
      <w:r w:rsidRPr="00F644FD">
        <w:t>A single</w:t>
      </w:r>
      <w:r w:rsidR="009E678D">
        <w:t>-</w:t>
      </w:r>
      <w:r w:rsidRPr="00F644FD">
        <w:t xml:space="preserve">dose, metformin </w:t>
      </w:r>
      <w:proofErr w:type="spellStart"/>
      <w:r w:rsidRPr="00F644FD">
        <w:t>nifedipine</w:t>
      </w:r>
      <w:proofErr w:type="spellEnd"/>
      <w:r w:rsidRPr="00F644FD">
        <w:t xml:space="preserve"> drug interaction study in normal healthy volunteers demonstrated that </w:t>
      </w:r>
      <w:proofErr w:type="spellStart"/>
      <w:r w:rsidRPr="00F644FD">
        <w:t>coadministration</w:t>
      </w:r>
      <w:proofErr w:type="spellEnd"/>
      <w:r w:rsidRPr="00F644FD">
        <w:t xml:space="preserve"> of </w:t>
      </w:r>
      <w:proofErr w:type="spellStart"/>
      <w:r w:rsidRPr="00F644FD">
        <w:t>nifedipine</w:t>
      </w:r>
      <w:proofErr w:type="spellEnd"/>
      <w:r w:rsidRPr="00F644FD">
        <w:t xml:space="preserve"> increased plasma metformin </w:t>
      </w:r>
      <w:proofErr w:type="spellStart"/>
      <w:r w:rsidRPr="00F644FD">
        <w:t>C</w:t>
      </w:r>
      <w:r w:rsidRPr="00F644FD">
        <w:rPr>
          <w:vertAlign w:val="subscript"/>
        </w:rPr>
        <w:t>max</w:t>
      </w:r>
      <w:proofErr w:type="spellEnd"/>
      <w:r w:rsidRPr="00F644FD">
        <w:t xml:space="preserve"> and AUC by 20% and 9%, respectively, and increased the amount excreted in the urine. </w:t>
      </w:r>
      <w:proofErr w:type="spellStart"/>
      <w:r w:rsidRPr="00F644FD">
        <w:t>T</w:t>
      </w:r>
      <w:r w:rsidRPr="00F644FD">
        <w:rPr>
          <w:vertAlign w:val="subscript"/>
        </w:rPr>
        <w:t>max</w:t>
      </w:r>
      <w:proofErr w:type="spellEnd"/>
      <w:r w:rsidRPr="00F644FD">
        <w:t xml:space="preserve"> and half</w:t>
      </w:r>
      <w:r w:rsidRPr="00F644FD">
        <w:noBreakHyphen/>
        <w:t xml:space="preserve">life were unaffected.  </w:t>
      </w:r>
      <w:proofErr w:type="spellStart"/>
      <w:r w:rsidRPr="00F644FD">
        <w:t>Nifedipine</w:t>
      </w:r>
      <w:proofErr w:type="spellEnd"/>
      <w:r w:rsidRPr="00F644FD">
        <w:t xml:space="preserve"> appears to enhance the absorption of metformin.  Metformin had minimal effects on </w:t>
      </w:r>
      <w:proofErr w:type="spellStart"/>
      <w:r w:rsidRPr="00F644FD">
        <w:t>nifedipine</w:t>
      </w:r>
      <w:proofErr w:type="spellEnd"/>
      <w:r w:rsidRPr="00F644FD">
        <w:t>.</w:t>
      </w:r>
    </w:p>
    <w:p w14:paraId="4A9D3B1B" w14:textId="77777777" w:rsidR="00A178F1" w:rsidRPr="00F644FD" w:rsidRDefault="00A178F1" w:rsidP="00A178F1">
      <w:pPr>
        <w:pStyle w:val="Heading5"/>
      </w:pPr>
      <w:r w:rsidRPr="00F644FD">
        <w:t>Beta-Blockers</w:t>
      </w:r>
    </w:p>
    <w:p w14:paraId="0CF167D5" w14:textId="3871121F" w:rsidR="00A178F1" w:rsidRPr="00F644FD" w:rsidRDefault="00A178F1" w:rsidP="00A178F1">
      <w:r w:rsidRPr="00F644FD">
        <w:t xml:space="preserve">Co-administration of metformin and beta-blockers may result in a potentiation of the anti-hyperglycaemic action. </w:t>
      </w:r>
      <w:r w:rsidR="004B33B5" w:rsidRPr="00F644FD">
        <w:t xml:space="preserve"> </w:t>
      </w:r>
      <w:r w:rsidRPr="00F644FD">
        <w:t xml:space="preserve">In addition, some of the premonitory signs of hypoglycaemia, in </w:t>
      </w:r>
      <w:r w:rsidRPr="00F644FD">
        <w:lastRenderedPageBreak/>
        <w:t xml:space="preserve">particular tachycardia, may be masked. </w:t>
      </w:r>
      <w:r w:rsidR="004B33B5" w:rsidRPr="00F644FD">
        <w:t xml:space="preserve"> </w:t>
      </w:r>
      <w:r w:rsidRPr="00F644FD">
        <w:t>Monitoring of blood glucose should be undertaken during dosage adjustment of either agent.</w:t>
      </w:r>
    </w:p>
    <w:p w14:paraId="63594664" w14:textId="77777777" w:rsidR="00A178F1" w:rsidRPr="00F644FD" w:rsidRDefault="00A178F1" w:rsidP="00A178F1">
      <w:pPr>
        <w:pStyle w:val="Heading5"/>
      </w:pPr>
      <w:r w:rsidRPr="00F644FD">
        <w:t>Other</w:t>
      </w:r>
    </w:p>
    <w:p w14:paraId="72EE46F0" w14:textId="170AA700" w:rsidR="00A178F1" w:rsidRPr="00F644FD" w:rsidRDefault="00A178F1" w:rsidP="00A178F1">
      <w:r w:rsidRPr="00F644FD">
        <w:t xml:space="preserve">In healthy volunteers, the pharmacokinetics of metformin and ibuprofen were not affected when </w:t>
      </w:r>
      <w:proofErr w:type="spellStart"/>
      <w:r w:rsidRPr="00F644FD">
        <w:t>coadministered</w:t>
      </w:r>
      <w:proofErr w:type="spellEnd"/>
      <w:r w:rsidRPr="00F644FD">
        <w:t xml:space="preserve"> in single dose interaction studies.</w:t>
      </w:r>
    </w:p>
    <w:p w14:paraId="3A245282" w14:textId="77777777" w:rsidR="00A178F1" w:rsidRPr="00F644FD" w:rsidRDefault="00A178F1" w:rsidP="00A178F1"/>
    <w:p w14:paraId="1E7E1FAB" w14:textId="77777777" w:rsidR="00A178F1" w:rsidRPr="00F644FD" w:rsidRDefault="00A178F1" w:rsidP="00A178F1">
      <w:r w:rsidRPr="00F644FD">
        <w:t xml:space="preserve">Metformin is negligibly bound to plasma proteins and is, therefore, less likely to interact with highly protein bound drugs such as salicylates, </w:t>
      </w:r>
      <w:proofErr w:type="spellStart"/>
      <w:r w:rsidRPr="00F644FD">
        <w:t>sulfonamides</w:t>
      </w:r>
      <w:proofErr w:type="spellEnd"/>
      <w:r w:rsidRPr="00F644FD">
        <w:t>, chloramphenicol, and probenecid, as compared to the sulfonylureas, which are extensively bound to serum proteins.</w:t>
      </w:r>
    </w:p>
    <w:p w14:paraId="570CE4DE" w14:textId="77777777" w:rsidR="004B2CBD" w:rsidRPr="00F644FD" w:rsidRDefault="004B2CBD" w:rsidP="004B2CBD">
      <w:pPr>
        <w:pStyle w:val="Heading2"/>
        <w:rPr>
          <w:rFonts w:eastAsia="Cambria"/>
        </w:rPr>
      </w:pPr>
      <w:r w:rsidRPr="00F644FD">
        <w:rPr>
          <w:rFonts w:eastAsia="Cambria"/>
        </w:rPr>
        <w:t>4.6</w:t>
      </w:r>
      <w:r w:rsidRPr="00F644FD">
        <w:rPr>
          <w:rFonts w:eastAsia="Cambria"/>
        </w:rPr>
        <w:tab/>
        <w:t>FERTILITY, PREGNANCY AND LACTATION</w:t>
      </w:r>
    </w:p>
    <w:p w14:paraId="0C24F250" w14:textId="4470314C" w:rsidR="004B2CBD" w:rsidRPr="00F644FD" w:rsidRDefault="004B2CBD" w:rsidP="004B2CBD">
      <w:pPr>
        <w:pStyle w:val="Heading3"/>
      </w:pPr>
      <w:r w:rsidRPr="00F644FD">
        <w:t xml:space="preserve">Effects on </w:t>
      </w:r>
      <w:r w:rsidR="009C7F59">
        <w:t>f</w:t>
      </w:r>
      <w:r w:rsidRPr="00F644FD">
        <w:t>ertility</w:t>
      </w:r>
    </w:p>
    <w:p w14:paraId="0070AF13" w14:textId="28804F02" w:rsidR="004B2CBD" w:rsidRPr="00F644FD" w:rsidRDefault="004B2CBD" w:rsidP="004B2CBD">
      <w:r w:rsidRPr="00F644FD">
        <w:t xml:space="preserve">The effect of SEGLUROMET or its individual components on fertility in humans has not been studied. </w:t>
      </w:r>
      <w:r w:rsidR="00441AF1">
        <w:t xml:space="preserve"> </w:t>
      </w:r>
      <w:r w:rsidR="00441AF1" w:rsidRPr="00441AF1">
        <w:t xml:space="preserve">No animal fertility studies have been performed with </w:t>
      </w:r>
      <w:proofErr w:type="spellStart"/>
      <w:r w:rsidR="00441AF1" w:rsidRPr="00441AF1">
        <w:t>ertugliflozin</w:t>
      </w:r>
      <w:proofErr w:type="spellEnd"/>
      <w:r w:rsidR="00441AF1" w:rsidRPr="00441AF1">
        <w:t xml:space="preserve"> and metformin in combination.</w:t>
      </w:r>
    </w:p>
    <w:p w14:paraId="7DF90E5E" w14:textId="77777777" w:rsidR="004B2CBD" w:rsidRPr="00F644FD" w:rsidRDefault="004B2CBD" w:rsidP="004B2CBD">
      <w:pPr>
        <w:pStyle w:val="Heading5"/>
      </w:pPr>
      <w:proofErr w:type="spellStart"/>
      <w:r w:rsidRPr="00F644FD">
        <w:t>Ertugliflozin</w:t>
      </w:r>
      <w:proofErr w:type="spellEnd"/>
    </w:p>
    <w:p w14:paraId="56A91B44" w14:textId="036B350B" w:rsidR="004B2CBD" w:rsidRPr="00F644FD" w:rsidRDefault="004B2CBD" w:rsidP="00441AF1">
      <w:r w:rsidRPr="00F644FD">
        <w:t xml:space="preserve">In rats, no effects on </w:t>
      </w:r>
      <w:r w:rsidR="00441AF1" w:rsidRPr="00441AF1">
        <w:t>male or female</w:t>
      </w:r>
      <w:r w:rsidR="00441AF1">
        <w:t xml:space="preserve"> </w:t>
      </w:r>
      <w:r w:rsidRPr="00F644FD">
        <w:t xml:space="preserve">fertility were observed </w:t>
      </w:r>
      <w:r w:rsidR="00441AF1" w:rsidRPr="00441AF1">
        <w:t xml:space="preserve">with oral administration of </w:t>
      </w:r>
      <w:proofErr w:type="spellStart"/>
      <w:r w:rsidR="00441AF1" w:rsidRPr="00441AF1">
        <w:t>ertugliflozin</w:t>
      </w:r>
      <w:proofErr w:type="spellEnd"/>
      <w:r w:rsidR="00441AF1">
        <w:t xml:space="preserve"> </w:t>
      </w:r>
      <w:r w:rsidRPr="00F644FD">
        <w:t>up to the highest dose of 250 mg/kg/day (</w:t>
      </w:r>
      <w:r w:rsidR="00441AF1" w:rsidRPr="00441AF1">
        <w:t>yielding</w:t>
      </w:r>
      <w:r w:rsidR="00441AF1">
        <w:t xml:space="preserve"> </w:t>
      </w:r>
      <w:r w:rsidRPr="00F644FD">
        <w:t xml:space="preserve">approximately </w:t>
      </w:r>
      <w:r w:rsidR="00441AF1" w:rsidRPr="00441AF1">
        <w:t>280 and 380</w:t>
      </w:r>
      <w:r w:rsidRPr="00F644FD">
        <w:t xml:space="preserve"> times </w:t>
      </w:r>
      <w:r w:rsidR="00441AF1" w:rsidRPr="00441AF1">
        <w:t xml:space="preserve">the clinical plasma AUC for unbound </w:t>
      </w:r>
      <w:proofErr w:type="spellStart"/>
      <w:r w:rsidR="00441AF1" w:rsidRPr="00441AF1">
        <w:t>ertugliflozin</w:t>
      </w:r>
      <w:proofErr w:type="spellEnd"/>
      <w:r w:rsidR="00441AF1">
        <w:t xml:space="preserve"> at the maximum recommended human dose (</w:t>
      </w:r>
      <w:r w:rsidRPr="00F644FD">
        <w:t>MRHD</w:t>
      </w:r>
      <w:r w:rsidR="00441AF1">
        <w:t>)</w:t>
      </w:r>
      <w:r w:rsidRPr="00F644FD">
        <w:t xml:space="preserve"> of 15 mg/day </w:t>
      </w:r>
      <w:r w:rsidR="00CE41FA">
        <w:t xml:space="preserve">in </w:t>
      </w:r>
      <w:r w:rsidR="00441AF1" w:rsidRPr="00441AF1">
        <w:t>the respective sexes</w:t>
      </w:r>
      <w:r w:rsidRPr="00F644FD">
        <w:t>).</w:t>
      </w:r>
    </w:p>
    <w:p w14:paraId="3087F352" w14:textId="77777777" w:rsidR="004B2CBD" w:rsidRPr="00F644FD" w:rsidRDefault="004B2CBD" w:rsidP="004B2CBD">
      <w:pPr>
        <w:pStyle w:val="Heading5"/>
      </w:pPr>
      <w:r w:rsidRPr="00F644FD">
        <w:t>Metformin hydrochloride</w:t>
      </w:r>
    </w:p>
    <w:p w14:paraId="6A8E4EAD" w14:textId="77777777" w:rsidR="004B2CBD" w:rsidRPr="00F644FD" w:rsidRDefault="004B2CBD" w:rsidP="004B2CBD">
      <w:r w:rsidRPr="00F644FD">
        <w:t>Fertility of male or female rats was unaffected by metformin when administered at doses as high as 600 mg/kg/day, which is approximately three times the maximum recommended human daily dose based on body surface area comparisons.</w:t>
      </w:r>
    </w:p>
    <w:p w14:paraId="706D4465" w14:textId="42DEA27D" w:rsidR="004B2CBD" w:rsidRPr="00F644FD" w:rsidRDefault="004B2CBD" w:rsidP="004B2CBD">
      <w:pPr>
        <w:pStyle w:val="Heading3"/>
      </w:pPr>
      <w:r w:rsidRPr="00F644FD">
        <w:t xml:space="preserve">Use in pregnancy (Category </w:t>
      </w:r>
      <w:r w:rsidR="008F4872">
        <w:t>D</w:t>
      </w:r>
      <w:r w:rsidRPr="00F644FD">
        <w:t>)</w:t>
      </w:r>
    </w:p>
    <w:p w14:paraId="2AE5D911" w14:textId="77777777" w:rsidR="004B2CBD" w:rsidRPr="00F644FD" w:rsidRDefault="004B2CBD" w:rsidP="004B2CBD">
      <w:pPr>
        <w:pStyle w:val="Heading5"/>
        <w:rPr>
          <w:b/>
        </w:rPr>
      </w:pPr>
      <w:r w:rsidRPr="00F644FD">
        <w:t>SEGLUROMET</w:t>
      </w:r>
    </w:p>
    <w:p w14:paraId="4EC53D1D" w14:textId="36808C7E" w:rsidR="004B2CBD" w:rsidRPr="00F644FD" w:rsidRDefault="004B2CBD" w:rsidP="004B2CBD">
      <w:r w:rsidRPr="00F644FD">
        <w:t xml:space="preserve">There are no adequate and well-controlled studies of </w:t>
      </w:r>
      <w:r w:rsidRPr="00F644FD" w:rsidDel="00DE35C9">
        <w:t>SEGLUROMET</w:t>
      </w:r>
      <w:r w:rsidRPr="00F644FD">
        <w:t xml:space="preserve"> or its individual components in pregnant women.    Based on results from animal studies, </w:t>
      </w:r>
      <w:proofErr w:type="spellStart"/>
      <w:r w:rsidRPr="00F644FD">
        <w:t>ertugliflozin</w:t>
      </w:r>
      <w:proofErr w:type="spellEnd"/>
      <w:r w:rsidRPr="00F644FD">
        <w:t xml:space="preserve"> may affect renal development and maturation.  </w:t>
      </w:r>
      <w:r w:rsidR="00A07EE7" w:rsidRPr="00A07EE7">
        <w:t xml:space="preserve">No animal </w:t>
      </w:r>
      <w:proofErr w:type="spellStart"/>
      <w:r w:rsidR="00A07EE7" w:rsidRPr="00A07EE7">
        <w:t>embryofetal</w:t>
      </w:r>
      <w:proofErr w:type="spellEnd"/>
      <w:r w:rsidR="00A07EE7" w:rsidRPr="00A07EE7">
        <w:t xml:space="preserve"> development studies have been performed with </w:t>
      </w:r>
      <w:proofErr w:type="spellStart"/>
      <w:r w:rsidR="00A07EE7" w:rsidRPr="00A07EE7">
        <w:t>ertugliflozin</w:t>
      </w:r>
      <w:proofErr w:type="spellEnd"/>
      <w:r w:rsidR="00A07EE7" w:rsidRPr="00A07EE7">
        <w:t xml:space="preserve"> and metformin in combination.</w:t>
      </w:r>
      <w:r w:rsidR="00A07EE7">
        <w:t xml:space="preserve">  </w:t>
      </w:r>
      <w:r w:rsidRPr="00F644FD">
        <w:t xml:space="preserve"> </w:t>
      </w:r>
      <w:r w:rsidR="00A07EE7" w:rsidRPr="00A07EE7">
        <w:t>Use of SEGLUROMET during pregnancy is not recommended.</w:t>
      </w:r>
    </w:p>
    <w:p w14:paraId="7FC65680" w14:textId="77777777" w:rsidR="004B2CBD" w:rsidRPr="00F644FD" w:rsidRDefault="004B2CBD" w:rsidP="004B2CBD">
      <w:pPr>
        <w:pStyle w:val="Heading5"/>
      </w:pPr>
      <w:proofErr w:type="spellStart"/>
      <w:r w:rsidRPr="00F644FD">
        <w:t>Ertugliflozin</w:t>
      </w:r>
      <w:proofErr w:type="spellEnd"/>
    </w:p>
    <w:p w14:paraId="45DFD9EE" w14:textId="4F9743B0" w:rsidR="00A34CA4" w:rsidRDefault="004B2CBD" w:rsidP="004B2CBD">
      <w:r w:rsidRPr="00F644FD">
        <w:t xml:space="preserve">In animal studies, </w:t>
      </w:r>
      <w:proofErr w:type="spellStart"/>
      <w:r w:rsidRPr="00F644FD">
        <w:t>ertugliflozin</w:t>
      </w:r>
      <w:proofErr w:type="spellEnd"/>
      <w:r w:rsidRPr="00F644FD">
        <w:t xml:space="preserve"> did not adversely affect developmental outcomes in rats and rabbits at </w:t>
      </w:r>
      <w:r w:rsidR="00A07EE7" w:rsidRPr="00A07EE7">
        <w:t xml:space="preserve">oral doses up to 100 mg/kg/day and 250 mg/kg/day in the respective species (yielding approximately 240 and &gt;1000 times the clinical AUC for unbound </w:t>
      </w:r>
      <w:proofErr w:type="spellStart"/>
      <w:r w:rsidR="00A07EE7" w:rsidRPr="00A07EE7">
        <w:t>ertugliflozin</w:t>
      </w:r>
      <w:proofErr w:type="spellEnd"/>
      <w:r w:rsidR="00A07EE7" w:rsidRPr="00A07EE7">
        <w:t xml:space="preserve"> at the MRHD of 15 mg/day)</w:t>
      </w:r>
      <w:r w:rsidRPr="00F644FD">
        <w:t>.  At a maternally toxic dose in rats (250</w:t>
      </w:r>
      <w:r w:rsidR="00F57FFE" w:rsidRPr="00F644FD">
        <w:t> </w:t>
      </w:r>
      <w:r w:rsidRPr="00F644FD">
        <w:t xml:space="preserve">mg/kg/day), lower </w:t>
      </w:r>
      <w:proofErr w:type="spellStart"/>
      <w:r w:rsidRPr="00F644FD">
        <w:t>fetal</w:t>
      </w:r>
      <w:proofErr w:type="spellEnd"/>
      <w:r w:rsidRPr="00F644FD">
        <w:t xml:space="preserve"> viability and a higher incidence of </w:t>
      </w:r>
      <w:r w:rsidR="00A34CA4">
        <w:t xml:space="preserve">cardiac </w:t>
      </w:r>
      <w:r w:rsidRPr="00F644FD">
        <w:t xml:space="preserve">malformation were observed </w:t>
      </w:r>
      <w:r w:rsidR="00A34CA4">
        <w:t>(</w:t>
      </w:r>
      <w:r w:rsidRPr="00F644FD">
        <w:t>510 times the</w:t>
      </w:r>
      <w:r w:rsidR="00062A75">
        <w:t xml:space="preserve"> </w:t>
      </w:r>
      <w:r w:rsidR="00A34CA4" w:rsidRPr="00A34CA4">
        <w:t xml:space="preserve">clinical exposure at the MRHD, based on AUC). </w:t>
      </w:r>
      <w:r w:rsidR="00A34CA4">
        <w:t xml:space="preserve"> </w:t>
      </w:r>
      <w:proofErr w:type="spellStart"/>
      <w:r w:rsidR="00A34CA4" w:rsidRPr="00A34CA4">
        <w:t>Ertugliflozin</w:t>
      </w:r>
      <w:proofErr w:type="spellEnd"/>
      <w:r w:rsidR="00A34CA4" w:rsidRPr="00A34CA4">
        <w:t xml:space="preserve"> and/or its metabolites were shown to cross the placenta in rats.</w:t>
      </w:r>
    </w:p>
    <w:p w14:paraId="4ACC8580" w14:textId="77777777" w:rsidR="00A34CA4" w:rsidRDefault="00A34CA4" w:rsidP="004B2CBD"/>
    <w:p w14:paraId="76F16BF3" w14:textId="23DA6E1C" w:rsidR="004B2CBD" w:rsidRPr="00F644FD" w:rsidRDefault="00A34CA4" w:rsidP="004B2CBD">
      <w:r w:rsidRPr="00A34CA4">
        <w:t xml:space="preserve">The developing kidney is seen to be more sensitive to </w:t>
      </w:r>
      <w:proofErr w:type="spellStart"/>
      <w:r w:rsidRPr="00A34CA4">
        <w:t>ertugliflozin</w:t>
      </w:r>
      <w:proofErr w:type="spellEnd"/>
      <w:r w:rsidRPr="00A34CA4">
        <w:t xml:space="preserve"> than the mature organ. </w:t>
      </w:r>
      <w:r>
        <w:t xml:space="preserve"> </w:t>
      </w:r>
      <w:r w:rsidR="004B2CBD" w:rsidRPr="00F644FD">
        <w:t xml:space="preserve">When </w:t>
      </w:r>
      <w:proofErr w:type="spellStart"/>
      <w:r w:rsidR="004B2CBD" w:rsidRPr="00F644FD">
        <w:t>ertugliflozin</w:t>
      </w:r>
      <w:proofErr w:type="spellEnd"/>
      <w:r w:rsidR="004B2CBD" w:rsidRPr="00F644FD">
        <w:t xml:space="preserve"> was administered to juvenile rats from postnatal day (PND) 21 to </w:t>
      </w:r>
      <w:r w:rsidR="004B2CBD" w:rsidRPr="00F644FD">
        <w:lastRenderedPageBreak/>
        <w:t>PND</w:t>
      </w:r>
      <w:r>
        <w:t> </w:t>
      </w:r>
      <w:r w:rsidR="004B2CBD" w:rsidRPr="00F644FD">
        <w:t xml:space="preserve">90,  increased kidney weights, dilatation of the renal pelvis and tubules, and renal mineralization were seen at </w:t>
      </w:r>
      <w:r w:rsidRPr="00A34CA4">
        <w:t>all dose levels tested (≥5 mg/kg/day, yielding</w:t>
      </w:r>
      <w:r>
        <w:t xml:space="preserve"> </w:t>
      </w:r>
      <w:r w:rsidR="004B2CBD" w:rsidRPr="00F644FD">
        <w:t>13 times</w:t>
      </w:r>
      <w:r w:rsidR="000208DE">
        <w:t xml:space="preserve"> the</w:t>
      </w:r>
      <w:r w:rsidR="004B2CBD" w:rsidRPr="00F644FD">
        <w:t xml:space="preserve"> </w:t>
      </w:r>
      <w:r w:rsidRPr="00A34CA4">
        <w:t>clinical exposure at the MRHD</w:t>
      </w:r>
      <w:r>
        <w:t>)</w:t>
      </w:r>
      <w:r w:rsidR="00062A75">
        <w:t xml:space="preserve"> </w:t>
      </w:r>
      <w:r w:rsidRPr="00A34CA4">
        <w:t>with effects more prominent than observed in adult animals</w:t>
      </w:r>
      <w:r w:rsidR="004B2CBD" w:rsidRPr="00F644FD">
        <w:t>.</w:t>
      </w:r>
    </w:p>
    <w:p w14:paraId="26C7486F" w14:textId="77777777" w:rsidR="004B2CBD" w:rsidRPr="00F644FD" w:rsidRDefault="004B2CBD" w:rsidP="004B2CBD">
      <w:pPr>
        <w:pStyle w:val="Heading5"/>
      </w:pPr>
      <w:r w:rsidRPr="00F644FD">
        <w:t>Metformin hydrochloride</w:t>
      </w:r>
    </w:p>
    <w:p w14:paraId="4632873E" w14:textId="51825236" w:rsidR="004B2CBD" w:rsidRPr="00F644FD" w:rsidRDefault="004B2CBD" w:rsidP="004B2CBD">
      <w:r w:rsidRPr="00F644FD">
        <w:t xml:space="preserve">Metformin did not adversely affect developmental outcomes when administered to rats and rabbits at doses up to 600 mg/kg/day. </w:t>
      </w:r>
      <w:r w:rsidR="00F57FFE" w:rsidRPr="00F644FD">
        <w:t xml:space="preserve"> </w:t>
      </w:r>
      <w:r w:rsidRPr="00F644FD">
        <w:t xml:space="preserve">This represents an exposure of about </w:t>
      </w:r>
      <w:r w:rsidR="00A34CA4">
        <w:t>3</w:t>
      </w:r>
      <w:r w:rsidRPr="00F644FD">
        <w:t xml:space="preserve"> and 6 times the maximum recommended human dose of 2,000 mg based on body surface area comparisons for rats and rabbits, respectively. </w:t>
      </w:r>
      <w:r w:rsidR="00F57FFE" w:rsidRPr="00F644FD">
        <w:t xml:space="preserve"> </w:t>
      </w:r>
      <w:r w:rsidRPr="00F644FD">
        <w:t xml:space="preserve">Determination of </w:t>
      </w:r>
      <w:proofErr w:type="spellStart"/>
      <w:r w:rsidRPr="00F644FD">
        <w:t>fetal</w:t>
      </w:r>
      <w:proofErr w:type="spellEnd"/>
      <w:r w:rsidRPr="00F644FD">
        <w:t xml:space="preserve"> concentrations demonstrated a partial placental barrier to metformin.</w:t>
      </w:r>
    </w:p>
    <w:p w14:paraId="1B7B22DA" w14:textId="77777777" w:rsidR="004B2CBD" w:rsidRPr="00F644FD" w:rsidRDefault="004B2CBD" w:rsidP="004B2CBD">
      <w:pPr>
        <w:pStyle w:val="Heading3"/>
      </w:pPr>
      <w:r w:rsidRPr="00F644FD">
        <w:t>Use in lactation</w:t>
      </w:r>
    </w:p>
    <w:p w14:paraId="12F85228" w14:textId="6CC9EF1D" w:rsidR="004B2CBD" w:rsidRPr="00F644FD" w:rsidRDefault="00F57FFE" w:rsidP="004B2CBD">
      <w:r w:rsidRPr="00F644FD">
        <w:t xml:space="preserve">There is no information regarding the presence of </w:t>
      </w:r>
      <w:proofErr w:type="spellStart"/>
      <w:r w:rsidRPr="00F644FD">
        <w:t>ertugliflozin</w:t>
      </w:r>
      <w:proofErr w:type="spellEnd"/>
      <w:r w:rsidRPr="00F644FD">
        <w:t xml:space="preserve"> in human milk, the effects on the breast-fed infant, or the effects on milk production.  </w:t>
      </w:r>
      <w:r w:rsidRPr="00F644FD">
        <w:rPr>
          <w:rFonts w:cs="Arial"/>
          <w:bCs/>
          <w:iCs/>
        </w:rPr>
        <w:t>Metformin is present in</w:t>
      </w:r>
      <w:r w:rsidR="00081BEA">
        <w:rPr>
          <w:rFonts w:cs="Arial"/>
          <w:bCs/>
          <w:iCs/>
        </w:rPr>
        <w:t xml:space="preserve"> </w:t>
      </w:r>
      <w:r w:rsidRPr="00F644FD">
        <w:rPr>
          <w:rFonts w:cs="Arial"/>
          <w:bCs/>
          <w:iCs/>
        </w:rPr>
        <w:t>human breast milk</w:t>
      </w:r>
      <w:r w:rsidR="004B2CBD" w:rsidRPr="00F644FD">
        <w:rPr>
          <w:rFonts w:cs="Arial"/>
          <w:bCs/>
          <w:iCs/>
        </w:rPr>
        <w:t>.</w:t>
      </w:r>
      <w:r w:rsidR="004B2CBD" w:rsidRPr="00F644FD">
        <w:t xml:space="preserve">  </w:t>
      </w:r>
      <w:proofErr w:type="spellStart"/>
      <w:r w:rsidR="004B2CBD" w:rsidRPr="00F644FD">
        <w:t>Ertugliflozin</w:t>
      </w:r>
      <w:proofErr w:type="spellEnd"/>
      <w:r w:rsidR="004B2CBD" w:rsidRPr="00F644FD">
        <w:t xml:space="preserve"> </w:t>
      </w:r>
      <w:r w:rsidR="00CE105A">
        <w:t xml:space="preserve">was shown to be excreted </w:t>
      </w:r>
      <w:r w:rsidR="004B2CBD" w:rsidRPr="00F644FD">
        <w:t xml:space="preserve">in the milk of lactating rats.  Since human kidney maturation occurs in utero and during the first 2 years of life when </w:t>
      </w:r>
      <w:proofErr w:type="spellStart"/>
      <w:r w:rsidR="004B2CBD" w:rsidRPr="00F644FD">
        <w:t>lactational</w:t>
      </w:r>
      <w:proofErr w:type="spellEnd"/>
      <w:r w:rsidR="004B2CBD" w:rsidRPr="00F644FD">
        <w:t xml:space="preserve"> exposure may occur, there may be risk to the developing human kidney, based on data with </w:t>
      </w:r>
      <w:proofErr w:type="spellStart"/>
      <w:r w:rsidR="004B2CBD" w:rsidRPr="00F644FD">
        <w:t>ertugliflozin</w:t>
      </w:r>
      <w:proofErr w:type="spellEnd"/>
      <w:r w:rsidR="004B2CBD" w:rsidRPr="00F644FD">
        <w:t xml:space="preserve"> </w:t>
      </w:r>
      <w:r w:rsidRPr="00F644FD">
        <w:t>(see Use in pregnancy)</w:t>
      </w:r>
      <w:r w:rsidR="004B2CBD" w:rsidRPr="00F644FD">
        <w:t>.</w:t>
      </w:r>
    </w:p>
    <w:p w14:paraId="5BB1C80D" w14:textId="77777777" w:rsidR="00F57FFE" w:rsidRPr="00F644FD" w:rsidRDefault="00F57FFE" w:rsidP="004B2CBD"/>
    <w:p w14:paraId="5B747E8E" w14:textId="27580BC7" w:rsidR="004B2CBD" w:rsidRPr="00F644FD" w:rsidRDefault="004B2CBD" w:rsidP="004B2CBD">
      <w:r w:rsidRPr="00F644FD">
        <w:t xml:space="preserve">Because many drugs are excreted in human milk and because of the potential for adverse reactions in nursing infants </w:t>
      </w:r>
      <w:r w:rsidR="000208DE">
        <w:t>SEGLUROMET is not recommended during breast-feeding</w:t>
      </w:r>
      <w:r w:rsidRPr="00F644FD">
        <w:t xml:space="preserve">. </w:t>
      </w:r>
    </w:p>
    <w:p w14:paraId="5B2CB5F0" w14:textId="2A81D2AE" w:rsidR="00DA0DFA" w:rsidRPr="00F644FD" w:rsidRDefault="00F57FFE" w:rsidP="00F57FFE">
      <w:pPr>
        <w:pStyle w:val="Heading2"/>
      </w:pPr>
      <w:r w:rsidRPr="00F644FD">
        <w:t>4.</w:t>
      </w:r>
      <w:r w:rsidR="00C5199A" w:rsidRPr="00F644FD">
        <w:t>7</w:t>
      </w:r>
      <w:r w:rsidRPr="00F644FD">
        <w:tab/>
      </w:r>
      <w:r w:rsidR="00C5199A" w:rsidRPr="00F644FD">
        <w:t>EFFECT ON ABILITY TO DRIVE AND USE MACHINE</w:t>
      </w:r>
      <w:r w:rsidR="007E6B0B">
        <w:t>S</w:t>
      </w:r>
    </w:p>
    <w:p w14:paraId="5D4C9EB0" w14:textId="517C37B9" w:rsidR="00DA0DFA" w:rsidRPr="00F644FD" w:rsidRDefault="00DA0DFA" w:rsidP="00DA0DFA">
      <w:r w:rsidRPr="00F644FD">
        <w:t xml:space="preserve">SEGLUROMET has no or negligible influence on the ability to drive or use machines. </w:t>
      </w:r>
      <w:r w:rsidR="0066050E">
        <w:t xml:space="preserve"> </w:t>
      </w:r>
      <w:r w:rsidRPr="00F644FD">
        <w:t xml:space="preserve">Patients should be alerted to the risk of hypoglycaemia when SEGLUROMET is used in combination with insulin or an insulin </w:t>
      </w:r>
      <w:proofErr w:type="spellStart"/>
      <w:r w:rsidRPr="00F644FD">
        <w:t>secretagogue</w:t>
      </w:r>
      <w:proofErr w:type="spellEnd"/>
      <w:r w:rsidRPr="00F644FD">
        <w:t xml:space="preserve"> and to the elevated risk of adverse reactions related to volume depletion, such as postural dizziness [see </w:t>
      </w:r>
      <w:r w:rsidR="00F82DDA" w:rsidRPr="00F644FD">
        <w:t xml:space="preserve">4.4 SPECIAL WARNINGS AND </w:t>
      </w:r>
      <w:r w:rsidRPr="00F644FD">
        <w:t>PRECAUTIONS</w:t>
      </w:r>
      <w:r w:rsidR="0090578A">
        <w:t xml:space="preserve"> FOR USE</w:t>
      </w:r>
      <w:r w:rsidRPr="00F644FD">
        <w:t xml:space="preserve"> and </w:t>
      </w:r>
      <w:r w:rsidR="007D747C" w:rsidRPr="00F644FD">
        <w:t xml:space="preserve">4.8 </w:t>
      </w:r>
      <w:r w:rsidRPr="00F644FD">
        <w:t>ADVERSE EFFECTS</w:t>
      </w:r>
      <w:r w:rsidR="007D747C" w:rsidRPr="00F644FD">
        <w:t xml:space="preserve"> (UNDESIRABLE EFFECTS)</w:t>
      </w:r>
      <w:r w:rsidRPr="00F644FD">
        <w:t>].</w:t>
      </w:r>
    </w:p>
    <w:p w14:paraId="15A0F041" w14:textId="4DB73A93" w:rsidR="00C5199A" w:rsidRPr="00F644FD" w:rsidRDefault="00C5199A" w:rsidP="00C5199A">
      <w:pPr>
        <w:pStyle w:val="Heading2"/>
      </w:pPr>
      <w:r w:rsidRPr="00F644FD">
        <w:t>4.8</w:t>
      </w:r>
      <w:r w:rsidRPr="00F644FD">
        <w:tab/>
        <w:t>ADVERSE EFFECTS (UNDESIRABLE EFFECTS)</w:t>
      </w:r>
    </w:p>
    <w:p w14:paraId="5A2DB8D7" w14:textId="120248AF" w:rsidR="00C5199A" w:rsidRPr="00F644FD" w:rsidRDefault="00C5199A" w:rsidP="00C5199A">
      <w:pPr>
        <w:pStyle w:val="Heading3"/>
      </w:pPr>
      <w:r w:rsidRPr="00F644FD">
        <w:t xml:space="preserve">Clinical </w:t>
      </w:r>
      <w:r w:rsidR="00AF05FE">
        <w:t>trials</w:t>
      </w:r>
    </w:p>
    <w:p w14:paraId="2718F808" w14:textId="77777777" w:rsidR="00C5199A" w:rsidRPr="0037641B" w:rsidRDefault="00C5199A" w:rsidP="0037641B">
      <w:pPr>
        <w:pStyle w:val="Heading5"/>
      </w:pPr>
      <w:proofErr w:type="spellStart"/>
      <w:r w:rsidRPr="0037641B">
        <w:t>Ertugliflozin</w:t>
      </w:r>
      <w:proofErr w:type="spellEnd"/>
      <w:r w:rsidRPr="0037641B">
        <w:t xml:space="preserve"> and Metformin</w:t>
      </w:r>
    </w:p>
    <w:p w14:paraId="03F02247" w14:textId="12FE2E99" w:rsidR="00C5199A" w:rsidRPr="00F644FD" w:rsidRDefault="00C5199A" w:rsidP="00C5199A">
      <w:r w:rsidRPr="00F644FD">
        <w:t xml:space="preserve">The safety of concomitantly administered </w:t>
      </w:r>
      <w:proofErr w:type="spellStart"/>
      <w:r w:rsidRPr="00F644FD">
        <w:t>ertugliflozin</w:t>
      </w:r>
      <w:proofErr w:type="spellEnd"/>
      <w:r w:rsidRPr="00F644FD">
        <w:t xml:space="preserve"> and metformin has been evaluated in 1,083 patients with type 2 diabetes mellitus for 26 weeks in a pool of two placebo-controlled</w:t>
      </w:r>
      <w:r w:rsidR="00EE3550">
        <w:t xml:space="preserve"> trials</w:t>
      </w:r>
      <w:r w:rsidRPr="00F644FD">
        <w:t xml:space="preserve">: as </w:t>
      </w:r>
      <w:proofErr w:type="spellStart"/>
      <w:r w:rsidRPr="00F644FD">
        <w:t>ertugliflozin</w:t>
      </w:r>
      <w:proofErr w:type="spellEnd"/>
      <w:r w:rsidRPr="00F644FD">
        <w:t xml:space="preserve"> </w:t>
      </w:r>
      <w:r w:rsidR="00EE3550" w:rsidRPr="00F644FD">
        <w:t>add</w:t>
      </w:r>
      <w:r w:rsidR="00EE3550">
        <w:t>-</w:t>
      </w:r>
      <w:r w:rsidRPr="00F644FD">
        <w:t xml:space="preserve">on therapy to metformin and as </w:t>
      </w:r>
      <w:proofErr w:type="spellStart"/>
      <w:r w:rsidRPr="00F644FD">
        <w:t>ertugliflozin</w:t>
      </w:r>
      <w:proofErr w:type="spellEnd"/>
      <w:r w:rsidRPr="00F644FD">
        <w:t xml:space="preserve"> add-on therapy to </w:t>
      </w:r>
      <w:proofErr w:type="spellStart"/>
      <w:r w:rsidRPr="00F644FD">
        <w:t>sitagliptin</w:t>
      </w:r>
      <w:proofErr w:type="spellEnd"/>
      <w:r w:rsidRPr="00F644FD">
        <w:t xml:space="preserve"> and metformin [see </w:t>
      </w:r>
      <w:r w:rsidR="00EF6F6C" w:rsidRPr="00F644FD">
        <w:t>5.1 PHARMACODYNAMIC PROPERTIES, Clinical trials</w:t>
      </w:r>
      <w:r w:rsidRPr="00F644FD">
        <w:t xml:space="preserve">].  The incidence and type of adverse reactions in these two trials were similar to the adverse reactions seen with </w:t>
      </w:r>
      <w:proofErr w:type="spellStart"/>
      <w:r w:rsidRPr="00F644FD">
        <w:t>ertugliflozin</w:t>
      </w:r>
      <w:proofErr w:type="spellEnd"/>
      <w:r w:rsidRPr="00F644FD">
        <w:t>.  There were no additional adverse reactions identified in the pooling of the two placebo</w:t>
      </w:r>
      <w:r w:rsidRPr="00F644FD">
        <w:noBreakHyphen/>
        <w:t>controlled trials that included metformin relative to the three placebo</w:t>
      </w:r>
      <w:r w:rsidRPr="00F644FD">
        <w:noBreakHyphen/>
        <w:t xml:space="preserve">controlled studies with </w:t>
      </w:r>
      <w:proofErr w:type="spellStart"/>
      <w:r w:rsidRPr="00F644FD">
        <w:t>ertugliflozin</w:t>
      </w:r>
      <w:proofErr w:type="spellEnd"/>
      <w:r w:rsidRPr="00F644FD">
        <w:t xml:space="preserve"> (see below).</w:t>
      </w:r>
    </w:p>
    <w:p w14:paraId="2E5FA954" w14:textId="77777777" w:rsidR="00C5199A" w:rsidRPr="00F644FD" w:rsidRDefault="00C5199A" w:rsidP="00C5199A">
      <w:pPr>
        <w:pStyle w:val="Heading5"/>
      </w:pPr>
      <w:proofErr w:type="spellStart"/>
      <w:r w:rsidRPr="00F644FD">
        <w:lastRenderedPageBreak/>
        <w:t>Ertugliflozin</w:t>
      </w:r>
      <w:proofErr w:type="spellEnd"/>
    </w:p>
    <w:p w14:paraId="26EFC373" w14:textId="396A51A2" w:rsidR="00C5199A" w:rsidRPr="00F644FD" w:rsidRDefault="00C5199A" w:rsidP="00C5199A">
      <w:pPr>
        <w:pStyle w:val="Heading4"/>
        <w:rPr>
          <w:rFonts w:cs="Arial"/>
        </w:rPr>
      </w:pPr>
      <w:r w:rsidRPr="00F644FD">
        <w:rPr>
          <w:rFonts w:cs="Arial"/>
        </w:rPr>
        <w:t xml:space="preserve">Pool of </w:t>
      </w:r>
      <w:r w:rsidR="00B1112D" w:rsidRPr="00F644FD">
        <w:rPr>
          <w:rFonts w:cs="Arial"/>
        </w:rPr>
        <w:t>placebo</w:t>
      </w:r>
      <w:r w:rsidRPr="00F644FD">
        <w:rPr>
          <w:rFonts w:cs="Arial"/>
        </w:rPr>
        <w:t>-</w:t>
      </w:r>
      <w:r w:rsidR="00B1112D" w:rsidRPr="00F644FD">
        <w:rPr>
          <w:rFonts w:cs="Arial"/>
        </w:rPr>
        <w:t xml:space="preserve">controlled trials evaluating </w:t>
      </w:r>
      <w:proofErr w:type="spellStart"/>
      <w:r w:rsidR="00B1112D" w:rsidRPr="00F644FD">
        <w:rPr>
          <w:rFonts w:cs="Arial"/>
        </w:rPr>
        <w:t>ertugliflozin</w:t>
      </w:r>
      <w:proofErr w:type="spellEnd"/>
      <w:r w:rsidR="00B1112D" w:rsidRPr="00F644FD">
        <w:rPr>
          <w:rFonts w:cs="Arial"/>
        </w:rPr>
        <w:t xml:space="preserve"> </w:t>
      </w:r>
      <w:r w:rsidRPr="00F644FD">
        <w:rPr>
          <w:rFonts w:cs="Arial"/>
        </w:rPr>
        <w:t>5 and 15 mg</w:t>
      </w:r>
    </w:p>
    <w:p w14:paraId="5729D4A3" w14:textId="1E03BE5C" w:rsidR="00C5199A" w:rsidRPr="00EE3550" w:rsidRDefault="00C5199A" w:rsidP="00C5199A">
      <w:r w:rsidRPr="00F644FD">
        <w:t xml:space="preserve">The primary assessment of safety and tolerability was conducted in a pooled analysis of three 26-week placebo-controlled trials with similar study design, duration of treatment, and baseline characteristics.  </w:t>
      </w:r>
      <w:proofErr w:type="spellStart"/>
      <w:r w:rsidRPr="00F644FD">
        <w:t>Ertugliflozin</w:t>
      </w:r>
      <w:proofErr w:type="spellEnd"/>
      <w:r w:rsidRPr="00F644FD">
        <w:t xml:space="preserve"> was used as monotherapy in one trial and as add-on therapy in two trials [see </w:t>
      </w:r>
      <w:r w:rsidR="00EF6F6C" w:rsidRPr="00F644FD">
        <w:t>5.1 PHARMACODYNAMIC PROPERTIES, Clinical trials</w:t>
      </w:r>
      <w:r w:rsidRPr="00F644FD">
        <w:t xml:space="preserve">].  These data reflect exposure of 1,029 patients to </w:t>
      </w:r>
      <w:proofErr w:type="spellStart"/>
      <w:r w:rsidRPr="00F644FD">
        <w:t>ertugliflozin</w:t>
      </w:r>
      <w:proofErr w:type="spellEnd"/>
      <w:r w:rsidRPr="00F644FD">
        <w:t xml:space="preserve"> with </w:t>
      </w:r>
      <w:proofErr w:type="gramStart"/>
      <w:r w:rsidRPr="00F644FD">
        <w:t>a mean</w:t>
      </w:r>
      <w:proofErr w:type="gramEnd"/>
      <w:r w:rsidRPr="00F644FD">
        <w:t xml:space="preserve"> exposure duration of approximately 25 weeks.  Patients received </w:t>
      </w:r>
      <w:proofErr w:type="spellStart"/>
      <w:r w:rsidRPr="00F644FD">
        <w:t>ertugliflozin</w:t>
      </w:r>
      <w:proofErr w:type="spellEnd"/>
      <w:r w:rsidRPr="00F644FD">
        <w:t xml:space="preserve"> </w:t>
      </w:r>
      <w:r w:rsidRPr="00EE3550">
        <w:t xml:space="preserve">5 mg (N=519), </w:t>
      </w:r>
      <w:proofErr w:type="spellStart"/>
      <w:r w:rsidRPr="00EE3550">
        <w:t>ertugliflozin</w:t>
      </w:r>
      <w:proofErr w:type="spellEnd"/>
      <w:r w:rsidRPr="00EE3550">
        <w:t xml:space="preserve"> 15 mg (N=510), or placebo (N=515) once daily. </w:t>
      </w:r>
      <w:r w:rsidR="0066050E">
        <w:t xml:space="preserve"> </w:t>
      </w:r>
      <w:r w:rsidRPr="00EE3550">
        <w:t xml:space="preserve">The data in Table </w:t>
      </w:r>
      <w:r w:rsidR="00EF6F6C" w:rsidRPr="00EE3550">
        <w:t>1</w:t>
      </w:r>
      <w:r w:rsidRPr="00EE3550">
        <w:t xml:space="preserve"> are derived from this pooled analysis.</w:t>
      </w:r>
    </w:p>
    <w:p w14:paraId="7ACF6474" w14:textId="77777777" w:rsidR="00C5199A" w:rsidRPr="00EE3550" w:rsidRDefault="00C5199A" w:rsidP="00C5199A"/>
    <w:p w14:paraId="014D9DEC" w14:textId="793BC7CD" w:rsidR="00C5199A" w:rsidRPr="00EE3550" w:rsidRDefault="00C5199A" w:rsidP="00C5199A">
      <w:r w:rsidRPr="00EE3550">
        <w:t xml:space="preserve">The overall incidence of subjects with 1 or more adverse events was not notably different across the </w:t>
      </w:r>
      <w:proofErr w:type="spellStart"/>
      <w:r w:rsidRPr="00EE3550">
        <w:t>ertugliflozin</w:t>
      </w:r>
      <w:proofErr w:type="spellEnd"/>
      <w:r w:rsidRPr="00EE3550">
        <w:t xml:space="preserve"> 5 mg (45.5%), </w:t>
      </w:r>
      <w:proofErr w:type="spellStart"/>
      <w:r w:rsidRPr="00EE3550">
        <w:t>ertugliflozin</w:t>
      </w:r>
      <w:proofErr w:type="spellEnd"/>
      <w:r w:rsidRPr="00EE3550">
        <w:t xml:space="preserve"> 15 mg (50.4%), and placebo (51.1%) groups.  The incidence of non-fatal serious adverse events was low and similar in the </w:t>
      </w:r>
      <w:proofErr w:type="spellStart"/>
      <w:r w:rsidRPr="00EE3550">
        <w:t>ertugliflozin</w:t>
      </w:r>
      <w:proofErr w:type="spellEnd"/>
      <w:r w:rsidRPr="00EE3550">
        <w:t xml:space="preserve"> 5 mg and 15 mg groups relative to the placebo group (3.3%, 2.4%, and 2.9% for the </w:t>
      </w:r>
      <w:proofErr w:type="spellStart"/>
      <w:r w:rsidRPr="00EE3550">
        <w:t>ertugliflozin</w:t>
      </w:r>
      <w:proofErr w:type="spellEnd"/>
      <w:r w:rsidRPr="00EE3550">
        <w:t xml:space="preserve"> 5 mg, </w:t>
      </w:r>
      <w:proofErr w:type="spellStart"/>
      <w:r w:rsidRPr="00EE3550">
        <w:t>ertugliflozin</w:t>
      </w:r>
      <w:proofErr w:type="spellEnd"/>
      <w:r w:rsidRPr="00EE3550">
        <w:t xml:space="preserve"> 15 mg, and placebo groups, respectively). </w:t>
      </w:r>
      <w:r w:rsidR="0066050E">
        <w:t xml:space="preserve"> </w:t>
      </w:r>
      <w:r w:rsidRPr="00EE3550">
        <w:t xml:space="preserve">The incidence of adverse events resulting in discontinuation from study medication was low overall and not notably different in the </w:t>
      </w:r>
      <w:proofErr w:type="spellStart"/>
      <w:r w:rsidRPr="00EE3550">
        <w:t>ertugliflozin</w:t>
      </w:r>
      <w:proofErr w:type="spellEnd"/>
      <w:r w:rsidRPr="00EE3550">
        <w:t xml:space="preserve"> 5 mg and 15 mg groups (2.3% and 1.4%, respectively) relative to the placebo groups (1.7%).</w:t>
      </w:r>
    </w:p>
    <w:p w14:paraId="19B009E1" w14:textId="77777777" w:rsidR="00C5199A" w:rsidRPr="00EE3550" w:rsidRDefault="00C5199A" w:rsidP="00C5199A"/>
    <w:p w14:paraId="1177B77D" w14:textId="3831E606" w:rsidR="00C5199A" w:rsidRPr="00F644FD" w:rsidRDefault="00C5199A" w:rsidP="00C5199A">
      <w:r w:rsidRPr="00EE3550">
        <w:t xml:space="preserve">The adverse drug reactions (ADRs) listed in Table </w:t>
      </w:r>
      <w:r w:rsidR="00EF6F6C" w:rsidRPr="00EE3550">
        <w:t>1</w:t>
      </w:r>
      <w:r w:rsidRPr="00EE3550">
        <w:t xml:space="preserve"> </w:t>
      </w:r>
      <w:proofErr w:type="gramStart"/>
      <w:r w:rsidRPr="00EE3550">
        <w:t>are</w:t>
      </w:r>
      <w:proofErr w:type="gramEnd"/>
      <w:r w:rsidRPr="00EE3550">
        <w:t xml:space="preserve"> presented by System Organ Class</w:t>
      </w:r>
      <w:r w:rsidRPr="00F644FD">
        <w:t xml:space="preserve"> (SOC).</w:t>
      </w:r>
    </w:p>
    <w:p w14:paraId="38C6DE9C" w14:textId="77777777" w:rsidR="00C5199A" w:rsidRPr="00F644FD" w:rsidRDefault="00C5199A" w:rsidP="00C5199A">
      <w:pPr>
        <w:pStyle w:val="Heading6"/>
      </w:pPr>
      <w:r w:rsidRPr="00F644FD">
        <w:rPr>
          <w:bCs/>
        </w:rPr>
        <w:t xml:space="preserve">Adverse Drug Reactions Reported </w:t>
      </w:r>
      <w:r w:rsidRPr="00F644FD">
        <w:t xml:space="preserve">in Patients Receiving </w:t>
      </w:r>
      <w:proofErr w:type="spellStart"/>
      <w:r w:rsidRPr="00F644FD">
        <w:t>Ertugliflozin</w:t>
      </w:r>
      <w:proofErr w:type="spellEnd"/>
    </w:p>
    <w:tbl>
      <w:tblPr>
        <w:tblW w:w="9141"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678"/>
        <w:gridCol w:w="1559"/>
        <w:gridCol w:w="1560"/>
        <w:gridCol w:w="1344"/>
      </w:tblGrid>
      <w:tr w:rsidR="00C5199A" w:rsidRPr="00F644FD" w14:paraId="14EE7181" w14:textId="77777777" w:rsidTr="00FE73FD">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4056DE9A" w14:textId="77777777" w:rsidR="00C5199A" w:rsidRPr="00F644FD" w:rsidRDefault="00C5199A" w:rsidP="004D626B">
            <w:pPr>
              <w:pStyle w:val="Tablenormal0"/>
              <w:rPr>
                <w:b/>
              </w:rPr>
            </w:pPr>
            <w:r w:rsidRPr="00F644FD">
              <w:rPr>
                <w:b/>
              </w:rPr>
              <w:t>Body System/Organ Class</w:t>
            </w:r>
          </w:p>
          <w:p w14:paraId="5FA68698" w14:textId="77777777" w:rsidR="00C5199A" w:rsidRPr="00F644FD" w:rsidRDefault="00C5199A" w:rsidP="004D626B">
            <w:pPr>
              <w:pStyle w:val="Tablenormal0"/>
              <w:rPr>
                <w:b/>
              </w:rPr>
            </w:pPr>
            <w:r w:rsidRPr="00F644FD">
              <w:rPr>
                <w:b/>
              </w:rPr>
              <w:t>Adverse Reaction</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2866E75" w14:textId="77777777" w:rsidR="00C5199A" w:rsidRPr="00F644FD" w:rsidRDefault="00C5199A" w:rsidP="004D626B">
            <w:pPr>
              <w:pStyle w:val="Tablecentered"/>
              <w:rPr>
                <w:b/>
              </w:rPr>
            </w:pPr>
            <w:proofErr w:type="spellStart"/>
            <w:r w:rsidRPr="00F644FD">
              <w:rPr>
                <w:b/>
              </w:rPr>
              <w:t>Ertugliflozin</w:t>
            </w:r>
            <w:proofErr w:type="spellEnd"/>
            <w:r w:rsidRPr="00F644FD">
              <w:rPr>
                <w:b/>
              </w:rPr>
              <w:t xml:space="preserve"> 5 mg</w:t>
            </w:r>
          </w:p>
          <w:p w14:paraId="4A482DEF" w14:textId="77777777" w:rsidR="00C5199A" w:rsidRPr="00F644FD" w:rsidRDefault="00C5199A" w:rsidP="004D626B">
            <w:pPr>
              <w:pStyle w:val="Tablecentered"/>
              <w:rPr>
                <w:b/>
              </w:rPr>
            </w:pPr>
            <w:r w:rsidRPr="00F644FD">
              <w:rPr>
                <w:b/>
              </w:rPr>
              <w:t>%</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14:paraId="4E1702D7" w14:textId="77777777" w:rsidR="00C5199A" w:rsidRPr="00F644FD" w:rsidRDefault="00C5199A" w:rsidP="004D626B">
            <w:pPr>
              <w:pStyle w:val="Tablecentered"/>
              <w:rPr>
                <w:b/>
              </w:rPr>
            </w:pPr>
            <w:proofErr w:type="spellStart"/>
            <w:r w:rsidRPr="00F644FD">
              <w:rPr>
                <w:b/>
              </w:rPr>
              <w:t>Ertugliflozin</w:t>
            </w:r>
            <w:proofErr w:type="spellEnd"/>
            <w:r w:rsidRPr="00F644FD">
              <w:rPr>
                <w:b/>
              </w:rPr>
              <w:t xml:space="preserve"> 15 mg</w:t>
            </w:r>
          </w:p>
          <w:p w14:paraId="63D4C3DA" w14:textId="77777777" w:rsidR="00C5199A" w:rsidRPr="00F644FD" w:rsidRDefault="00C5199A" w:rsidP="004D626B">
            <w:pPr>
              <w:pStyle w:val="Tablecentered"/>
              <w:rPr>
                <w:b/>
              </w:rPr>
            </w:pPr>
            <w:r w:rsidRPr="00F644FD">
              <w:rPr>
                <w:b/>
              </w:rPr>
              <w:t>%</w:t>
            </w:r>
          </w:p>
        </w:tc>
        <w:tc>
          <w:tcPr>
            <w:tcW w:w="1344" w:type="dxa"/>
            <w:tcBorders>
              <w:top w:val="single" w:sz="6" w:space="0" w:color="auto"/>
              <w:left w:val="single" w:sz="6" w:space="0" w:color="auto"/>
              <w:bottom w:val="single" w:sz="6" w:space="0" w:color="auto"/>
              <w:right w:val="single" w:sz="6" w:space="0" w:color="auto"/>
            </w:tcBorders>
            <w:vAlign w:val="center"/>
          </w:tcPr>
          <w:p w14:paraId="746A628D" w14:textId="77777777" w:rsidR="00C5199A" w:rsidRPr="00F644FD" w:rsidRDefault="00C5199A" w:rsidP="004D626B">
            <w:pPr>
              <w:pStyle w:val="Tablecentered"/>
              <w:rPr>
                <w:b/>
              </w:rPr>
            </w:pPr>
            <w:r w:rsidRPr="00F644FD">
              <w:rPr>
                <w:b/>
              </w:rPr>
              <w:t>Placebo</w:t>
            </w:r>
          </w:p>
          <w:p w14:paraId="3053ABB1" w14:textId="77777777" w:rsidR="00C5199A" w:rsidRPr="00F644FD" w:rsidRDefault="00C5199A" w:rsidP="004D626B">
            <w:pPr>
              <w:pStyle w:val="Tablecentered"/>
              <w:rPr>
                <w:b/>
              </w:rPr>
            </w:pPr>
            <w:r w:rsidRPr="00F644FD">
              <w:rPr>
                <w:b/>
              </w:rPr>
              <w:t>%</w:t>
            </w:r>
          </w:p>
        </w:tc>
      </w:tr>
      <w:tr w:rsidR="00C5199A" w:rsidRPr="00F644FD" w14:paraId="794A9F5C" w14:textId="77777777" w:rsidTr="00FE73FD">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1A85314A" w14:textId="77777777" w:rsidR="00C5199A" w:rsidRPr="00F644FD" w:rsidRDefault="00C5199A" w:rsidP="004D626B">
            <w:pPr>
              <w:pStyle w:val="Tablenormal0"/>
            </w:pPr>
          </w:p>
        </w:tc>
        <w:tc>
          <w:tcPr>
            <w:tcW w:w="1559" w:type="dxa"/>
            <w:tcBorders>
              <w:top w:val="single" w:sz="6" w:space="0" w:color="auto"/>
              <w:left w:val="single" w:sz="6" w:space="0" w:color="auto"/>
              <w:bottom w:val="single" w:sz="6" w:space="0" w:color="auto"/>
              <w:right w:val="single" w:sz="6" w:space="0" w:color="auto"/>
            </w:tcBorders>
            <w:vAlign w:val="center"/>
          </w:tcPr>
          <w:p w14:paraId="02C0AC0B" w14:textId="77777777" w:rsidR="00C5199A" w:rsidRPr="00F644FD" w:rsidRDefault="00C5199A" w:rsidP="004D626B">
            <w:pPr>
              <w:pStyle w:val="Tablecentered"/>
            </w:pPr>
            <w:r w:rsidRPr="00F644FD">
              <w:t>N = 519</w:t>
            </w:r>
          </w:p>
        </w:tc>
        <w:tc>
          <w:tcPr>
            <w:tcW w:w="1560" w:type="dxa"/>
            <w:tcBorders>
              <w:top w:val="single" w:sz="6" w:space="0" w:color="auto"/>
              <w:left w:val="single" w:sz="6" w:space="0" w:color="auto"/>
              <w:bottom w:val="single" w:sz="6" w:space="0" w:color="auto"/>
              <w:right w:val="single" w:sz="6" w:space="0" w:color="auto"/>
            </w:tcBorders>
            <w:vAlign w:val="center"/>
          </w:tcPr>
          <w:p w14:paraId="3494D267" w14:textId="77777777" w:rsidR="00C5199A" w:rsidRPr="00F644FD" w:rsidRDefault="00C5199A" w:rsidP="004D626B">
            <w:pPr>
              <w:pStyle w:val="Tablecentered"/>
            </w:pPr>
            <w:r w:rsidRPr="00F644FD">
              <w:t>N = 510</w:t>
            </w:r>
          </w:p>
        </w:tc>
        <w:tc>
          <w:tcPr>
            <w:tcW w:w="1344" w:type="dxa"/>
            <w:tcBorders>
              <w:top w:val="single" w:sz="6" w:space="0" w:color="auto"/>
              <w:left w:val="single" w:sz="6" w:space="0" w:color="auto"/>
              <w:bottom w:val="single" w:sz="6" w:space="0" w:color="auto"/>
              <w:right w:val="single" w:sz="6" w:space="0" w:color="auto"/>
            </w:tcBorders>
            <w:vAlign w:val="center"/>
          </w:tcPr>
          <w:p w14:paraId="4C5879EF" w14:textId="77777777" w:rsidR="00C5199A" w:rsidRPr="00F644FD" w:rsidRDefault="00C5199A" w:rsidP="004D626B">
            <w:pPr>
              <w:pStyle w:val="Tablecentered"/>
            </w:pPr>
            <w:r w:rsidRPr="00F644FD">
              <w:t>N = 515</w:t>
            </w:r>
          </w:p>
        </w:tc>
      </w:tr>
      <w:tr w:rsidR="00C5199A" w:rsidRPr="00F644FD" w14:paraId="02A591C4" w14:textId="77777777" w:rsidTr="00FE73FD">
        <w:trPr>
          <w:cantSplit/>
        </w:trPr>
        <w:tc>
          <w:tcPr>
            <w:tcW w:w="4678" w:type="dxa"/>
            <w:tcBorders>
              <w:top w:val="single" w:sz="6" w:space="0" w:color="auto"/>
              <w:left w:val="single" w:sz="6" w:space="0" w:color="auto"/>
              <w:bottom w:val="single" w:sz="6" w:space="0" w:color="auto"/>
              <w:right w:val="nil"/>
            </w:tcBorders>
            <w:vAlign w:val="center"/>
          </w:tcPr>
          <w:p w14:paraId="3ED08EF3" w14:textId="77777777" w:rsidR="00C5199A" w:rsidRPr="00F644FD" w:rsidRDefault="00C5199A" w:rsidP="004D626B">
            <w:pPr>
              <w:pStyle w:val="Tablenormal0"/>
            </w:pPr>
            <w:r w:rsidRPr="00F644FD">
              <w:t>Infections and infestations</w:t>
            </w:r>
          </w:p>
        </w:tc>
        <w:tc>
          <w:tcPr>
            <w:tcW w:w="1559" w:type="dxa"/>
            <w:tcBorders>
              <w:top w:val="single" w:sz="6" w:space="0" w:color="auto"/>
              <w:left w:val="nil"/>
              <w:bottom w:val="single" w:sz="6" w:space="0" w:color="auto"/>
              <w:right w:val="nil"/>
            </w:tcBorders>
            <w:vAlign w:val="center"/>
          </w:tcPr>
          <w:p w14:paraId="6208C3C9" w14:textId="77777777" w:rsidR="00C5199A" w:rsidRPr="00F644FD" w:rsidRDefault="00C5199A" w:rsidP="004D626B">
            <w:pPr>
              <w:pStyle w:val="Tablecentered"/>
            </w:pPr>
          </w:p>
        </w:tc>
        <w:tc>
          <w:tcPr>
            <w:tcW w:w="1560" w:type="dxa"/>
            <w:tcBorders>
              <w:top w:val="single" w:sz="6" w:space="0" w:color="auto"/>
              <w:left w:val="nil"/>
              <w:bottom w:val="single" w:sz="6" w:space="0" w:color="auto"/>
              <w:right w:val="nil"/>
            </w:tcBorders>
            <w:vAlign w:val="center"/>
          </w:tcPr>
          <w:p w14:paraId="054BE91D" w14:textId="77777777" w:rsidR="00C5199A" w:rsidRPr="00F644FD" w:rsidRDefault="00C5199A" w:rsidP="004D626B">
            <w:pPr>
              <w:pStyle w:val="Tablecentered"/>
            </w:pPr>
          </w:p>
        </w:tc>
        <w:tc>
          <w:tcPr>
            <w:tcW w:w="1344" w:type="dxa"/>
            <w:tcBorders>
              <w:top w:val="single" w:sz="6" w:space="0" w:color="auto"/>
              <w:left w:val="nil"/>
              <w:bottom w:val="single" w:sz="6" w:space="0" w:color="auto"/>
              <w:right w:val="single" w:sz="6" w:space="0" w:color="auto"/>
            </w:tcBorders>
            <w:vAlign w:val="center"/>
          </w:tcPr>
          <w:p w14:paraId="4C3AB103" w14:textId="77777777" w:rsidR="00C5199A" w:rsidRPr="00F644FD" w:rsidRDefault="00C5199A" w:rsidP="004D626B">
            <w:pPr>
              <w:pStyle w:val="Tablecentered"/>
            </w:pPr>
          </w:p>
        </w:tc>
      </w:tr>
      <w:tr w:rsidR="00C5199A" w:rsidRPr="00F644FD" w14:paraId="6660BDF8" w14:textId="77777777" w:rsidTr="00FE73FD">
        <w:trPr>
          <w:cantSplit/>
        </w:trPr>
        <w:tc>
          <w:tcPr>
            <w:tcW w:w="4678" w:type="dxa"/>
            <w:tcBorders>
              <w:top w:val="single" w:sz="6" w:space="0" w:color="auto"/>
              <w:left w:val="single" w:sz="6" w:space="0" w:color="auto"/>
              <w:bottom w:val="nil"/>
              <w:right w:val="single" w:sz="6" w:space="0" w:color="auto"/>
            </w:tcBorders>
            <w:vAlign w:val="center"/>
          </w:tcPr>
          <w:p w14:paraId="24D5BF3B" w14:textId="77777777" w:rsidR="00C5199A" w:rsidRPr="00F644FD" w:rsidRDefault="00C5199A" w:rsidP="004D626B">
            <w:pPr>
              <w:pStyle w:val="Tablenormalindent"/>
            </w:pPr>
            <w:r w:rsidRPr="00F644FD">
              <w:t>Female genital mycotic infections</w:t>
            </w:r>
            <w:r w:rsidRPr="00901AF3">
              <w:rPr>
                <w:vertAlign w:val="superscript"/>
              </w:rPr>
              <w:t>*</w:t>
            </w:r>
          </w:p>
        </w:tc>
        <w:tc>
          <w:tcPr>
            <w:tcW w:w="1559" w:type="dxa"/>
            <w:tcBorders>
              <w:top w:val="single" w:sz="6" w:space="0" w:color="auto"/>
              <w:left w:val="single" w:sz="6" w:space="0" w:color="auto"/>
              <w:bottom w:val="nil"/>
              <w:right w:val="single" w:sz="6" w:space="0" w:color="auto"/>
            </w:tcBorders>
            <w:vAlign w:val="center"/>
          </w:tcPr>
          <w:p w14:paraId="371608A9" w14:textId="77777777" w:rsidR="00C5199A" w:rsidRPr="00F644FD" w:rsidRDefault="00C5199A" w:rsidP="004D626B">
            <w:pPr>
              <w:pStyle w:val="Tablecentered"/>
            </w:pPr>
            <w:r w:rsidRPr="00F644FD">
              <w:t>9.1</w:t>
            </w:r>
          </w:p>
        </w:tc>
        <w:tc>
          <w:tcPr>
            <w:tcW w:w="1560" w:type="dxa"/>
            <w:tcBorders>
              <w:top w:val="single" w:sz="6" w:space="0" w:color="auto"/>
              <w:left w:val="single" w:sz="6" w:space="0" w:color="auto"/>
              <w:bottom w:val="nil"/>
              <w:right w:val="single" w:sz="6" w:space="0" w:color="auto"/>
            </w:tcBorders>
            <w:vAlign w:val="center"/>
          </w:tcPr>
          <w:p w14:paraId="63571E26" w14:textId="77777777" w:rsidR="00C5199A" w:rsidRPr="00F644FD" w:rsidRDefault="00C5199A" w:rsidP="004D626B">
            <w:pPr>
              <w:pStyle w:val="Tablecentered"/>
            </w:pPr>
            <w:r w:rsidRPr="00F644FD">
              <w:t>12.2</w:t>
            </w:r>
          </w:p>
        </w:tc>
        <w:tc>
          <w:tcPr>
            <w:tcW w:w="1344" w:type="dxa"/>
            <w:tcBorders>
              <w:top w:val="single" w:sz="6" w:space="0" w:color="auto"/>
              <w:left w:val="single" w:sz="6" w:space="0" w:color="auto"/>
              <w:bottom w:val="nil"/>
              <w:right w:val="single" w:sz="6" w:space="0" w:color="auto"/>
            </w:tcBorders>
            <w:vAlign w:val="center"/>
          </w:tcPr>
          <w:p w14:paraId="202C8115" w14:textId="77777777" w:rsidR="00C5199A" w:rsidRPr="00F644FD" w:rsidRDefault="00C5199A" w:rsidP="004D626B">
            <w:pPr>
              <w:pStyle w:val="Tablecentered"/>
            </w:pPr>
            <w:r w:rsidRPr="00F644FD">
              <w:t>3.0</w:t>
            </w:r>
          </w:p>
        </w:tc>
      </w:tr>
      <w:tr w:rsidR="00C5199A" w:rsidRPr="00F644FD" w14:paraId="7DEBD12C" w14:textId="77777777" w:rsidTr="00FE73FD">
        <w:trPr>
          <w:cantSplit/>
        </w:trPr>
        <w:tc>
          <w:tcPr>
            <w:tcW w:w="4678" w:type="dxa"/>
            <w:tcBorders>
              <w:top w:val="nil"/>
              <w:left w:val="single" w:sz="6" w:space="0" w:color="auto"/>
              <w:bottom w:val="single" w:sz="6" w:space="0" w:color="auto"/>
              <w:right w:val="single" w:sz="6" w:space="0" w:color="auto"/>
            </w:tcBorders>
            <w:vAlign w:val="center"/>
          </w:tcPr>
          <w:p w14:paraId="2864CDE7" w14:textId="77777777" w:rsidR="00C5199A" w:rsidRPr="00F644FD" w:rsidRDefault="00C5199A" w:rsidP="004D626B">
            <w:pPr>
              <w:pStyle w:val="Tablenormalindent"/>
            </w:pPr>
            <w:r w:rsidRPr="00F644FD">
              <w:t>Male genital mycotic infections</w:t>
            </w:r>
            <w:r w:rsidRPr="00901AF3">
              <w:rPr>
                <w:vertAlign w:val="superscript"/>
              </w:rPr>
              <w:t>†</w:t>
            </w:r>
          </w:p>
        </w:tc>
        <w:tc>
          <w:tcPr>
            <w:tcW w:w="1559" w:type="dxa"/>
            <w:tcBorders>
              <w:top w:val="nil"/>
              <w:left w:val="single" w:sz="6" w:space="0" w:color="auto"/>
              <w:bottom w:val="single" w:sz="6" w:space="0" w:color="auto"/>
              <w:right w:val="single" w:sz="6" w:space="0" w:color="auto"/>
            </w:tcBorders>
            <w:vAlign w:val="center"/>
          </w:tcPr>
          <w:p w14:paraId="3E3BE598" w14:textId="77777777" w:rsidR="00C5199A" w:rsidRPr="00F644FD" w:rsidRDefault="00C5199A" w:rsidP="004D626B">
            <w:pPr>
              <w:pStyle w:val="Tablecentered"/>
            </w:pPr>
            <w:r w:rsidRPr="00F644FD">
              <w:t>3.7</w:t>
            </w:r>
          </w:p>
        </w:tc>
        <w:tc>
          <w:tcPr>
            <w:tcW w:w="1560" w:type="dxa"/>
            <w:tcBorders>
              <w:top w:val="nil"/>
              <w:left w:val="single" w:sz="6" w:space="0" w:color="auto"/>
              <w:bottom w:val="single" w:sz="6" w:space="0" w:color="auto"/>
              <w:right w:val="single" w:sz="6" w:space="0" w:color="auto"/>
            </w:tcBorders>
            <w:vAlign w:val="center"/>
          </w:tcPr>
          <w:p w14:paraId="1AE3C76C" w14:textId="77777777" w:rsidR="00C5199A" w:rsidRPr="00F644FD" w:rsidRDefault="00C5199A" w:rsidP="004D626B">
            <w:pPr>
              <w:pStyle w:val="Tablecentered"/>
            </w:pPr>
            <w:r w:rsidRPr="00F644FD">
              <w:t>4.2</w:t>
            </w:r>
          </w:p>
        </w:tc>
        <w:tc>
          <w:tcPr>
            <w:tcW w:w="1344" w:type="dxa"/>
            <w:tcBorders>
              <w:top w:val="nil"/>
              <w:left w:val="single" w:sz="6" w:space="0" w:color="auto"/>
              <w:bottom w:val="single" w:sz="6" w:space="0" w:color="auto"/>
              <w:right w:val="single" w:sz="6" w:space="0" w:color="auto"/>
            </w:tcBorders>
            <w:vAlign w:val="center"/>
          </w:tcPr>
          <w:p w14:paraId="2F662D7D" w14:textId="77777777" w:rsidR="00C5199A" w:rsidRPr="00F644FD" w:rsidRDefault="00C5199A" w:rsidP="004D626B">
            <w:pPr>
              <w:pStyle w:val="Tablecentered"/>
            </w:pPr>
            <w:r w:rsidRPr="00F644FD">
              <w:t>0.4</w:t>
            </w:r>
          </w:p>
        </w:tc>
      </w:tr>
      <w:tr w:rsidR="00C5199A" w:rsidRPr="00F644FD" w14:paraId="28411EA2" w14:textId="77777777" w:rsidTr="00FE73FD">
        <w:trPr>
          <w:cantSplit/>
        </w:trPr>
        <w:tc>
          <w:tcPr>
            <w:tcW w:w="4678" w:type="dxa"/>
            <w:tcBorders>
              <w:top w:val="single" w:sz="6" w:space="0" w:color="auto"/>
              <w:left w:val="single" w:sz="6" w:space="0" w:color="auto"/>
              <w:bottom w:val="single" w:sz="6" w:space="0" w:color="auto"/>
              <w:right w:val="nil"/>
            </w:tcBorders>
            <w:vAlign w:val="center"/>
          </w:tcPr>
          <w:p w14:paraId="5AC49119" w14:textId="77777777" w:rsidR="00C5199A" w:rsidRPr="00F644FD" w:rsidRDefault="00C5199A" w:rsidP="004D626B">
            <w:pPr>
              <w:pStyle w:val="Tablenormal0"/>
            </w:pPr>
            <w:r w:rsidRPr="00F644FD">
              <w:t>Renal and urinary disorders</w:t>
            </w:r>
          </w:p>
        </w:tc>
        <w:tc>
          <w:tcPr>
            <w:tcW w:w="1559" w:type="dxa"/>
            <w:tcBorders>
              <w:top w:val="single" w:sz="6" w:space="0" w:color="auto"/>
              <w:left w:val="nil"/>
              <w:bottom w:val="single" w:sz="6" w:space="0" w:color="auto"/>
              <w:right w:val="nil"/>
            </w:tcBorders>
            <w:vAlign w:val="center"/>
          </w:tcPr>
          <w:p w14:paraId="41FF5F8C" w14:textId="77777777" w:rsidR="00C5199A" w:rsidRPr="00F644FD" w:rsidRDefault="00C5199A" w:rsidP="004D626B">
            <w:pPr>
              <w:pStyle w:val="Tablecentered"/>
            </w:pPr>
          </w:p>
        </w:tc>
        <w:tc>
          <w:tcPr>
            <w:tcW w:w="1560" w:type="dxa"/>
            <w:tcBorders>
              <w:top w:val="single" w:sz="6" w:space="0" w:color="auto"/>
              <w:left w:val="nil"/>
              <w:bottom w:val="single" w:sz="6" w:space="0" w:color="auto"/>
              <w:right w:val="nil"/>
            </w:tcBorders>
            <w:vAlign w:val="center"/>
          </w:tcPr>
          <w:p w14:paraId="7D01542C" w14:textId="77777777" w:rsidR="00C5199A" w:rsidRPr="00F644FD" w:rsidRDefault="00C5199A" w:rsidP="004D626B">
            <w:pPr>
              <w:pStyle w:val="Tablecentered"/>
            </w:pPr>
          </w:p>
        </w:tc>
        <w:tc>
          <w:tcPr>
            <w:tcW w:w="1344" w:type="dxa"/>
            <w:tcBorders>
              <w:top w:val="single" w:sz="6" w:space="0" w:color="auto"/>
              <w:left w:val="nil"/>
              <w:bottom w:val="single" w:sz="6" w:space="0" w:color="auto"/>
              <w:right w:val="single" w:sz="6" w:space="0" w:color="auto"/>
            </w:tcBorders>
            <w:vAlign w:val="center"/>
          </w:tcPr>
          <w:p w14:paraId="370725C7" w14:textId="77777777" w:rsidR="00C5199A" w:rsidRPr="00F644FD" w:rsidRDefault="00C5199A" w:rsidP="004D626B">
            <w:pPr>
              <w:pStyle w:val="Tablecentered"/>
            </w:pPr>
          </w:p>
        </w:tc>
      </w:tr>
      <w:tr w:rsidR="00C5199A" w:rsidRPr="00F644FD" w14:paraId="0A221F9D" w14:textId="77777777" w:rsidTr="00FE73FD">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6540F06F" w14:textId="77777777" w:rsidR="00C5199A" w:rsidRPr="00F644FD" w:rsidRDefault="00C5199A" w:rsidP="004D626B">
            <w:pPr>
              <w:pStyle w:val="Tablenormalindent"/>
            </w:pPr>
            <w:r w:rsidRPr="00F644FD">
              <w:t>Increased urination</w:t>
            </w:r>
            <w:r w:rsidRPr="00901AF3">
              <w:rPr>
                <w:vertAlign w:val="superscript"/>
              </w:rPr>
              <w:t>‡</w:t>
            </w:r>
          </w:p>
        </w:tc>
        <w:tc>
          <w:tcPr>
            <w:tcW w:w="1559" w:type="dxa"/>
            <w:tcBorders>
              <w:top w:val="single" w:sz="6" w:space="0" w:color="auto"/>
              <w:left w:val="single" w:sz="6" w:space="0" w:color="auto"/>
              <w:bottom w:val="single" w:sz="6" w:space="0" w:color="auto"/>
              <w:right w:val="single" w:sz="6" w:space="0" w:color="auto"/>
            </w:tcBorders>
            <w:vAlign w:val="center"/>
          </w:tcPr>
          <w:p w14:paraId="0754CC63" w14:textId="77777777" w:rsidR="00C5199A" w:rsidRPr="00F644FD" w:rsidRDefault="00C5199A" w:rsidP="004D626B">
            <w:pPr>
              <w:pStyle w:val="Tablecentered"/>
            </w:pPr>
            <w:r w:rsidRPr="00F644FD">
              <w:t>2.7</w:t>
            </w:r>
          </w:p>
        </w:tc>
        <w:tc>
          <w:tcPr>
            <w:tcW w:w="1560" w:type="dxa"/>
            <w:tcBorders>
              <w:top w:val="single" w:sz="6" w:space="0" w:color="auto"/>
              <w:left w:val="single" w:sz="6" w:space="0" w:color="auto"/>
              <w:bottom w:val="single" w:sz="6" w:space="0" w:color="auto"/>
              <w:right w:val="single" w:sz="6" w:space="0" w:color="auto"/>
            </w:tcBorders>
            <w:vAlign w:val="center"/>
          </w:tcPr>
          <w:p w14:paraId="5B31A151" w14:textId="77777777" w:rsidR="00C5199A" w:rsidRPr="00F644FD" w:rsidRDefault="00C5199A" w:rsidP="004D626B">
            <w:pPr>
              <w:pStyle w:val="Tablecentered"/>
            </w:pPr>
            <w:r w:rsidRPr="00F644FD">
              <w:t>2.4</w:t>
            </w:r>
          </w:p>
        </w:tc>
        <w:tc>
          <w:tcPr>
            <w:tcW w:w="1344" w:type="dxa"/>
            <w:tcBorders>
              <w:top w:val="single" w:sz="6" w:space="0" w:color="auto"/>
              <w:left w:val="single" w:sz="6" w:space="0" w:color="auto"/>
              <w:bottom w:val="single" w:sz="6" w:space="0" w:color="auto"/>
              <w:right w:val="single" w:sz="6" w:space="0" w:color="auto"/>
            </w:tcBorders>
            <w:vAlign w:val="center"/>
          </w:tcPr>
          <w:p w14:paraId="1A0698D7" w14:textId="77777777" w:rsidR="00C5199A" w:rsidRPr="00F644FD" w:rsidRDefault="00C5199A" w:rsidP="004D626B">
            <w:pPr>
              <w:pStyle w:val="Tablecentered"/>
            </w:pPr>
            <w:r w:rsidRPr="00F644FD">
              <w:t>1.0</w:t>
            </w:r>
          </w:p>
        </w:tc>
      </w:tr>
      <w:tr w:rsidR="00C5199A" w:rsidRPr="00F644FD" w14:paraId="583277E7" w14:textId="77777777" w:rsidTr="00FE73FD">
        <w:trPr>
          <w:cantSplit/>
        </w:trPr>
        <w:tc>
          <w:tcPr>
            <w:tcW w:w="4678" w:type="dxa"/>
            <w:tcBorders>
              <w:top w:val="single" w:sz="6" w:space="0" w:color="auto"/>
              <w:left w:val="single" w:sz="6" w:space="0" w:color="auto"/>
              <w:bottom w:val="single" w:sz="6" w:space="0" w:color="auto"/>
              <w:right w:val="nil"/>
            </w:tcBorders>
            <w:vAlign w:val="center"/>
          </w:tcPr>
          <w:p w14:paraId="5A2383A7" w14:textId="77777777" w:rsidR="00C5199A" w:rsidRPr="00F644FD" w:rsidRDefault="00C5199A" w:rsidP="004D626B">
            <w:pPr>
              <w:pStyle w:val="Tablenormal0"/>
            </w:pPr>
            <w:r w:rsidRPr="00F644FD">
              <w:t>Reproductive system and breast disorders</w:t>
            </w:r>
          </w:p>
        </w:tc>
        <w:tc>
          <w:tcPr>
            <w:tcW w:w="1559" w:type="dxa"/>
            <w:tcBorders>
              <w:top w:val="single" w:sz="6" w:space="0" w:color="auto"/>
              <w:left w:val="nil"/>
              <w:bottom w:val="single" w:sz="6" w:space="0" w:color="auto"/>
              <w:right w:val="nil"/>
            </w:tcBorders>
            <w:vAlign w:val="center"/>
          </w:tcPr>
          <w:p w14:paraId="1F7E91A9" w14:textId="77777777" w:rsidR="00C5199A" w:rsidRPr="00F644FD" w:rsidRDefault="00C5199A" w:rsidP="004D626B">
            <w:pPr>
              <w:pStyle w:val="Tablecentered"/>
            </w:pPr>
          </w:p>
        </w:tc>
        <w:tc>
          <w:tcPr>
            <w:tcW w:w="1560" w:type="dxa"/>
            <w:tcBorders>
              <w:top w:val="single" w:sz="6" w:space="0" w:color="auto"/>
              <w:left w:val="nil"/>
              <w:bottom w:val="single" w:sz="6" w:space="0" w:color="auto"/>
              <w:right w:val="nil"/>
            </w:tcBorders>
            <w:vAlign w:val="center"/>
          </w:tcPr>
          <w:p w14:paraId="55A6BAC3" w14:textId="77777777" w:rsidR="00C5199A" w:rsidRPr="00F644FD" w:rsidRDefault="00C5199A" w:rsidP="004D626B">
            <w:pPr>
              <w:pStyle w:val="Tablecentered"/>
            </w:pPr>
          </w:p>
        </w:tc>
        <w:tc>
          <w:tcPr>
            <w:tcW w:w="1344" w:type="dxa"/>
            <w:tcBorders>
              <w:top w:val="single" w:sz="6" w:space="0" w:color="auto"/>
              <w:left w:val="nil"/>
              <w:bottom w:val="single" w:sz="6" w:space="0" w:color="auto"/>
              <w:right w:val="single" w:sz="6" w:space="0" w:color="auto"/>
            </w:tcBorders>
            <w:vAlign w:val="center"/>
          </w:tcPr>
          <w:p w14:paraId="7857B7C8" w14:textId="77777777" w:rsidR="00C5199A" w:rsidRPr="00F644FD" w:rsidRDefault="00C5199A" w:rsidP="004D626B">
            <w:pPr>
              <w:pStyle w:val="Tablecentered"/>
            </w:pPr>
          </w:p>
        </w:tc>
      </w:tr>
      <w:tr w:rsidR="00C5199A" w:rsidRPr="00F644FD" w14:paraId="78E1BBFD" w14:textId="77777777" w:rsidTr="00FE73FD">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232EC9B0" w14:textId="77777777" w:rsidR="00C5199A" w:rsidRPr="00F644FD" w:rsidRDefault="00C5199A" w:rsidP="004D626B">
            <w:pPr>
              <w:pStyle w:val="Tablenormalindent"/>
            </w:pPr>
            <w:r w:rsidRPr="00F644FD">
              <w:t>Vulvovaginal pruritus</w:t>
            </w:r>
          </w:p>
        </w:tc>
        <w:tc>
          <w:tcPr>
            <w:tcW w:w="1559" w:type="dxa"/>
            <w:tcBorders>
              <w:top w:val="single" w:sz="6" w:space="0" w:color="auto"/>
              <w:left w:val="single" w:sz="6" w:space="0" w:color="auto"/>
              <w:bottom w:val="single" w:sz="6" w:space="0" w:color="auto"/>
              <w:right w:val="single" w:sz="6" w:space="0" w:color="auto"/>
            </w:tcBorders>
            <w:vAlign w:val="center"/>
          </w:tcPr>
          <w:p w14:paraId="54FC2693" w14:textId="77777777" w:rsidR="00C5199A" w:rsidRPr="00F644FD" w:rsidRDefault="00C5199A" w:rsidP="004D626B">
            <w:pPr>
              <w:pStyle w:val="Tablecentered"/>
            </w:pPr>
            <w:r w:rsidRPr="00F644FD">
              <w:t>1.0</w:t>
            </w:r>
          </w:p>
        </w:tc>
        <w:tc>
          <w:tcPr>
            <w:tcW w:w="1560" w:type="dxa"/>
            <w:tcBorders>
              <w:top w:val="single" w:sz="6" w:space="0" w:color="auto"/>
              <w:left w:val="single" w:sz="6" w:space="0" w:color="auto"/>
              <w:bottom w:val="single" w:sz="6" w:space="0" w:color="auto"/>
              <w:right w:val="single" w:sz="6" w:space="0" w:color="auto"/>
            </w:tcBorders>
            <w:vAlign w:val="center"/>
          </w:tcPr>
          <w:p w14:paraId="6860B3BC" w14:textId="77777777" w:rsidR="00C5199A" w:rsidRPr="00F644FD" w:rsidRDefault="00C5199A" w:rsidP="004D626B">
            <w:pPr>
              <w:pStyle w:val="Tablecentered"/>
            </w:pPr>
            <w:r w:rsidRPr="00F644FD">
              <w:t>1.2</w:t>
            </w:r>
          </w:p>
        </w:tc>
        <w:tc>
          <w:tcPr>
            <w:tcW w:w="1344" w:type="dxa"/>
            <w:tcBorders>
              <w:top w:val="single" w:sz="6" w:space="0" w:color="auto"/>
              <w:left w:val="single" w:sz="6" w:space="0" w:color="auto"/>
              <w:bottom w:val="single" w:sz="6" w:space="0" w:color="auto"/>
              <w:right w:val="single" w:sz="6" w:space="0" w:color="auto"/>
            </w:tcBorders>
            <w:vAlign w:val="center"/>
          </w:tcPr>
          <w:p w14:paraId="60DC276F" w14:textId="77777777" w:rsidR="00C5199A" w:rsidRPr="00F644FD" w:rsidRDefault="00C5199A" w:rsidP="004D626B">
            <w:pPr>
              <w:pStyle w:val="Tablecentered"/>
            </w:pPr>
            <w:r w:rsidRPr="00F644FD">
              <w:t>0.2</w:t>
            </w:r>
          </w:p>
        </w:tc>
      </w:tr>
      <w:tr w:rsidR="00C5199A" w:rsidRPr="00F644FD" w14:paraId="649F36E0" w14:textId="77777777" w:rsidTr="00FE73FD">
        <w:trPr>
          <w:cantSplit/>
        </w:trPr>
        <w:tc>
          <w:tcPr>
            <w:tcW w:w="4678" w:type="dxa"/>
            <w:tcBorders>
              <w:top w:val="single" w:sz="6" w:space="0" w:color="auto"/>
              <w:left w:val="single" w:sz="6" w:space="0" w:color="auto"/>
              <w:bottom w:val="single" w:sz="6" w:space="0" w:color="auto"/>
              <w:right w:val="nil"/>
            </w:tcBorders>
            <w:vAlign w:val="center"/>
          </w:tcPr>
          <w:p w14:paraId="06F5E3FB" w14:textId="77777777" w:rsidR="00C5199A" w:rsidRPr="00F644FD" w:rsidRDefault="00C5199A" w:rsidP="004D626B">
            <w:pPr>
              <w:pStyle w:val="Tablenormal0"/>
            </w:pPr>
            <w:r w:rsidRPr="00F644FD">
              <w:t>General disorders and administration site conditions</w:t>
            </w:r>
          </w:p>
        </w:tc>
        <w:tc>
          <w:tcPr>
            <w:tcW w:w="1559" w:type="dxa"/>
            <w:tcBorders>
              <w:top w:val="single" w:sz="6" w:space="0" w:color="auto"/>
              <w:left w:val="nil"/>
              <w:bottom w:val="single" w:sz="6" w:space="0" w:color="auto"/>
              <w:right w:val="nil"/>
            </w:tcBorders>
            <w:vAlign w:val="center"/>
          </w:tcPr>
          <w:p w14:paraId="2237CC75" w14:textId="77777777" w:rsidR="00C5199A" w:rsidRPr="00F644FD" w:rsidRDefault="00C5199A" w:rsidP="004D626B">
            <w:pPr>
              <w:pStyle w:val="Tablecentered"/>
            </w:pPr>
          </w:p>
        </w:tc>
        <w:tc>
          <w:tcPr>
            <w:tcW w:w="1560" w:type="dxa"/>
            <w:tcBorders>
              <w:top w:val="single" w:sz="6" w:space="0" w:color="auto"/>
              <w:left w:val="nil"/>
              <w:bottom w:val="single" w:sz="6" w:space="0" w:color="auto"/>
              <w:right w:val="nil"/>
            </w:tcBorders>
            <w:vAlign w:val="center"/>
          </w:tcPr>
          <w:p w14:paraId="51AB67CA" w14:textId="77777777" w:rsidR="00C5199A" w:rsidRPr="00F644FD" w:rsidRDefault="00C5199A" w:rsidP="004D626B">
            <w:pPr>
              <w:pStyle w:val="Tablecentered"/>
            </w:pPr>
          </w:p>
        </w:tc>
        <w:tc>
          <w:tcPr>
            <w:tcW w:w="1344" w:type="dxa"/>
            <w:tcBorders>
              <w:top w:val="single" w:sz="6" w:space="0" w:color="auto"/>
              <w:left w:val="nil"/>
              <w:bottom w:val="single" w:sz="6" w:space="0" w:color="auto"/>
              <w:right w:val="single" w:sz="6" w:space="0" w:color="auto"/>
            </w:tcBorders>
            <w:vAlign w:val="center"/>
          </w:tcPr>
          <w:p w14:paraId="37B98E92" w14:textId="77777777" w:rsidR="00C5199A" w:rsidRPr="00F644FD" w:rsidRDefault="00C5199A" w:rsidP="004D626B">
            <w:pPr>
              <w:pStyle w:val="Tablecentered"/>
            </w:pPr>
          </w:p>
        </w:tc>
      </w:tr>
      <w:tr w:rsidR="00C5199A" w:rsidRPr="00F644FD" w14:paraId="7B9060C5" w14:textId="77777777" w:rsidTr="00FE73FD">
        <w:trPr>
          <w:cantSplit/>
        </w:trPr>
        <w:tc>
          <w:tcPr>
            <w:tcW w:w="4678" w:type="dxa"/>
            <w:tcBorders>
              <w:top w:val="single" w:sz="6" w:space="0" w:color="auto"/>
              <w:left w:val="single" w:sz="6" w:space="0" w:color="auto"/>
              <w:bottom w:val="single" w:sz="6" w:space="0" w:color="auto"/>
              <w:right w:val="single" w:sz="6" w:space="0" w:color="auto"/>
            </w:tcBorders>
            <w:vAlign w:val="center"/>
          </w:tcPr>
          <w:p w14:paraId="4B092649" w14:textId="77777777" w:rsidR="00C5199A" w:rsidRPr="00F644FD" w:rsidRDefault="00C5199A" w:rsidP="004D626B">
            <w:pPr>
              <w:pStyle w:val="Tablenormalindent"/>
            </w:pPr>
            <w:r w:rsidRPr="00F644FD">
              <w:t>Thirst</w:t>
            </w:r>
            <w:r w:rsidRPr="00901AF3">
              <w:rPr>
                <w:vertAlign w:val="superscript"/>
              </w:rPr>
              <w:t>§</w:t>
            </w:r>
          </w:p>
        </w:tc>
        <w:tc>
          <w:tcPr>
            <w:tcW w:w="1559" w:type="dxa"/>
            <w:tcBorders>
              <w:top w:val="single" w:sz="6" w:space="0" w:color="auto"/>
              <w:left w:val="single" w:sz="6" w:space="0" w:color="auto"/>
              <w:bottom w:val="single" w:sz="6" w:space="0" w:color="auto"/>
              <w:right w:val="single" w:sz="6" w:space="0" w:color="auto"/>
            </w:tcBorders>
            <w:vAlign w:val="center"/>
          </w:tcPr>
          <w:p w14:paraId="390EA27A" w14:textId="77777777" w:rsidR="00C5199A" w:rsidRPr="00F644FD" w:rsidRDefault="00C5199A" w:rsidP="004D626B">
            <w:pPr>
              <w:pStyle w:val="Tablecentered"/>
            </w:pPr>
            <w:r w:rsidRPr="00F644FD">
              <w:t>1.3</w:t>
            </w:r>
          </w:p>
        </w:tc>
        <w:tc>
          <w:tcPr>
            <w:tcW w:w="1560" w:type="dxa"/>
            <w:tcBorders>
              <w:top w:val="single" w:sz="6" w:space="0" w:color="auto"/>
              <w:left w:val="single" w:sz="6" w:space="0" w:color="auto"/>
              <w:bottom w:val="single" w:sz="6" w:space="0" w:color="auto"/>
              <w:right w:val="single" w:sz="6" w:space="0" w:color="auto"/>
            </w:tcBorders>
            <w:vAlign w:val="center"/>
          </w:tcPr>
          <w:p w14:paraId="017BE1A4" w14:textId="77777777" w:rsidR="00C5199A" w:rsidRPr="00F644FD" w:rsidRDefault="00C5199A" w:rsidP="004D626B">
            <w:pPr>
              <w:pStyle w:val="Tablecentered"/>
            </w:pPr>
            <w:r w:rsidRPr="00F644FD">
              <w:t>1.0</w:t>
            </w:r>
          </w:p>
        </w:tc>
        <w:tc>
          <w:tcPr>
            <w:tcW w:w="1344" w:type="dxa"/>
            <w:tcBorders>
              <w:top w:val="single" w:sz="6" w:space="0" w:color="auto"/>
              <w:left w:val="single" w:sz="6" w:space="0" w:color="auto"/>
              <w:bottom w:val="single" w:sz="6" w:space="0" w:color="auto"/>
              <w:right w:val="single" w:sz="6" w:space="0" w:color="auto"/>
            </w:tcBorders>
            <w:vAlign w:val="center"/>
          </w:tcPr>
          <w:p w14:paraId="088BF05A" w14:textId="77777777" w:rsidR="00C5199A" w:rsidRPr="00F644FD" w:rsidRDefault="00C5199A" w:rsidP="004D626B">
            <w:pPr>
              <w:pStyle w:val="Tablecentered"/>
            </w:pPr>
            <w:r w:rsidRPr="00F644FD">
              <w:t>0.2</w:t>
            </w:r>
          </w:p>
        </w:tc>
      </w:tr>
    </w:tbl>
    <w:p w14:paraId="6CDD541F" w14:textId="77777777" w:rsidR="00C5199A" w:rsidRPr="00F644FD" w:rsidRDefault="00C5199A" w:rsidP="00C5199A">
      <w:pPr>
        <w:pStyle w:val="BodyText3"/>
        <w:rPr>
          <w:lang w:val="en-AU"/>
        </w:rPr>
      </w:pPr>
      <w:r w:rsidRPr="00F644FD">
        <w:rPr>
          <w:lang w:val="en-AU"/>
        </w:rPr>
        <w:t>*</w:t>
      </w:r>
      <w:r w:rsidRPr="00F644FD">
        <w:rPr>
          <w:lang w:val="en-AU"/>
        </w:rPr>
        <w:tab/>
        <w:t xml:space="preserve">Includes: genital candidiasis, genital infection fungal, vaginal infection, </w:t>
      </w:r>
      <w:proofErr w:type="spellStart"/>
      <w:r w:rsidRPr="00F644FD">
        <w:rPr>
          <w:lang w:val="en-AU"/>
        </w:rPr>
        <w:t>vulvitis</w:t>
      </w:r>
      <w:proofErr w:type="spellEnd"/>
      <w:r w:rsidRPr="00F644FD">
        <w:rPr>
          <w:lang w:val="en-AU"/>
        </w:rPr>
        <w:t xml:space="preserve">, vulvovaginal candidiasis, vulvovaginal mycotic infection, and </w:t>
      </w:r>
      <w:proofErr w:type="spellStart"/>
      <w:r w:rsidRPr="00F644FD">
        <w:rPr>
          <w:lang w:val="en-AU"/>
        </w:rPr>
        <w:t>vulvovaginitis</w:t>
      </w:r>
      <w:proofErr w:type="spellEnd"/>
      <w:r w:rsidRPr="00F644FD">
        <w:rPr>
          <w:lang w:val="en-AU"/>
        </w:rPr>
        <w:t xml:space="preserve">.  Percentages calculated with the number of female patients in each group as denominator: placebo (N=235), </w:t>
      </w:r>
      <w:proofErr w:type="spellStart"/>
      <w:r w:rsidRPr="00F644FD">
        <w:rPr>
          <w:lang w:val="en-AU"/>
        </w:rPr>
        <w:t>ertugliflozin</w:t>
      </w:r>
      <w:proofErr w:type="spellEnd"/>
      <w:r w:rsidRPr="00F644FD">
        <w:rPr>
          <w:lang w:val="en-AU"/>
        </w:rPr>
        <w:t xml:space="preserve"> 5 mg (N=252), </w:t>
      </w:r>
      <w:proofErr w:type="spellStart"/>
      <w:r w:rsidRPr="00F644FD">
        <w:rPr>
          <w:lang w:val="en-AU"/>
        </w:rPr>
        <w:t>ertugliflozin</w:t>
      </w:r>
      <w:proofErr w:type="spellEnd"/>
      <w:r w:rsidRPr="00F644FD">
        <w:rPr>
          <w:lang w:val="en-AU"/>
        </w:rPr>
        <w:t xml:space="preserve"> 15 mg (N=245).</w:t>
      </w:r>
    </w:p>
    <w:p w14:paraId="01F116BC" w14:textId="77777777" w:rsidR="00C5199A" w:rsidRPr="00F644FD" w:rsidRDefault="00C5199A" w:rsidP="00C5199A">
      <w:pPr>
        <w:pStyle w:val="BodyText3"/>
        <w:rPr>
          <w:lang w:val="en-AU"/>
        </w:rPr>
      </w:pPr>
      <w:r w:rsidRPr="00F644FD">
        <w:rPr>
          <w:vertAlign w:val="superscript"/>
          <w:lang w:val="en-AU"/>
        </w:rPr>
        <w:t xml:space="preserve">† </w:t>
      </w:r>
      <w:r w:rsidRPr="00F644FD">
        <w:rPr>
          <w:lang w:val="en-AU"/>
        </w:rPr>
        <w:tab/>
        <w:t xml:space="preserve">Includes: balanitis candida, </w:t>
      </w:r>
      <w:proofErr w:type="spellStart"/>
      <w:r w:rsidRPr="00F644FD">
        <w:rPr>
          <w:lang w:val="en-AU"/>
        </w:rPr>
        <w:t>balanoposthitis</w:t>
      </w:r>
      <w:proofErr w:type="spellEnd"/>
      <w:r w:rsidRPr="00F644FD">
        <w:rPr>
          <w:lang w:val="en-AU"/>
        </w:rPr>
        <w:t xml:space="preserve">, genital infection, and genital infection fungal.  Percentages calculated with the number of male patients in each group as denominator: placebo (N=280), </w:t>
      </w:r>
      <w:proofErr w:type="spellStart"/>
      <w:r w:rsidRPr="00F644FD">
        <w:rPr>
          <w:lang w:val="en-AU"/>
        </w:rPr>
        <w:t>ertugliflozin</w:t>
      </w:r>
      <w:proofErr w:type="spellEnd"/>
      <w:r w:rsidRPr="00F644FD">
        <w:rPr>
          <w:lang w:val="en-AU"/>
        </w:rPr>
        <w:t xml:space="preserve"> 5 mg (N=267), </w:t>
      </w:r>
      <w:proofErr w:type="spellStart"/>
      <w:r w:rsidRPr="00F644FD">
        <w:rPr>
          <w:lang w:val="en-AU"/>
        </w:rPr>
        <w:t>ertugliflozin</w:t>
      </w:r>
      <w:proofErr w:type="spellEnd"/>
      <w:r w:rsidRPr="00F644FD">
        <w:rPr>
          <w:lang w:val="en-AU"/>
        </w:rPr>
        <w:t xml:space="preserve"> 15 mg (N=265).</w:t>
      </w:r>
    </w:p>
    <w:p w14:paraId="1901EC50" w14:textId="77777777" w:rsidR="00C5199A" w:rsidRPr="00F644FD" w:rsidRDefault="00C5199A" w:rsidP="00C5199A">
      <w:pPr>
        <w:pStyle w:val="BodyText3"/>
        <w:rPr>
          <w:lang w:val="en-AU"/>
        </w:rPr>
      </w:pPr>
      <w:r w:rsidRPr="00F644FD">
        <w:rPr>
          <w:vertAlign w:val="superscript"/>
          <w:lang w:val="en-AU"/>
        </w:rPr>
        <w:t>‡</w:t>
      </w:r>
      <w:r w:rsidRPr="00F644FD">
        <w:rPr>
          <w:lang w:val="en-AU"/>
        </w:rPr>
        <w:tab/>
        <w:t xml:space="preserve">Includes: </w:t>
      </w:r>
      <w:proofErr w:type="spellStart"/>
      <w:r w:rsidRPr="00F644FD">
        <w:rPr>
          <w:lang w:val="en-AU"/>
        </w:rPr>
        <w:t>pollakiuria</w:t>
      </w:r>
      <w:proofErr w:type="spellEnd"/>
      <w:r w:rsidRPr="00F644FD">
        <w:rPr>
          <w:lang w:val="en-AU"/>
        </w:rPr>
        <w:t xml:space="preserve">, micturition urgency, polyuria, urine output increased, and </w:t>
      </w:r>
      <w:proofErr w:type="spellStart"/>
      <w:r w:rsidRPr="00F644FD">
        <w:rPr>
          <w:lang w:val="en-AU"/>
        </w:rPr>
        <w:t>nocturia</w:t>
      </w:r>
      <w:proofErr w:type="spellEnd"/>
      <w:r w:rsidRPr="00F644FD">
        <w:rPr>
          <w:lang w:val="en-AU"/>
        </w:rPr>
        <w:t>.</w:t>
      </w:r>
    </w:p>
    <w:p w14:paraId="79D36D83" w14:textId="77777777" w:rsidR="00C5199A" w:rsidRPr="00F644FD" w:rsidRDefault="00C5199A" w:rsidP="00C5199A">
      <w:pPr>
        <w:pStyle w:val="BodyText3"/>
        <w:rPr>
          <w:lang w:val="en-AU"/>
        </w:rPr>
      </w:pPr>
      <w:r w:rsidRPr="00F644FD">
        <w:rPr>
          <w:vertAlign w:val="superscript"/>
          <w:lang w:val="en-AU"/>
        </w:rPr>
        <w:t>§</w:t>
      </w:r>
      <w:r w:rsidRPr="00F644FD">
        <w:rPr>
          <w:lang w:val="en-AU"/>
        </w:rPr>
        <w:tab/>
        <w:t>Includes: thirst and polydipsia.</w:t>
      </w:r>
    </w:p>
    <w:p w14:paraId="3F1D3120" w14:textId="77777777" w:rsidR="00C5199A" w:rsidRPr="00F644FD" w:rsidRDefault="00C5199A" w:rsidP="00FE73FD">
      <w:pPr>
        <w:pStyle w:val="Heading3"/>
      </w:pPr>
      <w:r w:rsidRPr="00F644FD">
        <w:lastRenderedPageBreak/>
        <w:t>Description of selected adverse reactions</w:t>
      </w:r>
    </w:p>
    <w:p w14:paraId="5DF28019" w14:textId="7C42EA1D" w:rsidR="00C5199A" w:rsidRPr="00F644FD" w:rsidRDefault="00C5199A" w:rsidP="00C5199A">
      <w:pPr>
        <w:pStyle w:val="Heading4"/>
      </w:pPr>
      <w:r w:rsidRPr="00F644FD">
        <w:t xml:space="preserve">Volume </w:t>
      </w:r>
      <w:r w:rsidR="00B1112D" w:rsidRPr="00F644FD">
        <w:t>depletion</w:t>
      </w:r>
    </w:p>
    <w:p w14:paraId="3B29395E" w14:textId="4064B27A" w:rsidR="00C5199A" w:rsidRPr="00F644FD" w:rsidRDefault="00C5199A" w:rsidP="00C5199A">
      <w:proofErr w:type="spellStart"/>
      <w:r w:rsidRPr="00F644FD">
        <w:t>Ertugliflozin</w:t>
      </w:r>
      <w:proofErr w:type="spellEnd"/>
      <w:r w:rsidRPr="00F644FD">
        <w:t xml:space="preserve"> causes an osmotic diuresis, which may lead to intravascular volume contraction and adverse reactions related to volume depletion, particularly in patients with impaired renal function (</w:t>
      </w:r>
      <w:proofErr w:type="spellStart"/>
      <w:r w:rsidRPr="00F644FD">
        <w:t>eGFR</w:t>
      </w:r>
      <w:proofErr w:type="spellEnd"/>
      <w:r w:rsidRPr="00F644FD">
        <w:t xml:space="preserve"> less than 60 mL/min/1.73 m</w:t>
      </w:r>
      <w:r w:rsidRPr="00F644FD">
        <w:rPr>
          <w:vertAlign w:val="superscript"/>
        </w:rPr>
        <w:t>2</w:t>
      </w:r>
      <w:r w:rsidRPr="00F644FD">
        <w:t xml:space="preserve">).  In the pool of three placebo-controlled clinical trials, adverse reactions related to volume depletion (e.g., dehydration, dizziness postural, </w:t>
      </w:r>
      <w:proofErr w:type="spellStart"/>
      <w:r w:rsidRPr="00F644FD">
        <w:t>presyncope</w:t>
      </w:r>
      <w:proofErr w:type="spellEnd"/>
      <w:r w:rsidRPr="00F644FD">
        <w:t xml:space="preserve">, syncope, hypotension, and orthostatic hypotension) were not more frequent in patients treated with </w:t>
      </w:r>
      <w:proofErr w:type="spellStart"/>
      <w:r w:rsidRPr="00F644FD">
        <w:t>ertugliflozin</w:t>
      </w:r>
      <w:proofErr w:type="spellEnd"/>
      <w:r w:rsidRPr="00F644FD">
        <w:t xml:space="preserve"> compared to those treated with placebo; events were reported by 0.8%, 1.0%, and 1.7% of patients treated with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 mg, and placebo, respectively.  A higher incidence was seen in a study of patients with moderate renal impairment; events were reported by 4.4%, 1.9%, and 0% of patients treated with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 mg, and placebo, respectively.  </w:t>
      </w:r>
      <w:proofErr w:type="spellStart"/>
      <w:r w:rsidRPr="00F644FD">
        <w:t>Ertugliflozin</w:t>
      </w:r>
      <w:proofErr w:type="spellEnd"/>
      <w:r w:rsidRPr="00F644FD">
        <w:t xml:space="preserve"> may also increase the risk of hypotension in other patients at risk for volume contraction [see </w:t>
      </w:r>
      <w:r w:rsidR="00F82DDA" w:rsidRPr="00F644FD">
        <w:t xml:space="preserve">4.4 SPECIAL WARNINGS AND </w:t>
      </w:r>
      <w:r w:rsidRPr="00F644FD">
        <w:t>PRECAUTIONS</w:t>
      </w:r>
      <w:r w:rsidR="000B50ED">
        <w:t xml:space="preserve"> FOR USE</w:t>
      </w:r>
      <w:r w:rsidRPr="00F644FD">
        <w:t>].</w:t>
      </w:r>
    </w:p>
    <w:p w14:paraId="378A8F69" w14:textId="77777777" w:rsidR="00C5199A" w:rsidRPr="00F644FD" w:rsidRDefault="00C5199A" w:rsidP="00C5199A">
      <w:pPr>
        <w:pStyle w:val="Heading4"/>
      </w:pPr>
      <w:r w:rsidRPr="00F644FD">
        <w:t>Ketoacidosis</w:t>
      </w:r>
    </w:p>
    <w:p w14:paraId="59AC74D4" w14:textId="752A8E78" w:rsidR="00C5199A" w:rsidRPr="00F644FD" w:rsidRDefault="00C5199A" w:rsidP="00C5199A">
      <w:r w:rsidRPr="00F644FD">
        <w:t xml:space="preserve">Across the clinical program, ketoacidosis was identified in 3 of 3,409 (0.1%) </w:t>
      </w:r>
      <w:proofErr w:type="spellStart"/>
      <w:r w:rsidRPr="00F644FD">
        <w:t>ertugliflozin</w:t>
      </w:r>
      <w:proofErr w:type="spellEnd"/>
      <w:r w:rsidRPr="00F644FD">
        <w:t>-treated patients</w:t>
      </w:r>
      <w:r w:rsidRPr="00F644FD" w:rsidDel="00996B31">
        <w:t xml:space="preserve"> </w:t>
      </w:r>
      <w:r w:rsidRPr="00F644FD">
        <w:t>and 0.0% of comparator-treated patients</w:t>
      </w:r>
      <w:r w:rsidRPr="00F644FD" w:rsidDel="00996B31">
        <w:t xml:space="preserve"> </w:t>
      </w:r>
      <w:r w:rsidRPr="00F644FD">
        <w:t xml:space="preserve">[see </w:t>
      </w:r>
      <w:r w:rsidR="00F82DDA" w:rsidRPr="00F644FD">
        <w:t xml:space="preserve">4.4 SPECIAL WARNINGS AND </w:t>
      </w:r>
      <w:r w:rsidRPr="00F644FD">
        <w:t>PRECAUTIONS</w:t>
      </w:r>
      <w:r w:rsidR="000B50ED">
        <w:t xml:space="preserve"> FOR USE</w:t>
      </w:r>
      <w:r w:rsidRPr="00F644FD">
        <w:t>].</w:t>
      </w:r>
    </w:p>
    <w:p w14:paraId="480AC002" w14:textId="0FBFCC07" w:rsidR="00C5199A" w:rsidRPr="00F644FD" w:rsidRDefault="00C5199A" w:rsidP="00C5199A">
      <w:pPr>
        <w:pStyle w:val="Heading4"/>
      </w:pPr>
      <w:r w:rsidRPr="00F644FD">
        <w:t xml:space="preserve">Impairment in </w:t>
      </w:r>
      <w:r w:rsidR="00B1112D" w:rsidRPr="00F644FD">
        <w:t>renal function</w:t>
      </w:r>
    </w:p>
    <w:p w14:paraId="5F74E225" w14:textId="2708099E" w:rsidR="00C5199A" w:rsidRPr="00F644FD" w:rsidRDefault="00C5199A" w:rsidP="00C5199A">
      <w:pPr>
        <w:widowControl w:val="0"/>
        <w:rPr>
          <w:iCs/>
          <w:szCs w:val="24"/>
        </w:rPr>
      </w:pPr>
      <w:r w:rsidRPr="00F644FD">
        <w:rPr>
          <w:iCs/>
          <w:szCs w:val="24"/>
        </w:rPr>
        <w:t xml:space="preserve">Use of </w:t>
      </w:r>
      <w:proofErr w:type="spellStart"/>
      <w:r w:rsidRPr="00F644FD">
        <w:t>ertugliflozin</w:t>
      </w:r>
      <w:proofErr w:type="spellEnd"/>
      <w:r w:rsidRPr="00F644FD">
        <w:rPr>
          <w:iCs/>
          <w:szCs w:val="24"/>
        </w:rPr>
        <w:t xml:space="preserve"> was associated with increases in serum creatinine and decreases in </w:t>
      </w:r>
      <w:proofErr w:type="spellStart"/>
      <w:r w:rsidRPr="00F644FD">
        <w:rPr>
          <w:iCs/>
          <w:szCs w:val="24"/>
        </w:rPr>
        <w:t>eGFR</w:t>
      </w:r>
      <w:proofErr w:type="spellEnd"/>
      <w:r w:rsidRPr="00F644FD">
        <w:rPr>
          <w:iCs/>
          <w:szCs w:val="24"/>
        </w:rPr>
        <w:t xml:space="preserve"> [see </w:t>
      </w:r>
      <w:r w:rsidR="00EF6F6C" w:rsidRPr="00F644FD">
        <w:t xml:space="preserve">4.4 SPECIAL WARNINGS AND </w:t>
      </w:r>
      <w:r w:rsidR="00EF6F6C" w:rsidRPr="00F644FD">
        <w:rPr>
          <w:iCs/>
          <w:szCs w:val="24"/>
        </w:rPr>
        <w:t>PRECAUTIONS</w:t>
      </w:r>
      <w:r w:rsidR="0090578A">
        <w:rPr>
          <w:iCs/>
          <w:szCs w:val="24"/>
        </w:rPr>
        <w:t xml:space="preserve"> FOR USE</w:t>
      </w:r>
      <w:r w:rsidR="00EF6F6C" w:rsidRPr="00F644FD">
        <w:rPr>
          <w:iCs/>
          <w:szCs w:val="24"/>
        </w:rPr>
        <w:t xml:space="preserve">, Effects on </w:t>
      </w:r>
      <w:r w:rsidR="0090578A">
        <w:rPr>
          <w:iCs/>
          <w:szCs w:val="24"/>
        </w:rPr>
        <w:t>l</w:t>
      </w:r>
      <w:r w:rsidRPr="00F644FD">
        <w:rPr>
          <w:iCs/>
          <w:szCs w:val="24"/>
        </w:rPr>
        <w:t xml:space="preserve">aboratory </w:t>
      </w:r>
      <w:r w:rsidR="0090578A">
        <w:rPr>
          <w:iCs/>
          <w:szCs w:val="24"/>
        </w:rPr>
        <w:t>t</w:t>
      </w:r>
      <w:r w:rsidRPr="00F644FD">
        <w:rPr>
          <w:iCs/>
          <w:szCs w:val="24"/>
        </w:rPr>
        <w:t xml:space="preserve">ests].  Patients with moderate renal impairment at baseline had larger mean changes; these changes were observed to reverse after treatment discontinuation, suggesting acute haemodynamic changes may play a role in the renal function abnormalities observed with </w:t>
      </w:r>
      <w:proofErr w:type="spellStart"/>
      <w:r w:rsidRPr="00F644FD">
        <w:rPr>
          <w:iCs/>
          <w:szCs w:val="24"/>
        </w:rPr>
        <w:t>ertugliflozin</w:t>
      </w:r>
      <w:proofErr w:type="spellEnd"/>
      <w:r w:rsidRPr="00F644FD">
        <w:rPr>
          <w:iCs/>
          <w:szCs w:val="24"/>
        </w:rPr>
        <w:t xml:space="preserve"> [see </w:t>
      </w:r>
      <w:r w:rsidR="00F82DDA" w:rsidRPr="00F644FD">
        <w:t xml:space="preserve">4.4 SPECIAL WARNINGS AND </w:t>
      </w:r>
      <w:r w:rsidRPr="00F644FD">
        <w:rPr>
          <w:iCs/>
          <w:szCs w:val="24"/>
        </w:rPr>
        <w:t>PRECAUTIONS</w:t>
      </w:r>
      <w:r w:rsidR="000B50ED">
        <w:rPr>
          <w:iCs/>
          <w:szCs w:val="24"/>
        </w:rPr>
        <w:t xml:space="preserve"> FOR USE</w:t>
      </w:r>
      <w:r w:rsidRPr="00F644FD">
        <w:rPr>
          <w:iCs/>
          <w:szCs w:val="24"/>
        </w:rPr>
        <w:t>].</w:t>
      </w:r>
    </w:p>
    <w:p w14:paraId="221481FB" w14:textId="77777777" w:rsidR="00C5199A" w:rsidRPr="00F644FD" w:rsidRDefault="00C5199A" w:rsidP="00C5199A">
      <w:pPr>
        <w:widowControl w:val="0"/>
        <w:rPr>
          <w:iCs/>
          <w:szCs w:val="24"/>
        </w:rPr>
      </w:pPr>
    </w:p>
    <w:p w14:paraId="07CB3A2D" w14:textId="77777777" w:rsidR="00C5199A" w:rsidRPr="00F644FD" w:rsidRDefault="00C5199A" w:rsidP="00C5199A">
      <w:pPr>
        <w:widowControl w:val="0"/>
        <w:rPr>
          <w:szCs w:val="24"/>
        </w:rPr>
      </w:pPr>
      <w:r w:rsidRPr="00F644FD">
        <w:rPr>
          <w:szCs w:val="24"/>
        </w:rPr>
        <w:t xml:space="preserve">Renal-related adverse reactions (e.g., acute kidney injury, renal impairment, acute prerenal failure) may occur in patients treated with </w:t>
      </w:r>
      <w:proofErr w:type="spellStart"/>
      <w:r w:rsidRPr="00F644FD">
        <w:t>ertugliflozin</w:t>
      </w:r>
      <w:proofErr w:type="spellEnd"/>
      <w:r w:rsidRPr="00F644FD">
        <w:rPr>
          <w:szCs w:val="24"/>
        </w:rPr>
        <w:t xml:space="preserve">, particularly in patients with moderate renal impairment where the incidence of renal-related adverse reactions was 2.5%, 1.3%, and 0.6% in patients treated with </w:t>
      </w:r>
      <w:proofErr w:type="spellStart"/>
      <w:r w:rsidRPr="00F644FD">
        <w:t>ertugliflozin</w:t>
      </w:r>
      <w:proofErr w:type="spellEnd"/>
      <w:r w:rsidRPr="00F644FD">
        <w:rPr>
          <w:szCs w:val="24"/>
        </w:rPr>
        <w:t xml:space="preserve"> 5 mg, </w:t>
      </w:r>
      <w:proofErr w:type="spellStart"/>
      <w:r w:rsidRPr="00F644FD">
        <w:t>ertugliflozin</w:t>
      </w:r>
      <w:proofErr w:type="spellEnd"/>
      <w:r w:rsidRPr="00F644FD">
        <w:rPr>
          <w:iCs/>
        </w:rPr>
        <w:t xml:space="preserve"> </w:t>
      </w:r>
      <w:r w:rsidRPr="00F644FD">
        <w:rPr>
          <w:szCs w:val="24"/>
        </w:rPr>
        <w:t>15 mg, and placebo, respectively.</w:t>
      </w:r>
    </w:p>
    <w:p w14:paraId="1A838879" w14:textId="77777777" w:rsidR="00C5199A" w:rsidRPr="00F644FD" w:rsidRDefault="00C5199A" w:rsidP="00C5199A">
      <w:pPr>
        <w:pStyle w:val="Heading4"/>
      </w:pPr>
      <w:r w:rsidRPr="00F644FD">
        <w:t xml:space="preserve">Hypoglycaemia </w:t>
      </w:r>
    </w:p>
    <w:p w14:paraId="43173F4E" w14:textId="7C0BE226" w:rsidR="00C5199A" w:rsidRPr="00F644FD" w:rsidRDefault="00C5199A" w:rsidP="00C5199A">
      <w:r w:rsidRPr="00F644FD">
        <w:t xml:space="preserve">In all clinical trials, hypoglycaemia was defined as any event regardless of symptoms, where biochemical hypoglycaemia was documented (any glucose value below or equal </w:t>
      </w:r>
      <w:proofErr w:type="gramStart"/>
      <w:r w:rsidRPr="00F644FD">
        <w:t>to 3.9 </w:t>
      </w:r>
      <w:proofErr w:type="spellStart"/>
      <w:r w:rsidRPr="00F644FD">
        <w:t>mmol</w:t>
      </w:r>
      <w:proofErr w:type="spellEnd"/>
      <w:r w:rsidRPr="00F644FD">
        <w:t>/L</w:t>
      </w:r>
      <w:proofErr w:type="gramEnd"/>
      <w:r w:rsidRPr="00F644FD">
        <w:t>).  Severe hypoglycaemia was defined as an event consistent with hypoglycaemia where the patient required the assistance of another person to recover, lost consciousness, or experienced a seizure (regardless of whether biochemical documentation of a low glucose value was obtained).</w:t>
      </w:r>
    </w:p>
    <w:p w14:paraId="6DE479C3" w14:textId="77777777" w:rsidR="00C5199A" w:rsidRPr="00F644FD" w:rsidRDefault="00C5199A" w:rsidP="00C5199A"/>
    <w:p w14:paraId="7120134A" w14:textId="6D579C1A" w:rsidR="00C5199A" w:rsidRPr="00F644FD" w:rsidRDefault="00C5199A" w:rsidP="00C5199A">
      <w:r w:rsidRPr="004A377C">
        <w:t>The incidence of hypoglycaemia by study is shown in Table </w:t>
      </w:r>
      <w:r w:rsidR="00EF6F6C" w:rsidRPr="004A377C">
        <w:t>2</w:t>
      </w:r>
      <w:r w:rsidRPr="004A377C">
        <w:t>.  The incidence of</w:t>
      </w:r>
      <w:r w:rsidRPr="00F644FD">
        <w:t xml:space="preserve"> hypoglycaemia may be higher when </w:t>
      </w:r>
      <w:proofErr w:type="spellStart"/>
      <w:r w:rsidRPr="00F644FD">
        <w:t>ertugliflozin</w:t>
      </w:r>
      <w:proofErr w:type="spellEnd"/>
      <w:r w:rsidRPr="00F644FD">
        <w:t xml:space="preserve"> is administered with insulin and/or an insulin </w:t>
      </w:r>
      <w:proofErr w:type="spellStart"/>
      <w:r w:rsidRPr="00F644FD">
        <w:t>secretagogue</w:t>
      </w:r>
      <w:proofErr w:type="spellEnd"/>
      <w:r w:rsidRPr="00F644FD">
        <w:t xml:space="preserve"> [see </w:t>
      </w:r>
      <w:r w:rsidR="00F82DDA" w:rsidRPr="00F644FD">
        <w:t xml:space="preserve">4.4 SPECIAL WARNINGS AND </w:t>
      </w:r>
      <w:r w:rsidRPr="00F644FD" w:rsidDel="006C32AC">
        <w:t>PRECAUTIONS</w:t>
      </w:r>
      <w:r w:rsidR="000B50ED">
        <w:t xml:space="preserve"> FOR USE</w:t>
      </w:r>
      <w:r w:rsidRPr="00F644FD">
        <w:t>].</w:t>
      </w:r>
    </w:p>
    <w:p w14:paraId="7690FBD6" w14:textId="77777777" w:rsidR="00C5199A" w:rsidRPr="00F644FD" w:rsidRDefault="00C5199A" w:rsidP="00C5199A">
      <w:pPr>
        <w:pStyle w:val="Heading6"/>
        <w:rPr>
          <w:rFonts w:cs="Arial"/>
        </w:rPr>
      </w:pPr>
      <w:r w:rsidRPr="00F644FD">
        <w:lastRenderedPageBreak/>
        <w:t>Incidence of Overall* and Severe</w:t>
      </w:r>
      <w:r w:rsidRPr="00F644FD">
        <w:rPr>
          <w:rFonts w:cs="Arial"/>
          <w:vertAlign w:val="superscript"/>
        </w:rPr>
        <w:t>†</w:t>
      </w:r>
      <w:r w:rsidRPr="00F644FD">
        <w:t xml:space="preserve"> Hypoglycaemia in Placebo- or Comparator-Controlled Clinical Studies</w:t>
      </w:r>
    </w:p>
    <w:tbl>
      <w:tblPr>
        <w:tblW w:w="93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709"/>
        <w:gridCol w:w="1440"/>
        <w:gridCol w:w="1440"/>
        <w:gridCol w:w="1260"/>
        <w:gridCol w:w="1260"/>
        <w:gridCol w:w="1249"/>
      </w:tblGrid>
      <w:tr w:rsidR="00C5199A" w:rsidRPr="00F644FD" w14:paraId="113B54C0"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1A279F" w14:textId="77777777" w:rsidR="00C5199A" w:rsidRPr="00F644FD" w:rsidRDefault="00C5199A" w:rsidP="004D626B">
            <w:pPr>
              <w:pStyle w:val="Tablenormal0"/>
              <w:rPr>
                <w:b/>
              </w:rPr>
            </w:pPr>
            <w:r w:rsidRPr="00F644FD">
              <w:rPr>
                <w:b/>
              </w:rPr>
              <w:t>Monotherapy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6EC160" w14:textId="77777777" w:rsidR="00C5199A" w:rsidRPr="00F644FD" w:rsidRDefault="00C5199A" w:rsidP="00FE73FD">
            <w:pPr>
              <w:pStyle w:val="Tablecentered"/>
              <w:rPr>
                <w:b/>
                <w:bCs/>
              </w:rPr>
            </w:pPr>
            <w:proofErr w:type="spellStart"/>
            <w:r w:rsidRPr="00F644FD">
              <w:rPr>
                <w:b/>
                <w:bCs/>
              </w:rPr>
              <w:t>Ertugliflozin</w:t>
            </w:r>
            <w:proofErr w:type="spellEnd"/>
            <w:r w:rsidRPr="00F644FD">
              <w:rPr>
                <w:b/>
                <w:bCs/>
              </w:rPr>
              <w:t xml:space="preserve"> 5 mg</w:t>
            </w:r>
          </w:p>
          <w:p w14:paraId="6CFD45B5" w14:textId="77777777" w:rsidR="00C5199A" w:rsidRPr="00F644FD" w:rsidRDefault="00C5199A" w:rsidP="00FE73FD">
            <w:pPr>
              <w:pStyle w:val="Tablecentered"/>
              <w:rPr>
                <w:b/>
                <w:bCs/>
              </w:rPr>
            </w:pPr>
            <w:r w:rsidRPr="00F644FD">
              <w:rPr>
                <w:b/>
                <w:bCs/>
              </w:rPr>
              <w:t>(N =156)</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B6815AF" w14:textId="77777777" w:rsidR="00C5199A" w:rsidRPr="00F644FD" w:rsidRDefault="00C5199A" w:rsidP="00FE73FD">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15 mg</w:t>
            </w:r>
          </w:p>
          <w:p w14:paraId="7314A7D3" w14:textId="77777777" w:rsidR="00C5199A" w:rsidRPr="00F644FD" w:rsidRDefault="00C5199A" w:rsidP="00FE73FD">
            <w:pPr>
              <w:pStyle w:val="Tablecentered"/>
              <w:rPr>
                <w:b/>
                <w:bCs/>
              </w:rPr>
            </w:pPr>
            <w:r w:rsidRPr="00F644FD">
              <w:rPr>
                <w:b/>
                <w:bCs/>
              </w:rPr>
              <w:t>(N = 152)</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772DE7" w14:textId="77777777" w:rsidR="00C5199A" w:rsidRPr="00F644FD" w:rsidRDefault="00C5199A" w:rsidP="00FE73FD">
            <w:pPr>
              <w:pStyle w:val="Tablecentered"/>
              <w:rPr>
                <w:b/>
                <w:bCs/>
              </w:rPr>
            </w:pPr>
            <w:r w:rsidRPr="00F644FD">
              <w:rPr>
                <w:b/>
                <w:bCs/>
              </w:rPr>
              <w:t>Placebo</w:t>
            </w:r>
          </w:p>
          <w:p w14:paraId="4928F878" w14:textId="77777777" w:rsidR="00C5199A" w:rsidRPr="00F644FD" w:rsidRDefault="00C5199A" w:rsidP="00FE73FD">
            <w:pPr>
              <w:pStyle w:val="Tablecentered"/>
              <w:rPr>
                <w:b/>
                <w:bCs/>
              </w:rPr>
            </w:pPr>
            <w:r w:rsidRPr="00F644FD">
              <w:rPr>
                <w:b/>
                <w:bCs/>
              </w:rPr>
              <w:t>(N = 153)</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3D0EFAE" w14:textId="77777777" w:rsidR="00C5199A" w:rsidRPr="00F644FD" w:rsidRDefault="00C5199A" w:rsidP="00FE73FD">
            <w:pPr>
              <w:pStyle w:val="Tablecentered"/>
              <w:rPr>
                <w:b/>
                <w:bCs/>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187C91E" w14:textId="77777777" w:rsidR="00C5199A" w:rsidRPr="00F644FD" w:rsidRDefault="00C5199A" w:rsidP="00FE73FD">
            <w:pPr>
              <w:pStyle w:val="Tablecentered"/>
              <w:rPr>
                <w:b/>
                <w:bCs/>
              </w:rPr>
            </w:pPr>
          </w:p>
        </w:tc>
      </w:tr>
      <w:tr w:rsidR="00C5199A" w:rsidRPr="00F644FD" w14:paraId="09E32224" w14:textId="77777777" w:rsidTr="00FE73FD">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C2EFCDA" w14:textId="77777777" w:rsidR="00C5199A" w:rsidRPr="00F644FD" w:rsidRDefault="00C5199A" w:rsidP="004D626B">
            <w:pPr>
              <w:pStyle w:val="Tablenormal0"/>
            </w:pPr>
            <w:r w:rsidRPr="00F644FD">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1A70C64" w14:textId="77777777" w:rsidR="00C5199A" w:rsidRPr="00F644FD" w:rsidRDefault="00C5199A" w:rsidP="004D626B">
            <w:pPr>
              <w:pStyle w:val="Tablecentered"/>
            </w:pPr>
            <w:r w:rsidRPr="00F644FD">
              <w:t>4 (2.6)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0931FF6" w14:textId="77777777" w:rsidR="00C5199A" w:rsidRPr="00F644FD" w:rsidRDefault="00C5199A" w:rsidP="004D626B">
            <w:pPr>
              <w:pStyle w:val="Tablecentered"/>
            </w:pPr>
            <w:r w:rsidRPr="00F644FD">
              <w:t>4 (2.6)</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73DECB8" w14:textId="77777777" w:rsidR="00C5199A" w:rsidRPr="00F644FD" w:rsidRDefault="00C5199A" w:rsidP="004D626B">
            <w:pPr>
              <w:pStyle w:val="Tablecentered"/>
            </w:pPr>
            <w:r w:rsidRPr="00F644FD">
              <w:t>1 (0.7)</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2DAF2C35" w14:textId="77777777" w:rsidR="00C5199A" w:rsidRPr="00F644FD" w:rsidRDefault="00C5199A" w:rsidP="004D626B">
            <w:pPr>
              <w:pStyle w:val="Tablecentered"/>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43FAD2B" w14:textId="77777777" w:rsidR="00C5199A" w:rsidRPr="00F644FD" w:rsidRDefault="00C5199A" w:rsidP="004D626B">
            <w:pPr>
              <w:pStyle w:val="Tablecentered"/>
            </w:pPr>
          </w:p>
        </w:tc>
      </w:tr>
      <w:tr w:rsidR="00C5199A" w:rsidRPr="00F644FD" w14:paraId="4F38F4AC"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9A1788C" w14:textId="77777777" w:rsidR="00C5199A" w:rsidRPr="00F644FD" w:rsidRDefault="00C5199A" w:rsidP="004D626B">
            <w:pPr>
              <w:pStyle w:val="Tablenormal0"/>
            </w:pPr>
            <w:r w:rsidRPr="00F644FD">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29A78E9" w14:textId="77777777" w:rsidR="00C5199A" w:rsidRPr="00F644FD" w:rsidRDefault="00C5199A" w:rsidP="004D626B">
            <w:pPr>
              <w:pStyle w:val="Tablecentered"/>
            </w:pPr>
            <w:r w:rsidRPr="00F644FD">
              <w:t>0 (0.0)</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B1D6B9F" w14:textId="77777777" w:rsidR="00C5199A" w:rsidRPr="00F644FD" w:rsidRDefault="00C5199A" w:rsidP="004D626B">
            <w:pPr>
              <w:pStyle w:val="Tablecentered"/>
            </w:pPr>
            <w:r w:rsidRPr="00F644FD">
              <w:t>2 (1.3)</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2B678AC" w14:textId="77777777" w:rsidR="00C5199A" w:rsidRPr="00F644FD" w:rsidRDefault="00C5199A" w:rsidP="004D626B">
            <w:pPr>
              <w:pStyle w:val="Tablecentered"/>
            </w:pPr>
            <w:r w:rsidRPr="00F644FD">
              <w:t>0 (0.0)</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D402404" w14:textId="77777777" w:rsidR="00C5199A" w:rsidRPr="00F644FD" w:rsidRDefault="00C5199A" w:rsidP="004D626B">
            <w:pPr>
              <w:pStyle w:val="Tablecentered"/>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30B29CDF" w14:textId="77777777" w:rsidR="00C5199A" w:rsidRPr="00F644FD" w:rsidRDefault="00C5199A" w:rsidP="004D626B">
            <w:pPr>
              <w:pStyle w:val="Tablecentered"/>
            </w:pPr>
          </w:p>
        </w:tc>
      </w:tr>
      <w:tr w:rsidR="00C5199A" w:rsidRPr="00F644FD" w14:paraId="1094DA7C"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0F4645" w14:textId="77777777" w:rsidR="00C5199A" w:rsidRPr="00F644FD" w:rsidRDefault="00C5199A" w:rsidP="004D626B">
            <w:pPr>
              <w:pStyle w:val="Tablenormal0"/>
              <w:rPr>
                <w:b/>
              </w:rPr>
            </w:pPr>
            <w:r w:rsidRPr="00F644FD">
              <w:rPr>
                <w:b/>
              </w:rPr>
              <w:t>Add-on Combination Therapy with Metformin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007B277" w14:textId="77777777" w:rsidR="00C5199A" w:rsidRPr="00F644FD" w:rsidRDefault="00C5199A" w:rsidP="004D626B">
            <w:pPr>
              <w:pStyle w:val="Tablecentered"/>
              <w:rPr>
                <w:b/>
                <w:bCs/>
              </w:rPr>
            </w:pPr>
            <w:proofErr w:type="spellStart"/>
            <w:r w:rsidRPr="00F644FD">
              <w:rPr>
                <w:b/>
                <w:bCs/>
              </w:rPr>
              <w:t>Ertugliflozin</w:t>
            </w:r>
            <w:proofErr w:type="spellEnd"/>
            <w:r w:rsidRPr="00F644FD">
              <w:rPr>
                <w:b/>
                <w:bCs/>
              </w:rPr>
              <w:t xml:space="preserve"> 5 mg</w:t>
            </w:r>
          </w:p>
          <w:p w14:paraId="42563A33" w14:textId="77777777" w:rsidR="00C5199A" w:rsidRPr="00F644FD" w:rsidRDefault="00C5199A" w:rsidP="004D626B">
            <w:pPr>
              <w:pStyle w:val="Tablecentered"/>
              <w:rPr>
                <w:b/>
                <w:bCs/>
              </w:rPr>
            </w:pPr>
            <w:r w:rsidRPr="00F644FD">
              <w:rPr>
                <w:b/>
                <w:bCs/>
              </w:rPr>
              <w:t>(N = 207)</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38E80" w14:textId="77777777" w:rsidR="00C5199A" w:rsidRPr="00F644FD" w:rsidRDefault="00C5199A" w:rsidP="004D626B">
            <w:pPr>
              <w:pStyle w:val="Tablecentered"/>
              <w:rPr>
                <w:b/>
                <w:bCs/>
              </w:rPr>
            </w:pPr>
            <w:proofErr w:type="spellStart"/>
            <w:r w:rsidRPr="00F644FD">
              <w:rPr>
                <w:b/>
                <w:bCs/>
              </w:rPr>
              <w:t>Ertugliflozin</w:t>
            </w:r>
            <w:proofErr w:type="spellEnd"/>
            <w:r w:rsidRPr="00F644FD">
              <w:rPr>
                <w:b/>
                <w:bCs/>
              </w:rPr>
              <w:t xml:space="preserve"> 15 mg</w:t>
            </w:r>
          </w:p>
          <w:p w14:paraId="007E68B2" w14:textId="77777777" w:rsidR="00C5199A" w:rsidRPr="00F644FD" w:rsidRDefault="00C5199A" w:rsidP="004D626B">
            <w:pPr>
              <w:pStyle w:val="Tablecentered"/>
              <w:rPr>
                <w:b/>
                <w:bCs/>
              </w:rPr>
            </w:pPr>
            <w:r w:rsidRPr="00F644FD">
              <w:rPr>
                <w:b/>
                <w:bCs/>
              </w:rPr>
              <w:t>(N = 205)</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C831DE1" w14:textId="77777777" w:rsidR="00C5199A" w:rsidRPr="00F644FD" w:rsidRDefault="00C5199A" w:rsidP="004D626B">
            <w:pPr>
              <w:pStyle w:val="Tablecentered"/>
              <w:rPr>
                <w:b/>
                <w:bCs/>
              </w:rPr>
            </w:pPr>
            <w:r w:rsidRPr="00F644FD">
              <w:rPr>
                <w:b/>
                <w:bCs/>
              </w:rPr>
              <w:t>Placebo</w:t>
            </w:r>
          </w:p>
          <w:p w14:paraId="1D1DFBF8" w14:textId="77777777" w:rsidR="00C5199A" w:rsidRPr="00F644FD" w:rsidRDefault="00C5199A" w:rsidP="004D626B">
            <w:pPr>
              <w:pStyle w:val="Tablecentered"/>
              <w:rPr>
                <w:b/>
                <w:bCs/>
              </w:rPr>
            </w:pPr>
            <w:r w:rsidRPr="00F644FD">
              <w:rPr>
                <w:b/>
                <w:bCs/>
              </w:rPr>
              <w:t>(N = 209)</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2581F47" w14:textId="77777777" w:rsidR="00C5199A" w:rsidRPr="00F644FD" w:rsidRDefault="00C5199A" w:rsidP="004D626B">
            <w:pPr>
              <w:pStyle w:val="Tablecentered"/>
              <w:rPr>
                <w:b/>
                <w:bCs/>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9B49A6C" w14:textId="77777777" w:rsidR="00C5199A" w:rsidRPr="00F644FD" w:rsidRDefault="00C5199A" w:rsidP="004D626B">
            <w:pPr>
              <w:pStyle w:val="Tablecentered"/>
              <w:rPr>
                <w:b/>
                <w:bCs/>
              </w:rPr>
            </w:pPr>
          </w:p>
        </w:tc>
      </w:tr>
      <w:tr w:rsidR="00C5199A" w:rsidRPr="00F644FD" w14:paraId="3880CD6A" w14:textId="77777777" w:rsidTr="00FE73FD">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98E71D5" w14:textId="77777777" w:rsidR="00C5199A" w:rsidRPr="00F644FD" w:rsidRDefault="00C5199A" w:rsidP="004D626B">
            <w:pPr>
              <w:pStyle w:val="Tablenormal0"/>
            </w:pPr>
            <w:r w:rsidRPr="00F644FD">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8B1C75B" w14:textId="77777777" w:rsidR="00C5199A" w:rsidRPr="00F644FD" w:rsidRDefault="00C5199A" w:rsidP="004D626B">
            <w:pPr>
              <w:pStyle w:val="Tablecentered"/>
            </w:pPr>
            <w:r w:rsidRPr="00F644FD">
              <w:t>15 (7.2)</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739B2C5" w14:textId="77777777" w:rsidR="00C5199A" w:rsidRPr="00F644FD" w:rsidRDefault="00C5199A" w:rsidP="004D626B">
            <w:pPr>
              <w:pStyle w:val="Tablecentered"/>
            </w:pPr>
            <w:r w:rsidRPr="00F644FD">
              <w:t>16 (7.8)</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B8BF8B3" w14:textId="77777777" w:rsidR="00C5199A" w:rsidRPr="00F644FD" w:rsidRDefault="00C5199A" w:rsidP="004D626B">
            <w:pPr>
              <w:pStyle w:val="Tablecentered"/>
            </w:pPr>
            <w:r w:rsidRPr="00F644FD">
              <w:t>9 (4.3)</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13D0A94C" w14:textId="77777777" w:rsidR="00C5199A" w:rsidRPr="00F644FD" w:rsidRDefault="00C5199A" w:rsidP="004D626B">
            <w:pPr>
              <w:pStyle w:val="Tablecentered"/>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46FB79E9" w14:textId="77777777" w:rsidR="00C5199A" w:rsidRPr="00F644FD" w:rsidRDefault="00C5199A" w:rsidP="004D626B">
            <w:pPr>
              <w:pStyle w:val="Tablecentered"/>
            </w:pPr>
          </w:p>
        </w:tc>
      </w:tr>
      <w:tr w:rsidR="00C5199A" w:rsidRPr="00F644FD" w14:paraId="4E065633"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0553951" w14:textId="77777777" w:rsidR="00C5199A" w:rsidRPr="00F644FD" w:rsidRDefault="00C5199A" w:rsidP="004D626B">
            <w:pPr>
              <w:pStyle w:val="Tablenormal0"/>
            </w:pPr>
            <w:r w:rsidRPr="00F644FD">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084C227" w14:textId="77777777" w:rsidR="00C5199A" w:rsidRPr="00F644FD" w:rsidRDefault="00C5199A" w:rsidP="004D626B">
            <w:pPr>
              <w:pStyle w:val="Tablecentered"/>
            </w:pPr>
            <w:r w:rsidRPr="00F644FD">
              <w:t>1 (0.5)</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01910F6" w14:textId="77777777" w:rsidR="00C5199A" w:rsidRPr="00F644FD" w:rsidRDefault="00C5199A" w:rsidP="004D626B">
            <w:pPr>
              <w:pStyle w:val="Tablecentered"/>
            </w:pPr>
            <w:r w:rsidRPr="00F644FD">
              <w:t>0 (0.0)</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CAC6915" w14:textId="77777777" w:rsidR="00C5199A" w:rsidRPr="00F644FD" w:rsidRDefault="00C5199A" w:rsidP="004D626B">
            <w:pPr>
              <w:pStyle w:val="Tablecentered"/>
            </w:pPr>
            <w:r w:rsidRPr="00F644FD">
              <w:t>1 (0.5)</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7D4841E9" w14:textId="77777777" w:rsidR="00C5199A" w:rsidRPr="00F644FD" w:rsidRDefault="00C5199A" w:rsidP="004D626B">
            <w:pPr>
              <w:pStyle w:val="Tablecentered"/>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58158E70" w14:textId="77777777" w:rsidR="00C5199A" w:rsidRPr="00F644FD" w:rsidRDefault="00C5199A" w:rsidP="004D626B">
            <w:pPr>
              <w:pStyle w:val="Tablecentered"/>
            </w:pPr>
          </w:p>
        </w:tc>
      </w:tr>
      <w:tr w:rsidR="00C5199A" w:rsidRPr="00F644FD" w14:paraId="52C562DB"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5B180" w14:textId="78808A00" w:rsidR="00C5199A" w:rsidRPr="00F644FD" w:rsidRDefault="00C5199A" w:rsidP="00FE73FD">
            <w:pPr>
              <w:pStyle w:val="Tablenormal0"/>
              <w:rPr>
                <w:b/>
              </w:rPr>
            </w:pPr>
            <w:r w:rsidRPr="00F644FD">
              <w:rPr>
                <w:b/>
              </w:rPr>
              <w:t>Active</w:t>
            </w:r>
            <w:r w:rsidR="00FE73FD" w:rsidRPr="00F644FD">
              <w:rPr>
                <w:b/>
              </w:rPr>
              <w:t>-</w:t>
            </w:r>
            <w:r w:rsidRPr="00F644FD">
              <w:rPr>
                <w:b/>
              </w:rPr>
              <w:t>Controlled Study with Glimepiride as Add-on Combination Therapy with Metformin (52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176693"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5 mg</w:t>
            </w:r>
          </w:p>
          <w:p w14:paraId="3DC6DE88" w14:textId="77777777" w:rsidR="00C5199A" w:rsidRPr="00F644FD" w:rsidRDefault="00C5199A" w:rsidP="004D626B">
            <w:pPr>
              <w:pStyle w:val="Tablecentered"/>
              <w:rPr>
                <w:b/>
                <w:bCs/>
              </w:rPr>
            </w:pPr>
            <w:r w:rsidRPr="00F644FD">
              <w:rPr>
                <w:b/>
                <w:bCs/>
              </w:rPr>
              <w:t>(N = 448)</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53EC0A"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15 mg</w:t>
            </w:r>
          </w:p>
          <w:p w14:paraId="5B92ECEF" w14:textId="77777777" w:rsidR="00C5199A" w:rsidRPr="00F644FD" w:rsidRDefault="00C5199A" w:rsidP="004D626B">
            <w:pPr>
              <w:pStyle w:val="Tablecentered"/>
              <w:rPr>
                <w:b/>
                <w:bCs/>
              </w:rPr>
            </w:pPr>
            <w:r w:rsidRPr="00F644FD">
              <w:rPr>
                <w:b/>
                <w:bCs/>
              </w:rPr>
              <w:t>(N = 440)</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987A98" w14:textId="77777777" w:rsidR="00C5199A" w:rsidRPr="00F644FD" w:rsidRDefault="00C5199A" w:rsidP="004D626B">
            <w:pPr>
              <w:pStyle w:val="Tablecentered"/>
              <w:rPr>
                <w:b/>
                <w:bCs/>
              </w:rPr>
            </w:pPr>
            <w:r w:rsidRPr="00F644FD">
              <w:rPr>
                <w:b/>
                <w:bCs/>
              </w:rPr>
              <w:t>Glimepiride (N = 437)</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AA3F708" w14:textId="77777777" w:rsidR="00C5199A" w:rsidRPr="00F644FD" w:rsidRDefault="00C5199A" w:rsidP="004D626B">
            <w:pPr>
              <w:pStyle w:val="Tablecentered"/>
              <w:rPr>
                <w:b/>
                <w:bCs/>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6F48B144" w14:textId="77777777" w:rsidR="00C5199A" w:rsidRPr="00F644FD" w:rsidRDefault="00C5199A" w:rsidP="004D626B">
            <w:pPr>
              <w:pStyle w:val="Tablecentered"/>
              <w:rPr>
                <w:b/>
                <w:bCs/>
              </w:rPr>
            </w:pPr>
          </w:p>
        </w:tc>
      </w:tr>
      <w:tr w:rsidR="00C5199A" w:rsidRPr="00F644FD" w14:paraId="58E34032" w14:textId="77777777" w:rsidTr="00FE73FD">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96E4DA3" w14:textId="77777777" w:rsidR="00C5199A" w:rsidRPr="00F644FD" w:rsidRDefault="00C5199A" w:rsidP="004D626B">
            <w:pPr>
              <w:pStyle w:val="Tablenormal0"/>
            </w:pPr>
            <w:r w:rsidRPr="00F644FD">
              <w:t>Overall [N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7A55D81" w14:textId="77777777" w:rsidR="00C5199A" w:rsidRPr="00F644FD" w:rsidRDefault="00C5199A" w:rsidP="004D626B">
            <w:pPr>
              <w:pStyle w:val="Tablecentered"/>
            </w:pPr>
            <w:r w:rsidRPr="00F644FD">
              <w:t>25 (5.6)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E00D7EF" w14:textId="77777777" w:rsidR="00C5199A" w:rsidRPr="00F644FD" w:rsidRDefault="00C5199A" w:rsidP="004D626B">
            <w:pPr>
              <w:pStyle w:val="Tablecentered"/>
            </w:pPr>
            <w:r w:rsidRPr="00F644FD">
              <w:t>36 (8.2)</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168BCE6" w14:textId="77777777" w:rsidR="00C5199A" w:rsidRPr="00F644FD" w:rsidRDefault="00C5199A" w:rsidP="004D626B">
            <w:pPr>
              <w:pStyle w:val="Tablecentered"/>
            </w:pPr>
            <w:r w:rsidRPr="00F644FD">
              <w:t>119 (27.2)</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6A238B8F" w14:textId="77777777" w:rsidR="00C5199A" w:rsidRPr="00F644FD" w:rsidRDefault="00C5199A" w:rsidP="004D626B">
            <w:pPr>
              <w:pStyle w:val="Tablecentered"/>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70ADDC24" w14:textId="77777777" w:rsidR="00C5199A" w:rsidRPr="00F644FD" w:rsidRDefault="00C5199A" w:rsidP="004D626B">
            <w:pPr>
              <w:pStyle w:val="Tablecentered"/>
            </w:pPr>
          </w:p>
        </w:tc>
      </w:tr>
      <w:tr w:rsidR="00C5199A" w:rsidRPr="00F644FD" w14:paraId="17C9CE00"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122A664" w14:textId="77777777" w:rsidR="00C5199A" w:rsidRPr="00F644FD" w:rsidRDefault="00C5199A" w:rsidP="004D626B">
            <w:pPr>
              <w:pStyle w:val="Tablenormal0"/>
            </w:pPr>
            <w:r w:rsidRPr="00F644FD">
              <w:t>Severe [N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9561734" w14:textId="77777777" w:rsidR="00C5199A" w:rsidRPr="00F644FD" w:rsidRDefault="00C5199A" w:rsidP="004D626B">
            <w:pPr>
              <w:pStyle w:val="Tablecentered"/>
            </w:pPr>
            <w:r w:rsidRPr="00F644FD">
              <w:t>1 (0.2)</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6C50DAC" w14:textId="77777777" w:rsidR="00C5199A" w:rsidRPr="00F644FD" w:rsidRDefault="00C5199A" w:rsidP="004D626B">
            <w:pPr>
              <w:pStyle w:val="Tablecentered"/>
            </w:pPr>
            <w:r w:rsidRPr="00F644FD">
              <w:t>1 (0.2)</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0AA228D" w14:textId="77777777" w:rsidR="00C5199A" w:rsidRPr="00F644FD" w:rsidRDefault="00C5199A" w:rsidP="004D626B">
            <w:pPr>
              <w:pStyle w:val="Tablecentered"/>
            </w:pPr>
            <w:r w:rsidRPr="00F644FD">
              <w:t>10 (2.3)</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9FC555D" w14:textId="77777777" w:rsidR="00C5199A" w:rsidRPr="00F644FD" w:rsidRDefault="00C5199A" w:rsidP="004D626B">
            <w:pPr>
              <w:pStyle w:val="Tablecentered"/>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506397F7" w14:textId="77777777" w:rsidR="00C5199A" w:rsidRPr="00F644FD" w:rsidRDefault="00C5199A" w:rsidP="004D626B">
            <w:pPr>
              <w:pStyle w:val="Tablecentered"/>
            </w:pPr>
          </w:p>
        </w:tc>
      </w:tr>
      <w:tr w:rsidR="00C5199A" w:rsidRPr="00F644FD" w14:paraId="10606381"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F0A5BA" w14:textId="77777777" w:rsidR="00C5199A" w:rsidRPr="00F644FD" w:rsidRDefault="00C5199A" w:rsidP="004D626B">
            <w:pPr>
              <w:pStyle w:val="Tablenormal0"/>
              <w:rPr>
                <w:b/>
              </w:rPr>
            </w:pPr>
            <w:r w:rsidRPr="00F644FD">
              <w:rPr>
                <w:b/>
              </w:rPr>
              <w:t xml:space="preserve">Factorial Study with </w:t>
            </w:r>
            <w:proofErr w:type="spellStart"/>
            <w:r w:rsidRPr="00F644FD">
              <w:rPr>
                <w:b/>
              </w:rPr>
              <w:t>Sitagliptin</w:t>
            </w:r>
            <w:proofErr w:type="spellEnd"/>
            <w:r w:rsidRPr="00F644FD">
              <w:rPr>
                <w:b/>
              </w:rPr>
              <w:t xml:space="preserve"> as Add-on Combination Therapy with Metformin (26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28E3D"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5 mg</w:t>
            </w:r>
          </w:p>
          <w:p w14:paraId="0CE78072" w14:textId="77777777" w:rsidR="00C5199A" w:rsidRPr="00F644FD" w:rsidRDefault="00C5199A" w:rsidP="004D626B">
            <w:pPr>
              <w:pStyle w:val="Tablecentered"/>
              <w:rPr>
                <w:b/>
                <w:bCs/>
              </w:rPr>
            </w:pPr>
            <w:r w:rsidRPr="00F644FD">
              <w:rPr>
                <w:b/>
                <w:bCs/>
              </w:rPr>
              <w:t>(N = 250)</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37576D"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15 mg</w:t>
            </w:r>
          </w:p>
          <w:p w14:paraId="6E21CB69" w14:textId="77777777" w:rsidR="00C5199A" w:rsidRPr="00F644FD" w:rsidRDefault="00C5199A" w:rsidP="004D626B">
            <w:pPr>
              <w:pStyle w:val="Tablecentered"/>
              <w:rPr>
                <w:b/>
                <w:bCs/>
              </w:rPr>
            </w:pPr>
            <w:r w:rsidRPr="00F644FD">
              <w:rPr>
                <w:b/>
                <w:bCs/>
              </w:rPr>
              <w:t>(N = 248)</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855AAE" w14:textId="77777777" w:rsidR="00C5199A" w:rsidRPr="00F644FD" w:rsidRDefault="00C5199A" w:rsidP="004D626B">
            <w:pPr>
              <w:pStyle w:val="Tablecentered"/>
              <w:rPr>
                <w:b/>
                <w:bCs/>
              </w:rPr>
            </w:pPr>
            <w:proofErr w:type="spellStart"/>
            <w:r w:rsidRPr="00F644FD">
              <w:rPr>
                <w:b/>
                <w:bCs/>
              </w:rPr>
              <w:t>Sitagliptin</w:t>
            </w:r>
            <w:proofErr w:type="spellEnd"/>
          </w:p>
          <w:p w14:paraId="13F48F78" w14:textId="77777777" w:rsidR="00C5199A" w:rsidRPr="00F644FD" w:rsidRDefault="00C5199A" w:rsidP="004D626B">
            <w:pPr>
              <w:pStyle w:val="Tablecentered"/>
              <w:rPr>
                <w:b/>
                <w:bCs/>
              </w:rPr>
            </w:pPr>
            <w:r w:rsidRPr="00F644FD">
              <w:rPr>
                <w:b/>
                <w:bCs/>
              </w:rPr>
              <w:t>(N = 247)</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30A24C" w14:textId="77777777" w:rsidR="00C5199A" w:rsidRPr="00F644FD" w:rsidRDefault="00C5199A" w:rsidP="004D626B">
            <w:pPr>
              <w:pStyle w:val="Tablecentered"/>
              <w:rPr>
                <w:b/>
                <w:bCs/>
              </w:rPr>
            </w:pPr>
            <w:proofErr w:type="spellStart"/>
            <w:r w:rsidRPr="00F644FD">
              <w:rPr>
                <w:b/>
                <w:bCs/>
              </w:rPr>
              <w:t>Ertugliflozin</w:t>
            </w:r>
            <w:proofErr w:type="spellEnd"/>
            <w:r w:rsidRPr="00F644FD">
              <w:rPr>
                <w:b/>
                <w:bCs/>
              </w:rPr>
              <w:t xml:space="preserve"> 5 mg + </w:t>
            </w:r>
            <w:proofErr w:type="spellStart"/>
            <w:r w:rsidRPr="00F644FD">
              <w:rPr>
                <w:b/>
                <w:bCs/>
              </w:rPr>
              <w:t>Sitagliptin</w:t>
            </w:r>
            <w:proofErr w:type="spellEnd"/>
          </w:p>
          <w:p w14:paraId="6CCEFDD2" w14:textId="77777777" w:rsidR="00C5199A" w:rsidRPr="00F644FD" w:rsidRDefault="00C5199A" w:rsidP="004D626B">
            <w:pPr>
              <w:pStyle w:val="Tablecentered"/>
              <w:rPr>
                <w:b/>
                <w:bCs/>
              </w:rPr>
            </w:pPr>
            <w:r w:rsidRPr="00F644FD">
              <w:rPr>
                <w:b/>
                <w:bCs/>
              </w:rPr>
              <w:t>(N = 243)</w:t>
            </w:r>
          </w:p>
        </w:tc>
        <w:tc>
          <w:tcPr>
            <w:tcW w:w="124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EC54AD"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 xml:space="preserve">15 mg + </w:t>
            </w:r>
            <w:proofErr w:type="spellStart"/>
            <w:r w:rsidRPr="00F644FD">
              <w:rPr>
                <w:b/>
                <w:bCs/>
              </w:rPr>
              <w:t>Sitagliptin</w:t>
            </w:r>
            <w:proofErr w:type="spellEnd"/>
          </w:p>
          <w:p w14:paraId="14796690" w14:textId="77777777" w:rsidR="00C5199A" w:rsidRPr="00F644FD" w:rsidRDefault="00C5199A" w:rsidP="004D626B">
            <w:pPr>
              <w:pStyle w:val="Tablecentered"/>
              <w:rPr>
                <w:b/>
                <w:bCs/>
              </w:rPr>
            </w:pPr>
            <w:r w:rsidRPr="00F644FD">
              <w:rPr>
                <w:b/>
                <w:bCs/>
              </w:rPr>
              <w:t>(N = 244)</w:t>
            </w:r>
          </w:p>
        </w:tc>
      </w:tr>
      <w:tr w:rsidR="00C5199A" w:rsidRPr="00F644FD" w14:paraId="538529E7" w14:textId="77777777" w:rsidTr="00FE73FD">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CD60063" w14:textId="77777777" w:rsidR="00C5199A" w:rsidRPr="00F644FD" w:rsidRDefault="00C5199A" w:rsidP="004D626B">
            <w:pPr>
              <w:pStyle w:val="Tablenormal0"/>
            </w:pPr>
            <w:r w:rsidRPr="00F644FD">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8D9BC78" w14:textId="77777777" w:rsidR="00C5199A" w:rsidRPr="00F644FD" w:rsidRDefault="00C5199A" w:rsidP="004D626B">
            <w:pPr>
              <w:pStyle w:val="Tablecentered"/>
            </w:pPr>
            <w:r w:rsidRPr="00F644FD">
              <w:t>14 (5.6)</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4200DA6" w14:textId="77777777" w:rsidR="00C5199A" w:rsidRPr="00F644FD" w:rsidRDefault="00C5199A" w:rsidP="004D626B">
            <w:pPr>
              <w:pStyle w:val="Tablecentered"/>
            </w:pPr>
            <w:r w:rsidRPr="00F644FD">
              <w:t>13 (5.2)</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CB89324" w14:textId="77777777" w:rsidR="00C5199A" w:rsidRPr="00F644FD" w:rsidRDefault="00C5199A" w:rsidP="004D626B">
            <w:pPr>
              <w:pStyle w:val="Tablecentered"/>
            </w:pPr>
            <w:r w:rsidRPr="00F644FD">
              <w:t>9 (3.6)</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FF18CE5" w14:textId="77777777" w:rsidR="00C5199A" w:rsidRPr="00F644FD" w:rsidRDefault="00C5199A" w:rsidP="004D626B">
            <w:pPr>
              <w:pStyle w:val="Tablecentered"/>
            </w:pPr>
            <w:r w:rsidRPr="00F644FD">
              <w:t>13 (5.3)</w:t>
            </w:r>
          </w:p>
        </w:tc>
        <w:tc>
          <w:tcPr>
            <w:tcW w:w="124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0B6E53E" w14:textId="77777777" w:rsidR="00C5199A" w:rsidRPr="00F644FD" w:rsidRDefault="00C5199A" w:rsidP="004D626B">
            <w:pPr>
              <w:pStyle w:val="Tablecentered"/>
            </w:pPr>
            <w:r w:rsidRPr="00F644FD">
              <w:t>22 (9.0)</w:t>
            </w:r>
          </w:p>
        </w:tc>
      </w:tr>
      <w:tr w:rsidR="00C5199A" w:rsidRPr="00F644FD" w14:paraId="5D3430A3"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6A56D78" w14:textId="77777777" w:rsidR="00C5199A" w:rsidRPr="00F644FD" w:rsidRDefault="00C5199A" w:rsidP="004D626B">
            <w:pPr>
              <w:pStyle w:val="Tablenormal0"/>
            </w:pPr>
            <w:r w:rsidRPr="00F644FD">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3655350" w14:textId="77777777" w:rsidR="00C5199A" w:rsidRPr="00F644FD" w:rsidRDefault="00C5199A" w:rsidP="004D626B">
            <w:pPr>
              <w:pStyle w:val="Tablecentered"/>
            </w:pPr>
            <w:r w:rsidRPr="00F644FD">
              <w:t>0 (0.0)</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139D8CF" w14:textId="77777777" w:rsidR="00C5199A" w:rsidRPr="00F644FD" w:rsidRDefault="00C5199A" w:rsidP="004D626B">
            <w:pPr>
              <w:pStyle w:val="Tablecentered"/>
            </w:pPr>
            <w:r w:rsidRPr="00F644FD">
              <w:t>1 (0.4)</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33F789C" w14:textId="77777777" w:rsidR="00C5199A" w:rsidRPr="00F644FD" w:rsidRDefault="00C5199A" w:rsidP="004D626B">
            <w:pPr>
              <w:pStyle w:val="Tablecentered"/>
            </w:pPr>
            <w:r w:rsidRPr="00F644FD">
              <w:t>0 (0.0)</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502B25E" w14:textId="77777777" w:rsidR="00C5199A" w:rsidRPr="00F644FD" w:rsidRDefault="00C5199A" w:rsidP="004D626B">
            <w:pPr>
              <w:pStyle w:val="Tablecentered"/>
            </w:pPr>
            <w:r w:rsidRPr="00F644FD">
              <w:t>0 (0.0)</w:t>
            </w:r>
          </w:p>
        </w:tc>
        <w:tc>
          <w:tcPr>
            <w:tcW w:w="124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38194BF" w14:textId="77777777" w:rsidR="00C5199A" w:rsidRPr="00F644FD" w:rsidRDefault="00C5199A" w:rsidP="004D626B">
            <w:pPr>
              <w:pStyle w:val="Tablecentered"/>
            </w:pPr>
            <w:r w:rsidRPr="00F644FD">
              <w:t>1 (0.4)</w:t>
            </w:r>
          </w:p>
        </w:tc>
      </w:tr>
      <w:tr w:rsidR="00C5199A" w:rsidRPr="00F644FD" w14:paraId="7A98B963"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AC178" w14:textId="77777777" w:rsidR="00C5199A" w:rsidRPr="00F644FD" w:rsidRDefault="00C5199A" w:rsidP="004D626B">
            <w:pPr>
              <w:pStyle w:val="Tablenormal0"/>
              <w:rPr>
                <w:b/>
              </w:rPr>
            </w:pPr>
            <w:r w:rsidRPr="00F644FD">
              <w:rPr>
                <w:b/>
              </w:rPr>
              <w:t xml:space="preserve">Add-on Combination Therapy with Metformin and </w:t>
            </w:r>
            <w:proofErr w:type="spellStart"/>
            <w:r w:rsidRPr="00F644FD">
              <w:rPr>
                <w:b/>
              </w:rPr>
              <w:t>Sitagliptin</w:t>
            </w:r>
            <w:proofErr w:type="spellEnd"/>
            <w:r w:rsidRPr="00F644FD">
              <w:rPr>
                <w:b/>
              </w:rPr>
              <w:t xml:space="preserve"> (26 weeks) </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1CF3C9" w14:textId="77777777" w:rsidR="00C5199A" w:rsidRPr="00F644FD" w:rsidRDefault="00C5199A" w:rsidP="004D626B">
            <w:pPr>
              <w:pStyle w:val="Tablecentered"/>
              <w:rPr>
                <w:b/>
                <w:bCs/>
              </w:rPr>
            </w:pPr>
            <w:proofErr w:type="spellStart"/>
            <w:r w:rsidRPr="00F644FD">
              <w:rPr>
                <w:b/>
                <w:bCs/>
              </w:rPr>
              <w:t>Ertugliflozin</w:t>
            </w:r>
            <w:proofErr w:type="spellEnd"/>
            <w:r w:rsidRPr="00F644FD">
              <w:rPr>
                <w:b/>
                <w:bCs/>
              </w:rPr>
              <w:t xml:space="preserve"> 5 mg</w:t>
            </w:r>
          </w:p>
          <w:p w14:paraId="7CC11BAA" w14:textId="77777777" w:rsidR="00C5199A" w:rsidRPr="00F644FD" w:rsidRDefault="00C5199A" w:rsidP="004D626B">
            <w:pPr>
              <w:pStyle w:val="Tablecentered"/>
              <w:rPr>
                <w:b/>
                <w:bCs/>
              </w:rPr>
            </w:pPr>
            <w:r w:rsidRPr="00F644FD">
              <w:rPr>
                <w:b/>
                <w:bCs/>
              </w:rPr>
              <w:t>(N = 156)</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4F4B10"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15 mg</w:t>
            </w:r>
          </w:p>
          <w:p w14:paraId="57FF537E" w14:textId="77777777" w:rsidR="00C5199A" w:rsidRPr="00F644FD" w:rsidRDefault="00C5199A" w:rsidP="004D626B">
            <w:pPr>
              <w:pStyle w:val="Tablecentered"/>
              <w:rPr>
                <w:b/>
                <w:bCs/>
              </w:rPr>
            </w:pPr>
            <w:r w:rsidRPr="00F644FD">
              <w:rPr>
                <w:b/>
                <w:bCs/>
              </w:rPr>
              <w:t>(N = 153)</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32E8D4" w14:textId="77777777" w:rsidR="00C5199A" w:rsidRPr="00F644FD" w:rsidRDefault="00C5199A" w:rsidP="004D626B">
            <w:pPr>
              <w:pStyle w:val="Tablecentered"/>
              <w:rPr>
                <w:b/>
                <w:bCs/>
              </w:rPr>
            </w:pPr>
            <w:r w:rsidRPr="00F644FD">
              <w:rPr>
                <w:b/>
                <w:bCs/>
              </w:rPr>
              <w:t>Placebo</w:t>
            </w:r>
          </w:p>
          <w:p w14:paraId="311B07F9" w14:textId="77777777" w:rsidR="00C5199A" w:rsidRPr="00F644FD" w:rsidRDefault="00C5199A" w:rsidP="004D626B">
            <w:pPr>
              <w:pStyle w:val="Tablecentered"/>
              <w:rPr>
                <w:b/>
                <w:bCs/>
              </w:rPr>
            </w:pPr>
            <w:r w:rsidRPr="00F644FD">
              <w:rPr>
                <w:b/>
                <w:bCs/>
              </w:rPr>
              <w:t>(N = 153)</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750DB824" w14:textId="77777777" w:rsidR="00C5199A" w:rsidRPr="00F644FD" w:rsidRDefault="00C5199A" w:rsidP="004D626B">
            <w:pPr>
              <w:pStyle w:val="Tablecentered"/>
              <w:rPr>
                <w:b/>
                <w:bCs/>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2A5E315E" w14:textId="77777777" w:rsidR="00C5199A" w:rsidRPr="00F644FD" w:rsidRDefault="00C5199A" w:rsidP="004D626B">
            <w:pPr>
              <w:pStyle w:val="Tablecentered"/>
              <w:rPr>
                <w:b/>
                <w:bCs/>
              </w:rPr>
            </w:pPr>
          </w:p>
        </w:tc>
      </w:tr>
      <w:tr w:rsidR="00C5199A" w:rsidRPr="00F644FD" w14:paraId="7B5954D9" w14:textId="77777777" w:rsidTr="00FE73FD">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500D0DCA" w14:textId="77777777" w:rsidR="00C5199A" w:rsidRPr="00F644FD" w:rsidRDefault="00C5199A" w:rsidP="004D626B">
            <w:pPr>
              <w:pStyle w:val="Tablenormal0"/>
            </w:pPr>
            <w:r w:rsidRPr="00F644FD">
              <w:t xml:space="preserve">Overall [N (%)]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FD6DDC5" w14:textId="77777777" w:rsidR="00C5199A" w:rsidRPr="00F644FD" w:rsidRDefault="00C5199A" w:rsidP="004D626B">
            <w:pPr>
              <w:pStyle w:val="Tablecentered"/>
            </w:pPr>
            <w:r w:rsidRPr="00F644FD">
              <w:t>7 (4.5)</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1068AD0" w14:textId="77777777" w:rsidR="00C5199A" w:rsidRPr="00F644FD" w:rsidRDefault="00C5199A" w:rsidP="004D626B">
            <w:pPr>
              <w:pStyle w:val="Tablecentered"/>
            </w:pPr>
            <w:r w:rsidRPr="00F644FD">
              <w:t>3 (2.0)</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3080289" w14:textId="77777777" w:rsidR="00C5199A" w:rsidRPr="00F644FD" w:rsidRDefault="00C5199A" w:rsidP="004D626B">
            <w:pPr>
              <w:pStyle w:val="Tablecentered"/>
            </w:pPr>
            <w:r w:rsidRPr="00F644FD">
              <w:t>5 (3.3)</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25562BB8" w14:textId="77777777" w:rsidR="00C5199A" w:rsidRPr="00F644FD" w:rsidRDefault="00C5199A" w:rsidP="004D626B">
            <w:pPr>
              <w:pStyle w:val="Tablecentered"/>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75D80589" w14:textId="77777777" w:rsidR="00C5199A" w:rsidRPr="00F644FD" w:rsidRDefault="00C5199A" w:rsidP="004D626B">
            <w:pPr>
              <w:pStyle w:val="Tablecentered"/>
            </w:pPr>
          </w:p>
        </w:tc>
      </w:tr>
      <w:tr w:rsidR="00C5199A" w:rsidRPr="00F644FD" w14:paraId="10416CF8"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2D19013E" w14:textId="77777777" w:rsidR="00C5199A" w:rsidRPr="00F644FD" w:rsidRDefault="00C5199A" w:rsidP="004D626B">
            <w:pPr>
              <w:pStyle w:val="Tablenormal0"/>
            </w:pPr>
            <w:r w:rsidRPr="00F644FD">
              <w:t xml:space="preserve">Severe [N (%)]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3517D78" w14:textId="77777777" w:rsidR="00C5199A" w:rsidRPr="00F644FD" w:rsidRDefault="00C5199A" w:rsidP="004D626B">
            <w:pPr>
              <w:pStyle w:val="Tablecentered"/>
            </w:pPr>
            <w:r w:rsidRPr="00F644FD">
              <w:t>1 (0.6)</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5847252E" w14:textId="77777777" w:rsidR="00C5199A" w:rsidRPr="00F644FD" w:rsidRDefault="00C5199A" w:rsidP="004D626B">
            <w:pPr>
              <w:pStyle w:val="Tablecentered"/>
            </w:pPr>
            <w:r w:rsidRPr="00F644FD">
              <w:t>0 (0.0)</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3C6A4594" w14:textId="77777777" w:rsidR="00C5199A" w:rsidRPr="00F644FD" w:rsidRDefault="00C5199A" w:rsidP="004D626B">
            <w:pPr>
              <w:pStyle w:val="Tablecentered"/>
            </w:pPr>
            <w:r w:rsidRPr="00F644FD">
              <w:t>1 (0.7)</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53FC1FDF" w14:textId="77777777" w:rsidR="00C5199A" w:rsidRPr="00F644FD" w:rsidRDefault="00C5199A" w:rsidP="004D626B">
            <w:pPr>
              <w:pStyle w:val="Tablecentered"/>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A5F9770" w14:textId="77777777" w:rsidR="00C5199A" w:rsidRPr="00F644FD" w:rsidRDefault="00C5199A" w:rsidP="004D626B">
            <w:pPr>
              <w:pStyle w:val="Tablecentered"/>
            </w:pPr>
          </w:p>
        </w:tc>
      </w:tr>
      <w:tr w:rsidR="00C5199A" w:rsidRPr="00F644FD" w14:paraId="66EAAE46"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8FE324C" w14:textId="77777777" w:rsidR="00C5199A" w:rsidRPr="00F644FD" w:rsidRDefault="00C5199A" w:rsidP="004D626B">
            <w:pPr>
              <w:pStyle w:val="Tablenormal0"/>
              <w:rPr>
                <w:b/>
              </w:rPr>
            </w:pPr>
            <w:r w:rsidRPr="00F644FD">
              <w:rPr>
                <w:b/>
              </w:rPr>
              <w:t xml:space="preserve">Initial Combination Therapy with </w:t>
            </w:r>
            <w:proofErr w:type="spellStart"/>
            <w:r w:rsidRPr="00F644FD">
              <w:rPr>
                <w:b/>
              </w:rPr>
              <w:t>Sitagliptin</w:t>
            </w:r>
            <w:proofErr w:type="spellEnd"/>
            <w:r w:rsidRPr="00F644FD">
              <w:rPr>
                <w:b/>
              </w:rPr>
              <w:t xml:space="preserve"> (26 weeks)</w:t>
            </w: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ADC5D09" w14:textId="77777777" w:rsidR="00C5199A" w:rsidRPr="00F644FD" w:rsidRDefault="00C5199A" w:rsidP="004D626B">
            <w:pPr>
              <w:pStyle w:val="Tablecentered"/>
              <w:rPr>
                <w:b/>
                <w:bCs/>
              </w:rPr>
            </w:pPr>
          </w:p>
        </w:tc>
        <w:tc>
          <w:tcPr>
            <w:tcW w:w="144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2E9EA6D" w14:textId="77777777" w:rsidR="00C5199A" w:rsidRPr="00F644FD" w:rsidRDefault="00C5199A" w:rsidP="004D626B">
            <w:pPr>
              <w:pStyle w:val="Tablecentered"/>
              <w:rPr>
                <w:b/>
                <w:bCs/>
              </w:rPr>
            </w:pP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2D32E5E" w14:textId="77777777" w:rsidR="00C5199A" w:rsidRPr="00F644FD" w:rsidRDefault="00C5199A" w:rsidP="004D626B">
            <w:pPr>
              <w:pStyle w:val="Tablecentered"/>
              <w:rPr>
                <w:b/>
                <w:bCs/>
              </w:rPr>
            </w:pPr>
            <w:r w:rsidRPr="00F644FD">
              <w:rPr>
                <w:b/>
                <w:bCs/>
              </w:rPr>
              <w:t>Placebo</w:t>
            </w:r>
          </w:p>
          <w:p w14:paraId="1AA68CAA" w14:textId="77777777" w:rsidR="00C5199A" w:rsidRPr="00F644FD" w:rsidRDefault="00C5199A" w:rsidP="004D626B">
            <w:pPr>
              <w:pStyle w:val="Tablecentered"/>
              <w:rPr>
                <w:b/>
                <w:bCs/>
              </w:rPr>
            </w:pPr>
            <w:r w:rsidRPr="00F644FD">
              <w:rPr>
                <w:b/>
                <w:bCs/>
              </w:rPr>
              <w:t>(N = 97)</w:t>
            </w:r>
          </w:p>
        </w:tc>
        <w:tc>
          <w:tcPr>
            <w:tcW w:w="126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026F184C"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 xml:space="preserve">5 mg + </w:t>
            </w:r>
            <w:proofErr w:type="spellStart"/>
            <w:r w:rsidRPr="00F644FD">
              <w:rPr>
                <w:b/>
                <w:bCs/>
              </w:rPr>
              <w:t>Sitagliptin</w:t>
            </w:r>
            <w:proofErr w:type="spellEnd"/>
          </w:p>
          <w:p w14:paraId="7B03DA79" w14:textId="77777777" w:rsidR="00C5199A" w:rsidRPr="00F644FD" w:rsidRDefault="00C5199A" w:rsidP="004D626B">
            <w:pPr>
              <w:pStyle w:val="Tablecentered"/>
              <w:rPr>
                <w:b/>
                <w:bCs/>
              </w:rPr>
            </w:pPr>
            <w:r w:rsidRPr="00F644FD">
              <w:rPr>
                <w:b/>
                <w:bCs/>
              </w:rPr>
              <w:t>(N = 98)</w:t>
            </w:r>
          </w:p>
        </w:tc>
        <w:tc>
          <w:tcPr>
            <w:tcW w:w="124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5DE13D02"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 xml:space="preserve">15 mg + </w:t>
            </w:r>
            <w:proofErr w:type="spellStart"/>
            <w:r w:rsidRPr="00F644FD">
              <w:rPr>
                <w:b/>
                <w:bCs/>
              </w:rPr>
              <w:t>Sitagliptin</w:t>
            </w:r>
            <w:proofErr w:type="spellEnd"/>
          </w:p>
          <w:p w14:paraId="24EE5975" w14:textId="77777777" w:rsidR="00C5199A" w:rsidRPr="00F644FD" w:rsidRDefault="00C5199A" w:rsidP="004D626B">
            <w:pPr>
              <w:pStyle w:val="Tablecentered"/>
              <w:rPr>
                <w:b/>
                <w:bCs/>
              </w:rPr>
            </w:pPr>
            <w:r w:rsidRPr="00F644FD">
              <w:rPr>
                <w:b/>
                <w:bCs/>
              </w:rPr>
              <w:t>(N = 96)</w:t>
            </w:r>
          </w:p>
        </w:tc>
      </w:tr>
      <w:tr w:rsidR="00C5199A" w:rsidRPr="00F644FD" w14:paraId="035CA3EF" w14:textId="77777777" w:rsidTr="00FE73FD">
        <w:trPr>
          <w:cantSplit/>
          <w:trHeight w:val="23"/>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542CAC4A" w14:textId="77777777" w:rsidR="00C5199A" w:rsidRPr="00F644FD" w:rsidRDefault="00C5199A" w:rsidP="004D626B">
            <w:pPr>
              <w:pStyle w:val="Tablenormal0"/>
            </w:pPr>
            <w:r w:rsidRPr="00F644FD">
              <w:t xml:space="preserve">Overall [N (%)]  </w:t>
            </w:r>
          </w:p>
        </w:tc>
        <w:tc>
          <w:tcPr>
            <w:tcW w:w="144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50DA6C32" w14:textId="77777777" w:rsidR="00C5199A" w:rsidRPr="00F644FD" w:rsidRDefault="00C5199A" w:rsidP="004D626B">
            <w:pPr>
              <w:pStyle w:val="Tablecentered"/>
            </w:pPr>
          </w:p>
        </w:tc>
        <w:tc>
          <w:tcPr>
            <w:tcW w:w="144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6675A7C8" w14:textId="77777777" w:rsidR="00C5199A" w:rsidRPr="00F644FD" w:rsidRDefault="00C5199A" w:rsidP="004D626B">
            <w:pPr>
              <w:pStyle w:val="Tablecentered"/>
            </w:pP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AB299E5" w14:textId="77777777" w:rsidR="00C5199A" w:rsidRPr="00F644FD" w:rsidRDefault="00C5199A" w:rsidP="004D626B">
            <w:pPr>
              <w:pStyle w:val="Tablecentered"/>
            </w:pPr>
            <w:r w:rsidRPr="00F644FD">
              <w:t>1 (1.0)</w:t>
            </w:r>
          </w:p>
        </w:tc>
        <w:tc>
          <w:tcPr>
            <w:tcW w:w="1260" w:type="dxa"/>
            <w:tcBorders>
              <w:top w:val="single" w:sz="6" w:space="0" w:color="auto"/>
              <w:left w:val="single" w:sz="6" w:space="0" w:color="auto"/>
              <w:bottom w:val="nil"/>
              <w:right w:val="single" w:sz="6" w:space="0" w:color="auto"/>
            </w:tcBorders>
            <w:shd w:val="clear" w:color="auto" w:fill="auto"/>
            <w:tcMar>
              <w:top w:w="57" w:type="dxa"/>
              <w:left w:w="57" w:type="dxa"/>
              <w:bottom w:w="57" w:type="dxa"/>
              <w:right w:w="57" w:type="dxa"/>
            </w:tcMar>
            <w:vAlign w:val="center"/>
          </w:tcPr>
          <w:p w14:paraId="40C6B1CB" w14:textId="77777777" w:rsidR="00C5199A" w:rsidRPr="00F644FD" w:rsidRDefault="00C5199A" w:rsidP="004D626B">
            <w:pPr>
              <w:pStyle w:val="Tablecentered"/>
            </w:pPr>
            <w:r w:rsidRPr="00F644FD">
              <w:t>6 (6.1)</w:t>
            </w:r>
          </w:p>
        </w:tc>
        <w:tc>
          <w:tcPr>
            <w:tcW w:w="1249" w:type="dxa"/>
            <w:tcBorders>
              <w:top w:val="single" w:sz="6" w:space="0" w:color="auto"/>
              <w:left w:val="single" w:sz="6" w:space="0" w:color="auto"/>
              <w:bottom w:val="nil"/>
              <w:right w:val="single" w:sz="6" w:space="0" w:color="auto"/>
            </w:tcBorders>
            <w:shd w:val="clear" w:color="auto" w:fill="auto"/>
            <w:tcMar>
              <w:top w:w="57" w:type="dxa"/>
              <w:left w:w="57" w:type="dxa"/>
              <w:bottom w:w="57" w:type="dxa"/>
              <w:right w:w="57" w:type="dxa"/>
            </w:tcMar>
            <w:vAlign w:val="center"/>
          </w:tcPr>
          <w:p w14:paraId="219F9D27" w14:textId="77777777" w:rsidR="00C5199A" w:rsidRPr="00F644FD" w:rsidRDefault="00C5199A" w:rsidP="004D626B">
            <w:pPr>
              <w:pStyle w:val="Tablecentered"/>
            </w:pPr>
            <w:r w:rsidRPr="00F644FD">
              <w:t>3 (3.1)</w:t>
            </w:r>
          </w:p>
        </w:tc>
      </w:tr>
      <w:tr w:rsidR="00C5199A" w:rsidRPr="00F644FD" w14:paraId="42651641"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1409B53C" w14:textId="77777777" w:rsidR="00C5199A" w:rsidRPr="00F644FD" w:rsidRDefault="00C5199A" w:rsidP="004D626B">
            <w:pPr>
              <w:pStyle w:val="Tablenormal0"/>
            </w:pPr>
            <w:r w:rsidRPr="00F644FD">
              <w:t xml:space="preserve">Severe [N (%)]  </w:t>
            </w:r>
          </w:p>
        </w:tc>
        <w:tc>
          <w:tcPr>
            <w:tcW w:w="144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537A751E" w14:textId="77777777" w:rsidR="00C5199A" w:rsidRPr="00F644FD" w:rsidRDefault="00C5199A" w:rsidP="004D626B">
            <w:pPr>
              <w:pStyle w:val="Tablecentered"/>
            </w:pPr>
          </w:p>
        </w:tc>
        <w:tc>
          <w:tcPr>
            <w:tcW w:w="144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BEBF431" w14:textId="77777777" w:rsidR="00C5199A" w:rsidRPr="00F644FD" w:rsidRDefault="00C5199A" w:rsidP="004D626B">
            <w:pPr>
              <w:pStyle w:val="Tablecentered"/>
            </w:pP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603ABAE" w14:textId="77777777" w:rsidR="00C5199A" w:rsidRPr="00F644FD" w:rsidRDefault="00C5199A" w:rsidP="004D626B">
            <w:pPr>
              <w:pStyle w:val="Tablecentered"/>
            </w:pPr>
            <w:r w:rsidRPr="00F644FD">
              <w:t>0 (0.0)</w:t>
            </w:r>
          </w:p>
        </w:tc>
        <w:tc>
          <w:tcPr>
            <w:tcW w:w="1260" w:type="dxa"/>
            <w:tcBorders>
              <w:top w:val="nil"/>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15DE0EAD" w14:textId="77777777" w:rsidR="00C5199A" w:rsidRPr="00F644FD" w:rsidRDefault="00C5199A" w:rsidP="004D626B">
            <w:pPr>
              <w:pStyle w:val="Tablecentered"/>
            </w:pPr>
            <w:r w:rsidRPr="00F644FD">
              <w:t>0 (0.0)</w:t>
            </w:r>
          </w:p>
        </w:tc>
        <w:tc>
          <w:tcPr>
            <w:tcW w:w="1249" w:type="dxa"/>
            <w:tcBorders>
              <w:top w:val="nil"/>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14:paraId="02E5BBDF" w14:textId="77777777" w:rsidR="00C5199A" w:rsidRPr="00F644FD" w:rsidRDefault="00C5199A" w:rsidP="004D626B">
            <w:pPr>
              <w:pStyle w:val="Tablecentered"/>
            </w:pPr>
            <w:r w:rsidRPr="00F644FD">
              <w:t>2 (2.1)</w:t>
            </w:r>
          </w:p>
        </w:tc>
      </w:tr>
      <w:tr w:rsidR="00C5199A" w:rsidRPr="00F644FD" w14:paraId="06470BF8" w14:textId="77777777" w:rsidTr="00FE73FD">
        <w:trPr>
          <w:cantSplit/>
          <w:jc w:val="center"/>
        </w:trPr>
        <w:tc>
          <w:tcPr>
            <w:tcW w:w="270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B1396F4" w14:textId="1C0F9238" w:rsidR="00C5199A" w:rsidRPr="00F644FD" w:rsidRDefault="00C5199A" w:rsidP="004D626B">
            <w:pPr>
              <w:pStyle w:val="Tablenormal0"/>
              <w:rPr>
                <w:b/>
              </w:rPr>
            </w:pPr>
            <w:r w:rsidRPr="00F644FD">
              <w:rPr>
                <w:b/>
              </w:rPr>
              <w:t xml:space="preserve">In Combination with Insulin and/or an Insulin </w:t>
            </w:r>
            <w:proofErr w:type="spellStart"/>
            <w:r w:rsidRPr="00F644FD">
              <w:rPr>
                <w:b/>
              </w:rPr>
              <w:t>Secretagogue</w:t>
            </w:r>
            <w:proofErr w:type="spellEnd"/>
            <w:r w:rsidRPr="00F644FD">
              <w:rPr>
                <w:b/>
              </w:rPr>
              <w:t xml:space="preserve"> in Patients with Moderate Renal Impairment </w:t>
            </w:r>
            <w:r w:rsidR="00FE73FD" w:rsidRPr="00F644FD">
              <w:rPr>
                <w:b/>
              </w:rPr>
              <w:t>(26 weeks)</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92E93A"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5 mg</w:t>
            </w:r>
          </w:p>
          <w:p w14:paraId="140A4711" w14:textId="77777777" w:rsidR="00C5199A" w:rsidRPr="00F644FD" w:rsidRDefault="00C5199A" w:rsidP="004D626B">
            <w:pPr>
              <w:pStyle w:val="Tablecentered"/>
              <w:rPr>
                <w:b/>
                <w:bCs/>
              </w:rPr>
            </w:pPr>
            <w:r w:rsidRPr="00F644FD">
              <w:rPr>
                <w:b/>
                <w:bCs/>
              </w:rPr>
              <w:t>(N = 148)</w:t>
            </w:r>
          </w:p>
        </w:tc>
        <w:tc>
          <w:tcPr>
            <w:tcW w:w="144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955075A" w14:textId="77777777" w:rsidR="00C5199A" w:rsidRPr="00F644FD" w:rsidRDefault="00C5199A" w:rsidP="004D626B">
            <w:pPr>
              <w:pStyle w:val="Tablecentered"/>
              <w:rPr>
                <w:b/>
                <w:bCs/>
              </w:rPr>
            </w:pPr>
            <w:proofErr w:type="spellStart"/>
            <w:r w:rsidRPr="00F644FD">
              <w:rPr>
                <w:b/>
                <w:bCs/>
              </w:rPr>
              <w:t>Ertugliflozin</w:t>
            </w:r>
            <w:proofErr w:type="spellEnd"/>
            <w:r w:rsidRPr="00F644FD" w:rsidDel="00510C5D">
              <w:rPr>
                <w:b/>
                <w:bCs/>
              </w:rPr>
              <w:t xml:space="preserve"> </w:t>
            </w:r>
            <w:r w:rsidRPr="00F644FD">
              <w:rPr>
                <w:b/>
                <w:bCs/>
              </w:rPr>
              <w:t>15 mg</w:t>
            </w:r>
          </w:p>
          <w:p w14:paraId="7E080007" w14:textId="77777777" w:rsidR="00C5199A" w:rsidRPr="00F644FD" w:rsidRDefault="00C5199A" w:rsidP="004D626B">
            <w:pPr>
              <w:pStyle w:val="Tablecentered"/>
              <w:rPr>
                <w:b/>
                <w:bCs/>
              </w:rPr>
            </w:pPr>
            <w:r w:rsidRPr="00F644FD">
              <w:rPr>
                <w:b/>
                <w:bCs/>
              </w:rPr>
              <w:t>(N = 143)</w:t>
            </w:r>
          </w:p>
        </w:tc>
        <w:tc>
          <w:tcPr>
            <w:tcW w:w="126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3F601CF" w14:textId="77777777" w:rsidR="00C5199A" w:rsidRPr="00F644FD" w:rsidRDefault="00C5199A" w:rsidP="004D626B">
            <w:pPr>
              <w:pStyle w:val="Tablecentered"/>
              <w:rPr>
                <w:b/>
                <w:bCs/>
              </w:rPr>
            </w:pPr>
            <w:r w:rsidRPr="00F644FD">
              <w:rPr>
                <w:b/>
                <w:bCs/>
              </w:rPr>
              <w:t>Placebo</w:t>
            </w:r>
          </w:p>
          <w:p w14:paraId="5FB02003" w14:textId="77777777" w:rsidR="00C5199A" w:rsidRPr="00F644FD" w:rsidRDefault="00C5199A" w:rsidP="004D626B">
            <w:pPr>
              <w:pStyle w:val="Tablecentered"/>
              <w:rPr>
                <w:b/>
                <w:bCs/>
              </w:rPr>
            </w:pPr>
            <w:r w:rsidRPr="00F644FD">
              <w:rPr>
                <w:b/>
                <w:bCs/>
              </w:rPr>
              <w:t>(N = 133)</w:t>
            </w:r>
          </w:p>
        </w:tc>
        <w:tc>
          <w:tcPr>
            <w:tcW w:w="1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02C90DAD" w14:textId="77777777" w:rsidR="00C5199A" w:rsidRPr="00F644FD" w:rsidRDefault="00C5199A" w:rsidP="004D626B">
            <w:pPr>
              <w:pStyle w:val="Tablecentered"/>
              <w:rPr>
                <w:b/>
                <w:bCs/>
              </w:rPr>
            </w:pPr>
          </w:p>
        </w:tc>
        <w:tc>
          <w:tcPr>
            <w:tcW w:w="124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761E5F9D" w14:textId="77777777" w:rsidR="00C5199A" w:rsidRPr="00F644FD" w:rsidRDefault="00C5199A" w:rsidP="004D626B">
            <w:pPr>
              <w:pStyle w:val="Tablecentered"/>
              <w:rPr>
                <w:b/>
                <w:bCs/>
              </w:rPr>
            </w:pPr>
          </w:p>
        </w:tc>
      </w:tr>
      <w:tr w:rsidR="00C5199A" w:rsidRPr="00F644FD" w14:paraId="0DEF601C" w14:textId="77777777" w:rsidTr="00FE73FD">
        <w:trPr>
          <w:cantSplit/>
          <w:jc w:val="center"/>
        </w:trPr>
        <w:tc>
          <w:tcPr>
            <w:tcW w:w="2709" w:type="dxa"/>
            <w:tcBorders>
              <w:top w:val="single" w:sz="6" w:space="0" w:color="auto"/>
              <w:left w:val="single" w:sz="6" w:space="0" w:color="auto"/>
              <w:bottom w:val="nil"/>
              <w:right w:val="single" w:sz="6" w:space="0" w:color="auto"/>
            </w:tcBorders>
            <w:tcMar>
              <w:top w:w="57" w:type="dxa"/>
              <w:left w:w="57" w:type="dxa"/>
              <w:bottom w:w="57" w:type="dxa"/>
              <w:right w:w="57" w:type="dxa"/>
            </w:tcMar>
          </w:tcPr>
          <w:p w14:paraId="6EA2CBC8" w14:textId="77777777" w:rsidR="00C5199A" w:rsidRPr="00F644FD" w:rsidRDefault="00C5199A" w:rsidP="004D626B">
            <w:pPr>
              <w:pStyle w:val="Tablenormal0"/>
            </w:pPr>
            <w:r w:rsidRPr="00F644FD">
              <w:t>Overall [N (%)]</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670BBAD" w14:textId="77777777" w:rsidR="00C5199A" w:rsidRPr="00F644FD" w:rsidRDefault="00C5199A" w:rsidP="004D626B">
            <w:pPr>
              <w:pStyle w:val="Tablecentered"/>
            </w:pPr>
            <w:r w:rsidRPr="00F644FD">
              <w:t>53 (35.8)</w:t>
            </w:r>
          </w:p>
        </w:tc>
        <w:tc>
          <w:tcPr>
            <w:tcW w:w="144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DDCDDFF" w14:textId="77777777" w:rsidR="00C5199A" w:rsidRPr="00F644FD" w:rsidRDefault="00C5199A" w:rsidP="004D626B">
            <w:pPr>
              <w:pStyle w:val="Tablecentered"/>
            </w:pPr>
            <w:r w:rsidRPr="00F644FD">
              <w:t>39 (27.3)</w:t>
            </w:r>
          </w:p>
        </w:tc>
        <w:tc>
          <w:tcPr>
            <w:tcW w:w="1260"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D3D6D1B" w14:textId="77777777" w:rsidR="00C5199A" w:rsidRPr="00F644FD" w:rsidRDefault="00C5199A" w:rsidP="004D626B">
            <w:pPr>
              <w:pStyle w:val="Tablecentered"/>
            </w:pPr>
            <w:r w:rsidRPr="00F644FD">
              <w:t>48 (36.1)</w:t>
            </w:r>
          </w:p>
        </w:tc>
        <w:tc>
          <w:tcPr>
            <w:tcW w:w="1260"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388F8D1C" w14:textId="77777777" w:rsidR="00C5199A" w:rsidRPr="00F644FD" w:rsidRDefault="00C5199A" w:rsidP="004D626B">
            <w:pPr>
              <w:pStyle w:val="Tablecentered"/>
            </w:pPr>
          </w:p>
        </w:tc>
        <w:tc>
          <w:tcPr>
            <w:tcW w:w="1249" w:type="dxa"/>
            <w:tcBorders>
              <w:top w:val="single" w:sz="6" w:space="0" w:color="auto"/>
              <w:left w:val="single" w:sz="6" w:space="0" w:color="auto"/>
              <w:bottom w:val="nil"/>
              <w:right w:val="single" w:sz="6" w:space="0" w:color="auto"/>
            </w:tcBorders>
            <w:shd w:val="clear" w:color="auto" w:fill="BFBFBF" w:themeFill="background1" w:themeFillShade="BF"/>
            <w:tcMar>
              <w:top w:w="57" w:type="dxa"/>
              <w:left w:w="57" w:type="dxa"/>
              <w:bottom w:w="57" w:type="dxa"/>
              <w:right w:w="57" w:type="dxa"/>
            </w:tcMar>
            <w:vAlign w:val="center"/>
          </w:tcPr>
          <w:p w14:paraId="76253F03" w14:textId="77777777" w:rsidR="00C5199A" w:rsidRPr="00F644FD" w:rsidRDefault="00C5199A" w:rsidP="004D626B">
            <w:pPr>
              <w:pStyle w:val="Tablecentered"/>
            </w:pPr>
          </w:p>
        </w:tc>
      </w:tr>
      <w:tr w:rsidR="00C5199A" w:rsidRPr="00F644FD" w14:paraId="6BB8E37B" w14:textId="77777777" w:rsidTr="00FE73FD">
        <w:trPr>
          <w:cantSplit/>
          <w:jc w:val="center"/>
        </w:trPr>
        <w:tc>
          <w:tcPr>
            <w:tcW w:w="2709" w:type="dxa"/>
            <w:tcBorders>
              <w:top w:val="nil"/>
              <w:left w:val="single" w:sz="6" w:space="0" w:color="auto"/>
              <w:bottom w:val="single" w:sz="6" w:space="0" w:color="auto"/>
              <w:right w:val="single" w:sz="6" w:space="0" w:color="auto"/>
            </w:tcBorders>
            <w:tcMar>
              <w:top w:w="57" w:type="dxa"/>
              <w:left w:w="57" w:type="dxa"/>
              <w:bottom w:w="57" w:type="dxa"/>
              <w:right w:w="57" w:type="dxa"/>
            </w:tcMar>
          </w:tcPr>
          <w:p w14:paraId="3346DBFA" w14:textId="77777777" w:rsidR="00C5199A" w:rsidRPr="00F644FD" w:rsidRDefault="00C5199A" w:rsidP="004D626B">
            <w:pPr>
              <w:pStyle w:val="Tablenormal0"/>
            </w:pPr>
            <w:r w:rsidRPr="00F644FD">
              <w:t>Severe [N (%)]</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071DC70" w14:textId="77777777" w:rsidR="00C5199A" w:rsidRPr="00F644FD" w:rsidRDefault="00C5199A" w:rsidP="004D626B">
            <w:pPr>
              <w:pStyle w:val="Tablecentered"/>
            </w:pPr>
            <w:r w:rsidRPr="00F644FD">
              <w:t>5 (3.4)</w:t>
            </w:r>
          </w:p>
        </w:tc>
        <w:tc>
          <w:tcPr>
            <w:tcW w:w="144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6B228DA0" w14:textId="77777777" w:rsidR="00C5199A" w:rsidRPr="00F644FD" w:rsidRDefault="00C5199A" w:rsidP="004D626B">
            <w:pPr>
              <w:pStyle w:val="Tablecentered"/>
            </w:pPr>
            <w:r w:rsidRPr="00F644FD">
              <w:t>3 (2.1)</w:t>
            </w:r>
          </w:p>
        </w:tc>
        <w:tc>
          <w:tcPr>
            <w:tcW w:w="1260"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7A02445" w14:textId="77777777" w:rsidR="00C5199A" w:rsidRPr="00F644FD" w:rsidRDefault="00C5199A" w:rsidP="004D626B">
            <w:pPr>
              <w:pStyle w:val="Tablecentered"/>
            </w:pPr>
            <w:r w:rsidRPr="00F644FD">
              <w:t>3 (2.3)</w:t>
            </w:r>
          </w:p>
        </w:tc>
        <w:tc>
          <w:tcPr>
            <w:tcW w:w="1260"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459C292F" w14:textId="77777777" w:rsidR="00C5199A" w:rsidRPr="00F644FD" w:rsidRDefault="00C5199A" w:rsidP="004D626B">
            <w:pPr>
              <w:pStyle w:val="Tablecentered"/>
            </w:pPr>
          </w:p>
        </w:tc>
        <w:tc>
          <w:tcPr>
            <w:tcW w:w="1249" w:type="dxa"/>
            <w:tcBorders>
              <w:top w:val="nil"/>
              <w:left w:val="single" w:sz="6" w:space="0" w:color="auto"/>
              <w:bottom w:val="single" w:sz="6" w:space="0" w:color="auto"/>
              <w:right w:val="single" w:sz="6" w:space="0" w:color="auto"/>
            </w:tcBorders>
            <w:shd w:val="clear" w:color="auto" w:fill="BFBFBF" w:themeFill="background1" w:themeFillShade="BF"/>
            <w:tcMar>
              <w:top w:w="57" w:type="dxa"/>
              <w:left w:w="57" w:type="dxa"/>
              <w:bottom w:w="57" w:type="dxa"/>
              <w:right w:w="57" w:type="dxa"/>
            </w:tcMar>
            <w:vAlign w:val="center"/>
          </w:tcPr>
          <w:p w14:paraId="12E4B9CF" w14:textId="77777777" w:rsidR="00C5199A" w:rsidRPr="00F644FD" w:rsidRDefault="00C5199A" w:rsidP="004D626B">
            <w:pPr>
              <w:pStyle w:val="Tablecentered"/>
            </w:pPr>
          </w:p>
        </w:tc>
      </w:tr>
    </w:tbl>
    <w:p w14:paraId="2EFBE91C" w14:textId="77777777" w:rsidR="00C5199A" w:rsidRPr="00F644FD" w:rsidRDefault="00C5199A" w:rsidP="00C5199A">
      <w:pPr>
        <w:pStyle w:val="BodyText3"/>
        <w:rPr>
          <w:lang w:val="en-AU"/>
        </w:rPr>
      </w:pPr>
      <w:r w:rsidRPr="00F644FD">
        <w:rPr>
          <w:lang w:val="en-AU"/>
        </w:rPr>
        <w:t>*</w:t>
      </w:r>
      <w:r w:rsidRPr="00F644FD">
        <w:rPr>
          <w:lang w:val="en-AU"/>
        </w:rPr>
        <w:tab/>
        <w:t xml:space="preserve">Overall hypoglycaemic events: plasma or capillary glucose of less than or equal to 3.9 </w:t>
      </w:r>
      <w:proofErr w:type="spellStart"/>
      <w:r w:rsidRPr="00F644FD">
        <w:rPr>
          <w:lang w:val="en-AU"/>
        </w:rPr>
        <w:t>mmol</w:t>
      </w:r>
      <w:proofErr w:type="spellEnd"/>
      <w:r w:rsidRPr="00F644FD">
        <w:rPr>
          <w:lang w:val="en-AU"/>
        </w:rPr>
        <w:t>/L.</w:t>
      </w:r>
    </w:p>
    <w:p w14:paraId="112AA194" w14:textId="77777777" w:rsidR="00C5199A" w:rsidRPr="00F644FD" w:rsidRDefault="00C5199A" w:rsidP="00C5199A">
      <w:pPr>
        <w:pStyle w:val="BodyText3"/>
        <w:rPr>
          <w:lang w:val="en-AU"/>
        </w:rPr>
      </w:pPr>
      <w:r w:rsidRPr="00F644FD">
        <w:rPr>
          <w:vertAlign w:val="superscript"/>
          <w:lang w:val="en-AU"/>
        </w:rPr>
        <w:t>†</w:t>
      </w:r>
      <w:r w:rsidRPr="00F644FD">
        <w:rPr>
          <w:vertAlign w:val="superscript"/>
          <w:lang w:val="en-AU"/>
        </w:rPr>
        <w:tab/>
      </w:r>
      <w:r w:rsidRPr="00F644FD">
        <w:rPr>
          <w:lang w:val="en-AU"/>
        </w:rPr>
        <w:t>Severe hypoglycaemic events: required assistance, lost consciousness, or experienced a seizure regardless of blood glucose.</w:t>
      </w:r>
    </w:p>
    <w:p w14:paraId="2B856C68" w14:textId="4AE76948" w:rsidR="00C5199A" w:rsidRPr="00F644FD" w:rsidRDefault="00C5199A" w:rsidP="00C5199A">
      <w:pPr>
        <w:pStyle w:val="Heading4"/>
      </w:pPr>
      <w:r w:rsidRPr="00F644FD">
        <w:lastRenderedPageBreak/>
        <w:t xml:space="preserve">Genital </w:t>
      </w:r>
      <w:r w:rsidR="00B1112D" w:rsidRPr="00F644FD">
        <w:t xml:space="preserve">mycotic infections </w:t>
      </w:r>
    </w:p>
    <w:p w14:paraId="389C89C1" w14:textId="7C9FB996" w:rsidR="00C5199A" w:rsidRPr="00F644FD" w:rsidRDefault="00C5199A" w:rsidP="00C5199A">
      <w:r w:rsidRPr="00F644FD">
        <w:t xml:space="preserve">In the pool of three placebo-controlled clinical trials, female genital mycotic infections (e.g., genital candidiasis, genital infection fungal, vaginal infection, </w:t>
      </w:r>
      <w:proofErr w:type="spellStart"/>
      <w:r w:rsidRPr="00F644FD">
        <w:t>vulvitis</w:t>
      </w:r>
      <w:proofErr w:type="spellEnd"/>
      <w:r w:rsidRPr="00F644FD">
        <w:t xml:space="preserve">, vulvovaginal candidiasis, vulvovaginal mycotic infection, </w:t>
      </w:r>
      <w:proofErr w:type="spellStart"/>
      <w:proofErr w:type="gramStart"/>
      <w:r w:rsidRPr="00F644FD">
        <w:t>vulvovaginitis</w:t>
      </w:r>
      <w:proofErr w:type="spellEnd"/>
      <w:proofErr w:type="gramEnd"/>
      <w:r w:rsidRPr="00F644FD">
        <w:t xml:space="preserve">) occurred in 9.1%, 12.2%, and 3.0% of females treated with </w:t>
      </w:r>
      <w:proofErr w:type="spellStart"/>
      <w:r w:rsidRPr="00F644FD">
        <w:t>ertugliflozin</w:t>
      </w:r>
      <w:proofErr w:type="spellEnd"/>
      <w:r w:rsidRPr="00F644FD" w:rsidDel="006A716A">
        <w:t xml:space="preserve"> </w:t>
      </w:r>
      <w:r w:rsidRPr="00F644FD">
        <w:t xml:space="preserve">5 mg, </w:t>
      </w:r>
      <w:proofErr w:type="spellStart"/>
      <w:r w:rsidRPr="00F644FD">
        <w:t>ertugliflozin</w:t>
      </w:r>
      <w:proofErr w:type="spellEnd"/>
      <w:r w:rsidRPr="00F644FD" w:rsidDel="006A716A">
        <w:t xml:space="preserve"> </w:t>
      </w:r>
      <w:r w:rsidRPr="00F644FD">
        <w:t xml:space="preserve">15 mg, and placebo, respectively.  In females, discontinuation due to genital mycotic infections occurred in 0.6% and 0% of patients treated with </w:t>
      </w:r>
      <w:proofErr w:type="spellStart"/>
      <w:r w:rsidRPr="00F644FD">
        <w:t>ertugliflozin</w:t>
      </w:r>
      <w:proofErr w:type="spellEnd"/>
      <w:r w:rsidRPr="00F644FD" w:rsidDel="006A716A">
        <w:t xml:space="preserve"> </w:t>
      </w:r>
      <w:r w:rsidRPr="00F644FD">
        <w:t xml:space="preserve">and placebo, respectively.  [See </w:t>
      </w:r>
      <w:r w:rsidR="00F82DDA" w:rsidRPr="00F644FD">
        <w:t xml:space="preserve">4.4 SPECIAL WARNINGS AND </w:t>
      </w:r>
      <w:r w:rsidRPr="00F644FD">
        <w:t>PRECAUTIONS</w:t>
      </w:r>
      <w:r w:rsidR="000B50ED">
        <w:t xml:space="preserve"> FOR USE</w:t>
      </w:r>
      <w:r w:rsidRPr="00F644FD">
        <w:t>.]</w:t>
      </w:r>
    </w:p>
    <w:p w14:paraId="685D7EE3" w14:textId="77777777" w:rsidR="00C5199A" w:rsidRPr="00F644FD" w:rsidRDefault="00C5199A" w:rsidP="00C5199A"/>
    <w:p w14:paraId="65D9B922" w14:textId="45F4B3D7" w:rsidR="00C5199A" w:rsidRPr="00F644FD" w:rsidRDefault="00C5199A" w:rsidP="00C5199A">
      <w:r w:rsidRPr="00F644FD">
        <w:t xml:space="preserve">In the same pool, male genital mycotic infections (e.g., balanitis candida, </w:t>
      </w:r>
      <w:proofErr w:type="spellStart"/>
      <w:r w:rsidRPr="00F644FD">
        <w:t>balanoposthitis</w:t>
      </w:r>
      <w:proofErr w:type="spellEnd"/>
      <w:r w:rsidRPr="00F644FD">
        <w:t xml:space="preserve">, genital infection, </w:t>
      </w:r>
      <w:proofErr w:type="gramStart"/>
      <w:r w:rsidRPr="00F644FD">
        <w:t>genital</w:t>
      </w:r>
      <w:proofErr w:type="gramEnd"/>
      <w:r w:rsidRPr="00F644FD">
        <w:t xml:space="preserve"> infection fungal) occurred in 3.7%, 4.2%, and 0.4% of males treated with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 mg, and placebo, respectively.  Male genital mycotic infections occurred more commonly in uncircumcised males.  In males, discontinuations due to genital mycotic infections occurred in 0.2% and 0% of patients treated with </w:t>
      </w:r>
      <w:proofErr w:type="spellStart"/>
      <w:r w:rsidRPr="00F644FD">
        <w:t>ertugliflozin</w:t>
      </w:r>
      <w:proofErr w:type="spellEnd"/>
      <w:r w:rsidRPr="00F644FD">
        <w:t xml:space="preserve"> and placebo, respectively.  In rare instances, phimosis was reported and sometimes circumcision was performed.  [See </w:t>
      </w:r>
      <w:r w:rsidR="00EF6F6C" w:rsidRPr="00F644FD">
        <w:t>4.4 SPECIAL WARNINGS AND</w:t>
      </w:r>
      <w:r w:rsidR="004A377C">
        <w:t xml:space="preserve"> </w:t>
      </w:r>
      <w:r w:rsidRPr="00F644FD">
        <w:t>PRECAUTIONS</w:t>
      </w:r>
      <w:r w:rsidR="000B50ED">
        <w:t xml:space="preserve"> FOR USE</w:t>
      </w:r>
      <w:r w:rsidRPr="00F644FD">
        <w:t>]</w:t>
      </w:r>
    </w:p>
    <w:p w14:paraId="6CA0320E" w14:textId="77777777" w:rsidR="00C5199A" w:rsidRPr="00F644FD" w:rsidRDefault="00C5199A" w:rsidP="00FE73FD">
      <w:pPr>
        <w:pStyle w:val="Heading5"/>
      </w:pPr>
      <w:r w:rsidRPr="00F644FD">
        <w:t>Metformin</w:t>
      </w:r>
    </w:p>
    <w:p w14:paraId="58AD21B8" w14:textId="771E7D44" w:rsidR="00C5199A" w:rsidRPr="00F644FD" w:rsidRDefault="00C5199A" w:rsidP="00C5199A">
      <w:r w:rsidRPr="00F644FD">
        <w:t xml:space="preserve">Metformin adverse reactions are shown below by system organ class and by frequency category. </w:t>
      </w:r>
      <w:r w:rsidR="0066050E">
        <w:t xml:space="preserve"> </w:t>
      </w:r>
      <w:r w:rsidRPr="00F644FD">
        <w:t xml:space="preserve">Frequency categories are based on information available from the Product Information for metformin available in Australia. </w:t>
      </w:r>
      <w:r w:rsidR="0066050E">
        <w:t xml:space="preserve"> </w:t>
      </w:r>
      <w:r w:rsidRPr="00F644FD">
        <w:t>Frequencies are defined as follows: very common: &gt;1/10; common &gt;1/100, &lt;1/10; uncommon &gt;1/1,000, &lt;1/100; rare &gt;1/10,000, &lt;1/1,000; very rare &lt;1/10,000; not known (cannot be estimated from the available data).</w:t>
      </w:r>
    </w:p>
    <w:p w14:paraId="04F37992" w14:textId="77777777" w:rsidR="00C5199A" w:rsidRPr="00F644FD" w:rsidRDefault="00C5199A" w:rsidP="00C5199A"/>
    <w:p w14:paraId="0B8B94D5" w14:textId="77777777" w:rsidR="00C5199A" w:rsidRDefault="00C5199A" w:rsidP="00C5199A">
      <w:r w:rsidRPr="00F644FD">
        <w:t>Within each frequency grouping, undesirable effects are presented in order of decreasing seriousness.</w:t>
      </w:r>
    </w:p>
    <w:p w14:paraId="7A51A67D" w14:textId="77777777" w:rsidR="00A37667" w:rsidRPr="00F644FD" w:rsidRDefault="00A37667" w:rsidP="00C5199A"/>
    <w:p w14:paraId="23EE6F02" w14:textId="256FF397" w:rsidR="00C5199A" w:rsidRPr="00F644FD" w:rsidRDefault="00C5199A" w:rsidP="00A37667">
      <w:r w:rsidRPr="00A37667">
        <w:rPr>
          <w:b/>
          <w:i/>
        </w:rPr>
        <w:t>Nervous system disorders</w:t>
      </w:r>
      <w:r w:rsidR="00A37667" w:rsidRPr="00A37667">
        <w:rPr>
          <w:b/>
          <w:i/>
        </w:rPr>
        <w:t xml:space="preserve">: </w:t>
      </w:r>
      <w:r w:rsidRPr="00F644FD">
        <w:rPr>
          <w:i/>
          <w:iCs/>
        </w:rPr>
        <w:t xml:space="preserve">Common: </w:t>
      </w:r>
      <w:r w:rsidRPr="00F644FD">
        <w:t>Taste disturbance.</w:t>
      </w:r>
    </w:p>
    <w:p w14:paraId="296CF8FB" w14:textId="77777777" w:rsidR="00A37667" w:rsidRDefault="00A37667" w:rsidP="00A37667"/>
    <w:p w14:paraId="6CF2B82E" w14:textId="7F9A9AA1" w:rsidR="00C5199A" w:rsidRPr="00F644FD" w:rsidRDefault="00C5199A" w:rsidP="00C5199A">
      <w:r w:rsidRPr="00A37667">
        <w:rPr>
          <w:b/>
          <w:i/>
        </w:rPr>
        <w:t>Gastrointestinal disorders</w:t>
      </w:r>
      <w:r w:rsidR="00A37667" w:rsidRPr="00A37667">
        <w:rPr>
          <w:b/>
          <w:i/>
        </w:rPr>
        <w:t>:</w:t>
      </w:r>
      <w:r w:rsidRPr="00A37667">
        <w:rPr>
          <w:b/>
          <w:i/>
        </w:rPr>
        <w:t xml:space="preserve"> </w:t>
      </w:r>
      <w:r w:rsidRPr="00F644FD">
        <w:rPr>
          <w:i/>
          <w:iCs/>
        </w:rPr>
        <w:t xml:space="preserve">Very common: </w:t>
      </w:r>
      <w:r w:rsidRPr="00F644FD">
        <w:t xml:space="preserve">Gastrointestinal disorders such as diarrhoea, nausea, vomiting, abdominal pain and loss of appetite. </w:t>
      </w:r>
      <w:r w:rsidR="0066050E">
        <w:t xml:space="preserve"> </w:t>
      </w:r>
      <w:r w:rsidRPr="00F644FD">
        <w:t xml:space="preserve">These undesirable effects occur most frequently during initiation of therapy and resolve spontaneously in most cases. </w:t>
      </w:r>
      <w:r w:rsidR="0066050E">
        <w:t xml:space="preserve"> </w:t>
      </w:r>
      <w:r w:rsidRPr="00F644FD">
        <w:t xml:space="preserve">To prevent them, it is recommended that metformin be taken in 2 or 3 daily doses during or after meals. </w:t>
      </w:r>
      <w:r w:rsidR="0066050E">
        <w:t xml:space="preserve"> </w:t>
      </w:r>
      <w:r w:rsidRPr="00F644FD">
        <w:t>A slow increase of the dose may also improve gastrointestinal tolerability.</w:t>
      </w:r>
    </w:p>
    <w:p w14:paraId="54987A7E" w14:textId="77777777" w:rsidR="00A37667" w:rsidRDefault="00A37667" w:rsidP="00A37667"/>
    <w:p w14:paraId="67000D88" w14:textId="28F49A31" w:rsidR="00C5199A" w:rsidRPr="00F644FD" w:rsidRDefault="00C5199A" w:rsidP="00C5199A">
      <w:r w:rsidRPr="00A37667">
        <w:rPr>
          <w:b/>
          <w:i/>
        </w:rPr>
        <w:t>Skin and subcutaneous tissue disorders</w:t>
      </w:r>
      <w:r w:rsidR="00A37667" w:rsidRPr="00A37667">
        <w:rPr>
          <w:b/>
          <w:i/>
        </w:rPr>
        <w:t>:</w:t>
      </w:r>
      <w:r w:rsidRPr="00A37667">
        <w:rPr>
          <w:b/>
          <w:i/>
        </w:rPr>
        <w:t xml:space="preserve"> </w:t>
      </w:r>
      <w:r w:rsidRPr="00F644FD">
        <w:rPr>
          <w:i/>
          <w:iCs/>
        </w:rPr>
        <w:t xml:space="preserve">Very rare: </w:t>
      </w:r>
      <w:r w:rsidRPr="00F644FD">
        <w:t xml:space="preserve">Skin reactions such as erythema, pruritus and </w:t>
      </w:r>
      <w:proofErr w:type="spellStart"/>
      <w:r w:rsidRPr="00F644FD">
        <w:t>urticaria</w:t>
      </w:r>
      <w:proofErr w:type="spellEnd"/>
      <w:r w:rsidRPr="00F644FD">
        <w:t>.</w:t>
      </w:r>
    </w:p>
    <w:p w14:paraId="78A00E49" w14:textId="77777777" w:rsidR="00A37667" w:rsidRDefault="00A37667" w:rsidP="00A37667"/>
    <w:p w14:paraId="04C995CF" w14:textId="39D6FDAD" w:rsidR="00C5199A" w:rsidRPr="00F644FD" w:rsidRDefault="00C5199A" w:rsidP="00C5199A">
      <w:r w:rsidRPr="00A37667">
        <w:rPr>
          <w:b/>
          <w:i/>
        </w:rPr>
        <w:t>Metabolism and nutrition disorders</w:t>
      </w:r>
      <w:r w:rsidR="00A37667" w:rsidRPr="00A37667">
        <w:rPr>
          <w:b/>
          <w:i/>
        </w:rPr>
        <w:t>:</w:t>
      </w:r>
      <w:r w:rsidRPr="00A37667">
        <w:rPr>
          <w:b/>
          <w:i/>
        </w:rPr>
        <w:t xml:space="preserve"> </w:t>
      </w:r>
      <w:r w:rsidRPr="00F644FD">
        <w:rPr>
          <w:i/>
          <w:iCs/>
        </w:rPr>
        <w:t xml:space="preserve">Very rare: </w:t>
      </w:r>
    </w:p>
    <w:p w14:paraId="4484C61E" w14:textId="6330CD05" w:rsidR="00C5199A" w:rsidRPr="00F644FD" w:rsidRDefault="00C5199A" w:rsidP="00A37667">
      <w:pPr>
        <w:pStyle w:val="ListBullet"/>
      </w:pPr>
      <w:r w:rsidRPr="00F644FD">
        <w:t xml:space="preserve">Lactic acidosis [see </w:t>
      </w:r>
      <w:r w:rsidR="00F82DDA" w:rsidRPr="00F644FD">
        <w:t xml:space="preserve">4.4 SPECIAL WARNINGS AND </w:t>
      </w:r>
      <w:r w:rsidRPr="00F644FD">
        <w:rPr>
          <w:bCs/>
        </w:rPr>
        <w:t>PRECAUTIONS</w:t>
      </w:r>
      <w:r w:rsidR="000B50ED">
        <w:rPr>
          <w:bCs/>
        </w:rPr>
        <w:t xml:space="preserve"> FOR USE</w:t>
      </w:r>
      <w:r w:rsidRPr="00F644FD">
        <w:rPr>
          <w:bCs/>
        </w:rPr>
        <w:t>]</w:t>
      </w:r>
      <w:r w:rsidRPr="00F644FD">
        <w:t>.</w:t>
      </w:r>
    </w:p>
    <w:p w14:paraId="1221393F" w14:textId="31990328" w:rsidR="00C5199A" w:rsidRDefault="00C5199A" w:rsidP="00A37667">
      <w:pPr>
        <w:pStyle w:val="ListBullet"/>
      </w:pPr>
      <w:r w:rsidRPr="00F644FD">
        <w:t>Decrease of vitamin B</w:t>
      </w:r>
      <w:r w:rsidRPr="00F644FD">
        <w:rPr>
          <w:vertAlign w:val="subscript"/>
        </w:rPr>
        <w:t>12</w:t>
      </w:r>
      <w:r w:rsidRPr="00F644FD">
        <w:t xml:space="preserve"> absorption with a decrease in serum levels has been observed in patients treated long-term with metformin. </w:t>
      </w:r>
      <w:r w:rsidR="0066050E">
        <w:t xml:space="preserve"> </w:t>
      </w:r>
      <w:r w:rsidRPr="00F644FD">
        <w:t xml:space="preserve">Consideration of such </w:t>
      </w:r>
      <w:proofErr w:type="gramStart"/>
      <w:r w:rsidRPr="00F644FD">
        <w:t>an aetiology</w:t>
      </w:r>
      <w:proofErr w:type="gramEnd"/>
      <w:r w:rsidRPr="00F644FD">
        <w:t xml:space="preserve"> is recommended if a patient presents with megaloblastic anaemia. </w:t>
      </w:r>
      <w:r w:rsidR="0066050E">
        <w:t xml:space="preserve"> </w:t>
      </w:r>
      <w:r w:rsidRPr="00F644FD">
        <w:t>Therefore, serum B</w:t>
      </w:r>
      <w:r w:rsidRPr="00F644FD">
        <w:rPr>
          <w:vertAlign w:val="subscript"/>
        </w:rPr>
        <w:t>12</w:t>
      </w:r>
      <w:r w:rsidRPr="00F644FD">
        <w:t xml:space="preserve"> levels should be appropriately monitored or periodic parenteral B12 supplementation should be considered [see </w:t>
      </w:r>
      <w:r w:rsidR="00F82DDA" w:rsidRPr="00F644FD">
        <w:t xml:space="preserve">4.4 SPECIAL WARNINGS AND </w:t>
      </w:r>
      <w:r w:rsidRPr="00F644FD">
        <w:rPr>
          <w:bCs/>
        </w:rPr>
        <w:t>PRECAUTIONS</w:t>
      </w:r>
      <w:r w:rsidR="000B50ED">
        <w:rPr>
          <w:bCs/>
        </w:rPr>
        <w:t xml:space="preserve"> FOR USE</w:t>
      </w:r>
      <w:r w:rsidRPr="00F644FD">
        <w:rPr>
          <w:bCs/>
        </w:rPr>
        <w:t>]</w:t>
      </w:r>
      <w:r w:rsidRPr="00F644FD">
        <w:t>.</w:t>
      </w:r>
    </w:p>
    <w:p w14:paraId="06830CA2" w14:textId="67C67CA4" w:rsidR="00C5199A" w:rsidRPr="00F644FD" w:rsidRDefault="00C5199A" w:rsidP="00C5199A">
      <w:r w:rsidRPr="00A37667">
        <w:rPr>
          <w:b/>
          <w:i/>
        </w:rPr>
        <w:lastRenderedPageBreak/>
        <w:t>Hepatobiliary Disorders</w:t>
      </w:r>
      <w:r w:rsidR="00A37667" w:rsidRPr="00A37667">
        <w:rPr>
          <w:b/>
          <w:i/>
        </w:rPr>
        <w:t>:</w:t>
      </w:r>
      <w:r w:rsidRPr="00A37667">
        <w:rPr>
          <w:b/>
          <w:i/>
        </w:rPr>
        <w:t xml:space="preserve"> </w:t>
      </w:r>
      <w:r w:rsidRPr="00F644FD">
        <w:rPr>
          <w:i/>
          <w:iCs/>
        </w:rPr>
        <w:t xml:space="preserve">Very rare: </w:t>
      </w:r>
      <w:r w:rsidRPr="00F644FD">
        <w:t>Isolated reports of liver function test abnormalities or hepatitis resolving upon metformin discontinuation.</w:t>
      </w:r>
    </w:p>
    <w:p w14:paraId="6C884F95" w14:textId="77777777" w:rsidR="00C5199A" w:rsidRPr="00F644FD" w:rsidRDefault="00C5199A" w:rsidP="00C5199A"/>
    <w:p w14:paraId="4461F1D4" w14:textId="77777777" w:rsidR="00C5199A" w:rsidRPr="00F644FD" w:rsidRDefault="00C5199A" w:rsidP="00C5199A">
      <w:r w:rsidRPr="00F644FD">
        <w:t>In clinical trials in children and adolescents with type 2 diabetes, the profile of adverse reactions was similar to that observed in adults.</w:t>
      </w:r>
    </w:p>
    <w:p w14:paraId="7C871EAA" w14:textId="4DE4E782" w:rsidR="00C5199A" w:rsidRPr="00F644FD" w:rsidRDefault="00C5199A" w:rsidP="00087113">
      <w:pPr>
        <w:pStyle w:val="Heading3"/>
      </w:pPr>
      <w:r w:rsidRPr="00F644FD">
        <w:t xml:space="preserve">Laboratory </w:t>
      </w:r>
      <w:r w:rsidR="004A377C" w:rsidRPr="00F644FD">
        <w:t>tests</w:t>
      </w:r>
    </w:p>
    <w:p w14:paraId="66B058FD" w14:textId="77777777" w:rsidR="00C5199A" w:rsidRPr="00F644FD" w:rsidRDefault="00C5199A" w:rsidP="00087113">
      <w:pPr>
        <w:pStyle w:val="Heading5"/>
      </w:pPr>
      <w:proofErr w:type="spellStart"/>
      <w:r w:rsidRPr="00F644FD">
        <w:t>Ertugliflozin</w:t>
      </w:r>
      <w:proofErr w:type="spellEnd"/>
    </w:p>
    <w:p w14:paraId="1652DE12" w14:textId="493AFC06" w:rsidR="00C5199A" w:rsidRPr="00F644FD" w:rsidRDefault="00C5199A" w:rsidP="00C5199A">
      <w:pPr>
        <w:pStyle w:val="Heading4"/>
      </w:pPr>
      <w:r w:rsidRPr="00F644FD">
        <w:t xml:space="preserve">Increases in </w:t>
      </w:r>
      <w:r w:rsidR="00B1112D" w:rsidRPr="00F644FD">
        <w:t xml:space="preserve">serum creatinine </w:t>
      </w:r>
      <w:r w:rsidRPr="00F644FD">
        <w:t xml:space="preserve">and </w:t>
      </w:r>
      <w:r w:rsidR="00B1112D" w:rsidRPr="00F644FD">
        <w:t xml:space="preserve">decreases </w:t>
      </w:r>
      <w:r w:rsidRPr="00F644FD">
        <w:t xml:space="preserve">in </w:t>
      </w:r>
      <w:proofErr w:type="spellStart"/>
      <w:r w:rsidRPr="00F644FD">
        <w:t>eGFR</w:t>
      </w:r>
      <w:proofErr w:type="spellEnd"/>
    </w:p>
    <w:p w14:paraId="041E0B32" w14:textId="006BA9F5" w:rsidR="00C5199A" w:rsidRPr="00F644FD" w:rsidRDefault="00C5199A" w:rsidP="00EE3550">
      <w:pPr>
        <w:keepNext/>
        <w:keepLines/>
        <w:tabs>
          <w:tab w:val="left" w:pos="180"/>
        </w:tabs>
      </w:pPr>
      <w:r w:rsidRPr="00F644FD">
        <w:rPr>
          <w:rFonts w:eastAsia="Calibri"/>
          <w:szCs w:val="22"/>
        </w:rPr>
        <w:t xml:space="preserve">Initial increases in mean creatinine and decreases in mean </w:t>
      </w:r>
      <w:proofErr w:type="spellStart"/>
      <w:r w:rsidRPr="00F644FD">
        <w:rPr>
          <w:rFonts w:eastAsia="Calibri"/>
          <w:szCs w:val="22"/>
        </w:rPr>
        <w:t>eGFR</w:t>
      </w:r>
      <w:proofErr w:type="spellEnd"/>
      <w:r w:rsidRPr="00F644FD">
        <w:rPr>
          <w:rFonts w:eastAsia="Calibri"/>
          <w:szCs w:val="22"/>
        </w:rPr>
        <w:t xml:space="preserve"> in patients treated with </w:t>
      </w:r>
      <w:proofErr w:type="spellStart"/>
      <w:r w:rsidRPr="00F644FD">
        <w:t>ertugliflozin</w:t>
      </w:r>
      <w:proofErr w:type="spellEnd"/>
      <w:r w:rsidRPr="00F644FD">
        <w:t xml:space="preserve"> </w:t>
      </w:r>
      <w:r w:rsidRPr="00F644FD">
        <w:rPr>
          <w:rFonts w:eastAsia="Calibri"/>
          <w:szCs w:val="22"/>
        </w:rPr>
        <w:t xml:space="preserve">were generally transient during continuous treatment.  </w:t>
      </w:r>
      <w:r w:rsidRPr="00F644FD">
        <w:rPr>
          <w:rFonts w:eastAsia="Calibri"/>
          <w:iCs/>
          <w:szCs w:val="22"/>
        </w:rPr>
        <w:t>In the pool of three placebo-controlled clinical trials, mean changes from baseline in creatinine at 6 weeks were 2.41 and 2.76 µ</w:t>
      </w:r>
      <w:proofErr w:type="spellStart"/>
      <w:r w:rsidRPr="00F644FD">
        <w:rPr>
          <w:rFonts w:eastAsia="Calibri"/>
          <w:iCs/>
          <w:szCs w:val="22"/>
        </w:rPr>
        <w:t>mol</w:t>
      </w:r>
      <w:proofErr w:type="spellEnd"/>
      <w:r w:rsidRPr="00F644FD">
        <w:rPr>
          <w:rFonts w:eastAsia="Calibri"/>
          <w:iCs/>
          <w:szCs w:val="22"/>
        </w:rPr>
        <w:t>/</w:t>
      </w:r>
      <w:r w:rsidR="00663B76">
        <w:rPr>
          <w:rFonts w:eastAsia="Calibri"/>
          <w:iCs/>
          <w:szCs w:val="22"/>
        </w:rPr>
        <w:t>L</w:t>
      </w:r>
      <w:r w:rsidRPr="00F644FD" w:rsidDel="00594CF9">
        <w:rPr>
          <w:rFonts w:eastAsia="Calibri"/>
          <w:iCs/>
          <w:szCs w:val="22"/>
        </w:rPr>
        <w:t xml:space="preserve"> </w:t>
      </w:r>
      <w:r w:rsidRPr="00F644FD">
        <w:rPr>
          <w:rFonts w:eastAsia="Calibri"/>
          <w:iCs/>
          <w:szCs w:val="22"/>
        </w:rPr>
        <w:t xml:space="preserve">for </w:t>
      </w:r>
      <w:proofErr w:type="spellStart"/>
      <w:r w:rsidRPr="00F644FD">
        <w:rPr>
          <w:rFonts w:eastAsia="Calibri"/>
          <w:iCs/>
          <w:szCs w:val="22"/>
        </w:rPr>
        <w:t>ertugliflozin</w:t>
      </w:r>
      <w:proofErr w:type="spellEnd"/>
      <w:r w:rsidRPr="00F644FD">
        <w:rPr>
          <w:rFonts w:eastAsia="Calibri"/>
          <w:iCs/>
          <w:szCs w:val="22"/>
        </w:rPr>
        <w:t xml:space="preserve"> 5 mg and 15 mg, respectively, compared to 0.24 µ</w:t>
      </w:r>
      <w:proofErr w:type="spellStart"/>
      <w:r w:rsidRPr="00F644FD">
        <w:rPr>
          <w:rFonts w:eastAsia="Calibri"/>
          <w:iCs/>
          <w:szCs w:val="22"/>
        </w:rPr>
        <w:t>mol</w:t>
      </w:r>
      <w:proofErr w:type="spellEnd"/>
      <w:r w:rsidRPr="00F644FD">
        <w:rPr>
          <w:rFonts w:eastAsia="Calibri"/>
          <w:iCs/>
          <w:szCs w:val="22"/>
        </w:rPr>
        <w:t>/</w:t>
      </w:r>
      <w:r w:rsidR="00663B76">
        <w:rPr>
          <w:rFonts w:eastAsia="Calibri"/>
          <w:iCs/>
          <w:szCs w:val="22"/>
        </w:rPr>
        <w:t>L</w:t>
      </w:r>
      <w:r w:rsidRPr="00F644FD" w:rsidDel="00594CF9">
        <w:rPr>
          <w:rFonts w:eastAsia="Calibri"/>
          <w:iCs/>
          <w:szCs w:val="22"/>
        </w:rPr>
        <w:t xml:space="preserve"> </w:t>
      </w:r>
      <w:r w:rsidRPr="00F644FD">
        <w:rPr>
          <w:rFonts w:eastAsia="Calibri"/>
          <w:iCs/>
          <w:szCs w:val="22"/>
        </w:rPr>
        <w:t xml:space="preserve">for placebo.  Mean changes from baseline in </w:t>
      </w:r>
      <w:proofErr w:type="spellStart"/>
      <w:r w:rsidRPr="00F644FD">
        <w:rPr>
          <w:rFonts w:eastAsia="Calibri"/>
          <w:iCs/>
          <w:szCs w:val="22"/>
        </w:rPr>
        <w:t>eGFR</w:t>
      </w:r>
      <w:proofErr w:type="spellEnd"/>
      <w:r w:rsidRPr="00F644FD">
        <w:rPr>
          <w:rFonts w:eastAsia="Calibri"/>
          <w:iCs/>
          <w:szCs w:val="22"/>
        </w:rPr>
        <w:t xml:space="preserve"> were </w:t>
      </w:r>
      <w:r w:rsidRPr="00F644FD">
        <w:rPr>
          <w:rFonts w:eastAsia="Calibri"/>
          <w:iCs/>
          <w:szCs w:val="22"/>
        </w:rPr>
        <w:noBreakHyphen/>
        <w:t xml:space="preserve">2.7 and </w:t>
      </w:r>
      <w:r w:rsidRPr="00F644FD">
        <w:rPr>
          <w:rFonts w:eastAsia="Calibri"/>
          <w:iCs/>
          <w:szCs w:val="22"/>
        </w:rPr>
        <w:noBreakHyphen/>
        <w:t>3.1 mL/min/1.73 m</w:t>
      </w:r>
      <w:r w:rsidRPr="00F644FD">
        <w:rPr>
          <w:rFonts w:eastAsia="Calibri"/>
          <w:iCs/>
          <w:szCs w:val="22"/>
          <w:vertAlign w:val="superscript"/>
        </w:rPr>
        <w:t>2</w:t>
      </w:r>
      <w:r w:rsidRPr="00F644FD">
        <w:rPr>
          <w:rFonts w:eastAsia="Calibri"/>
          <w:iCs/>
          <w:szCs w:val="22"/>
        </w:rPr>
        <w:t xml:space="preserve"> for </w:t>
      </w:r>
      <w:proofErr w:type="spellStart"/>
      <w:r w:rsidRPr="00F644FD">
        <w:t>ertugliflozin</w:t>
      </w:r>
      <w:proofErr w:type="spellEnd"/>
      <w:r w:rsidRPr="00F644FD">
        <w:t xml:space="preserve"> </w:t>
      </w:r>
      <w:r w:rsidRPr="00F644FD">
        <w:rPr>
          <w:rFonts w:eastAsia="Calibri"/>
          <w:iCs/>
          <w:szCs w:val="22"/>
        </w:rPr>
        <w:t xml:space="preserve">5 mg and 15 mg, respectively, compared to </w:t>
      </w:r>
      <w:r w:rsidRPr="00F644FD">
        <w:rPr>
          <w:rFonts w:eastAsia="Calibri"/>
          <w:iCs/>
          <w:szCs w:val="22"/>
        </w:rPr>
        <w:noBreakHyphen/>
        <w:t>0.3 mL/min/1.73 m</w:t>
      </w:r>
      <w:r w:rsidRPr="00F644FD">
        <w:rPr>
          <w:rFonts w:eastAsia="Calibri"/>
          <w:iCs/>
          <w:szCs w:val="22"/>
          <w:vertAlign w:val="superscript"/>
        </w:rPr>
        <w:t>2</w:t>
      </w:r>
      <w:r w:rsidRPr="00F644FD">
        <w:rPr>
          <w:rFonts w:eastAsia="Calibri"/>
          <w:iCs/>
          <w:szCs w:val="22"/>
        </w:rPr>
        <w:t xml:space="preserve"> for placebo.  At 26 weeks, m</w:t>
      </w:r>
      <w:r w:rsidRPr="00F644FD">
        <w:rPr>
          <w:rFonts w:eastAsia="Calibri"/>
          <w:szCs w:val="22"/>
        </w:rPr>
        <w:t xml:space="preserve">ean changes from baseline in creatinine were </w:t>
      </w:r>
      <w:r w:rsidRPr="00F644FD">
        <w:rPr>
          <w:rFonts w:eastAsia="Calibri"/>
          <w:szCs w:val="22"/>
        </w:rPr>
        <w:noBreakHyphen/>
        <w:t xml:space="preserve">0.08 and </w:t>
      </w:r>
      <w:proofErr w:type="gramStart"/>
      <w:r w:rsidRPr="00F644FD">
        <w:rPr>
          <w:rFonts w:eastAsia="Calibri"/>
          <w:szCs w:val="22"/>
        </w:rPr>
        <w:t>0.80 µ</w:t>
      </w:r>
      <w:proofErr w:type="spellStart"/>
      <w:r w:rsidRPr="00F644FD">
        <w:rPr>
          <w:rFonts w:eastAsia="Calibri"/>
          <w:szCs w:val="22"/>
        </w:rPr>
        <w:t>mol</w:t>
      </w:r>
      <w:proofErr w:type="spellEnd"/>
      <w:r w:rsidRPr="00F644FD">
        <w:rPr>
          <w:rFonts w:eastAsia="Calibri"/>
          <w:szCs w:val="22"/>
        </w:rPr>
        <w:t>/</w:t>
      </w:r>
      <w:r w:rsidR="00663B76">
        <w:rPr>
          <w:rFonts w:eastAsia="Calibri"/>
          <w:szCs w:val="22"/>
        </w:rPr>
        <w:t>L</w:t>
      </w:r>
      <w:r w:rsidRPr="00F644FD" w:rsidDel="00594CF9">
        <w:rPr>
          <w:rFonts w:eastAsia="Calibri"/>
          <w:szCs w:val="22"/>
        </w:rPr>
        <w:t xml:space="preserve"> </w:t>
      </w:r>
      <w:r w:rsidRPr="00F644FD">
        <w:rPr>
          <w:rFonts w:eastAsia="Calibri"/>
          <w:szCs w:val="22"/>
        </w:rPr>
        <w:t xml:space="preserve">for </w:t>
      </w:r>
      <w:proofErr w:type="spellStart"/>
      <w:r w:rsidRPr="00F644FD">
        <w:t>ertugliflozin</w:t>
      </w:r>
      <w:proofErr w:type="spellEnd"/>
      <w:r w:rsidRPr="00F644FD">
        <w:t xml:space="preserve"> </w:t>
      </w:r>
      <w:r w:rsidRPr="00F644FD">
        <w:rPr>
          <w:rFonts w:eastAsia="Calibri"/>
          <w:szCs w:val="22"/>
        </w:rPr>
        <w:t>5 mg and 15 mg, respectively,</w:t>
      </w:r>
      <w:proofErr w:type="gramEnd"/>
      <w:r w:rsidRPr="00F644FD">
        <w:rPr>
          <w:rFonts w:eastAsia="Calibri"/>
          <w:szCs w:val="22"/>
        </w:rPr>
        <w:t xml:space="preserve"> compared to </w:t>
      </w:r>
      <w:r w:rsidRPr="00F644FD">
        <w:rPr>
          <w:rFonts w:eastAsia="Calibri"/>
          <w:szCs w:val="22"/>
        </w:rPr>
        <w:noBreakHyphen/>
        <w:t>0.57 µ</w:t>
      </w:r>
      <w:proofErr w:type="spellStart"/>
      <w:r w:rsidRPr="00F644FD">
        <w:rPr>
          <w:rFonts w:eastAsia="Calibri"/>
          <w:szCs w:val="22"/>
        </w:rPr>
        <w:t>mol</w:t>
      </w:r>
      <w:proofErr w:type="spellEnd"/>
      <w:r w:rsidRPr="00F644FD">
        <w:rPr>
          <w:rFonts w:eastAsia="Calibri"/>
          <w:szCs w:val="22"/>
        </w:rPr>
        <w:t>/</w:t>
      </w:r>
      <w:r w:rsidR="00663B76">
        <w:rPr>
          <w:rFonts w:eastAsia="Calibri"/>
          <w:szCs w:val="22"/>
        </w:rPr>
        <w:t>L</w:t>
      </w:r>
      <w:r w:rsidRPr="00F644FD" w:rsidDel="00594CF9">
        <w:rPr>
          <w:rFonts w:eastAsia="Calibri"/>
          <w:szCs w:val="22"/>
        </w:rPr>
        <w:t xml:space="preserve"> </w:t>
      </w:r>
      <w:r w:rsidRPr="00F644FD">
        <w:rPr>
          <w:rFonts w:eastAsia="Calibri"/>
          <w:szCs w:val="22"/>
        </w:rPr>
        <w:t xml:space="preserve">for placebo.  Mean changes from baseline in </w:t>
      </w:r>
      <w:proofErr w:type="spellStart"/>
      <w:r w:rsidRPr="00F644FD">
        <w:rPr>
          <w:rFonts w:eastAsia="Calibri"/>
          <w:szCs w:val="22"/>
        </w:rPr>
        <w:t>eGFR</w:t>
      </w:r>
      <w:proofErr w:type="spellEnd"/>
      <w:r w:rsidRPr="00F644FD">
        <w:rPr>
          <w:rFonts w:eastAsia="Calibri"/>
          <w:szCs w:val="22"/>
        </w:rPr>
        <w:t xml:space="preserve"> at 26 weeks were 0.5 and </w:t>
      </w:r>
      <w:r w:rsidRPr="00F644FD">
        <w:rPr>
          <w:rFonts w:eastAsia="Calibri"/>
          <w:szCs w:val="22"/>
        </w:rPr>
        <w:noBreakHyphen/>
        <w:t>0.6 mL/min/1.73 m</w:t>
      </w:r>
      <w:r w:rsidRPr="00F644FD">
        <w:rPr>
          <w:rFonts w:eastAsia="Calibri"/>
          <w:szCs w:val="22"/>
          <w:vertAlign w:val="superscript"/>
        </w:rPr>
        <w:t>2</w:t>
      </w:r>
      <w:r w:rsidRPr="00F644FD">
        <w:rPr>
          <w:rFonts w:eastAsia="Calibri"/>
          <w:szCs w:val="22"/>
        </w:rPr>
        <w:t xml:space="preserve"> for </w:t>
      </w:r>
      <w:proofErr w:type="spellStart"/>
      <w:r w:rsidRPr="00F644FD">
        <w:t>ertugliflozin</w:t>
      </w:r>
      <w:proofErr w:type="spellEnd"/>
      <w:r w:rsidRPr="00F644FD">
        <w:t xml:space="preserve"> </w:t>
      </w:r>
      <w:r w:rsidRPr="00F644FD">
        <w:rPr>
          <w:rFonts w:eastAsia="Calibri"/>
          <w:szCs w:val="22"/>
        </w:rPr>
        <w:t>5 mg and 15 mg, respectively, compared to 0.7 mL/min/1.73 m</w:t>
      </w:r>
      <w:r w:rsidRPr="00F644FD">
        <w:rPr>
          <w:rFonts w:eastAsia="Calibri"/>
          <w:szCs w:val="22"/>
          <w:vertAlign w:val="superscript"/>
        </w:rPr>
        <w:t>2</w:t>
      </w:r>
      <w:r w:rsidRPr="00F644FD">
        <w:rPr>
          <w:rFonts w:eastAsia="Calibri"/>
          <w:szCs w:val="22"/>
        </w:rPr>
        <w:t xml:space="preserve"> for placebo.</w:t>
      </w:r>
      <w:r w:rsidRPr="00F644FD">
        <w:t xml:space="preserve"> </w:t>
      </w:r>
      <w:r w:rsidR="0066050E">
        <w:t xml:space="preserve"> </w:t>
      </w:r>
      <w:r w:rsidRPr="00F644FD">
        <w:t>Patients with moderate renal impairment at baseline had larger mean changes at 6 weeks (approximately 1 m</w:t>
      </w:r>
      <w:r w:rsidR="00663B76">
        <w:t>L</w:t>
      </w:r>
      <w:r w:rsidRPr="00F644FD">
        <w:t>/min/1.73 m</w:t>
      </w:r>
      <w:r w:rsidRPr="00F644FD">
        <w:rPr>
          <w:vertAlign w:val="superscript"/>
        </w:rPr>
        <w:t>2</w:t>
      </w:r>
      <w:r w:rsidRPr="00F644FD">
        <w:t>) with some attenuation but not a complete return to baseline by 26 weeks.</w:t>
      </w:r>
      <w:r w:rsidR="00EE3550">
        <w:t xml:space="preserve">  </w:t>
      </w:r>
      <w:r w:rsidR="00EE3550" w:rsidRPr="00F77A36">
        <w:t>T</w:t>
      </w:r>
      <w:r w:rsidR="00EE3550" w:rsidRPr="00F77A36">
        <w:rPr>
          <w:iCs/>
          <w:szCs w:val="24"/>
        </w:rPr>
        <w:t>hese changes were observed to reverse after treatment discontinuation.</w:t>
      </w:r>
    </w:p>
    <w:p w14:paraId="0FA0288D" w14:textId="3FF6B4A6" w:rsidR="00C5199A" w:rsidRPr="00F644FD" w:rsidRDefault="00C5199A" w:rsidP="00C5199A">
      <w:pPr>
        <w:pStyle w:val="Heading4"/>
      </w:pPr>
      <w:r w:rsidRPr="00F644FD">
        <w:t xml:space="preserve">Increases in </w:t>
      </w:r>
      <w:r w:rsidR="00B1112D" w:rsidRPr="00F644FD">
        <w:t>low</w:t>
      </w:r>
      <w:r w:rsidRPr="00F644FD">
        <w:t>-</w:t>
      </w:r>
      <w:r w:rsidR="00B1112D" w:rsidRPr="00F644FD">
        <w:t xml:space="preserve">density lipoprotein cholesterol </w:t>
      </w:r>
      <w:r w:rsidRPr="00F644FD">
        <w:t>(LDL-C)</w:t>
      </w:r>
    </w:p>
    <w:p w14:paraId="0E406338" w14:textId="77777777" w:rsidR="00C5199A" w:rsidRPr="00F644FD" w:rsidRDefault="00C5199A" w:rsidP="00C5199A">
      <w:r w:rsidRPr="00F644FD">
        <w:t xml:space="preserve">In the pool of three placebo-controlled trials, dose-related increases in LDL-C were observed in patients treated with </w:t>
      </w:r>
      <w:proofErr w:type="spellStart"/>
      <w:r w:rsidRPr="00F644FD">
        <w:t>ertugliflozin</w:t>
      </w:r>
      <w:proofErr w:type="spellEnd"/>
      <w:r w:rsidRPr="00F644FD">
        <w:t xml:space="preserve">.  Mean percent changes from baseline in LDL-C relative to placebo were 2.6% and 5.4% with </w:t>
      </w:r>
      <w:proofErr w:type="spellStart"/>
      <w:r w:rsidRPr="00F644FD">
        <w:t>ertugliflozin</w:t>
      </w:r>
      <w:proofErr w:type="spellEnd"/>
      <w:r w:rsidRPr="00F644FD">
        <w:t xml:space="preserve"> 5 mg and </w:t>
      </w:r>
      <w:proofErr w:type="spellStart"/>
      <w:r w:rsidRPr="00F644FD">
        <w:t>ertugliflozin</w:t>
      </w:r>
      <w:proofErr w:type="spellEnd"/>
      <w:r w:rsidRPr="00F644FD">
        <w:t xml:space="preserve"> 15 mg, respectively.  The range of mean baseline LDL-C was </w:t>
      </w:r>
      <w:proofErr w:type="gramStart"/>
      <w:r w:rsidRPr="00F644FD">
        <w:t xml:space="preserve">2.50 to 2.53 </w:t>
      </w:r>
      <w:proofErr w:type="spellStart"/>
      <w:r w:rsidRPr="00F644FD">
        <w:t>mmol</w:t>
      </w:r>
      <w:proofErr w:type="spellEnd"/>
      <w:r w:rsidRPr="00F644FD">
        <w:t>/L</w:t>
      </w:r>
      <w:proofErr w:type="gramEnd"/>
      <w:r w:rsidRPr="00F644FD">
        <w:rPr>
          <w:rStyle w:val="CommentReference"/>
        </w:rPr>
        <w:t xml:space="preserve"> </w:t>
      </w:r>
      <w:r w:rsidRPr="00F644FD">
        <w:t>across treatment groups.</w:t>
      </w:r>
    </w:p>
    <w:p w14:paraId="572B2572" w14:textId="39BDBA52" w:rsidR="00C5199A" w:rsidRPr="00F644FD" w:rsidRDefault="00C5199A" w:rsidP="00C5199A">
      <w:pPr>
        <w:pStyle w:val="Heading4"/>
      </w:pPr>
      <w:r w:rsidRPr="00F644FD">
        <w:t xml:space="preserve">Increases in </w:t>
      </w:r>
      <w:r w:rsidR="00B1112D" w:rsidRPr="00F644FD">
        <w:t>haemoglobin</w:t>
      </w:r>
    </w:p>
    <w:p w14:paraId="2D4878E8" w14:textId="5AD76D6C" w:rsidR="00C5199A" w:rsidRPr="00F644FD" w:rsidRDefault="00C5199A" w:rsidP="00C5199A">
      <w:r w:rsidRPr="00F644FD">
        <w:t xml:space="preserve">In the pool of three placebo-controlled trials, mean changes (percent changes) from baseline in haemoglobin were 4.6 g/L (3.5%) with </w:t>
      </w:r>
      <w:proofErr w:type="spellStart"/>
      <w:r w:rsidR="00AF05FE">
        <w:t>ertugliflozin</w:t>
      </w:r>
      <w:proofErr w:type="spellEnd"/>
      <w:r w:rsidR="00AF05FE" w:rsidRPr="00F644FD">
        <w:t xml:space="preserve"> </w:t>
      </w:r>
      <w:r w:rsidRPr="00F644FD">
        <w:t xml:space="preserve">5 mg, 4.8 g/L (3.5%) with </w:t>
      </w:r>
      <w:proofErr w:type="spellStart"/>
      <w:r w:rsidR="00AF05FE" w:rsidRPr="00702F71">
        <w:t>ertugliflozin</w:t>
      </w:r>
      <w:proofErr w:type="spellEnd"/>
      <w:r w:rsidR="00AF05FE" w:rsidRPr="00702F71">
        <w:t xml:space="preserve"> </w:t>
      </w:r>
      <w:r w:rsidRPr="00702F71">
        <w:t xml:space="preserve">15 mg, and </w:t>
      </w:r>
      <w:r w:rsidRPr="00702F71">
        <w:noBreakHyphen/>
        <w:t>2.1 g/L (-1.4%) with placebo.  The range of mean baseline haemoglobin</w:t>
      </w:r>
      <w:r w:rsidRPr="00F644FD">
        <w:t xml:space="preserve"> was 139.0 to 140.0 g/L across treatment groups.  At the end of treatment, 0.2%, 0.4%, and 0.0% of patients treated with </w:t>
      </w:r>
      <w:proofErr w:type="spellStart"/>
      <w:r w:rsidR="00AF05FE">
        <w:t>ertugliflozin</w:t>
      </w:r>
      <w:proofErr w:type="spellEnd"/>
      <w:r w:rsidR="00AF05FE" w:rsidRPr="00F644FD">
        <w:t xml:space="preserve"> </w:t>
      </w:r>
      <w:r w:rsidRPr="00F644FD">
        <w:t xml:space="preserve">5 mg, </w:t>
      </w:r>
      <w:proofErr w:type="spellStart"/>
      <w:r w:rsidR="00AF05FE">
        <w:t>ertugliflozin</w:t>
      </w:r>
      <w:proofErr w:type="spellEnd"/>
      <w:r w:rsidR="00AF05FE" w:rsidRPr="00F644FD">
        <w:t xml:space="preserve"> </w:t>
      </w:r>
      <w:r w:rsidRPr="00F644FD">
        <w:t>15 mg, and placebo, respectively, had a haemoglobin increase greater than 20 g/L and above the upper limit of normal.  This change in laboratory parameter is of unknown clinical significance.</w:t>
      </w:r>
    </w:p>
    <w:p w14:paraId="505324BC" w14:textId="0EA3CEE6" w:rsidR="00C5199A" w:rsidRPr="00F644FD" w:rsidRDefault="00C5199A" w:rsidP="00C5199A">
      <w:pPr>
        <w:pStyle w:val="Heading4"/>
      </w:pPr>
      <w:r w:rsidRPr="00F644FD">
        <w:t xml:space="preserve">Increases in </w:t>
      </w:r>
      <w:r w:rsidR="00B1112D" w:rsidRPr="00F644FD">
        <w:t>serum phosphate</w:t>
      </w:r>
    </w:p>
    <w:p w14:paraId="20B532F0" w14:textId="07D853C1" w:rsidR="00C5199A" w:rsidRPr="00F644FD" w:rsidRDefault="00C5199A" w:rsidP="00C5199A">
      <w:pPr>
        <w:rPr>
          <w:rFonts w:eastAsia="TimesNewRoman"/>
        </w:rPr>
      </w:pPr>
      <w:r w:rsidRPr="00F644FD">
        <w:rPr>
          <w:rFonts w:eastAsia="TimesNewRoman"/>
        </w:rPr>
        <w:t xml:space="preserve">In the pool of three placebo-controlled trials, mean changes (percent changes) from baseline in serum phosphate were </w:t>
      </w:r>
      <w:r w:rsidRPr="00F644FD">
        <w:t>0.07 </w:t>
      </w:r>
      <w:proofErr w:type="spellStart"/>
      <w:r w:rsidRPr="00F644FD">
        <w:t>mmol</w:t>
      </w:r>
      <w:proofErr w:type="spellEnd"/>
      <w:r w:rsidRPr="00F644FD">
        <w:t>/L</w:t>
      </w:r>
      <w:r w:rsidRPr="00F644FD">
        <w:rPr>
          <w:rFonts w:eastAsia="TimesNewRoman"/>
        </w:rPr>
        <w:t xml:space="preserve"> (6.8%) with </w:t>
      </w:r>
      <w:proofErr w:type="spellStart"/>
      <w:r w:rsidR="00AF05FE">
        <w:t>ertugliflozin</w:t>
      </w:r>
      <w:proofErr w:type="spellEnd"/>
      <w:r w:rsidR="00AF05FE" w:rsidRPr="00F644FD">
        <w:t xml:space="preserve"> </w:t>
      </w:r>
      <w:r w:rsidRPr="00F644FD">
        <w:rPr>
          <w:rFonts w:eastAsia="TimesNewRoman"/>
        </w:rPr>
        <w:t xml:space="preserve">5 mg, </w:t>
      </w:r>
      <w:r w:rsidRPr="00F644FD">
        <w:t>0.08 </w:t>
      </w:r>
      <w:proofErr w:type="spellStart"/>
      <w:r w:rsidRPr="00F644FD">
        <w:t>mmol</w:t>
      </w:r>
      <w:proofErr w:type="spellEnd"/>
      <w:r w:rsidRPr="00F644FD">
        <w:t>/L</w:t>
      </w:r>
      <w:r w:rsidRPr="00F644FD">
        <w:rPr>
          <w:rFonts w:eastAsia="TimesNewRoman"/>
        </w:rPr>
        <w:t xml:space="preserve"> (8.5%) with </w:t>
      </w:r>
      <w:proofErr w:type="spellStart"/>
      <w:r w:rsidR="00AF05FE">
        <w:t>ertugliflozin</w:t>
      </w:r>
      <w:proofErr w:type="spellEnd"/>
      <w:r w:rsidR="00AF05FE" w:rsidRPr="00F644FD">
        <w:t xml:space="preserve"> </w:t>
      </w:r>
      <w:r w:rsidRPr="00F644FD">
        <w:rPr>
          <w:rFonts w:eastAsia="TimesNewRoman"/>
        </w:rPr>
        <w:t xml:space="preserve">15 mg, and </w:t>
      </w:r>
      <w:r w:rsidRPr="00F644FD">
        <w:t>0.01 </w:t>
      </w:r>
      <w:proofErr w:type="spellStart"/>
      <w:r w:rsidRPr="00F644FD">
        <w:t>mmol</w:t>
      </w:r>
      <w:proofErr w:type="spellEnd"/>
      <w:r w:rsidRPr="00F644FD">
        <w:t>/L</w:t>
      </w:r>
      <w:r w:rsidRPr="00F644FD" w:rsidDel="00742876">
        <w:rPr>
          <w:rFonts w:eastAsia="TimesNewRoman"/>
        </w:rPr>
        <w:t xml:space="preserve"> </w:t>
      </w:r>
      <w:r w:rsidRPr="00F644FD">
        <w:rPr>
          <w:rFonts w:eastAsia="TimesNewRoman"/>
        </w:rPr>
        <w:t xml:space="preserve"> (1.9%) with placebo.  The range of mean baseline serum phosphate was </w:t>
      </w:r>
      <w:proofErr w:type="gramStart"/>
      <w:r w:rsidRPr="00F644FD">
        <w:t>1.14 to 1.14 </w:t>
      </w:r>
      <w:proofErr w:type="spellStart"/>
      <w:r w:rsidRPr="00F644FD">
        <w:t>mmol</w:t>
      </w:r>
      <w:proofErr w:type="spellEnd"/>
      <w:r w:rsidRPr="00F644FD">
        <w:t>/L</w:t>
      </w:r>
      <w:proofErr w:type="gramEnd"/>
      <w:r w:rsidRPr="00F644FD">
        <w:rPr>
          <w:rFonts w:eastAsia="TimesNewRoman"/>
        </w:rPr>
        <w:t xml:space="preserve"> across treatment groups.  In a clinical trial of patients with moderate renal impairment, mean changes (percent changes) from baseline at Week 26 in serum phosphate were </w:t>
      </w:r>
      <w:r w:rsidRPr="00F644FD">
        <w:t>0.09 </w:t>
      </w:r>
      <w:proofErr w:type="spellStart"/>
      <w:r w:rsidRPr="00F644FD">
        <w:t>mmol</w:t>
      </w:r>
      <w:proofErr w:type="spellEnd"/>
      <w:r w:rsidRPr="00F644FD">
        <w:t>/L</w:t>
      </w:r>
      <w:r w:rsidRPr="00F644FD">
        <w:rPr>
          <w:rFonts w:eastAsia="TimesNewRoman"/>
        </w:rPr>
        <w:t xml:space="preserve"> (9.7%) with </w:t>
      </w:r>
      <w:proofErr w:type="spellStart"/>
      <w:r w:rsidR="00524B7D">
        <w:rPr>
          <w:rFonts w:eastAsia="TimesNewRoman"/>
        </w:rPr>
        <w:t>ertugliflozin</w:t>
      </w:r>
      <w:proofErr w:type="spellEnd"/>
      <w:r w:rsidR="00524B7D">
        <w:rPr>
          <w:rFonts w:eastAsia="TimesNewRoman"/>
        </w:rPr>
        <w:t xml:space="preserve"> </w:t>
      </w:r>
      <w:r w:rsidRPr="00F644FD">
        <w:rPr>
          <w:rFonts w:eastAsia="TimesNewRoman"/>
        </w:rPr>
        <w:t xml:space="preserve">5 mg, </w:t>
      </w:r>
      <w:r w:rsidRPr="00F644FD">
        <w:t>0.08 </w:t>
      </w:r>
      <w:proofErr w:type="spellStart"/>
      <w:r w:rsidRPr="00F644FD">
        <w:t>mmol</w:t>
      </w:r>
      <w:proofErr w:type="spellEnd"/>
      <w:r w:rsidRPr="00F644FD">
        <w:t>/L</w:t>
      </w:r>
      <w:r w:rsidRPr="00F644FD">
        <w:rPr>
          <w:rFonts w:eastAsia="TimesNewRoman"/>
        </w:rPr>
        <w:t xml:space="preserve"> </w:t>
      </w:r>
      <w:r w:rsidRPr="00F644FD">
        <w:rPr>
          <w:rFonts w:eastAsia="TimesNewRoman"/>
        </w:rPr>
        <w:lastRenderedPageBreak/>
        <w:t xml:space="preserve">(7.8%) with </w:t>
      </w:r>
      <w:proofErr w:type="spellStart"/>
      <w:r w:rsidR="00AF05FE">
        <w:t>ertugliflozin</w:t>
      </w:r>
      <w:proofErr w:type="spellEnd"/>
      <w:r w:rsidR="00AF05FE" w:rsidRPr="00F644FD">
        <w:t xml:space="preserve"> </w:t>
      </w:r>
      <w:r w:rsidRPr="00F644FD">
        <w:rPr>
          <w:rFonts w:eastAsia="TimesNewRoman"/>
        </w:rPr>
        <w:t xml:space="preserve">15 mg, and </w:t>
      </w:r>
      <w:r w:rsidRPr="00F644FD">
        <w:rPr>
          <w:rFonts w:eastAsia="TimesNewRoman"/>
        </w:rPr>
        <w:noBreakHyphen/>
      </w:r>
      <w:r w:rsidRPr="00F644FD">
        <w:t>0.00 </w:t>
      </w:r>
      <w:proofErr w:type="spellStart"/>
      <w:r w:rsidRPr="00F644FD">
        <w:t>mmol</w:t>
      </w:r>
      <w:proofErr w:type="spellEnd"/>
      <w:r w:rsidRPr="00F644FD">
        <w:t>/L</w:t>
      </w:r>
      <w:r w:rsidRPr="00F644FD">
        <w:rPr>
          <w:rFonts w:eastAsia="TimesNewRoman"/>
        </w:rPr>
        <w:t xml:space="preserve"> (0.8%) with placebo.  This change in laboratory parameter is of unknown clinical significance.</w:t>
      </w:r>
    </w:p>
    <w:p w14:paraId="626FF794" w14:textId="77777777" w:rsidR="00C5199A" w:rsidRPr="00F644FD" w:rsidRDefault="00C5199A" w:rsidP="00087113">
      <w:pPr>
        <w:pStyle w:val="Heading3"/>
      </w:pPr>
      <w:r w:rsidRPr="00F644FD">
        <w:t>Adverse reactions in specific populations</w:t>
      </w:r>
    </w:p>
    <w:p w14:paraId="7C79D329" w14:textId="77777777" w:rsidR="00C5199A" w:rsidRPr="00F644FD" w:rsidRDefault="00C5199A" w:rsidP="00087113">
      <w:pPr>
        <w:pStyle w:val="Heading4"/>
      </w:pPr>
      <w:r w:rsidRPr="00F644FD">
        <w:t>Elderly patients</w:t>
      </w:r>
    </w:p>
    <w:p w14:paraId="68A6C966" w14:textId="77777777" w:rsidR="00C5199A" w:rsidRPr="00F644FD" w:rsidRDefault="00C5199A" w:rsidP="00C5199A">
      <w:pPr>
        <w:pStyle w:val="Heading5"/>
      </w:pPr>
      <w:proofErr w:type="spellStart"/>
      <w:r w:rsidRPr="00F644FD">
        <w:t>Ertugliflozin</w:t>
      </w:r>
      <w:proofErr w:type="spellEnd"/>
    </w:p>
    <w:p w14:paraId="6189317C" w14:textId="7E3B13E1" w:rsidR="00C5199A" w:rsidRPr="00F644FD" w:rsidRDefault="00C5199A" w:rsidP="00C5199A">
      <w:r w:rsidRPr="00F644FD">
        <w:t>Across the clinical program,</w:t>
      </w:r>
      <w:r w:rsidRPr="00F644FD" w:rsidDel="00664A98">
        <w:t xml:space="preserve"> </w:t>
      </w:r>
      <w:r w:rsidRPr="00F644FD">
        <w:t xml:space="preserve">a total of 876 (25.7%) patients treated with </w:t>
      </w:r>
      <w:proofErr w:type="spellStart"/>
      <w:r w:rsidRPr="00F644FD">
        <w:t>ertugliflozin</w:t>
      </w:r>
      <w:proofErr w:type="spellEnd"/>
      <w:r w:rsidRPr="00F644FD">
        <w:t xml:space="preserve"> were 65 years and older, and 152 (4.5%) patients treated with </w:t>
      </w:r>
      <w:proofErr w:type="spellStart"/>
      <w:r w:rsidRPr="00F644FD">
        <w:t>ertugliflozin</w:t>
      </w:r>
      <w:proofErr w:type="spellEnd"/>
      <w:r w:rsidRPr="00F644FD">
        <w:t xml:space="preserve"> were 75 years and older.</w:t>
      </w:r>
      <w:r w:rsidR="004A377C">
        <w:t xml:space="preserve"> </w:t>
      </w:r>
      <w:r w:rsidRPr="00F644FD">
        <w:t xml:space="preserve"> Patients 65 years and older had a higher incidence of adverse reactions related to volume depletion compared to younger patients; events were reported in 2.2%, 2.6%, and 1.1% of patients treated with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 mg, and comparator, respectively</w:t>
      </w:r>
      <w:r w:rsidRPr="00F644FD" w:rsidDel="0023234F">
        <w:t xml:space="preserve"> </w:t>
      </w:r>
      <w:r w:rsidRPr="00F644FD">
        <w:t>[</w:t>
      </w:r>
      <w:r w:rsidRPr="00F644FD" w:rsidDel="0023234F">
        <w:t xml:space="preserve">see </w:t>
      </w:r>
      <w:r w:rsidR="007D747C" w:rsidRPr="00F644FD">
        <w:t xml:space="preserve">4.2 </w:t>
      </w:r>
      <w:r w:rsidRPr="00F644FD">
        <w:t xml:space="preserve">DOSE AND </w:t>
      </w:r>
      <w:r w:rsidR="007D747C" w:rsidRPr="00F644FD">
        <w:t xml:space="preserve">METHOD OF </w:t>
      </w:r>
      <w:r w:rsidRPr="00F644FD">
        <w:t>ADMINISTRATION</w:t>
      </w:r>
      <w:r w:rsidRPr="00F644FD" w:rsidDel="0023234F">
        <w:t xml:space="preserve"> and</w:t>
      </w:r>
      <w:r w:rsidRPr="00F644FD">
        <w:t xml:space="preserve"> </w:t>
      </w:r>
      <w:r w:rsidR="007D747C" w:rsidRPr="00F644FD">
        <w:t xml:space="preserve">4.8 </w:t>
      </w:r>
      <w:r w:rsidRPr="00F644FD" w:rsidDel="0023234F">
        <w:t>ADVERSE</w:t>
      </w:r>
      <w:r w:rsidRPr="00F644FD">
        <w:t xml:space="preserve"> EFFECTS</w:t>
      </w:r>
      <w:r w:rsidR="007D747C" w:rsidRPr="00F644FD">
        <w:t xml:space="preserve"> (UNDESIRABLE EFFECTS)</w:t>
      </w:r>
      <w:r w:rsidRPr="00F644FD">
        <w:t>]</w:t>
      </w:r>
      <w:r w:rsidRPr="00F644FD">
        <w:rPr>
          <w:rFonts w:cs="Arial"/>
        </w:rPr>
        <w:t>.</w:t>
      </w:r>
    </w:p>
    <w:p w14:paraId="673C3D4F" w14:textId="77777777" w:rsidR="00C5199A" w:rsidRPr="00F644FD" w:rsidRDefault="00C5199A" w:rsidP="00C5199A">
      <w:pPr>
        <w:pStyle w:val="Heading5"/>
      </w:pPr>
      <w:r w:rsidRPr="00F644FD">
        <w:t>Metformin hydrochloride</w:t>
      </w:r>
    </w:p>
    <w:p w14:paraId="0D08E2AF" w14:textId="13AB33E3" w:rsidR="00C5199A" w:rsidRPr="00F644FD" w:rsidRDefault="00C5199A" w:rsidP="00C5199A">
      <w:r w:rsidRPr="00F644FD">
        <w:t xml:space="preserve">Controlled clinical studies of metformin did not include sufficient numbers of elderly patients to determine whether they respond differently from younger patients, although other reported clinical experience has not identified differences in responses between the elderly and young patients [See </w:t>
      </w:r>
      <w:r w:rsidR="00FE3765" w:rsidRPr="00F644FD">
        <w:t xml:space="preserve">4.3 </w:t>
      </w:r>
      <w:r w:rsidRPr="00F644FD">
        <w:t xml:space="preserve">CONTRAINDICATIONS and </w:t>
      </w:r>
      <w:r w:rsidR="00F82DDA" w:rsidRPr="00F644FD">
        <w:t xml:space="preserve">4.4 SPECIAL WARNINGS AND </w:t>
      </w:r>
      <w:r w:rsidRPr="00F644FD">
        <w:t>PRECAUTIONS</w:t>
      </w:r>
      <w:r w:rsidR="000B50ED">
        <w:t xml:space="preserve"> FOR USE</w:t>
      </w:r>
      <w:r w:rsidRPr="00F644FD">
        <w:t>]</w:t>
      </w:r>
      <w:r w:rsidR="003A644C">
        <w:t>.</w:t>
      </w:r>
    </w:p>
    <w:p w14:paraId="28ED0507" w14:textId="77777777" w:rsidR="00C5199A" w:rsidRPr="00F644FD" w:rsidRDefault="00C5199A" w:rsidP="00087113">
      <w:pPr>
        <w:pStyle w:val="Heading4"/>
      </w:pPr>
      <w:r w:rsidRPr="00F644FD">
        <w:t>Renal impairment</w:t>
      </w:r>
    </w:p>
    <w:p w14:paraId="27E6B2E3" w14:textId="77777777" w:rsidR="00C5199A" w:rsidRPr="00F644FD" w:rsidRDefault="00C5199A" w:rsidP="00C5199A">
      <w:pPr>
        <w:pStyle w:val="Heading5"/>
      </w:pPr>
      <w:proofErr w:type="spellStart"/>
      <w:r w:rsidRPr="00F644FD">
        <w:t>Ertugliflozin</w:t>
      </w:r>
      <w:proofErr w:type="spellEnd"/>
    </w:p>
    <w:p w14:paraId="58698408" w14:textId="605E3333" w:rsidR="00C5199A" w:rsidRPr="00F644FD" w:rsidRDefault="00C5199A" w:rsidP="00C5199A">
      <w:pPr>
        <w:rPr>
          <w:rFonts w:cs="Arial"/>
        </w:rPr>
      </w:pPr>
      <w:r w:rsidRPr="00F644FD">
        <w:t xml:space="preserve">The efficacy and safety of </w:t>
      </w:r>
      <w:proofErr w:type="spellStart"/>
      <w:r w:rsidRPr="00F644FD">
        <w:t>ertugliflozin</w:t>
      </w:r>
      <w:proofErr w:type="spellEnd"/>
      <w:r w:rsidRPr="00F644FD">
        <w:t xml:space="preserve"> were evaluated in a study of patients with moderate renal impairment. </w:t>
      </w:r>
      <w:r w:rsidR="00087113" w:rsidRPr="00F644FD">
        <w:t xml:space="preserve"> </w:t>
      </w:r>
      <w:r w:rsidRPr="00F644FD">
        <w:t xml:space="preserve">In this study, 202 patients exposed to </w:t>
      </w:r>
      <w:proofErr w:type="spellStart"/>
      <w:r w:rsidRPr="00F644FD">
        <w:t>ertugliflozin</w:t>
      </w:r>
      <w:proofErr w:type="spellEnd"/>
      <w:r w:rsidRPr="00F644FD">
        <w:t xml:space="preserve"> had an </w:t>
      </w:r>
      <w:proofErr w:type="spellStart"/>
      <w:r w:rsidRPr="00F644FD">
        <w:t>eGFR</w:t>
      </w:r>
      <w:proofErr w:type="spellEnd"/>
      <w:r w:rsidRPr="00F644FD">
        <w:t xml:space="preserve"> between 45 and 60 mL/min/1.73 m</w:t>
      </w:r>
      <w:r w:rsidRPr="00F644FD">
        <w:rPr>
          <w:vertAlign w:val="superscript"/>
        </w:rPr>
        <w:t>2</w:t>
      </w:r>
      <w:r w:rsidRPr="00F644FD">
        <w:t xml:space="preserve"> and 111 patients exposed to </w:t>
      </w:r>
      <w:proofErr w:type="spellStart"/>
      <w:r w:rsidRPr="00F644FD">
        <w:t>ertugliflozin</w:t>
      </w:r>
      <w:proofErr w:type="spellEnd"/>
      <w:r w:rsidRPr="00F644FD">
        <w:t xml:space="preserve"> had an </w:t>
      </w:r>
      <w:proofErr w:type="spellStart"/>
      <w:r w:rsidRPr="00F644FD">
        <w:t>eGFR</w:t>
      </w:r>
      <w:proofErr w:type="spellEnd"/>
      <w:r w:rsidRPr="00F644FD">
        <w:t xml:space="preserve"> between 30 and 45 mL/min/1.73 m</w:t>
      </w:r>
      <w:r w:rsidRPr="00F644FD">
        <w:rPr>
          <w:vertAlign w:val="superscript"/>
        </w:rPr>
        <w:t>2</w:t>
      </w:r>
      <w:r w:rsidRPr="00F644FD">
        <w:t xml:space="preserve">. </w:t>
      </w:r>
      <w:r w:rsidR="00087113" w:rsidRPr="00F644FD">
        <w:t xml:space="preserve"> </w:t>
      </w:r>
      <w:r w:rsidRPr="00F644FD">
        <w:t>The glucose</w:t>
      </w:r>
      <w:r w:rsidRPr="00F644FD">
        <w:noBreakHyphen/>
        <w:t xml:space="preserve">lowering efficacy of </w:t>
      </w:r>
      <w:proofErr w:type="spellStart"/>
      <w:r w:rsidRPr="00F644FD">
        <w:t>ertugliflozin</w:t>
      </w:r>
      <w:proofErr w:type="spellEnd"/>
      <w:r w:rsidRPr="00F644FD">
        <w:t xml:space="preserve"> decreased in patients with worsening renal function.</w:t>
      </w:r>
      <w:r w:rsidR="00087113" w:rsidRPr="00F644FD">
        <w:t xml:space="preserve"> </w:t>
      </w:r>
      <w:r w:rsidRPr="00F644FD">
        <w:t xml:space="preserve"> Compared to placebo-treated patients, patients with moderate renal impairment treated with </w:t>
      </w:r>
      <w:proofErr w:type="spellStart"/>
      <w:r w:rsidRPr="00F644FD">
        <w:t>ertugliflozin</w:t>
      </w:r>
      <w:proofErr w:type="spellEnd"/>
      <w:r w:rsidRPr="00F644FD">
        <w:t xml:space="preserve"> had increases in serum creatinine and decreases in </w:t>
      </w:r>
      <w:proofErr w:type="spellStart"/>
      <w:r w:rsidRPr="00F644FD">
        <w:t>eGFR</w:t>
      </w:r>
      <w:proofErr w:type="spellEnd"/>
      <w:r w:rsidRPr="00F644FD">
        <w:t>, and increased risks for renal-related</w:t>
      </w:r>
      <w:r w:rsidR="00087113" w:rsidRPr="00F644FD">
        <w:t xml:space="preserve"> </w:t>
      </w:r>
      <w:r w:rsidRPr="00F644FD">
        <w:t>and volume depletion adverse reactions [see</w:t>
      </w:r>
      <w:r w:rsidR="007D747C" w:rsidRPr="00F644FD">
        <w:t xml:space="preserve"> 4.2</w:t>
      </w:r>
      <w:r w:rsidRPr="00F644FD">
        <w:t xml:space="preserve"> DOSE AND </w:t>
      </w:r>
      <w:r w:rsidR="007D747C" w:rsidRPr="00F644FD">
        <w:t xml:space="preserve">METHOD OF </w:t>
      </w:r>
      <w:r w:rsidRPr="00F644FD">
        <w:t xml:space="preserve">ADMINISTRATION, </w:t>
      </w:r>
      <w:r w:rsidR="00F82DDA" w:rsidRPr="00F644FD">
        <w:t xml:space="preserve">4.4 SPECIAL WARNINGS AND </w:t>
      </w:r>
      <w:r w:rsidRPr="00F644FD">
        <w:t>PRECAUTIONS</w:t>
      </w:r>
      <w:r w:rsidR="000B50ED">
        <w:t xml:space="preserve"> FOR USE</w:t>
      </w:r>
      <w:r w:rsidRPr="00F644FD">
        <w:t xml:space="preserve">, and </w:t>
      </w:r>
      <w:r w:rsidR="007D747C" w:rsidRPr="00F644FD">
        <w:t xml:space="preserve">4.8 </w:t>
      </w:r>
      <w:r w:rsidRPr="00F644FD">
        <w:t>ADVERSE EFFECTS</w:t>
      </w:r>
      <w:r w:rsidR="007D747C" w:rsidRPr="00F644FD">
        <w:t xml:space="preserve"> (UNDESIRABLE EFFECTS)</w:t>
      </w:r>
      <w:r w:rsidRPr="00F644FD">
        <w:t>]</w:t>
      </w:r>
      <w:r w:rsidRPr="00F644FD">
        <w:rPr>
          <w:rFonts w:cs="Arial"/>
        </w:rPr>
        <w:t>.</w:t>
      </w:r>
    </w:p>
    <w:p w14:paraId="62FB1161" w14:textId="77777777" w:rsidR="00C5199A" w:rsidRPr="00F644FD" w:rsidRDefault="00C5199A" w:rsidP="00C5199A">
      <w:pPr>
        <w:pStyle w:val="Heading5"/>
      </w:pPr>
      <w:r w:rsidRPr="00F644FD">
        <w:t>Metformin</w:t>
      </w:r>
    </w:p>
    <w:p w14:paraId="54D69459" w14:textId="6AE3ECD9" w:rsidR="00C5199A" w:rsidRDefault="00C5199A" w:rsidP="00C5199A">
      <w:r w:rsidRPr="00F644FD">
        <w:t xml:space="preserve">Metformin is substantially excreted by the kidney, and the risk of metformin accumulation and lactic acidosis increases with the degree of renal impairment.  SEGLUROMET is contraindicated in patients with an </w:t>
      </w:r>
      <w:proofErr w:type="spellStart"/>
      <w:r w:rsidRPr="00F644FD">
        <w:t>eGFR</w:t>
      </w:r>
      <w:proofErr w:type="spellEnd"/>
      <w:r w:rsidRPr="00F644FD">
        <w:t xml:space="preserve"> below 60 mL/min/1.73 m</w:t>
      </w:r>
      <w:r w:rsidRPr="00F644FD">
        <w:rPr>
          <w:vertAlign w:val="superscript"/>
        </w:rPr>
        <w:t>2</w:t>
      </w:r>
      <w:r w:rsidRPr="00F644FD">
        <w:t>.</w:t>
      </w:r>
    </w:p>
    <w:p w14:paraId="5D8D0247" w14:textId="45CA4422" w:rsidR="00B14AC3" w:rsidRPr="00704C82" w:rsidRDefault="00B14AC3" w:rsidP="00A37667">
      <w:pPr>
        <w:pStyle w:val="Heading4"/>
      </w:pPr>
      <w:r w:rsidRPr="00704C82">
        <w:rPr>
          <w:lang w:val="en-US"/>
        </w:rPr>
        <w:t>Reporting suspected adverse reactions</w:t>
      </w:r>
    </w:p>
    <w:p w14:paraId="7852A3F1" w14:textId="656AA18C" w:rsidR="00B14AC3" w:rsidRDefault="00B14AC3" w:rsidP="00B14AC3">
      <w:pPr>
        <w:rPr>
          <w:rFonts w:cs="Arial"/>
          <w:u w:val="single"/>
          <w:lang w:val="en-US"/>
        </w:rPr>
      </w:pPr>
      <w:r w:rsidRPr="00704C82">
        <w:rPr>
          <w:rFonts w:cs="Arial"/>
          <w:lang w:val="en-US"/>
        </w:rPr>
        <w:t xml:space="preserve">Reporting suspected adverse reactions after registration of the medicinal product is important.  It allows continued monitoring of the </w:t>
      </w:r>
      <w:r w:rsidR="00610F1E" w:rsidRPr="00610F1E">
        <w:rPr>
          <w:rFonts w:cs="Arial"/>
          <w:lang w:val="en-US"/>
        </w:rPr>
        <w:t xml:space="preserve">benefit-risk balance of the medicinal product.  Healthcare professionals are asked to report any </w:t>
      </w:r>
      <w:r w:rsidRPr="00704C82">
        <w:rPr>
          <w:rFonts w:cs="Arial"/>
          <w:lang w:val="en-US"/>
        </w:rPr>
        <w:t xml:space="preserve">suspected adverse reactions at </w:t>
      </w:r>
      <w:hyperlink r:id="rId17" w:history="1">
        <w:r w:rsidRPr="00704C82">
          <w:rPr>
            <w:rStyle w:val="Hyperlink"/>
            <w:rFonts w:cs="Arial"/>
            <w:lang w:val="en-US"/>
          </w:rPr>
          <w:t>www.tga.gov.au/reporting-problems</w:t>
        </w:r>
      </w:hyperlink>
      <w:r w:rsidRPr="00704C82">
        <w:rPr>
          <w:rFonts w:cs="Arial"/>
          <w:lang w:val="en-US"/>
        </w:rPr>
        <w:t>.</w:t>
      </w:r>
    </w:p>
    <w:p w14:paraId="5DA4FA79" w14:textId="7D213E3A" w:rsidR="00890751" w:rsidRPr="00F644FD" w:rsidRDefault="00890751" w:rsidP="00542329">
      <w:pPr>
        <w:pStyle w:val="Heading2"/>
      </w:pPr>
      <w:r w:rsidRPr="00F644FD">
        <w:lastRenderedPageBreak/>
        <w:t>4.9</w:t>
      </w:r>
      <w:r w:rsidRPr="00F644FD">
        <w:tab/>
        <w:t>OVERDOSE</w:t>
      </w:r>
    </w:p>
    <w:p w14:paraId="1D29D5BE" w14:textId="0DB59AFC" w:rsidR="00890751" w:rsidRPr="00F644FD" w:rsidRDefault="0048454C" w:rsidP="00890751">
      <w:r w:rsidRPr="0048454C">
        <w:t>For information on the management of overdose, contact the Poison Information Centre on 131126 (Australia).</w:t>
      </w:r>
    </w:p>
    <w:p w14:paraId="68F98F12" w14:textId="77777777" w:rsidR="00890751" w:rsidRPr="00F644FD" w:rsidRDefault="00890751" w:rsidP="00890751"/>
    <w:p w14:paraId="48F29675" w14:textId="77777777" w:rsidR="00890751" w:rsidRPr="00F644FD" w:rsidRDefault="00890751" w:rsidP="00890751">
      <w:r w:rsidRPr="00F644FD">
        <w:t xml:space="preserve">In the event of an overdose with </w:t>
      </w:r>
      <w:r w:rsidRPr="00F644FD" w:rsidDel="00DE35C9">
        <w:t>SEGLUROMET</w:t>
      </w:r>
      <w:r w:rsidRPr="00F644FD">
        <w:t>, employ the usual supportive measures (e.g., remove unabsorbed material from the gastrointestinal tract, employ clinical monitoring, and institute supportive treatment) as dictated by the patient’s clinical status.</w:t>
      </w:r>
    </w:p>
    <w:p w14:paraId="1D82D615" w14:textId="77777777" w:rsidR="00890751" w:rsidRPr="00F644FD" w:rsidRDefault="00890751" w:rsidP="00890751">
      <w:pPr>
        <w:pStyle w:val="Heading5"/>
      </w:pPr>
      <w:proofErr w:type="spellStart"/>
      <w:r w:rsidRPr="00F644FD">
        <w:t>Ertugliflozin</w:t>
      </w:r>
      <w:proofErr w:type="spellEnd"/>
    </w:p>
    <w:p w14:paraId="799C03E0" w14:textId="21A22E31" w:rsidR="00890751" w:rsidRPr="00F644FD" w:rsidRDefault="00890751" w:rsidP="00890751">
      <w:proofErr w:type="spellStart"/>
      <w:r w:rsidRPr="00F644FD">
        <w:t>Ertugliflozin</w:t>
      </w:r>
      <w:proofErr w:type="spellEnd"/>
      <w:r w:rsidRPr="00F644FD">
        <w:t xml:space="preserve"> did not show any toxicity in healthy subjects at single oral doses up to 300 mg and multiple doses up to 100 mg daily for 2 weeks. </w:t>
      </w:r>
      <w:r w:rsidR="0066050E">
        <w:t xml:space="preserve"> </w:t>
      </w:r>
      <w:r w:rsidRPr="00F644FD">
        <w:t>No potential acute symptoms and signs of overdose were identified.</w:t>
      </w:r>
    </w:p>
    <w:p w14:paraId="3730FEF3" w14:textId="77777777" w:rsidR="00890751" w:rsidRPr="00F644FD" w:rsidRDefault="00890751" w:rsidP="00890751"/>
    <w:p w14:paraId="6DB1718A" w14:textId="77777777" w:rsidR="00890751" w:rsidRPr="00F644FD" w:rsidRDefault="00890751" w:rsidP="00890751">
      <w:r w:rsidRPr="00F644FD">
        <w:t xml:space="preserve">Removal of </w:t>
      </w:r>
      <w:proofErr w:type="spellStart"/>
      <w:r w:rsidRPr="00F644FD">
        <w:t>ertugliflozin</w:t>
      </w:r>
      <w:proofErr w:type="spellEnd"/>
      <w:r w:rsidRPr="00F644FD">
        <w:t xml:space="preserve"> by haemodialysis has not been studied.</w:t>
      </w:r>
    </w:p>
    <w:p w14:paraId="4B5D9CFD" w14:textId="77777777" w:rsidR="00890751" w:rsidRPr="00F644FD" w:rsidRDefault="00890751" w:rsidP="00890751">
      <w:pPr>
        <w:pStyle w:val="Heading5"/>
      </w:pPr>
      <w:r w:rsidRPr="00F644FD">
        <w:t>Metformin hydrochloride</w:t>
      </w:r>
    </w:p>
    <w:p w14:paraId="615C784A" w14:textId="4F599273" w:rsidR="00890751" w:rsidRPr="00F644FD" w:rsidRDefault="00890751" w:rsidP="00890751">
      <w:r w:rsidRPr="00F644FD">
        <w:t xml:space="preserve">Overdose of metformin hydrochloride has occurred, including ingestion of amounts greater than 50 g.  Hypoglycaemia was reported in approximately 10% of cases, but no causal association with metformin hydrochloride has been established.  Lactic acidosis has been reported in approximately 32% of metformin overdose cases [see </w:t>
      </w:r>
      <w:r w:rsidR="00F82DDA" w:rsidRPr="00F644FD">
        <w:t xml:space="preserve">4.4 SPECIAL WARNINGS AND </w:t>
      </w:r>
      <w:r w:rsidRPr="00F644FD" w:rsidDel="0062424B">
        <w:t>PRECAUTIONS</w:t>
      </w:r>
      <w:r w:rsidR="000B50ED">
        <w:t xml:space="preserve"> FOR USE</w:t>
      </w:r>
      <w:r w:rsidRPr="00F644FD">
        <w:t xml:space="preserve">].  Metformin is dialyzable with a clearance of up to 170 </w:t>
      </w:r>
      <w:r w:rsidRPr="004A377C">
        <w:t>mL/min under good h</w:t>
      </w:r>
      <w:r w:rsidR="0037641B" w:rsidRPr="004A377C">
        <w:t>a</w:t>
      </w:r>
      <w:r w:rsidRPr="004A377C">
        <w:t>emodynamic conditions.  Therefore, haemodialysis may be useful for</w:t>
      </w:r>
      <w:r w:rsidRPr="00F644FD">
        <w:t xml:space="preserve"> removal of accumulated drug from patients in whom metformin </w:t>
      </w:r>
      <w:proofErr w:type="spellStart"/>
      <w:r w:rsidRPr="00F644FD">
        <w:t>overdosage</w:t>
      </w:r>
      <w:proofErr w:type="spellEnd"/>
      <w:r w:rsidRPr="00F644FD">
        <w:t xml:space="preserve"> is suspected.</w:t>
      </w:r>
    </w:p>
    <w:p w14:paraId="5666C1A8" w14:textId="77777777" w:rsidR="008B3435" w:rsidRDefault="008B3435" w:rsidP="008B3435">
      <w:pPr>
        <w:pStyle w:val="Heading1"/>
      </w:pPr>
      <w:r>
        <w:t>5</w:t>
      </w:r>
      <w:r>
        <w:tab/>
        <w:t>PHARMACOLOGICAL PROPERTIES</w:t>
      </w:r>
    </w:p>
    <w:p w14:paraId="3F203FD2" w14:textId="77777777" w:rsidR="008B3435" w:rsidRDefault="008B3435" w:rsidP="008B3435">
      <w:pPr>
        <w:pStyle w:val="Heading2"/>
      </w:pPr>
      <w:r>
        <w:t>5.1</w:t>
      </w:r>
      <w:r>
        <w:tab/>
        <w:t>PHARMACODYNAMIC PROPERTIES</w:t>
      </w:r>
    </w:p>
    <w:p w14:paraId="235DD114" w14:textId="77777777" w:rsidR="0048454C" w:rsidRDefault="0048454C" w:rsidP="0048454C">
      <w:pPr>
        <w:pStyle w:val="Heading3"/>
      </w:pPr>
      <w:r>
        <w:t>Mechanism of action</w:t>
      </w:r>
    </w:p>
    <w:p w14:paraId="7206BFAB" w14:textId="3E9EA6DF" w:rsidR="004B296F" w:rsidRPr="00F644FD" w:rsidRDefault="0037641B" w:rsidP="0037641B">
      <w:pPr>
        <w:pStyle w:val="Heading5"/>
      </w:pPr>
      <w:r>
        <w:t>SEGLUROMET</w:t>
      </w:r>
    </w:p>
    <w:p w14:paraId="61DFF57A" w14:textId="1F47BA6D" w:rsidR="007E41AE" w:rsidRPr="00F644FD" w:rsidRDefault="00510C5D" w:rsidP="007E41AE">
      <w:bookmarkStart w:id="16" w:name="_Toc472411343"/>
      <w:bookmarkEnd w:id="15"/>
      <w:bookmarkEnd w:id="16"/>
      <w:r w:rsidRPr="00F644FD">
        <w:t>SEGLUROMET</w:t>
      </w:r>
      <w:r w:rsidR="007E41AE" w:rsidRPr="00F644FD">
        <w:t xml:space="preserve"> combines two </w:t>
      </w:r>
      <w:proofErr w:type="spellStart"/>
      <w:r w:rsidR="007E41AE" w:rsidRPr="00F644FD">
        <w:t>antihyperglycaemic</w:t>
      </w:r>
      <w:proofErr w:type="spellEnd"/>
      <w:r w:rsidR="007E41AE" w:rsidRPr="00F644FD">
        <w:t xml:space="preserve"> agents with complementary mechanisms of action to improve glycaemic control in patients with type 2 diabetes: </w:t>
      </w:r>
      <w:proofErr w:type="spellStart"/>
      <w:r w:rsidR="007E41AE" w:rsidRPr="00F644FD">
        <w:t>ertugliflozin</w:t>
      </w:r>
      <w:proofErr w:type="spellEnd"/>
      <w:r w:rsidR="007E41AE" w:rsidRPr="00F644FD">
        <w:t xml:space="preserve">, a SGLT2 inhibitor, and metformin hydrochloride, a member of the </w:t>
      </w:r>
      <w:proofErr w:type="spellStart"/>
      <w:r w:rsidR="007E41AE" w:rsidRPr="00F644FD">
        <w:t>biguanide</w:t>
      </w:r>
      <w:proofErr w:type="spellEnd"/>
      <w:r w:rsidR="007E41AE" w:rsidRPr="00F644FD">
        <w:t xml:space="preserve"> class.</w:t>
      </w:r>
    </w:p>
    <w:p w14:paraId="12D88E88" w14:textId="77777777" w:rsidR="007E41AE" w:rsidRPr="00F644FD" w:rsidRDefault="007E41AE" w:rsidP="009F0E06">
      <w:pPr>
        <w:pStyle w:val="Heading5"/>
      </w:pPr>
      <w:proofErr w:type="spellStart"/>
      <w:r w:rsidRPr="00F644FD">
        <w:t>Ertugliflozin</w:t>
      </w:r>
      <w:proofErr w:type="spellEnd"/>
    </w:p>
    <w:p w14:paraId="18E0B2D4" w14:textId="060866EF" w:rsidR="007E41AE" w:rsidRPr="00F644FD" w:rsidRDefault="00E05602" w:rsidP="007E41AE">
      <w:r w:rsidRPr="00F644FD">
        <w:t xml:space="preserve">SGLT2 is the predominant transporter responsible for reabsorption of glucose from the glomerular filtrate back into the circulation.  Patients with diabetes have been shown to have </w:t>
      </w:r>
      <w:r w:rsidRPr="004A377C">
        <w:t>elevated reabsorption of glucose which may result in persistence of hyperglyc</w:t>
      </w:r>
      <w:r w:rsidR="009211AE" w:rsidRPr="004A377C">
        <w:t>a</w:t>
      </w:r>
      <w:r w:rsidRPr="004A377C">
        <w:t>emia.</w:t>
      </w:r>
      <w:r w:rsidRPr="00F644FD">
        <w:t xml:space="preserve"> </w:t>
      </w:r>
      <w:r w:rsidR="008F7990">
        <w:t xml:space="preserve"> </w:t>
      </w:r>
      <w:proofErr w:type="spellStart"/>
      <w:r w:rsidRPr="00F644FD">
        <w:t>Ertugliflozin</w:t>
      </w:r>
      <w:proofErr w:type="spellEnd"/>
      <w:r w:rsidRPr="00F644FD">
        <w:t xml:space="preserve"> is </w:t>
      </w:r>
      <w:r w:rsidR="005A68C6">
        <w:t xml:space="preserve">an </w:t>
      </w:r>
      <w:r w:rsidRPr="00F644FD">
        <w:t>inhibitor of SGLT2</w:t>
      </w:r>
      <w:r w:rsidR="008F7990">
        <w:t xml:space="preserve"> </w:t>
      </w:r>
      <w:r w:rsidR="008F7990" w:rsidRPr="008F7990">
        <w:t>with an IC</w:t>
      </w:r>
      <w:r w:rsidR="008F7990" w:rsidRPr="00704C82">
        <w:rPr>
          <w:vertAlign w:val="subscript"/>
        </w:rPr>
        <w:t>50</w:t>
      </w:r>
      <w:r w:rsidR="008F7990" w:rsidRPr="008F7990">
        <w:t xml:space="preserve"> of 0.88 </w:t>
      </w:r>
      <w:proofErr w:type="spellStart"/>
      <w:r w:rsidR="008F7990" w:rsidRPr="008F7990">
        <w:t>nM</w:t>
      </w:r>
      <w:proofErr w:type="spellEnd"/>
      <w:r w:rsidR="008F7990" w:rsidRPr="008F7990">
        <w:t xml:space="preserve">. </w:t>
      </w:r>
      <w:r w:rsidR="00704C82">
        <w:t xml:space="preserve"> </w:t>
      </w:r>
      <w:r w:rsidR="008F7990" w:rsidRPr="008F7990">
        <w:t>It displays &gt;2</w:t>
      </w:r>
      <w:r w:rsidR="00EB1AB8">
        <w:t>,</w:t>
      </w:r>
      <w:r w:rsidR="008F7990" w:rsidRPr="008F7990">
        <w:t>200-fold selectivity for SGLT2 over SGLT1 (responsible for glucose absorption in the gut)</w:t>
      </w:r>
      <w:r w:rsidRPr="00F644FD">
        <w:t xml:space="preserve">.  By inhibiting SGLT2, </w:t>
      </w:r>
      <w:proofErr w:type="spellStart"/>
      <w:r w:rsidRPr="00F644FD">
        <w:t>ertugliflozin</w:t>
      </w:r>
      <w:proofErr w:type="spellEnd"/>
      <w:r w:rsidRPr="00F644FD">
        <w:t xml:space="preserve"> reduces renal reabsorption of filtered glucose and lowers the renal threshold for glucose, and thereby increases urinary glucose excretion (UGE)</w:t>
      </w:r>
      <w:r w:rsidR="007A49A1" w:rsidRPr="00F644FD">
        <w:t>,</w:t>
      </w:r>
      <w:r w:rsidRPr="00F644FD">
        <w:t xml:space="preserve"> which lowers </w:t>
      </w:r>
      <w:r w:rsidR="007A49A1" w:rsidRPr="00F644FD">
        <w:t>fasting plasma glucose (</w:t>
      </w:r>
      <w:r w:rsidRPr="00F644FD">
        <w:t>FPG</w:t>
      </w:r>
      <w:r w:rsidR="007A49A1" w:rsidRPr="00F644FD">
        <w:t>)</w:t>
      </w:r>
      <w:r w:rsidRPr="00F644FD">
        <w:t xml:space="preserve"> and haemoglobin A1</w:t>
      </w:r>
      <w:r w:rsidRPr="00F644FD">
        <w:rPr>
          <w:vertAlign w:val="subscript"/>
        </w:rPr>
        <w:t>C</w:t>
      </w:r>
      <w:r w:rsidRPr="00F644FD">
        <w:t xml:space="preserve"> levels in an insulin-independent manner. </w:t>
      </w:r>
      <w:r w:rsidR="00DF7772" w:rsidRPr="00F644FD">
        <w:t xml:space="preserve"> </w:t>
      </w:r>
      <w:r w:rsidRPr="00F644FD">
        <w:t>Additionally, UGE results in caloric loss and with ensuing weight loss.</w:t>
      </w:r>
      <w:r w:rsidR="00DF7772" w:rsidRPr="00F644FD">
        <w:t xml:space="preserve"> </w:t>
      </w:r>
      <w:r w:rsidRPr="00F644FD">
        <w:t xml:space="preserve"> </w:t>
      </w:r>
      <w:proofErr w:type="spellStart"/>
      <w:r w:rsidRPr="00F644FD">
        <w:t>Ertugliflozin</w:t>
      </w:r>
      <w:proofErr w:type="spellEnd"/>
      <w:r w:rsidRPr="00F644FD">
        <w:t xml:space="preserve"> also causes an osmotic diuresis, which may result in reduction of blood pressure. </w:t>
      </w:r>
      <w:r w:rsidR="00DF7772" w:rsidRPr="00F644FD">
        <w:t xml:space="preserve"> </w:t>
      </w:r>
      <w:r w:rsidRPr="00F644FD">
        <w:t xml:space="preserve">UGE is observed after the first dose. </w:t>
      </w:r>
      <w:r w:rsidR="00DF7772" w:rsidRPr="00F644FD">
        <w:t xml:space="preserve"> </w:t>
      </w:r>
      <w:r w:rsidRPr="00F644FD">
        <w:t xml:space="preserve">UGE with </w:t>
      </w:r>
      <w:proofErr w:type="spellStart"/>
      <w:r w:rsidRPr="00F644FD">
        <w:t>ertugliflozin</w:t>
      </w:r>
      <w:proofErr w:type="spellEnd"/>
      <w:r w:rsidRPr="00F644FD">
        <w:t xml:space="preserve"> depends on plasma glucose levels and </w:t>
      </w:r>
      <w:r w:rsidR="007A49A1" w:rsidRPr="00F644FD">
        <w:t>glomerular filtration rate</w:t>
      </w:r>
      <w:r w:rsidRPr="00F644FD">
        <w:t xml:space="preserve">. </w:t>
      </w:r>
      <w:r w:rsidR="007A49A1" w:rsidRPr="00F644FD">
        <w:t xml:space="preserve"> </w:t>
      </w:r>
      <w:r w:rsidRPr="00F644FD">
        <w:t>Consequently, UGE is reduced as plasma glucose levels fall, which reduces the risk of hypoglycaemia.</w:t>
      </w:r>
    </w:p>
    <w:p w14:paraId="1D57F982" w14:textId="0C004B10" w:rsidR="00813851" w:rsidRPr="00F644FD" w:rsidRDefault="00813851" w:rsidP="00353D93">
      <w:pPr>
        <w:pStyle w:val="Heading4"/>
      </w:pPr>
      <w:r w:rsidRPr="00F644FD">
        <w:lastRenderedPageBreak/>
        <w:t xml:space="preserve">Urinary </w:t>
      </w:r>
      <w:r w:rsidR="00B1112D" w:rsidRPr="00F644FD">
        <w:t xml:space="preserve">glucose excretion </w:t>
      </w:r>
      <w:r w:rsidRPr="00F644FD">
        <w:t xml:space="preserve">and </w:t>
      </w:r>
      <w:r w:rsidR="00B1112D" w:rsidRPr="00F644FD">
        <w:t>urinary volume</w:t>
      </w:r>
    </w:p>
    <w:p w14:paraId="530BC233" w14:textId="39D0DD1E" w:rsidR="00813851" w:rsidRPr="00F644FD" w:rsidRDefault="00813851" w:rsidP="00813851">
      <w:r w:rsidRPr="00F644FD">
        <w:t>Dose-dependent increases in the amount of glucose excreted in urine were observed in healthy subjects and in patients with type 2 diabetes mellitus following single</w:t>
      </w:r>
      <w:r w:rsidRPr="00F644FD">
        <w:noBreakHyphen/>
        <w:t xml:space="preserve"> and multiple</w:t>
      </w:r>
      <w:r w:rsidRPr="00F644FD">
        <w:noBreakHyphen/>
        <w:t xml:space="preserve">dose administration of </w:t>
      </w:r>
      <w:proofErr w:type="spellStart"/>
      <w:r w:rsidRPr="00F644FD">
        <w:t>ertugliflozin</w:t>
      </w:r>
      <w:proofErr w:type="spellEnd"/>
      <w:r w:rsidRPr="00F644FD">
        <w:t>.  Dose-response model</w:t>
      </w:r>
      <w:r w:rsidR="00640729" w:rsidRPr="00F644FD">
        <w:t>l</w:t>
      </w:r>
      <w:r w:rsidRPr="00F644FD">
        <w:t xml:space="preserve">ing indicates that </w:t>
      </w:r>
      <w:proofErr w:type="spellStart"/>
      <w:r w:rsidRPr="00F644FD">
        <w:t>ertugliflozin</w:t>
      </w:r>
      <w:proofErr w:type="spellEnd"/>
      <w:r w:rsidRPr="00F644FD">
        <w:t xml:space="preserve"> 5 mg and 15 mg result in near maximal urinary glucose excretion (UGE)</w:t>
      </w:r>
      <w:r w:rsidRPr="00F644FD">
        <w:rPr>
          <w:rFonts w:cs="Arial"/>
        </w:rPr>
        <w:t>, with the 15 mg dose providing incrementally greater UGE relative to the 5 mg dose</w:t>
      </w:r>
      <w:r w:rsidRPr="00F644FD">
        <w:t xml:space="preserve">.  Enhanced UGE is maintained after multiple-dose administration.  UGE with </w:t>
      </w:r>
      <w:proofErr w:type="spellStart"/>
      <w:r w:rsidRPr="00F644FD">
        <w:t>ertugliflozin</w:t>
      </w:r>
      <w:proofErr w:type="spellEnd"/>
      <w:r w:rsidRPr="00F644FD">
        <w:t xml:space="preserve"> also results in increases in urinary volume.</w:t>
      </w:r>
      <w:r w:rsidR="006413C0" w:rsidRPr="00F644FD">
        <w:t xml:space="preserve"> </w:t>
      </w:r>
      <w:r w:rsidR="00210B09" w:rsidRPr="00F644FD">
        <w:rPr>
          <w:szCs w:val="22"/>
        </w:rPr>
        <w:t xml:space="preserve"> </w:t>
      </w:r>
      <w:proofErr w:type="spellStart"/>
      <w:r w:rsidR="00210B09" w:rsidRPr="00F644FD">
        <w:t>Ertugliflozin</w:t>
      </w:r>
      <w:proofErr w:type="spellEnd"/>
      <w:r w:rsidR="00210B09" w:rsidRPr="00F644FD">
        <w:t xml:space="preserve"> acts independently of insulin secretion and insulin action.</w:t>
      </w:r>
      <w:r w:rsidR="0037641B">
        <w:t xml:space="preserve"> </w:t>
      </w:r>
      <w:r w:rsidR="00210B09" w:rsidRPr="00F644FD">
        <w:t xml:space="preserve"> Over time, significant improvement in beta cell function (HOMA-beta) has been observed in clinical studies with </w:t>
      </w:r>
      <w:proofErr w:type="spellStart"/>
      <w:r w:rsidR="00210B09" w:rsidRPr="00F644FD">
        <w:t>ertugliflozin</w:t>
      </w:r>
      <w:proofErr w:type="spellEnd"/>
      <w:r w:rsidR="00210B09" w:rsidRPr="00F644FD">
        <w:t>.</w:t>
      </w:r>
    </w:p>
    <w:p w14:paraId="0525ED6E" w14:textId="467C39B3" w:rsidR="00813851" w:rsidRPr="00F644FD" w:rsidRDefault="00813851" w:rsidP="00353D93">
      <w:pPr>
        <w:pStyle w:val="Heading4"/>
      </w:pPr>
      <w:r w:rsidRPr="00F644FD">
        <w:t xml:space="preserve">Cardiac </w:t>
      </w:r>
      <w:r w:rsidR="00B1112D" w:rsidRPr="00F644FD">
        <w:t>electrophysiology</w:t>
      </w:r>
    </w:p>
    <w:p w14:paraId="1B1252B4" w14:textId="71B6B405" w:rsidR="00813851" w:rsidRPr="00F644FD" w:rsidRDefault="00360581" w:rsidP="00813851">
      <w:r w:rsidRPr="00F644FD">
        <w:t>In a randomis</w:t>
      </w:r>
      <w:r w:rsidR="00813851" w:rsidRPr="00F644FD">
        <w:t xml:space="preserve">ed, placebo-controlled, active-comparator, crossover study, 42 healthy subjects were administered a single oral </w:t>
      </w:r>
      <w:proofErr w:type="spellStart"/>
      <w:r w:rsidR="00813851" w:rsidRPr="00F644FD">
        <w:t>supratherapeutic</w:t>
      </w:r>
      <w:proofErr w:type="spellEnd"/>
      <w:r w:rsidR="00813851" w:rsidRPr="00F644FD">
        <w:t xml:space="preserve"> dose of </w:t>
      </w:r>
      <w:proofErr w:type="spellStart"/>
      <w:r w:rsidR="00AF6D29" w:rsidRPr="00F644FD">
        <w:t>ertugliflozin</w:t>
      </w:r>
      <w:proofErr w:type="spellEnd"/>
      <w:r w:rsidR="00AF6D29" w:rsidRPr="00F644FD">
        <w:t xml:space="preserve"> </w:t>
      </w:r>
      <w:r w:rsidR="00813851" w:rsidRPr="00F644FD">
        <w:t xml:space="preserve">100 mg (6.7 times the maximum recommended dose), moxifloxacin, and placebo.  No increase in </w:t>
      </w:r>
      <w:proofErr w:type="spellStart"/>
      <w:r w:rsidR="00813851" w:rsidRPr="00F644FD">
        <w:t>QTc</w:t>
      </w:r>
      <w:proofErr w:type="spellEnd"/>
      <w:r w:rsidR="00813851" w:rsidRPr="00F644FD">
        <w:t xml:space="preserve"> was observed with 100 mg </w:t>
      </w:r>
      <w:proofErr w:type="spellStart"/>
      <w:r w:rsidR="00813851" w:rsidRPr="00F644FD">
        <w:t>ertugliflozin</w:t>
      </w:r>
      <w:proofErr w:type="spellEnd"/>
      <w:r w:rsidR="00813851" w:rsidRPr="00F644FD">
        <w:t>.</w:t>
      </w:r>
    </w:p>
    <w:p w14:paraId="4E296ABB" w14:textId="03293B74" w:rsidR="007E41AE" w:rsidRPr="00F644FD" w:rsidRDefault="007E41AE" w:rsidP="009F0E06">
      <w:pPr>
        <w:pStyle w:val="Heading5"/>
      </w:pPr>
      <w:r w:rsidRPr="00F644FD">
        <w:t>Metformin hydrochloride</w:t>
      </w:r>
    </w:p>
    <w:p w14:paraId="6B78628B" w14:textId="789508F9" w:rsidR="00813851" w:rsidRPr="00F644FD" w:rsidRDefault="007E41AE" w:rsidP="007E41AE">
      <w:r w:rsidRPr="00F644FD">
        <w:t xml:space="preserve">Metformin is an </w:t>
      </w:r>
      <w:proofErr w:type="spellStart"/>
      <w:r w:rsidRPr="00F644FD">
        <w:t>antihyperglyc</w:t>
      </w:r>
      <w:r w:rsidR="00025F37" w:rsidRPr="00F644FD">
        <w:t>a</w:t>
      </w:r>
      <w:r w:rsidRPr="00F644FD">
        <w:t>emic</w:t>
      </w:r>
      <w:proofErr w:type="spellEnd"/>
      <w:r w:rsidRPr="00F644FD">
        <w:t xml:space="preserve"> agent which improves glucose tolerance in patients with type 2 diabetes, lowering both basal and postprandial plasma glucose. </w:t>
      </w:r>
      <w:r w:rsidR="00B47F8E" w:rsidRPr="00F644FD">
        <w:t xml:space="preserve"> </w:t>
      </w:r>
      <w:r w:rsidRPr="00F644FD">
        <w:t xml:space="preserve">Its pharmacologic mechanisms of action are different from other classes of oral </w:t>
      </w:r>
      <w:proofErr w:type="spellStart"/>
      <w:r w:rsidRPr="00F644FD">
        <w:t>antihyperglyc</w:t>
      </w:r>
      <w:r w:rsidR="00025F37" w:rsidRPr="00F644FD">
        <w:t>a</w:t>
      </w:r>
      <w:r w:rsidRPr="00F644FD">
        <w:t>emic</w:t>
      </w:r>
      <w:proofErr w:type="spellEnd"/>
      <w:r w:rsidRPr="00F644FD">
        <w:t xml:space="preserve"> agents. </w:t>
      </w:r>
      <w:r w:rsidR="00025F37" w:rsidRPr="00F644FD">
        <w:t xml:space="preserve"> </w:t>
      </w:r>
      <w:r w:rsidRPr="00F644FD">
        <w:t xml:space="preserve">Metformin decreases hepatic glucose production, decreases intestinal absorption of glucose, and improves insulin sensitivity by increasing peripheral glucose uptake and utilization. </w:t>
      </w:r>
      <w:r w:rsidR="00025F37" w:rsidRPr="00F644FD">
        <w:t xml:space="preserve"> </w:t>
      </w:r>
      <w:r w:rsidRPr="00F644FD">
        <w:t>Unlike sulfonylureas, metformin does not produce hypoglyc</w:t>
      </w:r>
      <w:r w:rsidR="008C65F6" w:rsidRPr="00F644FD">
        <w:t>a</w:t>
      </w:r>
      <w:r w:rsidRPr="00F644FD">
        <w:t xml:space="preserve">emia in either patients with type 2 diabetes or normal subjects </w:t>
      </w:r>
      <w:r w:rsidR="00457B35">
        <w:t>[</w:t>
      </w:r>
      <w:r w:rsidRPr="00F644FD">
        <w:t>except in special circumstances, see</w:t>
      </w:r>
      <w:r w:rsidR="006107DC" w:rsidRPr="00F644FD">
        <w:t xml:space="preserve"> </w:t>
      </w:r>
      <w:r w:rsidR="007D747C" w:rsidRPr="00F644FD">
        <w:t xml:space="preserve">4.5 </w:t>
      </w:r>
      <w:r w:rsidR="006107DC" w:rsidRPr="00F644FD">
        <w:t>INTERACTIONS WITH OTHER MEDICINES</w:t>
      </w:r>
      <w:r w:rsidR="007D747C" w:rsidRPr="00F644FD">
        <w:rPr>
          <w:rFonts w:eastAsia="Cambria"/>
        </w:rPr>
        <w:t xml:space="preserve"> AND OTHER FORMS OF INTERACTIONS</w:t>
      </w:r>
      <w:r w:rsidR="00984B14" w:rsidRPr="00F644FD">
        <w:t>]</w:t>
      </w:r>
      <w:r w:rsidRPr="00F644FD">
        <w:t xml:space="preserve"> and does not cause </w:t>
      </w:r>
      <w:proofErr w:type="spellStart"/>
      <w:r w:rsidRPr="00F644FD">
        <w:t>hyperinsulin</w:t>
      </w:r>
      <w:r w:rsidR="00025F37" w:rsidRPr="00F644FD">
        <w:t>a</w:t>
      </w:r>
      <w:r w:rsidRPr="00F644FD">
        <w:t>emia</w:t>
      </w:r>
      <w:proofErr w:type="spellEnd"/>
      <w:r w:rsidRPr="00F644FD">
        <w:t xml:space="preserve">. </w:t>
      </w:r>
      <w:r w:rsidR="00025F37" w:rsidRPr="00F644FD">
        <w:t xml:space="preserve"> </w:t>
      </w:r>
      <w:r w:rsidRPr="00F644FD">
        <w:t>With metformin therapy, insulin secretion remains unchanged while fasting insulin levels and day-long plasma insulin response may actually decrease.</w:t>
      </w:r>
    </w:p>
    <w:p w14:paraId="68F83D56" w14:textId="5A8A348C" w:rsidR="00DE44AE" w:rsidRPr="00F644FD" w:rsidRDefault="00F842F7" w:rsidP="00542329">
      <w:pPr>
        <w:pStyle w:val="Heading3"/>
      </w:pPr>
      <w:bookmarkStart w:id="17" w:name="_Toc472411351"/>
      <w:r w:rsidRPr="00F644FD">
        <w:t>CLINICAL TRIALS</w:t>
      </w:r>
      <w:bookmarkEnd w:id="17"/>
    </w:p>
    <w:p w14:paraId="3E0C0A93" w14:textId="1B46714E" w:rsidR="009449F2" w:rsidRPr="00F644FD" w:rsidRDefault="009449F2" w:rsidP="009F0E06">
      <w:r w:rsidRPr="00F644FD">
        <w:t xml:space="preserve">There have been no clinical efficacy studies conducted with SEGLUROMET. </w:t>
      </w:r>
      <w:r w:rsidR="002F7869" w:rsidRPr="00F644FD">
        <w:t xml:space="preserve"> </w:t>
      </w:r>
      <w:r w:rsidRPr="00F644FD">
        <w:t xml:space="preserve">However, bioequivalence of </w:t>
      </w:r>
      <w:r w:rsidR="00B731C1" w:rsidRPr="00F644FD">
        <w:t>SEGLUROMET</w:t>
      </w:r>
      <w:r w:rsidRPr="00F644FD">
        <w:t xml:space="preserve"> with </w:t>
      </w:r>
      <w:proofErr w:type="spellStart"/>
      <w:r w:rsidRPr="00F644FD">
        <w:t>coadministered</w:t>
      </w:r>
      <w:proofErr w:type="spellEnd"/>
      <w:r w:rsidRPr="00F644FD">
        <w:t xml:space="preserve"> </w:t>
      </w:r>
      <w:proofErr w:type="spellStart"/>
      <w:r w:rsidRPr="00F644FD">
        <w:t>ertugliflozin</w:t>
      </w:r>
      <w:proofErr w:type="spellEnd"/>
      <w:r w:rsidRPr="00F644FD">
        <w:t xml:space="preserve"> and metformin tablets was demonstrated.</w:t>
      </w:r>
    </w:p>
    <w:p w14:paraId="787570F5" w14:textId="77777777" w:rsidR="002F7869" w:rsidRPr="00F644FD" w:rsidRDefault="002F7869" w:rsidP="00E50944">
      <w:pPr>
        <w:rPr>
          <w:iCs/>
          <w:szCs w:val="22"/>
          <w:u w:val="single"/>
        </w:rPr>
      </w:pPr>
    </w:p>
    <w:p w14:paraId="59840122" w14:textId="032D58FF" w:rsidR="00FF5377" w:rsidRPr="00F644FD" w:rsidRDefault="00FF5377" w:rsidP="00E50944">
      <w:r w:rsidRPr="00F644FD">
        <w:t xml:space="preserve">The efficacy and safety of </w:t>
      </w:r>
      <w:proofErr w:type="spellStart"/>
      <w:r w:rsidRPr="00F644FD">
        <w:t>ertugliflozin</w:t>
      </w:r>
      <w:proofErr w:type="spellEnd"/>
      <w:r w:rsidRPr="00F644FD">
        <w:t xml:space="preserve"> in combination with metformin have been studied in 4</w:t>
      </w:r>
      <w:r w:rsidR="004A255A">
        <w:t> </w:t>
      </w:r>
      <w:r w:rsidRPr="00F644FD">
        <w:t>multicent</w:t>
      </w:r>
      <w:r w:rsidR="006107DC" w:rsidRPr="00F644FD">
        <w:t>r</w:t>
      </w:r>
      <w:r w:rsidR="00360581" w:rsidRPr="00F644FD">
        <w:t>e, randomis</w:t>
      </w:r>
      <w:r w:rsidRPr="00F644FD">
        <w:t>ed, double blind, placebo</w:t>
      </w:r>
      <w:r w:rsidR="006C2208" w:rsidRPr="00F644FD">
        <w:noBreakHyphen/>
      </w:r>
      <w:r w:rsidRPr="00F644FD">
        <w:t xml:space="preserve"> and active comparator</w:t>
      </w:r>
      <w:r w:rsidR="006C2208" w:rsidRPr="00F644FD">
        <w:noBreakHyphen/>
      </w:r>
      <w:r w:rsidRPr="00F644FD">
        <w:t xml:space="preserve">controlled, Phase 3 clinical studies involving 3,643 patients with type </w:t>
      </w:r>
      <w:proofErr w:type="gramStart"/>
      <w:r w:rsidRPr="00F644FD">
        <w:t>2 diabetes</w:t>
      </w:r>
      <w:proofErr w:type="gramEnd"/>
      <w:r w:rsidR="0037641B">
        <w:t>.</w:t>
      </w:r>
      <w:r w:rsidR="006C2208" w:rsidRPr="00F644FD">
        <w:t xml:space="preserve"> </w:t>
      </w:r>
      <w:r w:rsidR="00EC4BE2" w:rsidRPr="00F644FD">
        <w:t xml:space="preserve"> </w:t>
      </w:r>
      <w:r w:rsidRPr="00F644FD">
        <w:t>These studies included White, Hispanic, Black, Asian, and other racial and ethnic groups, and patients with an age range of 21 to 86 years.</w:t>
      </w:r>
    </w:p>
    <w:p w14:paraId="361083F8" w14:textId="77777777" w:rsidR="002F7869" w:rsidRPr="00F644FD" w:rsidRDefault="002F7869" w:rsidP="00E50944"/>
    <w:p w14:paraId="16B5FEAD" w14:textId="7DBBEA20" w:rsidR="00FF5377" w:rsidRPr="00F644FD" w:rsidRDefault="00FF5377" w:rsidP="00FF5377">
      <w:r w:rsidRPr="00F644FD">
        <w:t xml:space="preserve">In patients with type 2 diabetes, treatment with </w:t>
      </w:r>
      <w:proofErr w:type="spellStart"/>
      <w:r w:rsidRPr="00F644FD">
        <w:t>ertugliflozin</w:t>
      </w:r>
      <w:proofErr w:type="spellEnd"/>
      <w:r w:rsidRPr="00F644FD">
        <w:t xml:space="preserve"> in combination with metformin produced clinically and statistically significant improvements in HbA1c and FPG compared to placebo or active comparator.</w:t>
      </w:r>
      <w:r w:rsidR="00E50944" w:rsidRPr="00F644FD">
        <w:t xml:space="preserve"> </w:t>
      </w:r>
    </w:p>
    <w:p w14:paraId="32A39012" w14:textId="77777777" w:rsidR="002F7869" w:rsidRPr="00F644FD" w:rsidRDefault="002F7869" w:rsidP="00FF5377"/>
    <w:p w14:paraId="663ABC1C" w14:textId="31BE4C29" w:rsidR="00FF5377" w:rsidRPr="00F644FD" w:rsidRDefault="00FF5377" w:rsidP="00FF5377">
      <w:r w:rsidRPr="00F644FD">
        <w:t xml:space="preserve">In patients with type 2 diabetes treated with </w:t>
      </w:r>
      <w:proofErr w:type="spellStart"/>
      <w:r w:rsidRPr="00F644FD">
        <w:t>ertugliflozin</w:t>
      </w:r>
      <w:proofErr w:type="spellEnd"/>
      <w:r w:rsidRPr="00F644FD">
        <w:t xml:space="preserve"> in combination with metformin, the improvement in HbA1c was generally similar across subgroups defined by age, sex, race, geographic region, baseline BMI, and duration of type 2 diabetes mellitus.</w:t>
      </w:r>
      <w:r w:rsidR="00E50944" w:rsidRPr="00F644FD">
        <w:t xml:space="preserve"> </w:t>
      </w:r>
    </w:p>
    <w:p w14:paraId="6C7CFFBC" w14:textId="5568446F" w:rsidR="0057373A" w:rsidRPr="00F644FD" w:rsidRDefault="0057373A" w:rsidP="00542329">
      <w:pPr>
        <w:pStyle w:val="Heading3"/>
      </w:pPr>
      <w:proofErr w:type="spellStart"/>
      <w:r w:rsidRPr="00F644FD">
        <w:lastRenderedPageBreak/>
        <w:t>Ertugliflozin</w:t>
      </w:r>
      <w:proofErr w:type="spellEnd"/>
      <w:r w:rsidRPr="00F644FD">
        <w:t xml:space="preserve"> as </w:t>
      </w:r>
      <w:r w:rsidR="002722E4" w:rsidRPr="00F644FD">
        <w:t>add</w:t>
      </w:r>
      <w:r w:rsidRPr="00F644FD">
        <w:t xml:space="preserve">-on </w:t>
      </w:r>
      <w:r w:rsidR="002722E4" w:rsidRPr="00F644FD">
        <w:t>combinat</w:t>
      </w:r>
      <w:r w:rsidRPr="00F644FD">
        <w:t xml:space="preserve">ion </w:t>
      </w:r>
      <w:r w:rsidR="002722E4" w:rsidRPr="00F644FD">
        <w:t xml:space="preserve">therapy </w:t>
      </w:r>
      <w:r w:rsidRPr="00F644FD">
        <w:t xml:space="preserve">with </w:t>
      </w:r>
      <w:r w:rsidR="002722E4" w:rsidRPr="00F644FD">
        <w:t>metformin</w:t>
      </w:r>
    </w:p>
    <w:p w14:paraId="126BC084" w14:textId="65C3F1DC" w:rsidR="0057373A" w:rsidRPr="00F644FD" w:rsidRDefault="0057373A" w:rsidP="0057373A">
      <w:r w:rsidRPr="00F644FD">
        <w:t>A total of 621 patients with type 2 diabetes inadequately controlled on metformin monotherapy (≥1,500 mg</w:t>
      </w:r>
      <w:r w:rsidR="00360581" w:rsidRPr="00F644FD">
        <w:t>/day) participated in a randomis</w:t>
      </w:r>
      <w:r w:rsidRPr="00F644FD">
        <w:t>ed, double</w:t>
      </w:r>
      <w:r w:rsidR="006C2208" w:rsidRPr="00F644FD">
        <w:noBreakHyphen/>
      </w:r>
      <w:r w:rsidRPr="00F644FD">
        <w:t>blind, multi</w:t>
      </w:r>
      <w:r w:rsidR="006C2208" w:rsidRPr="00F644FD">
        <w:noBreakHyphen/>
      </w:r>
      <w:r w:rsidRPr="00F644FD">
        <w:t>centre, 26</w:t>
      </w:r>
      <w:r w:rsidR="006C2208" w:rsidRPr="00F644FD">
        <w:noBreakHyphen/>
      </w:r>
      <w:r w:rsidRPr="00F644FD">
        <w:t>week, placebo</w:t>
      </w:r>
      <w:r w:rsidR="006C2208" w:rsidRPr="00F644FD">
        <w:noBreakHyphen/>
      </w:r>
      <w:r w:rsidRPr="00F644FD">
        <w:t xml:space="preserve">controlled study to evaluate the efficacy and safety of </w:t>
      </w:r>
      <w:proofErr w:type="spellStart"/>
      <w:r w:rsidRPr="00F644FD">
        <w:t>ertugliflozin</w:t>
      </w:r>
      <w:proofErr w:type="spellEnd"/>
      <w:r w:rsidRPr="00F644FD">
        <w:t xml:space="preserve"> in combination with metformin.  Pati</w:t>
      </w:r>
      <w:r w:rsidR="00360581" w:rsidRPr="00F644FD">
        <w:t>ents were randomis</w:t>
      </w:r>
      <w:r w:rsidRPr="00F644FD">
        <w:t xml:space="preserve">ed to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w:t>
      </w:r>
      <w:r w:rsidR="008C65F6" w:rsidRPr="00F644FD">
        <w:t> </w:t>
      </w:r>
      <w:r w:rsidRPr="00F644FD">
        <w:t>mg, or placebo administered once daily in addition to continuation of background metformin therapy.</w:t>
      </w:r>
    </w:p>
    <w:p w14:paraId="2C272482" w14:textId="77777777" w:rsidR="00B81855" w:rsidRPr="00F644FD" w:rsidRDefault="00B81855" w:rsidP="0057373A"/>
    <w:p w14:paraId="0E2C1E1E" w14:textId="67394364" w:rsidR="0057373A" w:rsidRPr="00F644FD" w:rsidRDefault="0057373A" w:rsidP="0057373A">
      <w:r w:rsidRPr="00F644FD">
        <w:t xml:space="preserve">At Week 26, treatment with </w:t>
      </w:r>
      <w:proofErr w:type="spellStart"/>
      <w:r w:rsidRPr="00F644FD">
        <w:t>ertugliflozin</w:t>
      </w:r>
      <w:proofErr w:type="spellEnd"/>
      <w:r w:rsidRPr="00F644FD">
        <w:t xml:space="preserve"> at 5 mg or 15 mg daily provided statistically significant improvements in HbA1c, FPG, and body weight compared to placebo. </w:t>
      </w:r>
      <w:r w:rsidR="004A255A">
        <w:t xml:space="preserve"> </w:t>
      </w:r>
      <w:r w:rsidRPr="00F644FD">
        <w:t xml:space="preserve">Treatment with </w:t>
      </w:r>
      <w:proofErr w:type="spellStart"/>
      <w:r w:rsidRPr="00F644FD">
        <w:t>ertugliflozin</w:t>
      </w:r>
      <w:proofErr w:type="spellEnd"/>
      <w:r w:rsidRPr="00F644FD">
        <w:t xml:space="preserve"> at 5 mg or 15 mg daily provided a statistically significant improvement in systolic and diastolic blood pressure compared to placebo.  </w:t>
      </w:r>
      <w:proofErr w:type="spellStart"/>
      <w:r w:rsidRPr="00F644FD">
        <w:t>Ertugliflozin</w:t>
      </w:r>
      <w:proofErr w:type="spellEnd"/>
      <w:r w:rsidRPr="00F644FD">
        <w:t xml:space="preserve"> also resulted in a </w:t>
      </w:r>
      <w:r w:rsidRPr="002722E4">
        <w:t xml:space="preserve">greater proportion of patients achieving an HbA1c &lt;7% compared to placebo (see Table </w:t>
      </w:r>
      <w:r w:rsidR="00A37667" w:rsidRPr="002722E4">
        <w:t>3</w:t>
      </w:r>
      <w:r w:rsidRPr="002722E4">
        <w:t xml:space="preserve"> and Figure </w:t>
      </w:r>
      <w:r w:rsidR="00A37667" w:rsidRPr="002722E4">
        <w:t>3</w:t>
      </w:r>
      <w:r w:rsidRPr="002722E4">
        <w:t>).</w:t>
      </w:r>
    </w:p>
    <w:p w14:paraId="04C3ED8B" w14:textId="49E422BD" w:rsidR="00151B4D" w:rsidRPr="00F644FD" w:rsidRDefault="00151B4D" w:rsidP="00151B4D">
      <w:pPr>
        <w:pStyle w:val="Heading6"/>
      </w:pPr>
      <w:r w:rsidRPr="00F644FD">
        <w:lastRenderedPageBreak/>
        <w:t>Results at Week 26 from a Placebo</w:t>
      </w:r>
      <w:r w:rsidRPr="00F644FD">
        <w:noBreakHyphen/>
        <w:t xml:space="preserve">Controlled Study for </w:t>
      </w:r>
      <w:proofErr w:type="spellStart"/>
      <w:r w:rsidRPr="00F644FD">
        <w:t>Ertugliflozin</w:t>
      </w:r>
      <w:proofErr w:type="spellEnd"/>
      <w:r w:rsidRPr="00F644FD">
        <w:t xml:space="preserve"> Used in Combination with Metformin*</w:t>
      </w:r>
    </w:p>
    <w:tbl>
      <w:tblPr>
        <w:tblW w:w="93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3969"/>
        <w:gridCol w:w="1982"/>
        <w:gridCol w:w="2268"/>
        <w:gridCol w:w="1086"/>
      </w:tblGrid>
      <w:tr w:rsidR="00151B4D" w:rsidRPr="00F644FD" w14:paraId="5806DDC1" w14:textId="77777777" w:rsidTr="001B3C28">
        <w:trPr>
          <w:trHeight w:hRule="exact" w:val="528"/>
          <w:jc w:val="center"/>
        </w:trPr>
        <w:tc>
          <w:tcPr>
            <w:tcW w:w="3969" w:type="dxa"/>
            <w:tcBorders>
              <w:top w:val="single" w:sz="6" w:space="0" w:color="auto"/>
              <w:left w:val="single" w:sz="6" w:space="0" w:color="auto"/>
              <w:bottom w:val="single" w:sz="6" w:space="0" w:color="auto"/>
              <w:right w:val="single" w:sz="6" w:space="0" w:color="auto"/>
            </w:tcBorders>
            <w:vAlign w:val="center"/>
          </w:tcPr>
          <w:p w14:paraId="6B7CB367" w14:textId="7C9DE7CE" w:rsidR="00151B4D" w:rsidRPr="00F644FD" w:rsidRDefault="00151B4D" w:rsidP="001E11E3">
            <w:pPr>
              <w:pStyle w:val="Tablecentered"/>
              <w:rPr>
                <w:b/>
                <w:bCs/>
              </w:rPr>
            </w:pPr>
          </w:p>
        </w:tc>
        <w:tc>
          <w:tcPr>
            <w:tcW w:w="1982" w:type="dxa"/>
            <w:tcBorders>
              <w:top w:val="single" w:sz="6" w:space="0" w:color="auto"/>
              <w:left w:val="single" w:sz="6" w:space="0" w:color="auto"/>
              <w:bottom w:val="single" w:sz="6" w:space="0" w:color="auto"/>
              <w:right w:val="single" w:sz="6" w:space="0" w:color="auto"/>
            </w:tcBorders>
            <w:vAlign w:val="center"/>
          </w:tcPr>
          <w:p w14:paraId="29FB6251" w14:textId="77777777" w:rsidR="00151B4D" w:rsidRPr="00F644FD" w:rsidRDefault="00151B4D" w:rsidP="001E11E3">
            <w:pPr>
              <w:pStyle w:val="Tablecentered"/>
              <w:rPr>
                <w:b/>
                <w:bCs/>
              </w:rPr>
            </w:pPr>
            <w:proofErr w:type="spellStart"/>
            <w:r w:rsidRPr="00F644FD">
              <w:rPr>
                <w:b/>
                <w:bCs/>
              </w:rPr>
              <w:t>Ertugliflozin</w:t>
            </w:r>
            <w:proofErr w:type="spellEnd"/>
            <w:r w:rsidRPr="00F644FD">
              <w:rPr>
                <w:b/>
                <w:bCs/>
              </w:rPr>
              <w:t xml:space="preserve"> 5 mg</w:t>
            </w:r>
          </w:p>
        </w:tc>
        <w:tc>
          <w:tcPr>
            <w:tcW w:w="2268" w:type="dxa"/>
            <w:tcBorders>
              <w:top w:val="single" w:sz="6" w:space="0" w:color="auto"/>
              <w:left w:val="single" w:sz="6" w:space="0" w:color="auto"/>
              <w:bottom w:val="single" w:sz="6" w:space="0" w:color="auto"/>
              <w:right w:val="single" w:sz="6" w:space="0" w:color="auto"/>
            </w:tcBorders>
            <w:vAlign w:val="center"/>
          </w:tcPr>
          <w:p w14:paraId="2BF7867B" w14:textId="77777777" w:rsidR="00151B4D" w:rsidRPr="00F644FD" w:rsidRDefault="00151B4D" w:rsidP="001E11E3">
            <w:pPr>
              <w:pStyle w:val="Tablecentered"/>
              <w:rPr>
                <w:b/>
                <w:bCs/>
              </w:rPr>
            </w:pPr>
            <w:proofErr w:type="spellStart"/>
            <w:r w:rsidRPr="00F644FD">
              <w:rPr>
                <w:b/>
                <w:bCs/>
              </w:rPr>
              <w:t>Ertugliflozin</w:t>
            </w:r>
            <w:proofErr w:type="spellEnd"/>
            <w:r w:rsidRPr="00F644FD">
              <w:rPr>
                <w:b/>
                <w:bCs/>
              </w:rPr>
              <w:t xml:space="preserve"> 15 mg</w:t>
            </w:r>
          </w:p>
        </w:tc>
        <w:tc>
          <w:tcPr>
            <w:tcW w:w="1086" w:type="dxa"/>
            <w:tcBorders>
              <w:top w:val="single" w:sz="6" w:space="0" w:color="auto"/>
              <w:left w:val="single" w:sz="6" w:space="0" w:color="auto"/>
              <w:bottom w:val="single" w:sz="6" w:space="0" w:color="auto"/>
              <w:right w:val="single" w:sz="6" w:space="0" w:color="auto"/>
            </w:tcBorders>
            <w:vAlign w:val="center"/>
          </w:tcPr>
          <w:p w14:paraId="51EEFA58" w14:textId="77777777" w:rsidR="00151B4D" w:rsidRPr="00F644FD" w:rsidRDefault="00151B4D" w:rsidP="001E11E3">
            <w:pPr>
              <w:pStyle w:val="Tablecentered"/>
              <w:rPr>
                <w:b/>
                <w:bCs/>
              </w:rPr>
            </w:pPr>
            <w:r w:rsidRPr="00F644FD">
              <w:rPr>
                <w:b/>
                <w:bCs/>
              </w:rPr>
              <w:t>Placebo</w:t>
            </w:r>
          </w:p>
        </w:tc>
      </w:tr>
      <w:tr w:rsidR="00151B4D" w:rsidRPr="00F644FD" w14:paraId="35364336" w14:textId="77777777" w:rsidTr="001B3C28">
        <w:trPr>
          <w:trHeight w:val="324"/>
          <w:jc w:val="center"/>
        </w:trPr>
        <w:tc>
          <w:tcPr>
            <w:tcW w:w="3969" w:type="dxa"/>
            <w:tcBorders>
              <w:top w:val="single" w:sz="6" w:space="0" w:color="auto"/>
              <w:left w:val="single" w:sz="6" w:space="0" w:color="auto"/>
              <w:bottom w:val="nil"/>
              <w:right w:val="single" w:sz="6" w:space="0" w:color="auto"/>
            </w:tcBorders>
            <w:vAlign w:val="center"/>
          </w:tcPr>
          <w:p w14:paraId="1A762283" w14:textId="77777777" w:rsidR="00151B4D" w:rsidRPr="00F644FD" w:rsidRDefault="00151B4D" w:rsidP="001E11E3">
            <w:pPr>
              <w:pStyle w:val="Tablenormal0"/>
              <w:rPr>
                <w:b/>
                <w:bCs/>
              </w:rPr>
            </w:pPr>
            <w:r w:rsidRPr="00F644FD">
              <w:rPr>
                <w:b/>
                <w:bCs/>
              </w:rPr>
              <w:t>HbA1c (%)</w:t>
            </w:r>
          </w:p>
        </w:tc>
        <w:tc>
          <w:tcPr>
            <w:tcW w:w="1982" w:type="dxa"/>
            <w:tcBorders>
              <w:top w:val="single" w:sz="6" w:space="0" w:color="auto"/>
              <w:left w:val="single" w:sz="6" w:space="0" w:color="auto"/>
              <w:bottom w:val="nil"/>
              <w:right w:val="single" w:sz="6" w:space="0" w:color="auto"/>
            </w:tcBorders>
            <w:vAlign w:val="center"/>
          </w:tcPr>
          <w:p w14:paraId="4116B68F" w14:textId="77777777" w:rsidR="00151B4D" w:rsidRPr="00F644FD" w:rsidRDefault="00151B4D" w:rsidP="001E11E3">
            <w:pPr>
              <w:pStyle w:val="Tablecentered"/>
              <w:rPr>
                <w:b/>
                <w:bCs/>
              </w:rPr>
            </w:pPr>
            <w:r w:rsidRPr="00F644FD">
              <w:rPr>
                <w:b/>
                <w:bCs/>
              </w:rPr>
              <w:t>N = 207</w:t>
            </w:r>
          </w:p>
        </w:tc>
        <w:tc>
          <w:tcPr>
            <w:tcW w:w="2268" w:type="dxa"/>
            <w:tcBorders>
              <w:top w:val="single" w:sz="6" w:space="0" w:color="auto"/>
              <w:left w:val="single" w:sz="6" w:space="0" w:color="auto"/>
              <w:bottom w:val="nil"/>
              <w:right w:val="single" w:sz="6" w:space="0" w:color="auto"/>
            </w:tcBorders>
            <w:vAlign w:val="center"/>
          </w:tcPr>
          <w:p w14:paraId="1F6663EB" w14:textId="77777777" w:rsidR="00151B4D" w:rsidRPr="00F644FD" w:rsidRDefault="00151B4D" w:rsidP="001E11E3">
            <w:pPr>
              <w:pStyle w:val="Tablecentered"/>
              <w:rPr>
                <w:b/>
                <w:bCs/>
              </w:rPr>
            </w:pPr>
            <w:r w:rsidRPr="00F644FD">
              <w:rPr>
                <w:b/>
                <w:bCs/>
              </w:rPr>
              <w:t>N = 205</w:t>
            </w:r>
          </w:p>
        </w:tc>
        <w:tc>
          <w:tcPr>
            <w:tcW w:w="1086" w:type="dxa"/>
            <w:tcBorders>
              <w:top w:val="single" w:sz="6" w:space="0" w:color="auto"/>
              <w:left w:val="single" w:sz="6" w:space="0" w:color="auto"/>
              <w:bottom w:val="nil"/>
              <w:right w:val="single" w:sz="6" w:space="0" w:color="auto"/>
            </w:tcBorders>
            <w:vAlign w:val="center"/>
          </w:tcPr>
          <w:p w14:paraId="3613EB4A" w14:textId="77777777" w:rsidR="00151B4D" w:rsidRPr="00F644FD" w:rsidRDefault="00151B4D" w:rsidP="001E11E3">
            <w:pPr>
              <w:pStyle w:val="Tablecentered"/>
              <w:rPr>
                <w:b/>
                <w:bCs/>
              </w:rPr>
            </w:pPr>
            <w:r w:rsidRPr="00F644FD">
              <w:rPr>
                <w:b/>
                <w:bCs/>
              </w:rPr>
              <w:t>N = 209</w:t>
            </w:r>
          </w:p>
        </w:tc>
      </w:tr>
      <w:tr w:rsidR="00151B4D" w:rsidRPr="00F644FD" w14:paraId="7137F9E5"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7DBD3379" w14:textId="77777777" w:rsidR="00151B4D" w:rsidRPr="00F644FD" w:rsidRDefault="00151B4D" w:rsidP="001E11E3">
            <w:pPr>
              <w:pStyle w:val="Tablenormalindent"/>
            </w:pPr>
            <w:r w:rsidRPr="00F644FD">
              <w:t>Baseline (mean)</w:t>
            </w:r>
          </w:p>
        </w:tc>
        <w:tc>
          <w:tcPr>
            <w:tcW w:w="1982" w:type="dxa"/>
            <w:tcBorders>
              <w:top w:val="nil"/>
              <w:left w:val="single" w:sz="6" w:space="0" w:color="auto"/>
              <w:bottom w:val="nil"/>
              <w:right w:val="single" w:sz="6" w:space="0" w:color="auto"/>
            </w:tcBorders>
            <w:vAlign w:val="center"/>
          </w:tcPr>
          <w:p w14:paraId="5E6CA663" w14:textId="0C463239" w:rsidR="00151B4D" w:rsidRPr="00F644FD" w:rsidRDefault="00151B4D" w:rsidP="00151B4D">
            <w:pPr>
              <w:pStyle w:val="Tablecentered"/>
            </w:pPr>
            <w:r w:rsidRPr="00F644FD">
              <w:t>8.</w:t>
            </w:r>
            <w:r w:rsidR="00F56CE4" w:rsidRPr="00F644FD">
              <w:t>06</w:t>
            </w:r>
          </w:p>
        </w:tc>
        <w:tc>
          <w:tcPr>
            <w:tcW w:w="2268" w:type="dxa"/>
            <w:tcBorders>
              <w:top w:val="nil"/>
              <w:left w:val="single" w:sz="6" w:space="0" w:color="auto"/>
              <w:bottom w:val="nil"/>
              <w:right w:val="single" w:sz="6" w:space="0" w:color="auto"/>
            </w:tcBorders>
            <w:vAlign w:val="center"/>
          </w:tcPr>
          <w:p w14:paraId="0938005B" w14:textId="359A692F" w:rsidR="00151B4D" w:rsidRPr="00F644FD" w:rsidRDefault="00151B4D" w:rsidP="00151B4D">
            <w:pPr>
              <w:pStyle w:val="Tablecentered"/>
            </w:pPr>
            <w:r w:rsidRPr="00F644FD">
              <w:t>8.1</w:t>
            </w:r>
            <w:r w:rsidR="00F56CE4" w:rsidRPr="00F644FD">
              <w:t>3</w:t>
            </w:r>
          </w:p>
        </w:tc>
        <w:tc>
          <w:tcPr>
            <w:tcW w:w="1086" w:type="dxa"/>
            <w:tcBorders>
              <w:top w:val="nil"/>
              <w:left w:val="single" w:sz="6" w:space="0" w:color="auto"/>
              <w:bottom w:val="nil"/>
              <w:right w:val="single" w:sz="6" w:space="0" w:color="auto"/>
            </w:tcBorders>
            <w:vAlign w:val="center"/>
          </w:tcPr>
          <w:p w14:paraId="4472551C" w14:textId="7B948A9F" w:rsidR="00151B4D" w:rsidRPr="00F644FD" w:rsidRDefault="00151B4D" w:rsidP="00151B4D">
            <w:pPr>
              <w:pStyle w:val="Tablecentered"/>
            </w:pPr>
            <w:r w:rsidRPr="00F644FD">
              <w:t>8.</w:t>
            </w:r>
            <w:r w:rsidR="00F56CE4" w:rsidRPr="00F644FD">
              <w:t>17</w:t>
            </w:r>
          </w:p>
        </w:tc>
      </w:tr>
      <w:tr w:rsidR="00151B4D" w:rsidRPr="00F644FD" w14:paraId="3FEF9700"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0B7AC785" w14:textId="77777777" w:rsidR="00151B4D" w:rsidRPr="00F644FD" w:rsidRDefault="00151B4D" w:rsidP="001E11E3">
            <w:pPr>
              <w:pStyle w:val="Tablenormalindent"/>
            </w:pPr>
            <w:r w:rsidRPr="00F644FD">
              <w:t>Change from baseline (LS mean</w:t>
            </w:r>
            <w:r w:rsidRPr="00F644FD">
              <w:rPr>
                <w:vertAlign w:val="superscript"/>
              </w:rPr>
              <w:t>†</w:t>
            </w:r>
            <w:r w:rsidRPr="00F644FD">
              <w:t>)</w:t>
            </w:r>
          </w:p>
        </w:tc>
        <w:tc>
          <w:tcPr>
            <w:tcW w:w="1982" w:type="dxa"/>
            <w:tcBorders>
              <w:top w:val="nil"/>
              <w:left w:val="single" w:sz="6" w:space="0" w:color="auto"/>
              <w:bottom w:val="nil"/>
              <w:right w:val="single" w:sz="6" w:space="0" w:color="auto"/>
            </w:tcBorders>
            <w:vAlign w:val="center"/>
          </w:tcPr>
          <w:p w14:paraId="0045006D" w14:textId="1AF9E250" w:rsidR="00151B4D" w:rsidRPr="00F644FD" w:rsidRDefault="00151B4D" w:rsidP="00151B4D">
            <w:pPr>
              <w:pStyle w:val="Tablecentered"/>
            </w:pPr>
            <w:r w:rsidRPr="00F644FD">
              <w:t>-0.7</w:t>
            </w:r>
            <w:r w:rsidR="00F56CE4" w:rsidRPr="00F644FD">
              <w:t>3</w:t>
            </w:r>
          </w:p>
        </w:tc>
        <w:tc>
          <w:tcPr>
            <w:tcW w:w="2268" w:type="dxa"/>
            <w:tcBorders>
              <w:top w:val="nil"/>
              <w:left w:val="single" w:sz="6" w:space="0" w:color="auto"/>
              <w:bottom w:val="nil"/>
              <w:right w:val="single" w:sz="6" w:space="0" w:color="auto"/>
            </w:tcBorders>
            <w:vAlign w:val="center"/>
          </w:tcPr>
          <w:p w14:paraId="722E1788" w14:textId="7FC2027E" w:rsidR="00151B4D" w:rsidRPr="00F644FD" w:rsidRDefault="00151B4D" w:rsidP="00151B4D">
            <w:pPr>
              <w:pStyle w:val="Tablecentered"/>
            </w:pPr>
            <w:r w:rsidRPr="00F644FD">
              <w:t>-0.9</w:t>
            </w:r>
            <w:r w:rsidR="00F56CE4" w:rsidRPr="00F644FD">
              <w:t>1</w:t>
            </w:r>
          </w:p>
        </w:tc>
        <w:tc>
          <w:tcPr>
            <w:tcW w:w="1086" w:type="dxa"/>
            <w:tcBorders>
              <w:top w:val="nil"/>
              <w:left w:val="single" w:sz="6" w:space="0" w:color="auto"/>
              <w:bottom w:val="nil"/>
              <w:right w:val="single" w:sz="6" w:space="0" w:color="auto"/>
            </w:tcBorders>
            <w:vAlign w:val="center"/>
          </w:tcPr>
          <w:p w14:paraId="6D49B69D" w14:textId="5FA9F1FF" w:rsidR="00151B4D" w:rsidRPr="00F644FD" w:rsidRDefault="00151B4D" w:rsidP="00151B4D">
            <w:pPr>
              <w:pStyle w:val="Tablecentered"/>
            </w:pPr>
            <w:r w:rsidRPr="00F644FD">
              <w:t>-0.0</w:t>
            </w:r>
            <w:r w:rsidR="00F56CE4" w:rsidRPr="00F644FD">
              <w:t>3</w:t>
            </w:r>
          </w:p>
        </w:tc>
      </w:tr>
      <w:tr w:rsidR="00151B4D" w:rsidRPr="00F644FD" w14:paraId="22C1E9A0" w14:textId="77777777" w:rsidTr="001B3C28">
        <w:trPr>
          <w:trHeight w:val="324"/>
          <w:jc w:val="center"/>
        </w:trPr>
        <w:tc>
          <w:tcPr>
            <w:tcW w:w="3969" w:type="dxa"/>
            <w:tcBorders>
              <w:top w:val="nil"/>
              <w:left w:val="single" w:sz="6" w:space="0" w:color="auto"/>
              <w:bottom w:val="single" w:sz="6" w:space="0" w:color="auto"/>
              <w:right w:val="single" w:sz="6" w:space="0" w:color="auto"/>
            </w:tcBorders>
            <w:vAlign w:val="center"/>
          </w:tcPr>
          <w:p w14:paraId="6580BF7A" w14:textId="77777777" w:rsidR="00151B4D" w:rsidRPr="00F644FD" w:rsidRDefault="00151B4D" w:rsidP="001E11E3">
            <w:pPr>
              <w:pStyle w:val="Tablenormalindent"/>
            </w:pPr>
            <w:r w:rsidRPr="00F644FD">
              <w:t>Difference from placebo (LS mean</w:t>
            </w:r>
            <w:r w:rsidRPr="00F644FD">
              <w:rPr>
                <w:vertAlign w:val="superscript"/>
              </w:rPr>
              <w:t>†</w:t>
            </w:r>
            <w:r w:rsidRPr="00F644FD">
              <w:t>, 95% CI)</w:t>
            </w:r>
          </w:p>
        </w:tc>
        <w:tc>
          <w:tcPr>
            <w:tcW w:w="1982" w:type="dxa"/>
            <w:tcBorders>
              <w:top w:val="nil"/>
              <w:left w:val="single" w:sz="6" w:space="0" w:color="auto"/>
              <w:bottom w:val="single" w:sz="6" w:space="0" w:color="auto"/>
              <w:right w:val="single" w:sz="6" w:space="0" w:color="auto"/>
            </w:tcBorders>
            <w:vAlign w:val="center"/>
          </w:tcPr>
          <w:p w14:paraId="173E9B6A" w14:textId="342C3B12" w:rsidR="00151B4D" w:rsidRPr="00F644FD" w:rsidRDefault="00151B4D" w:rsidP="00151B4D">
            <w:pPr>
              <w:pStyle w:val="Tablecentered"/>
            </w:pPr>
            <w:r w:rsidRPr="00F644FD">
              <w:t>-0.7</w:t>
            </w:r>
            <w:r w:rsidR="00F56CE4" w:rsidRPr="00F644FD">
              <w:t>0</w:t>
            </w:r>
            <w:r w:rsidRPr="00F644FD">
              <w:rPr>
                <w:vertAlign w:val="superscript"/>
              </w:rPr>
              <w:t>‡</w:t>
            </w:r>
            <w:r w:rsidRPr="00F644FD">
              <w:t xml:space="preserve"> (-0.</w:t>
            </w:r>
            <w:r w:rsidR="00F56CE4" w:rsidRPr="00F644FD">
              <w:t>87</w:t>
            </w:r>
            <w:r w:rsidRPr="00F644FD">
              <w:t>, -0.5</w:t>
            </w:r>
            <w:r w:rsidR="00F56CE4" w:rsidRPr="00F644FD">
              <w:t>3</w:t>
            </w:r>
            <w:r w:rsidRPr="00F644FD">
              <w:t>)</w:t>
            </w:r>
          </w:p>
        </w:tc>
        <w:tc>
          <w:tcPr>
            <w:tcW w:w="2268" w:type="dxa"/>
            <w:tcBorders>
              <w:top w:val="nil"/>
              <w:left w:val="single" w:sz="6" w:space="0" w:color="auto"/>
              <w:bottom w:val="single" w:sz="6" w:space="0" w:color="auto"/>
              <w:right w:val="single" w:sz="6" w:space="0" w:color="auto"/>
            </w:tcBorders>
            <w:vAlign w:val="center"/>
          </w:tcPr>
          <w:p w14:paraId="57DD0128" w14:textId="6E711298" w:rsidR="00151B4D" w:rsidRPr="00F644FD" w:rsidRDefault="00151B4D" w:rsidP="00151B4D">
            <w:pPr>
              <w:pStyle w:val="Tablecentered"/>
            </w:pPr>
            <w:r w:rsidRPr="00F644FD">
              <w:t>-0.</w:t>
            </w:r>
            <w:r w:rsidR="00F56CE4" w:rsidRPr="00F644FD">
              <w:t>88</w:t>
            </w:r>
            <w:r w:rsidRPr="00F644FD">
              <w:rPr>
                <w:vertAlign w:val="superscript"/>
              </w:rPr>
              <w:t>‡</w:t>
            </w:r>
            <w:r w:rsidRPr="00F644FD">
              <w:t xml:space="preserve"> (-1.</w:t>
            </w:r>
            <w:r w:rsidR="00F56CE4" w:rsidRPr="00F644FD">
              <w:t>05</w:t>
            </w:r>
            <w:r w:rsidRPr="00F644FD">
              <w:t>, -0.7</w:t>
            </w:r>
            <w:r w:rsidR="00F56CE4" w:rsidRPr="00F644FD">
              <w:t>1</w:t>
            </w:r>
            <w:r w:rsidRPr="00F644FD">
              <w:t>)</w:t>
            </w:r>
          </w:p>
        </w:tc>
        <w:tc>
          <w:tcPr>
            <w:tcW w:w="1086" w:type="dxa"/>
            <w:tcBorders>
              <w:top w:val="nil"/>
              <w:left w:val="single" w:sz="6" w:space="0" w:color="auto"/>
              <w:bottom w:val="single" w:sz="6" w:space="0" w:color="auto"/>
              <w:right w:val="single" w:sz="6" w:space="0" w:color="auto"/>
            </w:tcBorders>
            <w:vAlign w:val="center"/>
          </w:tcPr>
          <w:p w14:paraId="54823897" w14:textId="77777777" w:rsidR="00151B4D" w:rsidRPr="00F644FD" w:rsidRDefault="00151B4D" w:rsidP="00151B4D">
            <w:pPr>
              <w:pStyle w:val="Tablecentered"/>
            </w:pPr>
          </w:p>
        </w:tc>
      </w:tr>
      <w:tr w:rsidR="00151B4D" w:rsidRPr="00F644FD" w14:paraId="52BEB52A" w14:textId="77777777" w:rsidTr="001B3C28">
        <w:trPr>
          <w:trHeight w:val="324"/>
          <w:jc w:val="center"/>
        </w:trPr>
        <w:tc>
          <w:tcPr>
            <w:tcW w:w="3969" w:type="dxa"/>
            <w:tcBorders>
              <w:top w:val="single" w:sz="6" w:space="0" w:color="auto"/>
              <w:left w:val="single" w:sz="6" w:space="0" w:color="auto"/>
              <w:bottom w:val="single" w:sz="6" w:space="0" w:color="auto"/>
              <w:right w:val="single" w:sz="6" w:space="0" w:color="auto"/>
            </w:tcBorders>
            <w:vAlign w:val="center"/>
          </w:tcPr>
          <w:p w14:paraId="042C60C4" w14:textId="77777777" w:rsidR="00151B4D" w:rsidRPr="00F644FD" w:rsidRDefault="00151B4D" w:rsidP="001E11E3">
            <w:pPr>
              <w:pStyle w:val="Tablenormal0"/>
              <w:rPr>
                <w:b/>
                <w:bCs/>
              </w:rPr>
            </w:pPr>
            <w:r w:rsidRPr="00F644FD">
              <w:rPr>
                <w:b/>
                <w:bCs/>
              </w:rPr>
              <w:t>Patients [N (%)] with HbA1c &lt;7%</w:t>
            </w:r>
          </w:p>
        </w:tc>
        <w:tc>
          <w:tcPr>
            <w:tcW w:w="1982" w:type="dxa"/>
            <w:tcBorders>
              <w:top w:val="single" w:sz="6" w:space="0" w:color="auto"/>
              <w:left w:val="single" w:sz="6" w:space="0" w:color="auto"/>
              <w:bottom w:val="single" w:sz="6" w:space="0" w:color="auto"/>
              <w:right w:val="single" w:sz="6" w:space="0" w:color="auto"/>
            </w:tcBorders>
            <w:vAlign w:val="center"/>
          </w:tcPr>
          <w:p w14:paraId="3588F72D" w14:textId="77777777" w:rsidR="00151B4D" w:rsidRPr="00F644FD" w:rsidRDefault="00151B4D" w:rsidP="00151B4D">
            <w:pPr>
              <w:pStyle w:val="Tablecentered"/>
              <w:rPr>
                <w:color w:val="000000"/>
              </w:rPr>
            </w:pPr>
            <w:r w:rsidRPr="00F644FD">
              <w:t>73 (35.3)</w:t>
            </w:r>
            <w:r w:rsidRPr="00F644FD">
              <w:rPr>
                <w:vertAlign w:val="superscript"/>
              </w:rPr>
              <w:t>§</w:t>
            </w:r>
          </w:p>
        </w:tc>
        <w:tc>
          <w:tcPr>
            <w:tcW w:w="2268" w:type="dxa"/>
            <w:tcBorders>
              <w:top w:val="single" w:sz="6" w:space="0" w:color="auto"/>
              <w:left w:val="single" w:sz="6" w:space="0" w:color="auto"/>
              <w:bottom w:val="single" w:sz="6" w:space="0" w:color="auto"/>
              <w:right w:val="single" w:sz="6" w:space="0" w:color="auto"/>
            </w:tcBorders>
            <w:vAlign w:val="center"/>
          </w:tcPr>
          <w:p w14:paraId="627F471F" w14:textId="77777777" w:rsidR="00151B4D" w:rsidRPr="00F644FD" w:rsidRDefault="00151B4D" w:rsidP="00151B4D">
            <w:pPr>
              <w:pStyle w:val="Tablecentered"/>
              <w:rPr>
                <w:color w:val="000000"/>
              </w:rPr>
            </w:pPr>
            <w:r w:rsidRPr="00F644FD">
              <w:t>82 (40.0)</w:t>
            </w:r>
            <w:r w:rsidRPr="00F644FD">
              <w:rPr>
                <w:vertAlign w:val="superscript"/>
              </w:rPr>
              <w:t>§</w:t>
            </w:r>
          </w:p>
        </w:tc>
        <w:tc>
          <w:tcPr>
            <w:tcW w:w="1086" w:type="dxa"/>
            <w:tcBorders>
              <w:top w:val="single" w:sz="6" w:space="0" w:color="auto"/>
              <w:left w:val="single" w:sz="6" w:space="0" w:color="auto"/>
              <w:bottom w:val="single" w:sz="6" w:space="0" w:color="auto"/>
              <w:right w:val="single" w:sz="6" w:space="0" w:color="auto"/>
            </w:tcBorders>
            <w:vAlign w:val="center"/>
          </w:tcPr>
          <w:p w14:paraId="47D85EEE" w14:textId="77777777" w:rsidR="00151B4D" w:rsidRPr="00F644FD" w:rsidRDefault="00151B4D" w:rsidP="00151B4D">
            <w:pPr>
              <w:pStyle w:val="Tablecentered"/>
              <w:rPr>
                <w:color w:val="000000"/>
              </w:rPr>
            </w:pPr>
            <w:r w:rsidRPr="00F644FD">
              <w:t>33 (15.8)</w:t>
            </w:r>
          </w:p>
        </w:tc>
      </w:tr>
      <w:tr w:rsidR="00151B4D" w:rsidRPr="00F644FD" w14:paraId="4C320FB9" w14:textId="77777777" w:rsidTr="001B3C28">
        <w:trPr>
          <w:trHeight w:val="324"/>
          <w:jc w:val="center"/>
        </w:trPr>
        <w:tc>
          <w:tcPr>
            <w:tcW w:w="3969" w:type="dxa"/>
            <w:tcBorders>
              <w:top w:val="single" w:sz="6" w:space="0" w:color="auto"/>
              <w:left w:val="single" w:sz="6" w:space="0" w:color="auto"/>
              <w:bottom w:val="nil"/>
              <w:right w:val="single" w:sz="6" w:space="0" w:color="auto"/>
            </w:tcBorders>
            <w:vAlign w:val="center"/>
          </w:tcPr>
          <w:p w14:paraId="7938EAE4" w14:textId="57459BC6" w:rsidR="00151B4D" w:rsidRPr="00F644FD" w:rsidRDefault="00151B4D" w:rsidP="001E11E3">
            <w:pPr>
              <w:pStyle w:val="Tablenormal0"/>
              <w:rPr>
                <w:b/>
                <w:bCs/>
              </w:rPr>
            </w:pPr>
            <w:r w:rsidRPr="00F644FD">
              <w:rPr>
                <w:b/>
                <w:bCs/>
              </w:rPr>
              <w:t>FPG (</w:t>
            </w:r>
            <w:proofErr w:type="spellStart"/>
            <w:r w:rsidR="00937EB6" w:rsidRPr="00F644FD">
              <w:rPr>
                <w:b/>
                <w:bCs/>
              </w:rPr>
              <w:t>mmol</w:t>
            </w:r>
            <w:proofErr w:type="spellEnd"/>
            <w:r w:rsidR="00937EB6" w:rsidRPr="00F644FD">
              <w:rPr>
                <w:b/>
                <w:bCs/>
              </w:rPr>
              <w:t>/L</w:t>
            </w:r>
            <w:r w:rsidRPr="00F644FD">
              <w:rPr>
                <w:b/>
                <w:bCs/>
              </w:rPr>
              <w:t xml:space="preserve">) </w:t>
            </w:r>
          </w:p>
        </w:tc>
        <w:tc>
          <w:tcPr>
            <w:tcW w:w="1982" w:type="dxa"/>
            <w:tcBorders>
              <w:top w:val="single" w:sz="6" w:space="0" w:color="auto"/>
              <w:left w:val="single" w:sz="6" w:space="0" w:color="auto"/>
              <w:bottom w:val="nil"/>
              <w:right w:val="single" w:sz="6" w:space="0" w:color="auto"/>
            </w:tcBorders>
            <w:vAlign w:val="center"/>
          </w:tcPr>
          <w:p w14:paraId="1798167B" w14:textId="77777777" w:rsidR="00151B4D" w:rsidRPr="00F644FD" w:rsidRDefault="00151B4D" w:rsidP="001E11E3">
            <w:pPr>
              <w:pStyle w:val="Tablecentered"/>
              <w:rPr>
                <w:b/>
                <w:bCs/>
              </w:rPr>
            </w:pPr>
            <w:r w:rsidRPr="00F644FD">
              <w:rPr>
                <w:b/>
                <w:bCs/>
              </w:rPr>
              <w:t>N = 207</w:t>
            </w:r>
          </w:p>
        </w:tc>
        <w:tc>
          <w:tcPr>
            <w:tcW w:w="2268" w:type="dxa"/>
            <w:tcBorders>
              <w:top w:val="single" w:sz="6" w:space="0" w:color="auto"/>
              <w:left w:val="single" w:sz="6" w:space="0" w:color="auto"/>
              <w:bottom w:val="nil"/>
              <w:right w:val="single" w:sz="6" w:space="0" w:color="auto"/>
            </w:tcBorders>
            <w:vAlign w:val="center"/>
          </w:tcPr>
          <w:p w14:paraId="40A32481" w14:textId="77777777" w:rsidR="00151B4D" w:rsidRPr="00F644FD" w:rsidRDefault="00151B4D" w:rsidP="001E11E3">
            <w:pPr>
              <w:pStyle w:val="Tablecentered"/>
              <w:rPr>
                <w:b/>
                <w:bCs/>
              </w:rPr>
            </w:pPr>
            <w:r w:rsidRPr="00F644FD">
              <w:rPr>
                <w:b/>
                <w:bCs/>
              </w:rPr>
              <w:t>N = 205</w:t>
            </w:r>
          </w:p>
        </w:tc>
        <w:tc>
          <w:tcPr>
            <w:tcW w:w="1086" w:type="dxa"/>
            <w:tcBorders>
              <w:top w:val="single" w:sz="6" w:space="0" w:color="auto"/>
              <w:left w:val="single" w:sz="6" w:space="0" w:color="auto"/>
              <w:bottom w:val="nil"/>
              <w:right w:val="single" w:sz="6" w:space="0" w:color="auto"/>
            </w:tcBorders>
            <w:vAlign w:val="center"/>
          </w:tcPr>
          <w:p w14:paraId="4DBC4F11" w14:textId="77777777" w:rsidR="00151B4D" w:rsidRPr="00F644FD" w:rsidRDefault="00151B4D" w:rsidP="001E11E3">
            <w:pPr>
              <w:pStyle w:val="Tablecentered"/>
              <w:rPr>
                <w:b/>
                <w:bCs/>
              </w:rPr>
            </w:pPr>
            <w:r w:rsidRPr="00F644FD">
              <w:rPr>
                <w:b/>
                <w:bCs/>
              </w:rPr>
              <w:t>N = 209</w:t>
            </w:r>
          </w:p>
        </w:tc>
      </w:tr>
      <w:tr w:rsidR="00937EB6" w:rsidRPr="00F644FD" w14:paraId="254BA550"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3792102A" w14:textId="77777777" w:rsidR="00937EB6" w:rsidRPr="00F644FD" w:rsidRDefault="00937EB6" w:rsidP="001E11E3">
            <w:pPr>
              <w:pStyle w:val="Tablenormalindent"/>
            </w:pPr>
            <w:r w:rsidRPr="00F644FD">
              <w:t xml:space="preserve">Baseline (mean) </w:t>
            </w:r>
          </w:p>
        </w:tc>
        <w:tc>
          <w:tcPr>
            <w:tcW w:w="1982" w:type="dxa"/>
            <w:tcBorders>
              <w:top w:val="nil"/>
              <w:left w:val="single" w:sz="6" w:space="0" w:color="auto"/>
              <w:bottom w:val="nil"/>
              <w:right w:val="single" w:sz="6" w:space="0" w:color="auto"/>
            </w:tcBorders>
            <w:vAlign w:val="center"/>
          </w:tcPr>
          <w:p w14:paraId="7982DA92" w14:textId="325B04F9" w:rsidR="00937EB6" w:rsidRPr="00F644FD" w:rsidRDefault="00937EB6" w:rsidP="00151B4D">
            <w:pPr>
              <w:pStyle w:val="Tablecentered"/>
            </w:pPr>
            <w:r w:rsidRPr="00F644FD">
              <w:t>9.33</w:t>
            </w:r>
          </w:p>
        </w:tc>
        <w:tc>
          <w:tcPr>
            <w:tcW w:w="2268" w:type="dxa"/>
            <w:tcBorders>
              <w:top w:val="nil"/>
              <w:left w:val="single" w:sz="6" w:space="0" w:color="auto"/>
              <w:bottom w:val="nil"/>
              <w:right w:val="single" w:sz="6" w:space="0" w:color="auto"/>
            </w:tcBorders>
            <w:vAlign w:val="center"/>
          </w:tcPr>
          <w:p w14:paraId="2C07FF89" w14:textId="10F84B83" w:rsidR="00937EB6" w:rsidRPr="00F644FD" w:rsidRDefault="00937EB6" w:rsidP="00151B4D">
            <w:pPr>
              <w:pStyle w:val="Tablecentered"/>
            </w:pPr>
            <w:r w:rsidRPr="00F644FD">
              <w:t>9.32</w:t>
            </w:r>
            <w:r w:rsidRPr="00F644FD" w:rsidDel="009A7748">
              <w:t xml:space="preserve"> </w:t>
            </w:r>
          </w:p>
        </w:tc>
        <w:tc>
          <w:tcPr>
            <w:tcW w:w="1086" w:type="dxa"/>
            <w:tcBorders>
              <w:top w:val="nil"/>
              <w:left w:val="single" w:sz="6" w:space="0" w:color="auto"/>
              <w:bottom w:val="nil"/>
              <w:right w:val="single" w:sz="6" w:space="0" w:color="auto"/>
            </w:tcBorders>
            <w:vAlign w:val="center"/>
          </w:tcPr>
          <w:p w14:paraId="49E30535" w14:textId="6DD5528E" w:rsidR="00937EB6" w:rsidRPr="00F644FD" w:rsidRDefault="00937EB6" w:rsidP="00151B4D">
            <w:pPr>
              <w:pStyle w:val="Tablecentered"/>
            </w:pPr>
            <w:r w:rsidRPr="00F644FD">
              <w:t>9.39</w:t>
            </w:r>
          </w:p>
        </w:tc>
      </w:tr>
      <w:tr w:rsidR="00937EB6" w:rsidRPr="00F644FD" w14:paraId="646F3CB7"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6211A67B" w14:textId="77777777" w:rsidR="00937EB6" w:rsidRPr="00F644FD" w:rsidRDefault="00937EB6" w:rsidP="001E11E3">
            <w:pPr>
              <w:pStyle w:val="Tablenormalindent"/>
            </w:pPr>
            <w:r w:rsidRPr="00F644FD">
              <w:t>Change from baseline (LS mean</w:t>
            </w:r>
            <w:r w:rsidRPr="00F644FD">
              <w:rPr>
                <w:vertAlign w:val="superscript"/>
              </w:rPr>
              <w:t>†</w:t>
            </w:r>
            <w:r w:rsidRPr="00F644FD">
              <w:t>)</w:t>
            </w:r>
          </w:p>
        </w:tc>
        <w:tc>
          <w:tcPr>
            <w:tcW w:w="1982" w:type="dxa"/>
            <w:tcBorders>
              <w:top w:val="nil"/>
              <w:left w:val="single" w:sz="6" w:space="0" w:color="auto"/>
              <w:bottom w:val="nil"/>
              <w:right w:val="single" w:sz="6" w:space="0" w:color="auto"/>
            </w:tcBorders>
            <w:vAlign w:val="center"/>
          </w:tcPr>
          <w:p w14:paraId="5A2CB445" w14:textId="68DA94C7" w:rsidR="00937EB6" w:rsidRPr="00F644FD" w:rsidRDefault="00937EB6" w:rsidP="0078756F">
            <w:pPr>
              <w:pStyle w:val="Tablecentered"/>
            </w:pPr>
            <w:r w:rsidRPr="00F644FD">
              <w:t>-1.53</w:t>
            </w:r>
          </w:p>
        </w:tc>
        <w:tc>
          <w:tcPr>
            <w:tcW w:w="2268" w:type="dxa"/>
            <w:tcBorders>
              <w:top w:val="nil"/>
              <w:left w:val="single" w:sz="6" w:space="0" w:color="auto"/>
              <w:bottom w:val="nil"/>
              <w:right w:val="single" w:sz="6" w:space="0" w:color="auto"/>
            </w:tcBorders>
            <w:vAlign w:val="center"/>
          </w:tcPr>
          <w:p w14:paraId="000C9103" w14:textId="207591D2" w:rsidR="00937EB6" w:rsidRPr="00F644FD" w:rsidRDefault="00937EB6" w:rsidP="0078756F">
            <w:pPr>
              <w:pStyle w:val="Tablecentered"/>
            </w:pPr>
            <w:r w:rsidRPr="00F644FD">
              <w:t>-2.17</w:t>
            </w:r>
          </w:p>
        </w:tc>
        <w:tc>
          <w:tcPr>
            <w:tcW w:w="1086" w:type="dxa"/>
            <w:tcBorders>
              <w:top w:val="nil"/>
              <w:left w:val="single" w:sz="6" w:space="0" w:color="auto"/>
              <w:bottom w:val="nil"/>
              <w:right w:val="single" w:sz="6" w:space="0" w:color="auto"/>
            </w:tcBorders>
            <w:vAlign w:val="center"/>
          </w:tcPr>
          <w:p w14:paraId="7D23E0AD" w14:textId="2BCCF8EA" w:rsidR="00937EB6" w:rsidRPr="00F644FD" w:rsidRDefault="00937EB6" w:rsidP="0078756F">
            <w:pPr>
              <w:pStyle w:val="Tablecentered"/>
            </w:pPr>
            <w:r w:rsidRPr="00F644FD">
              <w:t>-0.05</w:t>
            </w:r>
          </w:p>
        </w:tc>
      </w:tr>
      <w:tr w:rsidR="00937EB6" w:rsidRPr="00F644FD" w14:paraId="56B6D0F6" w14:textId="77777777" w:rsidTr="001B3C28">
        <w:trPr>
          <w:trHeight w:val="324"/>
          <w:jc w:val="center"/>
        </w:trPr>
        <w:tc>
          <w:tcPr>
            <w:tcW w:w="3969" w:type="dxa"/>
            <w:tcBorders>
              <w:top w:val="nil"/>
              <w:left w:val="single" w:sz="6" w:space="0" w:color="auto"/>
              <w:bottom w:val="single" w:sz="6" w:space="0" w:color="auto"/>
              <w:right w:val="single" w:sz="6" w:space="0" w:color="auto"/>
            </w:tcBorders>
            <w:vAlign w:val="center"/>
          </w:tcPr>
          <w:p w14:paraId="1A79274D" w14:textId="77777777" w:rsidR="00937EB6" w:rsidRPr="00F644FD" w:rsidRDefault="00937EB6" w:rsidP="001E11E3">
            <w:pPr>
              <w:pStyle w:val="Tablenormalindent"/>
            </w:pPr>
            <w:r w:rsidRPr="00F644FD">
              <w:t>Difference from placebo (LS mean</w:t>
            </w:r>
            <w:r w:rsidRPr="00F644FD">
              <w:rPr>
                <w:vertAlign w:val="superscript"/>
              </w:rPr>
              <w:t>†</w:t>
            </w:r>
            <w:r w:rsidRPr="00F644FD">
              <w:t xml:space="preserve">, 95% CI) </w:t>
            </w:r>
          </w:p>
        </w:tc>
        <w:tc>
          <w:tcPr>
            <w:tcW w:w="1982" w:type="dxa"/>
            <w:tcBorders>
              <w:top w:val="nil"/>
              <w:left w:val="single" w:sz="6" w:space="0" w:color="auto"/>
              <w:bottom w:val="single" w:sz="6" w:space="0" w:color="auto"/>
              <w:right w:val="single" w:sz="6" w:space="0" w:color="auto"/>
            </w:tcBorders>
            <w:vAlign w:val="center"/>
          </w:tcPr>
          <w:p w14:paraId="34E58140" w14:textId="60F58831" w:rsidR="00937EB6" w:rsidRPr="00F644FD" w:rsidRDefault="00937EB6" w:rsidP="0078756F">
            <w:pPr>
              <w:pStyle w:val="Tablecentered"/>
            </w:pPr>
            <w:r w:rsidRPr="00F644FD">
              <w:t>-1.48</w:t>
            </w:r>
            <w:r w:rsidR="00F56CE4" w:rsidRPr="00F644FD">
              <w:rPr>
                <w:vertAlign w:val="superscript"/>
              </w:rPr>
              <w:t>‡</w:t>
            </w:r>
            <w:r w:rsidRPr="00F644FD">
              <w:t xml:space="preserve"> (-1.83, -1.14) </w:t>
            </w:r>
          </w:p>
        </w:tc>
        <w:tc>
          <w:tcPr>
            <w:tcW w:w="2268" w:type="dxa"/>
            <w:tcBorders>
              <w:top w:val="nil"/>
              <w:left w:val="single" w:sz="6" w:space="0" w:color="auto"/>
              <w:bottom w:val="single" w:sz="6" w:space="0" w:color="auto"/>
              <w:right w:val="single" w:sz="6" w:space="0" w:color="auto"/>
            </w:tcBorders>
            <w:vAlign w:val="center"/>
          </w:tcPr>
          <w:p w14:paraId="639C4AA4" w14:textId="1F245154" w:rsidR="00937EB6" w:rsidRPr="00F644FD" w:rsidRDefault="00937EB6" w:rsidP="00C02C6F">
            <w:pPr>
              <w:pStyle w:val="Tablecentered"/>
            </w:pPr>
            <w:r w:rsidRPr="00F644FD">
              <w:t>-2.12</w:t>
            </w:r>
            <w:r w:rsidR="00F56CE4" w:rsidRPr="00F644FD">
              <w:rPr>
                <w:vertAlign w:val="superscript"/>
              </w:rPr>
              <w:t>‡</w:t>
            </w:r>
            <w:r w:rsidR="009902B3" w:rsidRPr="00C02C6F">
              <w:t xml:space="preserve"> </w:t>
            </w:r>
            <w:r w:rsidRPr="00F644FD">
              <w:t>(-2.47, -1.78)</w:t>
            </w:r>
          </w:p>
        </w:tc>
        <w:tc>
          <w:tcPr>
            <w:tcW w:w="1086" w:type="dxa"/>
            <w:tcBorders>
              <w:top w:val="nil"/>
              <w:left w:val="single" w:sz="6" w:space="0" w:color="auto"/>
              <w:bottom w:val="single" w:sz="6" w:space="0" w:color="auto"/>
              <w:right w:val="single" w:sz="6" w:space="0" w:color="auto"/>
            </w:tcBorders>
            <w:vAlign w:val="center"/>
          </w:tcPr>
          <w:p w14:paraId="7DE85FF9" w14:textId="77777777" w:rsidR="00937EB6" w:rsidRPr="00F644FD" w:rsidRDefault="00937EB6" w:rsidP="00151B4D">
            <w:pPr>
              <w:pStyle w:val="Tablecentered"/>
            </w:pPr>
          </w:p>
        </w:tc>
      </w:tr>
      <w:tr w:rsidR="00937EB6" w:rsidRPr="00F644FD" w14:paraId="062B7334" w14:textId="77777777" w:rsidTr="001B3C28">
        <w:trPr>
          <w:trHeight w:val="324"/>
          <w:jc w:val="center"/>
        </w:trPr>
        <w:tc>
          <w:tcPr>
            <w:tcW w:w="3969" w:type="dxa"/>
            <w:tcBorders>
              <w:top w:val="single" w:sz="6" w:space="0" w:color="auto"/>
              <w:left w:val="single" w:sz="6" w:space="0" w:color="auto"/>
              <w:bottom w:val="nil"/>
              <w:right w:val="single" w:sz="6" w:space="0" w:color="auto"/>
            </w:tcBorders>
            <w:vAlign w:val="center"/>
          </w:tcPr>
          <w:p w14:paraId="3E7B50CC" w14:textId="77777777" w:rsidR="00937EB6" w:rsidRPr="00F644FD" w:rsidRDefault="00937EB6" w:rsidP="001E11E3">
            <w:pPr>
              <w:pStyle w:val="Tablenormal0"/>
              <w:rPr>
                <w:b/>
                <w:bCs/>
              </w:rPr>
            </w:pPr>
            <w:r w:rsidRPr="00F644FD">
              <w:rPr>
                <w:b/>
                <w:bCs/>
              </w:rPr>
              <w:t>Body Weight (kg)</w:t>
            </w:r>
          </w:p>
        </w:tc>
        <w:tc>
          <w:tcPr>
            <w:tcW w:w="1982" w:type="dxa"/>
            <w:tcBorders>
              <w:top w:val="single" w:sz="6" w:space="0" w:color="auto"/>
              <w:left w:val="single" w:sz="6" w:space="0" w:color="auto"/>
              <w:bottom w:val="nil"/>
              <w:right w:val="single" w:sz="6" w:space="0" w:color="auto"/>
            </w:tcBorders>
            <w:vAlign w:val="center"/>
          </w:tcPr>
          <w:p w14:paraId="1BD77D60" w14:textId="77777777" w:rsidR="00937EB6" w:rsidRPr="00F644FD" w:rsidRDefault="00937EB6" w:rsidP="001E11E3">
            <w:pPr>
              <w:pStyle w:val="Tablecentered"/>
              <w:rPr>
                <w:b/>
                <w:bCs/>
              </w:rPr>
            </w:pPr>
            <w:r w:rsidRPr="00F644FD">
              <w:rPr>
                <w:b/>
                <w:bCs/>
              </w:rPr>
              <w:t>N = 207</w:t>
            </w:r>
          </w:p>
        </w:tc>
        <w:tc>
          <w:tcPr>
            <w:tcW w:w="2268" w:type="dxa"/>
            <w:tcBorders>
              <w:top w:val="single" w:sz="6" w:space="0" w:color="auto"/>
              <w:left w:val="single" w:sz="6" w:space="0" w:color="auto"/>
              <w:bottom w:val="nil"/>
              <w:right w:val="single" w:sz="6" w:space="0" w:color="auto"/>
            </w:tcBorders>
            <w:vAlign w:val="center"/>
          </w:tcPr>
          <w:p w14:paraId="34F1887E" w14:textId="77777777" w:rsidR="00937EB6" w:rsidRPr="00F644FD" w:rsidRDefault="00937EB6" w:rsidP="001E11E3">
            <w:pPr>
              <w:pStyle w:val="Tablecentered"/>
              <w:rPr>
                <w:b/>
                <w:bCs/>
              </w:rPr>
            </w:pPr>
            <w:r w:rsidRPr="00F644FD">
              <w:rPr>
                <w:b/>
                <w:bCs/>
              </w:rPr>
              <w:t>N = 205</w:t>
            </w:r>
          </w:p>
        </w:tc>
        <w:tc>
          <w:tcPr>
            <w:tcW w:w="1086" w:type="dxa"/>
            <w:tcBorders>
              <w:top w:val="single" w:sz="6" w:space="0" w:color="auto"/>
              <w:left w:val="single" w:sz="6" w:space="0" w:color="auto"/>
              <w:bottom w:val="nil"/>
              <w:right w:val="single" w:sz="6" w:space="0" w:color="auto"/>
            </w:tcBorders>
            <w:vAlign w:val="center"/>
          </w:tcPr>
          <w:p w14:paraId="310E2197" w14:textId="77777777" w:rsidR="00937EB6" w:rsidRPr="00F644FD" w:rsidRDefault="00937EB6" w:rsidP="001E11E3">
            <w:pPr>
              <w:pStyle w:val="Tablecentered"/>
              <w:rPr>
                <w:b/>
                <w:bCs/>
              </w:rPr>
            </w:pPr>
            <w:r w:rsidRPr="00F644FD">
              <w:rPr>
                <w:b/>
                <w:bCs/>
              </w:rPr>
              <w:t>N = 209</w:t>
            </w:r>
          </w:p>
        </w:tc>
      </w:tr>
      <w:tr w:rsidR="00937EB6" w:rsidRPr="00F644FD" w14:paraId="1484CE69"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4BEF4118" w14:textId="77777777" w:rsidR="00937EB6" w:rsidRPr="00F644FD" w:rsidRDefault="00937EB6" w:rsidP="001E11E3">
            <w:pPr>
              <w:pStyle w:val="Tablenormalindent"/>
            </w:pPr>
            <w:r w:rsidRPr="00F644FD">
              <w:t>Baseline (mean)</w:t>
            </w:r>
          </w:p>
        </w:tc>
        <w:tc>
          <w:tcPr>
            <w:tcW w:w="1982" w:type="dxa"/>
            <w:tcBorders>
              <w:top w:val="nil"/>
              <w:left w:val="single" w:sz="6" w:space="0" w:color="auto"/>
              <w:bottom w:val="nil"/>
              <w:right w:val="single" w:sz="6" w:space="0" w:color="auto"/>
            </w:tcBorders>
            <w:vAlign w:val="center"/>
          </w:tcPr>
          <w:p w14:paraId="34A12031" w14:textId="77777777" w:rsidR="00937EB6" w:rsidRPr="00F644FD" w:rsidRDefault="00937EB6" w:rsidP="00151B4D">
            <w:pPr>
              <w:pStyle w:val="Tablecentered"/>
            </w:pPr>
            <w:r w:rsidRPr="00F644FD">
              <w:t>84.9</w:t>
            </w:r>
          </w:p>
        </w:tc>
        <w:tc>
          <w:tcPr>
            <w:tcW w:w="2268" w:type="dxa"/>
            <w:tcBorders>
              <w:top w:val="nil"/>
              <w:left w:val="single" w:sz="6" w:space="0" w:color="auto"/>
              <w:bottom w:val="nil"/>
              <w:right w:val="single" w:sz="6" w:space="0" w:color="auto"/>
            </w:tcBorders>
            <w:vAlign w:val="center"/>
          </w:tcPr>
          <w:p w14:paraId="245CD5EA" w14:textId="77777777" w:rsidR="00937EB6" w:rsidRPr="00F644FD" w:rsidRDefault="00937EB6" w:rsidP="00151B4D">
            <w:pPr>
              <w:pStyle w:val="Tablecentered"/>
            </w:pPr>
            <w:r w:rsidRPr="00F644FD">
              <w:t>85.3</w:t>
            </w:r>
          </w:p>
        </w:tc>
        <w:tc>
          <w:tcPr>
            <w:tcW w:w="1086" w:type="dxa"/>
            <w:tcBorders>
              <w:top w:val="nil"/>
              <w:left w:val="single" w:sz="6" w:space="0" w:color="auto"/>
              <w:bottom w:val="nil"/>
              <w:right w:val="single" w:sz="6" w:space="0" w:color="auto"/>
            </w:tcBorders>
            <w:vAlign w:val="center"/>
          </w:tcPr>
          <w:p w14:paraId="18872AE2" w14:textId="77777777" w:rsidR="00937EB6" w:rsidRPr="00F644FD" w:rsidRDefault="00937EB6" w:rsidP="00151B4D">
            <w:pPr>
              <w:pStyle w:val="Tablecentered"/>
            </w:pPr>
            <w:r w:rsidRPr="00F644FD">
              <w:t>84.5</w:t>
            </w:r>
          </w:p>
        </w:tc>
      </w:tr>
      <w:tr w:rsidR="00937EB6" w:rsidRPr="00F644FD" w14:paraId="46BC7C7A"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45EF4F5C" w14:textId="77777777" w:rsidR="00937EB6" w:rsidRPr="00F644FD" w:rsidRDefault="00937EB6" w:rsidP="001E11E3">
            <w:pPr>
              <w:pStyle w:val="Tablenormalindent"/>
            </w:pPr>
            <w:r w:rsidRPr="00F644FD">
              <w:t>Change from baseline (LS mean</w:t>
            </w:r>
            <w:r w:rsidRPr="00F644FD">
              <w:rPr>
                <w:vertAlign w:val="superscript"/>
              </w:rPr>
              <w:t>†</w:t>
            </w:r>
            <w:r w:rsidRPr="00F644FD">
              <w:t>)</w:t>
            </w:r>
          </w:p>
        </w:tc>
        <w:tc>
          <w:tcPr>
            <w:tcW w:w="1982" w:type="dxa"/>
            <w:tcBorders>
              <w:top w:val="nil"/>
              <w:left w:val="single" w:sz="6" w:space="0" w:color="auto"/>
              <w:bottom w:val="nil"/>
              <w:right w:val="single" w:sz="6" w:space="0" w:color="auto"/>
            </w:tcBorders>
            <w:vAlign w:val="center"/>
          </w:tcPr>
          <w:p w14:paraId="08C465A0" w14:textId="77777777" w:rsidR="00937EB6" w:rsidRPr="00F644FD" w:rsidRDefault="00937EB6" w:rsidP="00151B4D">
            <w:pPr>
              <w:pStyle w:val="Tablecentered"/>
            </w:pPr>
            <w:r w:rsidRPr="00F644FD">
              <w:t>-3.0</w:t>
            </w:r>
          </w:p>
        </w:tc>
        <w:tc>
          <w:tcPr>
            <w:tcW w:w="2268" w:type="dxa"/>
            <w:tcBorders>
              <w:top w:val="nil"/>
              <w:left w:val="single" w:sz="6" w:space="0" w:color="auto"/>
              <w:bottom w:val="nil"/>
              <w:right w:val="single" w:sz="6" w:space="0" w:color="auto"/>
            </w:tcBorders>
            <w:vAlign w:val="center"/>
          </w:tcPr>
          <w:p w14:paraId="717B5F7F" w14:textId="77777777" w:rsidR="00937EB6" w:rsidRPr="00F644FD" w:rsidRDefault="00937EB6" w:rsidP="00151B4D">
            <w:pPr>
              <w:pStyle w:val="Tablecentered"/>
            </w:pPr>
            <w:r w:rsidRPr="00F644FD">
              <w:t>-2.9</w:t>
            </w:r>
          </w:p>
        </w:tc>
        <w:tc>
          <w:tcPr>
            <w:tcW w:w="1086" w:type="dxa"/>
            <w:tcBorders>
              <w:top w:val="nil"/>
              <w:left w:val="single" w:sz="6" w:space="0" w:color="auto"/>
              <w:bottom w:val="nil"/>
              <w:right w:val="single" w:sz="6" w:space="0" w:color="auto"/>
            </w:tcBorders>
            <w:vAlign w:val="center"/>
          </w:tcPr>
          <w:p w14:paraId="250B8A11" w14:textId="77777777" w:rsidR="00937EB6" w:rsidRPr="00F644FD" w:rsidRDefault="00937EB6" w:rsidP="00151B4D">
            <w:pPr>
              <w:pStyle w:val="Tablecentered"/>
            </w:pPr>
            <w:r w:rsidRPr="00F644FD">
              <w:t>-1.3</w:t>
            </w:r>
          </w:p>
        </w:tc>
      </w:tr>
      <w:tr w:rsidR="00937EB6" w:rsidRPr="00F644FD" w14:paraId="36FC911E" w14:textId="77777777" w:rsidTr="001B3C28">
        <w:trPr>
          <w:trHeight w:val="324"/>
          <w:jc w:val="center"/>
        </w:trPr>
        <w:tc>
          <w:tcPr>
            <w:tcW w:w="3969" w:type="dxa"/>
            <w:tcBorders>
              <w:top w:val="nil"/>
              <w:left w:val="single" w:sz="6" w:space="0" w:color="auto"/>
              <w:bottom w:val="single" w:sz="6" w:space="0" w:color="auto"/>
              <w:right w:val="single" w:sz="6" w:space="0" w:color="auto"/>
            </w:tcBorders>
            <w:vAlign w:val="center"/>
          </w:tcPr>
          <w:p w14:paraId="4800270A" w14:textId="77777777" w:rsidR="00937EB6" w:rsidRPr="00F644FD" w:rsidRDefault="00937EB6" w:rsidP="001E11E3">
            <w:pPr>
              <w:pStyle w:val="Tablenormalindent"/>
            </w:pPr>
            <w:r w:rsidRPr="00F644FD">
              <w:t>Difference from placebo (LS mean</w:t>
            </w:r>
            <w:r w:rsidRPr="00F644FD">
              <w:rPr>
                <w:vertAlign w:val="superscript"/>
              </w:rPr>
              <w:t>†</w:t>
            </w:r>
            <w:r w:rsidRPr="00F644FD">
              <w:t>, 95% CI)</w:t>
            </w:r>
          </w:p>
        </w:tc>
        <w:tc>
          <w:tcPr>
            <w:tcW w:w="1982" w:type="dxa"/>
            <w:tcBorders>
              <w:top w:val="nil"/>
              <w:left w:val="single" w:sz="6" w:space="0" w:color="auto"/>
              <w:bottom w:val="single" w:sz="6" w:space="0" w:color="auto"/>
              <w:right w:val="single" w:sz="6" w:space="0" w:color="auto"/>
            </w:tcBorders>
            <w:vAlign w:val="center"/>
          </w:tcPr>
          <w:p w14:paraId="48E698DA" w14:textId="77777777" w:rsidR="00937EB6" w:rsidRPr="00F644FD" w:rsidRDefault="00937EB6" w:rsidP="00151B4D">
            <w:pPr>
              <w:pStyle w:val="Tablecentered"/>
            </w:pPr>
            <w:r w:rsidRPr="00F644FD">
              <w:t>-1.7</w:t>
            </w:r>
            <w:r w:rsidRPr="00F644FD">
              <w:rPr>
                <w:vertAlign w:val="superscript"/>
              </w:rPr>
              <w:t>‡</w:t>
            </w:r>
            <w:r w:rsidRPr="00F644FD">
              <w:t xml:space="preserve"> (-2.2, -1.1)</w:t>
            </w:r>
          </w:p>
        </w:tc>
        <w:tc>
          <w:tcPr>
            <w:tcW w:w="2268" w:type="dxa"/>
            <w:tcBorders>
              <w:top w:val="nil"/>
              <w:left w:val="single" w:sz="6" w:space="0" w:color="auto"/>
              <w:bottom w:val="single" w:sz="6" w:space="0" w:color="auto"/>
              <w:right w:val="single" w:sz="6" w:space="0" w:color="auto"/>
            </w:tcBorders>
            <w:vAlign w:val="center"/>
          </w:tcPr>
          <w:p w14:paraId="5182C474" w14:textId="77777777" w:rsidR="00937EB6" w:rsidRPr="00F644FD" w:rsidRDefault="00937EB6" w:rsidP="00151B4D">
            <w:pPr>
              <w:pStyle w:val="Tablecentered"/>
            </w:pPr>
            <w:r w:rsidRPr="00F644FD">
              <w:t>-1.6</w:t>
            </w:r>
            <w:r w:rsidRPr="00F644FD">
              <w:rPr>
                <w:vertAlign w:val="superscript"/>
              </w:rPr>
              <w:t>‡</w:t>
            </w:r>
            <w:r w:rsidRPr="00F644FD">
              <w:t xml:space="preserve"> (-2.2, -1.0)</w:t>
            </w:r>
          </w:p>
        </w:tc>
        <w:tc>
          <w:tcPr>
            <w:tcW w:w="1086" w:type="dxa"/>
            <w:tcBorders>
              <w:top w:val="nil"/>
              <w:left w:val="single" w:sz="6" w:space="0" w:color="auto"/>
              <w:bottom w:val="single" w:sz="6" w:space="0" w:color="auto"/>
              <w:right w:val="single" w:sz="6" w:space="0" w:color="auto"/>
            </w:tcBorders>
            <w:vAlign w:val="center"/>
          </w:tcPr>
          <w:p w14:paraId="20B76724" w14:textId="77777777" w:rsidR="00937EB6" w:rsidRPr="00F644FD" w:rsidRDefault="00937EB6" w:rsidP="00151B4D">
            <w:pPr>
              <w:pStyle w:val="Tablecentered"/>
            </w:pPr>
          </w:p>
        </w:tc>
      </w:tr>
      <w:tr w:rsidR="00937EB6" w:rsidRPr="00F644FD" w14:paraId="5E8F5588" w14:textId="77777777" w:rsidTr="001B3C28">
        <w:trPr>
          <w:trHeight w:val="324"/>
          <w:jc w:val="center"/>
        </w:trPr>
        <w:tc>
          <w:tcPr>
            <w:tcW w:w="3969" w:type="dxa"/>
            <w:tcBorders>
              <w:top w:val="single" w:sz="6" w:space="0" w:color="auto"/>
              <w:left w:val="single" w:sz="6" w:space="0" w:color="auto"/>
              <w:bottom w:val="nil"/>
              <w:right w:val="single" w:sz="6" w:space="0" w:color="auto"/>
            </w:tcBorders>
            <w:vAlign w:val="center"/>
          </w:tcPr>
          <w:p w14:paraId="1257F8DA" w14:textId="77777777" w:rsidR="00937EB6" w:rsidRPr="00F644FD" w:rsidRDefault="00937EB6" w:rsidP="001E11E3">
            <w:pPr>
              <w:pStyle w:val="Tablenormal0"/>
              <w:rPr>
                <w:b/>
                <w:bCs/>
              </w:rPr>
            </w:pPr>
            <w:r w:rsidRPr="00F644FD">
              <w:rPr>
                <w:b/>
                <w:bCs/>
              </w:rPr>
              <w:t>Systolic Blood Pressure</w:t>
            </w:r>
          </w:p>
        </w:tc>
        <w:tc>
          <w:tcPr>
            <w:tcW w:w="1982" w:type="dxa"/>
            <w:tcBorders>
              <w:top w:val="single" w:sz="6" w:space="0" w:color="auto"/>
              <w:left w:val="single" w:sz="6" w:space="0" w:color="auto"/>
              <w:bottom w:val="nil"/>
              <w:right w:val="single" w:sz="6" w:space="0" w:color="auto"/>
            </w:tcBorders>
            <w:vAlign w:val="center"/>
          </w:tcPr>
          <w:p w14:paraId="53F28B93" w14:textId="77777777" w:rsidR="00937EB6" w:rsidRPr="00F644FD" w:rsidRDefault="00937EB6" w:rsidP="001E11E3">
            <w:pPr>
              <w:pStyle w:val="Tablecentered"/>
              <w:rPr>
                <w:b/>
                <w:bCs/>
              </w:rPr>
            </w:pPr>
            <w:r w:rsidRPr="00F644FD">
              <w:rPr>
                <w:b/>
                <w:bCs/>
              </w:rPr>
              <w:t>N = 207</w:t>
            </w:r>
          </w:p>
        </w:tc>
        <w:tc>
          <w:tcPr>
            <w:tcW w:w="2268" w:type="dxa"/>
            <w:tcBorders>
              <w:top w:val="single" w:sz="6" w:space="0" w:color="auto"/>
              <w:left w:val="single" w:sz="6" w:space="0" w:color="auto"/>
              <w:bottom w:val="nil"/>
              <w:right w:val="single" w:sz="6" w:space="0" w:color="auto"/>
            </w:tcBorders>
            <w:vAlign w:val="center"/>
          </w:tcPr>
          <w:p w14:paraId="1AE17214" w14:textId="77777777" w:rsidR="00937EB6" w:rsidRPr="00F644FD" w:rsidRDefault="00937EB6" w:rsidP="001E11E3">
            <w:pPr>
              <w:pStyle w:val="Tablecentered"/>
              <w:rPr>
                <w:b/>
                <w:bCs/>
              </w:rPr>
            </w:pPr>
            <w:r w:rsidRPr="00F644FD">
              <w:rPr>
                <w:b/>
                <w:bCs/>
              </w:rPr>
              <w:t>N = 204</w:t>
            </w:r>
          </w:p>
        </w:tc>
        <w:tc>
          <w:tcPr>
            <w:tcW w:w="1086" w:type="dxa"/>
            <w:tcBorders>
              <w:top w:val="single" w:sz="6" w:space="0" w:color="auto"/>
              <w:left w:val="single" w:sz="6" w:space="0" w:color="auto"/>
              <w:bottom w:val="nil"/>
              <w:right w:val="single" w:sz="6" w:space="0" w:color="auto"/>
            </w:tcBorders>
            <w:vAlign w:val="center"/>
          </w:tcPr>
          <w:p w14:paraId="55E21D6A" w14:textId="77777777" w:rsidR="00937EB6" w:rsidRPr="00F644FD" w:rsidRDefault="00937EB6" w:rsidP="001E11E3">
            <w:pPr>
              <w:pStyle w:val="Tablecentered"/>
              <w:rPr>
                <w:b/>
                <w:bCs/>
              </w:rPr>
            </w:pPr>
            <w:r w:rsidRPr="00F644FD">
              <w:rPr>
                <w:b/>
                <w:bCs/>
              </w:rPr>
              <w:t>N = 209</w:t>
            </w:r>
          </w:p>
        </w:tc>
      </w:tr>
      <w:tr w:rsidR="00937EB6" w:rsidRPr="00F644FD" w14:paraId="70B2F830"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3BD11D12" w14:textId="77777777" w:rsidR="00937EB6" w:rsidRPr="00F644FD" w:rsidRDefault="00937EB6" w:rsidP="001E11E3">
            <w:pPr>
              <w:pStyle w:val="Tablenormalindent"/>
            </w:pPr>
            <w:r w:rsidRPr="00F644FD">
              <w:t>Baseline (mean)</w:t>
            </w:r>
          </w:p>
        </w:tc>
        <w:tc>
          <w:tcPr>
            <w:tcW w:w="1982" w:type="dxa"/>
            <w:tcBorders>
              <w:top w:val="nil"/>
              <w:left w:val="single" w:sz="6" w:space="0" w:color="auto"/>
              <w:bottom w:val="nil"/>
              <w:right w:val="single" w:sz="6" w:space="0" w:color="auto"/>
            </w:tcBorders>
            <w:vAlign w:val="center"/>
          </w:tcPr>
          <w:p w14:paraId="60550D22" w14:textId="77777777" w:rsidR="00937EB6" w:rsidRPr="00F644FD" w:rsidRDefault="00937EB6" w:rsidP="00151B4D">
            <w:pPr>
              <w:pStyle w:val="Tablecentered"/>
            </w:pPr>
            <w:r w:rsidRPr="00F644FD">
              <w:t>130.5</w:t>
            </w:r>
          </w:p>
        </w:tc>
        <w:tc>
          <w:tcPr>
            <w:tcW w:w="2268" w:type="dxa"/>
            <w:tcBorders>
              <w:top w:val="nil"/>
              <w:left w:val="single" w:sz="6" w:space="0" w:color="auto"/>
              <w:bottom w:val="nil"/>
              <w:right w:val="single" w:sz="6" w:space="0" w:color="auto"/>
            </w:tcBorders>
            <w:vAlign w:val="center"/>
          </w:tcPr>
          <w:p w14:paraId="39E5CA23" w14:textId="77777777" w:rsidR="00937EB6" w:rsidRPr="00F644FD" w:rsidRDefault="00937EB6" w:rsidP="00151B4D">
            <w:pPr>
              <w:pStyle w:val="Tablecentered"/>
            </w:pPr>
            <w:r w:rsidRPr="00F644FD">
              <w:t>130.2</w:t>
            </w:r>
          </w:p>
        </w:tc>
        <w:tc>
          <w:tcPr>
            <w:tcW w:w="1086" w:type="dxa"/>
            <w:tcBorders>
              <w:top w:val="nil"/>
              <w:left w:val="single" w:sz="6" w:space="0" w:color="auto"/>
              <w:bottom w:val="nil"/>
              <w:right w:val="single" w:sz="6" w:space="0" w:color="auto"/>
            </w:tcBorders>
            <w:vAlign w:val="center"/>
          </w:tcPr>
          <w:p w14:paraId="3F887310" w14:textId="77777777" w:rsidR="00937EB6" w:rsidRPr="00F644FD" w:rsidRDefault="00937EB6" w:rsidP="00151B4D">
            <w:pPr>
              <w:pStyle w:val="Tablecentered"/>
            </w:pPr>
            <w:r w:rsidRPr="00F644FD">
              <w:t>129.3</w:t>
            </w:r>
          </w:p>
        </w:tc>
      </w:tr>
      <w:tr w:rsidR="00937EB6" w:rsidRPr="00F644FD" w14:paraId="06B1A0E0"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1CE83F4D" w14:textId="77777777" w:rsidR="00937EB6" w:rsidRPr="00F644FD" w:rsidRDefault="00937EB6" w:rsidP="001E11E3">
            <w:pPr>
              <w:pStyle w:val="Tablenormalindent"/>
            </w:pPr>
            <w:r w:rsidRPr="00F644FD">
              <w:t>Change from baseline (LS mean</w:t>
            </w:r>
            <w:r w:rsidRPr="00F644FD">
              <w:rPr>
                <w:vertAlign w:val="superscript"/>
              </w:rPr>
              <w:t>†</w:t>
            </w:r>
            <w:r w:rsidRPr="00F644FD">
              <w:t>)</w:t>
            </w:r>
          </w:p>
        </w:tc>
        <w:tc>
          <w:tcPr>
            <w:tcW w:w="1982" w:type="dxa"/>
            <w:tcBorders>
              <w:top w:val="nil"/>
              <w:left w:val="single" w:sz="6" w:space="0" w:color="auto"/>
              <w:bottom w:val="nil"/>
              <w:right w:val="single" w:sz="6" w:space="0" w:color="auto"/>
            </w:tcBorders>
            <w:vAlign w:val="center"/>
          </w:tcPr>
          <w:p w14:paraId="14D13C2D" w14:textId="77777777" w:rsidR="00937EB6" w:rsidRPr="00F644FD" w:rsidRDefault="00937EB6" w:rsidP="00151B4D">
            <w:pPr>
              <w:pStyle w:val="Tablecentered"/>
            </w:pPr>
            <w:r w:rsidRPr="00F644FD">
              <w:t>-4.4</w:t>
            </w:r>
          </w:p>
        </w:tc>
        <w:tc>
          <w:tcPr>
            <w:tcW w:w="2268" w:type="dxa"/>
            <w:tcBorders>
              <w:top w:val="nil"/>
              <w:left w:val="single" w:sz="6" w:space="0" w:color="auto"/>
              <w:bottom w:val="nil"/>
              <w:right w:val="single" w:sz="6" w:space="0" w:color="auto"/>
            </w:tcBorders>
            <w:vAlign w:val="center"/>
          </w:tcPr>
          <w:p w14:paraId="39FE3D99" w14:textId="77777777" w:rsidR="00937EB6" w:rsidRPr="00F644FD" w:rsidRDefault="00937EB6" w:rsidP="00151B4D">
            <w:pPr>
              <w:pStyle w:val="Tablecentered"/>
            </w:pPr>
            <w:r w:rsidRPr="00F644FD">
              <w:t>-5.2</w:t>
            </w:r>
          </w:p>
        </w:tc>
        <w:tc>
          <w:tcPr>
            <w:tcW w:w="1086" w:type="dxa"/>
            <w:tcBorders>
              <w:top w:val="nil"/>
              <w:left w:val="single" w:sz="6" w:space="0" w:color="auto"/>
              <w:bottom w:val="nil"/>
              <w:right w:val="single" w:sz="6" w:space="0" w:color="auto"/>
            </w:tcBorders>
            <w:vAlign w:val="center"/>
          </w:tcPr>
          <w:p w14:paraId="698DF9B6" w14:textId="77777777" w:rsidR="00937EB6" w:rsidRPr="00F644FD" w:rsidRDefault="00937EB6" w:rsidP="00151B4D">
            <w:pPr>
              <w:pStyle w:val="Tablecentered"/>
            </w:pPr>
            <w:r w:rsidRPr="00F644FD">
              <w:t>-0.7</w:t>
            </w:r>
          </w:p>
        </w:tc>
      </w:tr>
      <w:tr w:rsidR="00937EB6" w:rsidRPr="00F644FD" w14:paraId="643055F2" w14:textId="77777777" w:rsidTr="001B3C28">
        <w:trPr>
          <w:trHeight w:val="324"/>
          <w:jc w:val="center"/>
        </w:trPr>
        <w:tc>
          <w:tcPr>
            <w:tcW w:w="3969" w:type="dxa"/>
            <w:tcBorders>
              <w:top w:val="nil"/>
              <w:left w:val="single" w:sz="6" w:space="0" w:color="auto"/>
              <w:bottom w:val="single" w:sz="6" w:space="0" w:color="auto"/>
              <w:right w:val="single" w:sz="6" w:space="0" w:color="auto"/>
            </w:tcBorders>
            <w:vAlign w:val="center"/>
          </w:tcPr>
          <w:p w14:paraId="6775581C" w14:textId="77777777" w:rsidR="00937EB6" w:rsidRPr="00F644FD" w:rsidRDefault="00937EB6" w:rsidP="001E11E3">
            <w:pPr>
              <w:pStyle w:val="Tablenormalindent"/>
            </w:pPr>
            <w:r w:rsidRPr="00F644FD">
              <w:t>Difference from placebo (LS mean</w:t>
            </w:r>
            <w:r w:rsidRPr="00F644FD">
              <w:rPr>
                <w:vertAlign w:val="superscript"/>
              </w:rPr>
              <w:t>†</w:t>
            </w:r>
            <w:r w:rsidRPr="00F644FD">
              <w:t>, 95% CI)</w:t>
            </w:r>
          </w:p>
        </w:tc>
        <w:tc>
          <w:tcPr>
            <w:tcW w:w="1982" w:type="dxa"/>
            <w:tcBorders>
              <w:top w:val="nil"/>
              <w:left w:val="single" w:sz="6" w:space="0" w:color="auto"/>
              <w:bottom w:val="single" w:sz="6" w:space="0" w:color="auto"/>
              <w:right w:val="single" w:sz="6" w:space="0" w:color="auto"/>
            </w:tcBorders>
            <w:vAlign w:val="center"/>
          </w:tcPr>
          <w:p w14:paraId="1BC226DB" w14:textId="77777777" w:rsidR="00937EB6" w:rsidRPr="00F644FD" w:rsidRDefault="00937EB6" w:rsidP="00151B4D">
            <w:pPr>
              <w:pStyle w:val="Tablecentered"/>
            </w:pPr>
            <w:r w:rsidRPr="00F644FD">
              <w:t>-3.7</w:t>
            </w:r>
            <w:r w:rsidRPr="00F644FD">
              <w:rPr>
                <w:vertAlign w:val="superscript"/>
              </w:rPr>
              <w:t>¶</w:t>
            </w:r>
            <w:r w:rsidRPr="00F644FD">
              <w:t xml:space="preserve"> (-6.0, -1.4)</w:t>
            </w:r>
          </w:p>
        </w:tc>
        <w:tc>
          <w:tcPr>
            <w:tcW w:w="2268" w:type="dxa"/>
            <w:tcBorders>
              <w:top w:val="nil"/>
              <w:left w:val="single" w:sz="6" w:space="0" w:color="auto"/>
              <w:bottom w:val="single" w:sz="6" w:space="0" w:color="auto"/>
              <w:right w:val="single" w:sz="6" w:space="0" w:color="auto"/>
            </w:tcBorders>
            <w:vAlign w:val="center"/>
          </w:tcPr>
          <w:p w14:paraId="02595CA1" w14:textId="77777777" w:rsidR="00937EB6" w:rsidRPr="00F644FD" w:rsidRDefault="00937EB6" w:rsidP="00151B4D">
            <w:pPr>
              <w:pStyle w:val="Tablecentered"/>
            </w:pPr>
            <w:r w:rsidRPr="00F644FD">
              <w:t>-4.5</w:t>
            </w:r>
            <w:r w:rsidRPr="00F644FD">
              <w:rPr>
                <w:vertAlign w:val="superscript"/>
              </w:rPr>
              <w:t>‡</w:t>
            </w:r>
            <w:r w:rsidRPr="00F644FD">
              <w:t xml:space="preserve"> (-6.8, -2.2)</w:t>
            </w:r>
          </w:p>
        </w:tc>
        <w:tc>
          <w:tcPr>
            <w:tcW w:w="1086" w:type="dxa"/>
            <w:tcBorders>
              <w:top w:val="nil"/>
              <w:left w:val="single" w:sz="6" w:space="0" w:color="auto"/>
              <w:bottom w:val="single" w:sz="6" w:space="0" w:color="auto"/>
              <w:right w:val="single" w:sz="6" w:space="0" w:color="auto"/>
            </w:tcBorders>
            <w:vAlign w:val="center"/>
          </w:tcPr>
          <w:p w14:paraId="39434163" w14:textId="77777777" w:rsidR="00937EB6" w:rsidRPr="00F644FD" w:rsidRDefault="00937EB6" w:rsidP="00151B4D">
            <w:pPr>
              <w:pStyle w:val="Tablecentered"/>
            </w:pPr>
          </w:p>
        </w:tc>
      </w:tr>
      <w:tr w:rsidR="00937EB6" w:rsidRPr="00F644FD" w14:paraId="0C1C8096" w14:textId="77777777" w:rsidTr="001B3C28">
        <w:trPr>
          <w:trHeight w:val="324"/>
          <w:jc w:val="center"/>
        </w:trPr>
        <w:tc>
          <w:tcPr>
            <w:tcW w:w="3969" w:type="dxa"/>
            <w:tcBorders>
              <w:top w:val="single" w:sz="6" w:space="0" w:color="auto"/>
              <w:left w:val="single" w:sz="6" w:space="0" w:color="auto"/>
              <w:bottom w:val="nil"/>
              <w:right w:val="single" w:sz="6" w:space="0" w:color="auto"/>
            </w:tcBorders>
            <w:vAlign w:val="center"/>
          </w:tcPr>
          <w:p w14:paraId="2D5E13BC" w14:textId="77777777" w:rsidR="00937EB6" w:rsidRPr="00F644FD" w:rsidRDefault="00937EB6" w:rsidP="001E11E3">
            <w:pPr>
              <w:pStyle w:val="Tablenormal0"/>
              <w:rPr>
                <w:b/>
                <w:bCs/>
              </w:rPr>
            </w:pPr>
            <w:r w:rsidRPr="00F644FD">
              <w:rPr>
                <w:b/>
                <w:bCs/>
              </w:rPr>
              <w:t>Diastolic Blood Pressure</w:t>
            </w:r>
          </w:p>
        </w:tc>
        <w:tc>
          <w:tcPr>
            <w:tcW w:w="1982" w:type="dxa"/>
            <w:tcBorders>
              <w:top w:val="single" w:sz="6" w:space="0" w:color="auto"/>
              <w:left w:val="single" w:sz="6" w:space="0" w:color="auto"/>
              <w:bottom w:val="nil"/>
              <w:right w:val="single" w:sz="6" w:space="0" w:color="auto"/>
            </w:tcBorders>
            <w:vAlign w:val="center"/>
          </w:tcPr>
          <w:p w14:paraId="0D27DF94" w14:textId="77777777" w:rsidR="00937EB6" w:rsidRPr="00F644FD" w:rsidRDefault="00937EB6" w:rsidP="001E11E3">
            <w:pPr>
              <w:pStyle w:val="Tablecentered"/>
              <w:rPr>
                <w:b/>
                <w:bCs/>
              </w:rPr>
            </w:pPr>
            <w:r w:rsidRPr="00F644FD">
              <w:rPr>
                <w:b/>
                <w:bCs/>
              </w:rPr>
              <w:t>N = 207</w:t>
            </w:r>
          </w:p>
        </w:tc>
        <w:tc>
          <w:tcPr>
            <w:tcW w:w="2268" w:type="dxa"/>
            <w:tcBorders>
              <w:top w:val="single" w:sz="6" w:space="0" w:color="auto"/>
              <w:left w:val="single" w:sz="6" w:space="0" w:color="auto"/>
              <w:bottom w:val="nil"/>
              <w:right w:val="single" w:sz="6" w:space="0" w:color="auto"/>
            </w:tcBorders>
            <w:vAlign w:val="center"/>
          </w:tcPr>
          <w:p w14:paraId="4DB8E0CB" w14:textId="77777777" w:rsidR="00937EB6" w:rsidRPr="00F644FD" w:rsidRDefault="00937EB6" w:rsidP="001E11E3">
            <w:pPr>
              <w:pStyle w:val="Tablecentered"/>
              <w:rPr>
                <w:b/>
                <w:bCs/>
              </w:rPr>
            </w:pPr>
            <w:r w:rsidRPr="00F644FD">
              <w:rPr>
                <w:b/>
                <w:bCs/>
              </w:rPr>
              <w:t>N = 204</w:t>
            </w:r>
          </w:p>
        </w:tc>
        <w:tc>
          <w:tcPr>
            <w:tcW w:w="1086" w:type="dxa"/>
            <w:tcBorders>
              <w:top w:val="single" w:sz="6" w:space="0" w:color="auto"/>
              <w:left w:val="single" w:sz="6" w:space="0" w:color="auto"/>
              <w:bottom w:val="nil"/>
              <w:right w:val="single" w:sz="6" w:space="0" w:color="auto"/>
            </w:tcBorders>
            <w:vAlign w:val="center"/>
          </w:tcPr>
          <w:p w14:paraId="4894B625" w14:textId="77777777" w:rsidR="00937EB6" w:rsidRPr="00F644FD" w:rsidRDefault="00937EB6" w:rsidP="001E11E3">
            <w:pPr>
              <w:pStyle w:val="Tablecentered"/>
              <w:rPr>
                <w:b/>
                <w:bCs/>
              </w:rPr>
            </w:pPr>
            <w:r w:rsidRPr="00F644FD">
              <w:rPr>
                <w:b/>
                <w:bCs/>
              </w:rPr>
              <w:t>N = 209</w:t>
            </w:r>
          </w:p>
        </w:tc>
      </w:tr>
      <w:tr w:rsidR="00937EB6" w:rsidRPr="00F644FD" w14:paraId="58B8F61A"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3C7DB77C" w14:textId="77777777" w:rsidR="00937EB6" w:rsidRPr="00F644FD" w:rsidRDefault="00937EB6" w:rsidP="001E11E3">
            <w:pPr>
              <w:pStyle w:val="Tablenormalindent"/>
            </w:pPr>
            <w:r w:rsidRPr="00F644FD">
              <w:t>Baseline (mean)</w:t>
            </w:r>
          </w:p>
        </w:tc>
        <w:tc>
          <w:tcPr>
            <w:tcW w:w="1982" w:type="dxa"/>
            <w:tcBorders>
              <w:top w:val="nil"/>
              <w:left w:val="single" w:sz="6" w:space="0" w:color="auto"/>
              <w:bottom w:val="nil"/>
              <w:right w:val="single" w:sz="6" w:space="0" w:color="auto"/>
            </w:tcBorders>
            <w:vAlign w:val="center"/>
          </w:tcPr>
          <w:p w14:paraId="3DF4E457" w14:textId="77777777" w:rsidR="00937EB6" w:rsidRPr="00F644FD" w:rsidRDefault="00937EB6" w:rsidP="00151B4D">
            <w:pPr>
              <w:pStyle w:val="Tablecentered"/>
            </w:pPr>
            <w:r w:rsidRPr="00F644FD">
              <w:t>78.4</w:t>
            </w:r>
          </w:p>
        </w:tc>
        <w:tc>
          <w:tcPr>
            <w:tcW w:w="2268" w:type="dxa"/>
            <w:tcBorders>
              <w:top w:val="nil"/>
              <w:left w:val="single" w:sz="6" w:space="0" w:color="auto"/>
              <w:bottom w:val="nil"/>
              <w:right w:val="single" w:sz="6" w:space="0" w:color="auto"/>
            </w:tcBorders>
            <w:vAlign w:val="center"/>
          </w:tcPr>
          <w:p w14:paraId="76E8C4B4" w14:textId="77777777" w:rsidR="00937EB6" w:rsidRPr="00F644FD" w:rsidRDefault="00937EB6" w:rsidP="00151B4D">
            <w:pPr>
              <w:pStyle w:val="Tablecentered"/>
            </w:pPr>
            <w:r w:rsidRPr="00F644FD">
              <w:t>78.1</w:t>
            </w:r>
          </w:p>
        </w:tc>
        <w:tc>
          <w:tcPr>
            <w:tcW w:w="1086" w:type="dxa"/>
            <w:tcBorders>
              <w:top w:val="nil"/>
              <w:left w:val="single" w:sz="6" w:space="0" w:color="auto"/>
              <w:bottom w:val="nil"/>
              <w:right w:val="single" w:sz="6" w:space="0" w:color="auto"/>
            </w:tcBorders>
            <w:vAlign w:val="center"/>
          </w:tcPr>
          <w:p w14:paraId="5ACF2B32" w14:textId="77777777" w:rsidR="00937EB6" w:rsidRPr="00F644FD" w:rsidRDefault="00937EB6" w:rsidP="00151B4D">
            <w:pPr>
              <w:pStyle w:val="Tablecentered"/>
            </w:pPr>
            <w:r w:rsidRPr="00F644FD">
              <w:t>77.4</w:t>
            </w:r>
          </w:p>
        </w:tc>
      </w:tr>
      <w:tr w:rsidR="00937EB6" w:rsidRPr="00F644FD" w14:paraId="14E03A0E"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4AC63496" w14:textId="77777777" w:rsidR="00937EB6" w:rsidRPr="00F644FD" w:rsidRDefault="00937EB6" w:rsidP="001E11E3">
            <w:pPr>
              <w:pStyle w:val="Tablenormalindent"/>
            </w:pPr>
            <w:r w:rsidRPr="00F644FD">
              <w:t>Change from baseline (LS mean</w:t>
            </w:r>
            <w:r w:rsidRPr="00F644FD">
              <w:rPr>
                <w:vertAlign w:val="superscript"/>
              </w:rPr>
              <w:t>†</w:t>
            </w:r>
            <w:r w:rsidRPr="00F644FD">
              <w:t>)</w:t>
            </w:r>
          </w:p>
        </w:tc>
        <w:tc>
          <w:tcPr>
            <w:tcW w:w="1982" w:type="dxa"/>
            <w:tcBorders>
              <w:top w:val="nil"/>
              <w:left w:val="single" w:sz="6" w:space="0" w:color="auto"/>
              <w:bottom w:val="nil"/>
              <w:right w:val="single" w:sz="6" w:space="0" w:color="auto"/>
            </w:tcBorders>
            <w:vAlign w:val="center"/>
          </w:tcPr>
          <w:p w14:paraId="30DC42F9" w14:textId="77777777" w:rsidR="00937EB6" w:rsidRPr="00F644FD" w:rsidRDefault="00937EB6" w:rsidP="00151B4D">
            <w:pPr>
              <w:pStyle w:val="Tablecentered"/>
            </w:pPr>
            <w:r w:rsidRPr="00F644FD">
              <w:t>-1.6</w:t>
            </w:r>
          </w:p>
        </w:tc>
        <w:tc>
          <w:tcPr>
            <w:tcW w:w="2268" w:type="dxa"/>
            <w:tcBorders>
              <w:top w:val="nil"/>
              <w:left w:val="single" w:sz="6" w:space="0" w:color="auto"/>
              <w:bottom w:val="nil"/>
              <w:right w:val="single" w:sz="6" w:space="0" w:color="auto"/>
            </w:tcBorders>
            <w:vAlign w:val="center"/>
          </w:tcPr>
          <w:p w14:paraId="0D021431" w14:textId="77777777" w:rsidR="00937EB6" w:rsidRPr="00F644FD" w:rsidRDefault="00937EB6" w:rsidP="00151B4D">
            <w:pPr>
              <w:pStyle w:val="Tablecentered"/>
            </w:pPr>
            <w:r w:rsidRPr="00F644FD">
              <w:t>-2.2</w:t>
            </w:r>
          </w:p>
        </w:tc>
        <w:tc>
          <w:tcPr>
            <w:tcW w:w="1086" w:type="dxa"/>
            <w:tcBorders>
              <w:top w:val="nil"/>
              <w:left w:val="single" w:sz="6" w:space="0" w:color="auto"/>
              <w:bottom w:val="nil"/>
              <w:right w:val="single" w:sz="6" w:space="0" w:color="auto"/>
            </w:tcBorders>
            <w:vAlign w:val="center"/>
          </w:tcPr>
          <w:p w14:paraId="23CD4517" w14:textId="77777777" w:rsidR="00937EB6" w:rsidRPr="00F644FD" w:rsidRDefault="00937EB6" w:rsidP="00151B4D">
            <w:pPr>
              <w:pStyle w:val="Tablecentered"/>
            </w:pPr>
            <w:r w:rsidRPr="00F644FD">
              <w:t>0.2</w:t>
            </w:r>
          </w:p>
        </w:tc>
      </w:tr>
      <w:tr w:rsidR="00937EB6" w:rsidRPr="00F644FD" w14:paraId="5C26612C" w14:textId="77777777" w:rsidTr="001B3C28">
        <w:trPr>
          <w:trHeight w:val="324"/>
          <w:jc w:val="center"/>
        </w:trPr>
        <w:tc>
          <w:tcPr>
            <w:tcW w:w="3969" w:type="dxa"/>
            <w:tcBorders>
              <w:top w:val="nil"/>
              <w:left w:val="single" w:sz="6" w:space="0" w:color="auto"/>
              <w:bottom w:val="single" w:sz="4" w:space="0" w:color="auto"/>
              <w:right w:val="single" w:sz="6" w:space="0" w:color="auto"/>
            </w:tcBorders>
            <w:vAlign w:val="center"/>
          </w:tcPr>
          <w:p w14:paraId="791FF57D" w14:textId="77777777" w:rsidR="00937EB6" w:rsidRPr="00F644FD" w:rsidRDefault="00937EB6" w:rsidP="001E11E3">
            <w:pPr>
              <w:pStyle w:val="Tablenormalindent"/>
            </w:pPr>
            <w:r w:rsidRPr="00F644FD">
              <w:t>Difference from placebo (LS mean</w:t>
            </w:r>
            <w:r w:rsidRPr="00F644FD">
              <w:rPr>
                <w:vertAlign w:val="superscript"/>
              </w:rPr>
              <w:t>†</w:t>
            </w:r>
            <w:r w:rsidRPr="00F644FD">
              <w:t>, 95% CI)</w:t>
            </w:r>
          </w:p>
        </w:tc>
        <w:tc>
          <w:tcPr>
            <w:tcW w:w="1982" w:type="dxa"/>
            <w:tcBorders>
              <w:top w:val="nil"/>
              <w:left w:val="single" w:sz="6" w:space="0" w:color="auto"/>
              <w:bottom w:val="single" w:sz="4" w:space="0" w:color="auto"/>
              <w:right w:val="single" w:sz="6" w:space="0" w:color="auto"/>
            </w:tcBorders>
            <w:vAlign w:val="center"/>
          </w:tcPr>
          <w:p w14:paraId="5A19A469" w14:textId="77777777" w:rsidR="00937EB6" w:rsidRPr="00F644FD" w:rsidRDefault="00937EB6" w:rsidP="00151B4D">
            <w:pPr>
              <w:pStyle w:val="Tablecentered"/>
            </w:pPr>
            <w:r w:rsidRPr="00F644FD">
              <w:t>-1.8</w:t>
            </w:r>
            <w:r w:rsidRPr="00F644FD">
              <w:rPr>
                <w:vertAlign w:val="superscript"/>
              </w:rPr>
              <w:t>¶</w:t>
            </w:r>
            <w:r w:rsidRPr="00F644FD">
              <w:t xml:space="preserve"> (-3.2, -0.4)</w:t>
            </w:r>
          </w:p>
        </w:tc>
        <w:tc>
          <w:tcPr>
            <w:tcW w:w="2268" w:type="dxa"/>
            <w:tcBorders>
              <w:top w:val="nil"/>
              <w:left w:val="single" w:sz="6" w:space="0" w:color="auto"/>
              <w:bottom w:val="single" w:sz="4" w:space="0" w:color="auto"/>
              <w:right w:val="single" w:sz="6" w:space="0" w:color="auto"/>
            </w:tcBorders>
            <w:vAlign w:val="center"/>
          </w:tcPr>
          <w:p w14:paraId="24C52E7B" w14:textId="77777777" w:rsidR="00937EB6" w:rsidRPr="00F644FD" w:rsidRDefault="00937EB6" w:rsidP="00151B4D">
            <w:pPr>
              <w:pStyle w:val="Tablecentered"/>
            </w:pPr>
            <w:r w:rsidRPr="00F644FD">
              <w:t>-2.4</w:t>
            </w:r>
            <w:r w:rsidRPr="00F644FD">
              <w:rPr>
                <w:vertAlign w:val="superscript"/>
              </w:rPr>
              <w:t>‡</w:t>
            </w:r>
            <w:r w:rsidRPr="00F644FD">
              <w:t xml:space="preserve"> (-3.9, -1.0)</w:t>
            </w:r>
          </w:p>
        </w:tc>
        <w:tc>
          <w:tcPr>
            <w:tcW w:w="1086" w:type="dxa"/>
            <w:tcBorders>
              <w:top w:val="nil"/>
              <w:left w:val="single" w:sz="6" w:space="0" w:color="auto"/>
              <w:bottom w:val="single" w:sz="4" w:space="0" w:color="auto"/>
              <w:right w:val="single" w:sz="6" w:space="0" w:color="auto"/>
            </w:tcBorders>
            <w:vAlign w:val="center"/>
          </w:tcPr>
          <w:p w14:paraId="3B94F276" w14:textId="77777777" w:rsidR="00937EB6" w:rsidRPr="00F644FD" w:rsidRDefault="00937EB6" w:rsidP="00151B4D">
            <w:pPr>
              <w:pStyle w:val="Tablecentered"/>
            </w:pPr>
          </w:p>
        </w:tc>
      </w:tr>
      <w:tr w:rsidR="00F56CE4" w:rsidRPr="00F644FD" w14:paraId="30F1F631" w14:textId="77777777" w:rsidTr="00FE73FD">
        <w:trPr>
          <w:trHeight w:val="324"/>
          <w:jc w:val="center"/>
        </w:trPr>
        <w:tc>
          <w:tcPr>
            <w:tcW w:w="9305" w:type="dxa"/>
            <w:gridSpan w:val="4"/>
            <w:tcBorders>
              <w:top w:val="single" w:sz="4" w:space="0" w:color="auto"/>
              <w:left w:val="single" w:sz="4" w:space="0" w:color="auto"/>
              <w:bottom w:val="single" w:sz="4" w:space="0" w:color="auto"/>
              <w:right w:val="single" w:sz="4" w:space="0" w:color="auto"/>
            </w:tcBorders>
            <w:vAlign w:val="center"/>
          </w:tcPr>
          <w:p w14:paraId="477A112E" w14:textId="2D892AAF" w:rsidR="00F56CE4" w:rsidRPr="00F644FD" w:rsidRDefault="00F56CE4" w:rsidP="001E11E3">
            <w:pPr>
              <w:pStyle w:val="Tablenormal0"/>
              <w:rPr>
                <w:b/>
                <w:bCs/>
              </w:rPr>
            </w:pPr>
            <w:r w:rsidRPr="00F644FD">
              <w:rPr>
                <w:b/>
                <w:bCs/>
              </w:rPr>
              <w:t>Efficacy in patients with high baseline HbA1c (≥9%)</w:t>
            </w:r>
          </w:p>
        </w:tc>
      </w:tr>
      <w:tr w:rsidR="00F56CE4" w:rsidRPr="00F644FD" w14:paraId="49D47C08" w14:textId="77777777" w:rsidTr="001B3C28">
        <w:trPr>
          <w:trHeight w:val="324"/>
          <w:jc w:val="center"/>
        </w:trPr>
        <w:tc>
          <w:tcPr>
            <w:tcW w:w="3969" w:type="dxa"/>
            <w:tcBorders>
              <w:top w:val="single" w:sz="4" w:space="0" w:color="auto"/>
              <w:left w:val="single" w:sz="6" w:space="0" w:color="auto"/>
              <w:bottom w:val="nil"/>
              <w:right w:val="single" w:sz="6" w:space="0" w:color="auto"/>
            </w:tcBorders>
            <w:vAlign w:val="center"/>
          </w:tcPr>
          <w:p w14:paraId="65DDAF41" w14:textId="440D6F4E" w:rsidR="00F56CE4" w:rsidRPr="00F644FD" w:rsidRDefault="00F56CE4" w:rsidP="001E11E3">
            <w:pPr>
              <w:pStyle w:val="Tablenormal0"/>
              <w:rPr>
                <w:b/>
                <w:bCs/>
              </w:rPr>
            </w:pPr>
            <w:r w:rsidRPr="00F644FD">
              <w:rPr>
                <w:b/>
                <w:bCs/>
              </w:rPr>
              <w:t xml:space="preserve">HbA1c (%) </w:t>
            </w:r>
          </w:p>
        </w:tc>
        <w:tc>
          <w:tcPr>
            <w:tcW w:w="1982" w:type="dxa"/>
            <w:tcBorders>
              <w:top w:val="single" w:sz="4" w:space="0" w:color="auto"/>
              <w:left w:val="single" w:sz="6" w:space="0" w:color="auto"/>
              <w:bottom w:val="nil"/>
              <w:right w:val="single" w:sz="6" w:space="0" w:color="auto"/>
            </w:tcBorders>
            <w:vAlign w:val="center"/>
          </w:tcPr>
          <w:p w14:paraId="04992EF4" w14:textId="5273EEDB" w:rsidR="00F56CE4" w:rsidRPr="00F644FD" w:rsidRDefault="00F56CE4" w:rsidP="001E11E3">
            <w:pPr>
              <w:pStyle w:val="Tablecentered"/>
              <w:rPr>
                <w:b/>
                <w:bCs/>
              </w:rPr>
            </w:pPr>
            <w:r w:rsidRPr="00F644FD">
              <w:rPr>
                <w:b/>
                <w:bCs/>
              </w:rPr>
              <w:t>N = 34</w:t>
            </w:r>
          </w:p>
        </w:tc>
        <w:tc>
          <w:tcPr>
            <w:tcW w:w="2268" w:type="dxa"/>
            <w:tcBorders>
              <w:top w:val="single" w:sz="4" w:space="0" w:color="auto"/>
              <w:left w:val="single" w:sz="6" w:space="0" w:color="auto"/>
              <w:bottom w:val="nil"/>
              <w:right w:val="single" w:sz="6" w:space="0" w:color="auto"/>
            </w:tcBorders>
            <w:vAlign w:val="center"/>
          </w:tcPr>
          <w:p w14:paraId="03AAEE0F" w14:textId="449F3A80" w:rsidR="00F56CE4" w:rsidRPr="00F644FD" w:rsidRDefault="00F56CE4" w:rsidP="001E11E3">
            <w:pPr>
              <w:pStyle w:val="Tablecentered"/>
              <w:rPr>
                <w:b/>
                <w:bCs/>
              </w:rPr>
            </w:pPr>
            <w:r w:rsidRPr="00F644FD">
              <w:rPr>
                <w:b/>
                <w:bCs/>
              </w:rPr>
              <w:t>N = 38</w:t>
            </w:r>
          </w:p>
        </w:tc>
        <w:tc>
          <w:tcPr>
            <w:tcW w:w="1086" w:type="dxa"/>
            <w:tcBorders>
              <w:top w:val="single" w:sz="4" w:space="0" w:color="auto"/>
              <w:left w:val="single" w:sz="6" w:space="0" w:color="auto"/>
              <w:bottom w:val="nil"/>
              <w:right w:val="single" w:sz="6" w:space="0" w:color="auto"/>
            </w:tcBorders>
            <w:vAlign w:val="center"/>
          </w:tcPr>
          <w:p w14:paraId="4F7B5764" w14:textId="2B940C67" w:rsidR="00F56CE4" w:rsidRPr="00F644FD" w:rsidRDefault="00F56CE4" w:rsidP="001E11E3">
            <w:pPr>
              <w:pStyle w:val="Tablecentered"/>
              <w:rPr>
                <w:b/>
                <w:bCs/>
              </w:rPr>
            </w:pPr>
            <w:r w:rsidRPr="00F644FD">
              <w:rPr>
                <w:b/>
                <w:bCs/>
              </w:rPr>
              <w:t>N = 40</w:t>
            </w:r>
          </w:p>
        </w:tc>
      </w:tr>
      <w:tr w:rsidR="00F56CE4" w:rsidRPr="00F644FD" w14:paraId="7DA2EF9A"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124A3340" w14:textId="69ACA554" w:rsidR="00F56CE4" w:rsidRPr="00F644FD" w:rsidRDefault="00F56CE4" w:rsidP="001E11E3">
            <w:pPr>
              <w:pStyle w:val="Tablenormalindent"/>
            </w:pPr>
            <w:r w:rsidRPr="00F644FD">
              <w:t>Baseline (mean)</w:t>
            </w:r>
          </w:p>
        </w:tc>
        <w:tc>
          <w:tcPr>
            <w:tcW w:w="1982" w:type="dxa"/>
            <w:tcBorders>
              <w:top w:val="nil"/>
              <w:left w:val="single" w:sz="6" w:space="0" w:color="auto"/>
              <w:bottom w:val="nil"/>
              <w:right w:val="single" w:sz="6" w:space="0" w:color="auto"/>
            </w:tcBorders>
            <w:vAlign w:val="center"/>
          </w:tcPr>
          <w:p w14:paraId="439CDBD7" w14:textId="1F4F8685" w:rsidR="00F56CE4" w:rsidRPr="00F644FD" w:rsidRDefault="00F56CE4" w:rsidP="00151B4D">
            <w:pPr>
              <w:pStyle w:val="Tablecentered"/>
            </w:pPr>
            <w:r w:rsidRPr="00F644FD">
              <w:t>9.47</w:t>
            </w:r>
          </w:p>
        </w:tc>
        <w:tc>
          <w:tcPr>
            <w:tcW w:w="2268" w:type="dxa"/>
            <w:tcBorders>
              <w:top w:val="nil"/>
              <w:left w:val="single" w:sz="6" w:space="0" w:color="auto"/>
              <w:bottom w:val="nil"/>
              <w:right w:val="single" w:sz="6" w:space="0" w:color="auto"/>
            </w:tcBorders>
            <w:vAlign w:val="center"/>
          </w:tcPr>
          <w:p w14:paraId="73AAACC8" w14:textId="48E87196" w:rsidR="00F56CE4" w:rsidRPr="00F644FD" w:rsidRDefault="00F56CE4" w:rsidP="00151B4D">
            <w:pPr>
              <w:pStyle w:val="Tablecentered"/>
            </w:pPr>
            <w:r w:rsidRPr="00F644FD">
              <w:t>9.62</w:t>
            </w:r>
          </w:p>
        </w:tc>
        <w:tc>
          <w:tcPr>
            <w:tcW w:w="1086" w:type="dxa"/>
            <w:tcBorders>
              <w:top w:val="nil"/>
              <w:left w:val="single" w:sz="6" w:space="0" w:color="auto"/>
              <w:bottom w:val="nil"/>
              <w:right w:val="single" w:sz="6" w:space="0" w:color="auto"/>
            </w:tcBorders>
            <w:vAlign w:val="center"/>
          </w:tcPr>
          <w:p w14:paraId="75B36126" w14:textId="185A5618" w:rsidR="00F56CE4" w:rsidRPr="00F644FD" w:rsidRDefault="00F56CE4" w:rsidP="00151B4D">
            <w:pPr>
              <w:pStyle w:val="Tablecentered"/>
            </w:pPr>
            <w:r w:rsidRPr="00F644FD">
              <w:t>9.49</w:t>
            </w:r>
          </w:p>
        </w:tc>
      </w:tr>
      <w:tr w:rsidR="00F56CE4" w:rsidRPr="00F644FD" w14:paraId="3DD83F89" w14:textId="77777777" w:rsidTr="001B3C28">
        <w:trPr>
          <w:trHeight w:val="324"/>
          <w:jc w:val="center"/>
        </w:trPr>
        <w:tc>
          <w:tcPr>
            <w:tcW w:w="3969" w:type="dxa"/>
            <w:tcBorders>
              <w:top w:val="nil"/>
              <w:left w:val="single" w:sz="6" w:space="0" w:color="auto"/>
              <w:bottom w:val="nil"/>
              <w:right w:val="single" w:sz="6" w:space="0" w:color="auto"/>
            </w:tcBorders>
            <w:vAlign w:val="center"/>
          </w:tcPr>
          <w:p w14:paraId="057A5A93" w14:textId="5CA59EF3" w:rsidR="00F56CE4" w:rsidRPr="00F644FD" w:rsidRDefault="00F56CE4" w:rsidP="001E11E3">
            <w:pPr>
              <w:pStyle w:val="Tablenormalindent"/>
            </w:pPr>
            <w:r w:rsidRPr="00F644FD">
              <w:t>Change from baseline (LS mean</w:t>
            </w:r>
            <w:r w:rsidRPr="00F644FD">
              <w:rPr>
                <w:vertAlign w:val="superscript"/>
              </w:rPr>
              <w:t>#</w:t>
            </w:r>
            <w:r w:rsidRPr="00F644FD">
              <w:t>)</w:t>
            </w:r>
          </w:p>
        </w:tc>
        <w:tc>
          <w:tcPr>
            <w:tcW w:w="1982" w:type="dxa"/>
            <w:tcBorders>
              <w:top w:val="nil"/>
              <w:left w:val="single" w:sz="6" w:space="0" w:color="auto"/>
              <w:bottom w:val="nil"/>
              <w:right w:val="single" w:sz="6" w:space="0" w:color="auto"/>
            </w:tcBorders>
            <w:vAlign w:val="center"/>
          </w:tcPr>
          <w:p w14:paraId="41F16B3B" w14:textId="58CFAE03" w:rsidR="00F56CE4" w:rsidRPr="00F644FD" w:rsidRDefault="00F56CE4" w:rsidP="00151B4D">
            <w:pPr>
              <w:pStyle w:val="Tablecentered"/>
            </w:pPr>
            <w:r w:rsidRPr="00F644FD">
              <w:t>-1.61</w:t>
            </w:r>
          </w:p>
        </w:tc>
        <w:tc>
          <w:tcPr>
            <w:tcW w:w="2268" w:type="dxa"/>
            <w:tcBorders>
              <w:top w:val="nil"/>
              <w:left w:val="single" w:sz="6" w:space="0" w:color="auto"/>
              <w:bottom w:val="nil"/>
              <w:right w:val="single" w:sz="6" w:space="0" w:color="auto"/>
            </w:tcBorders>
            <w:vAlign w:val="center"/>
          </w:tcPr>
          <w:p w14:paraId="65AB8841" w14:textId="32538BD9" w:rsidR="00F56CE4" w:rsidRPr="00F644FD" w:rsidRDefault="00F56CE4" w:rsidP="00151B4D">
            <w:pPr>
              <w:pStyle w:val="Tablecentered"/>
            </w:pPr>
            <w:r w:rsidRPr="00F644FD">
              <w:t>-1.73</w:t>
            </w:r>
          </w:p>
        </w:tc>
        <w:tc>
          <w:tcPr>
            <w:tcW w:w="1086" w:type="dxa"/>
            <w:tcBorders>
              <w:top w:val="nil"/>
              <w:left w:val="single" w:sz="6" w:space="0" w:color="auto"/>
              <w:bottom w:val="nil"/>
              <w:right w:val="single" w:sz="6" w:space="0" w:color="auto"/>
            </w:tcBorders>
            <w:vAlign w:val="center"/>
          </w:tcPr>
          <w:p w14:paraId="00970CF2" w14:textId="4A28C6BE" w:rsidR="00F56CE4" w:rsidRPr="00F644FD" w:rsidRDefault="00F56CE4" w:rsidP="00151B4D">
            <w:pPr>
              <w:pStyle w:val="Tablecentered"/>
            </w:pPr>
            <w:r w:rsidRPr="00F644FD">
              <w:t>-0.30</w:t>
            </w:r>
          </w:p>
        </w:tc>
      </w:tr>
      <w:tr w:rsidR="00F56CE4" w:rsidRPr="00F644FD" w14:paraId="74661BD4" w14:textId="77777777" w:rsidTr="001B3C28">
        <w:trPr>
          <w:trHeight w:val="324"/>
          <w:jc w:val="center"/>
        </w:trPr>
        <w:tc>
          <w:tcPr>
            <w:tcW w:w="3969" w:type="dxa"/>
            <w:tcBorders>
              <w:top w:val="nil"/>
              <w:left w:val="single" w:sz="6" w:space="0" w:color="auto"/>
              <w:bottom w:val="single" w:sz="4" w:space="0" w:color="auto"/>
              <w:right w:val="single" w:sz="6" w:space="0" w:color="auto"/>
            </w:tcBorders>
            <w:vAlign w:val="center"/>
          </w:tcPr>
          <w:p w14:paraId="14974567" w14:textId="195D48BC" w:rsidR="00F56CE4" w:rsidRPr="00F644FD" w:rsidRDefault="00F56CE4" w:rsidP="001E11E3">
            <w:pPr>
              <w:pStyle w:val="Tablenormalindent"/>
            </w:pPr>
            <w:r w:rsidRPr="00F644FD">
              <w:t>Difference from placebo (LS mean</w:t>
            </w:r>
            <w:r w:rsidRPr="00F644FD">
              <w:rPr>
                <w:vertAlign w:val="superscript"/>
              </w:rPr>
              <w:t>#</w:t>
            </w:r>
            <w:r w:rsidRPr="00F644FD">
              <w:t>, 95% CI)</w:t>
            </w:r>
          </w:p>
        </w:tc>
        <w:tc>
          <w:tcPr>
            <w:tcW w:w="1982" w:type="dxa"/>
            <w:tcBorders>
              <w:top w:val="nil"/>
              <w:left w:val="single" w:sz="6" w:space="0" w:color="auto"/>
              <w:bottom w:val="single" w:sz="4" w:space="0" w:color="auto"/>
              <w:right w:val="single" w:sz="6" w:space="0" w:color="auto"/>
            </w:tcBorders>
            <w:vAlign w:val="center"/>
          </w:tcPr>
          <w:p w14:paraId="0A4E3B8A" w14:textId="2ABC0261" w:rsidR="00F56CE4" w:rsidRPr="00F644FD" w:rsidRDefault="00F56CE4" w:rsidP="00151B4D">
            <w:pPr>
              <w:pStyle w:val="Tablecentered"/>
            </w:pPr>
            <w:r w:rsidRPr="00F644FD">
              <w:t>-1.31 (-1.73, -0.90)</w:t>
            </w:r>
          </w:p>
        </w:tc>
        <w:tc>
          <w:tcPr>
            <w:tcW w:w="2268" w:type="dxa"/>
            <w:tcBorders>
              <w:top w:val="nil"/>
              <w:left w:val="single" w:sz="6" w:space="0" w:color="auto"/>
              <w:bottom w:val="single" w:sz="4" w:space="0" w:color="auto"/>
              <w:right w:val="single" w:sz="6" w:space="0" w:color="auto"/>
            </w:tcBorders>
            <w:vAlign w:val="center"/>
          </w:tcPr>
          <w:p w14:paraId="764EDCAB" w14:textId="09B411EB" w:rsidR="00F56CE4" w:rsidRPr="00F644FD" w:rsidRDefault="00F56CE4" w:rsidP="00151B4D">
            <w:pPr>
              <w:pStyle w:val="Tablecentered"/>
            </w:pPr>
            <w:r w:rsidRPr="00F644FD">
              <w:t>-1.43 (-1.83, -1.03)</w:t>
            </w:r>
          </w:p>
        </w:tc>
        <w:tc>
          <w:tcPr>
            <w:tcW w:w="1086" w:type="dxa"/>
            <w:tcBorders>
              <w:top w:val="nil"/>
              <w:left w:val="single" w:sz="6" w:space="0" w:color="auto"/>
              <w:bottom w:val="single" w:sz="4" w:space="0" w:color="auto"/>
              <w:right w:val="single" w:sz="6" w:space="0" w:color="auto"/>
            </w:tcBorders>
            <w:vAlign w:val="center"/>
          </w:tcPr>
          <w:p w14:paraId="4A748D86" w14:textId="77777777" w:rsidR="00F56CE4" w:rsidRPr="00F644FD" w:rsidRDefault="00F56CE4" w:rsidP="00151B4D">
            <w:pPr>
              <w:pStyle w:val="Tablecentered"/>
            </w:pPr>
          </w:p>
        </w:tc>
      </w:tr>
    </w:tbl>
    <w:p w14:paraId="476AB9B0" w14:textId="661FE412" w:rsidR="00151B4D" w:rsidRPr="00F644FD" w:rsidRDefault="00360581" w:rsidP="00151B4D">
      <w:pPr>
        <w:pStyle w:val="BodyText3"/>
        <w:rPr>
          <w:lang w:val="en-AU"/>
        </w:rPr>
      </w:pPr>
      <w:r w:rsidRPr="00F644FD">
        <w:rPr>
          <w:lang w:val="en-AU"/>
        </w:rPr>
        <w:t>*</w:t>
      </w:r>
      <w:r w:rsidRPr="00F644FD">
        <w:rPr>
          <w:lang w:val="en-AU"/>
        </w:rPr>
        <w:tab/>
        <w:t>N includes all randomis</w:t>
      </w:r>
      <w:r w:rsidR="00151B4D" w:rsidRPr="00F644FD">
        <w:rPr>
          <w:lang w:val="en-AU"/>
        </w:rPr>
        <w:t>ed, treated patients who had at least one measurement of the outcome variable.</w:t>
      </w:r>
    </w:p>
    <w:p w14:paraId="64627392" w14:textId="07B3A620" w:rsidR="00151B4D" w:rsidRPr="00F644FD" w:rsidRDefault="00151B4D" w:rsidP="00151B4D">
      <w:pPr>
        <w:pStyle w:val="BodyText3"/>
        <w:rPr>
          <w:lang w:val="en-AU"/>
        </w:rPr>
      </w:pPr>
      <w:r w:rsidRPr="00F644FD">
        <w:rPr>
          <w:vertAlign w:val="superscript"/>
          <w:lang w:val="en-AU"/>
        </w:rPr>
        <w:t>†</w:t>
      </w:r>
      <w:r w:rsidRPr="00F644FD">
        <w:rPr>
          <w:lang w:val="en-AU"/>
        </w:rPr>
        <w:tab/>
        <w:t xml:space="preserve">Least squares means adjusted for treatment, time, prior anti-hyperglycaemic medication (metformin monotherapy or metformin + another AHA), baseline </w:t>
      </w:r>
      <w:proofErr w:type="spellStart"/>
      <w:r w:rsidRPr="00F644FD">
        <w:rPr>
          <w:lang w:val="en-AU"/>
        </w:rPr>
        <w:t>eGFR</w:t>
      </w:r>
      <w:proofErr w:type="spellEnd"/>
      <w:r w:rsidRPr="00F644FD">
        <w:rPr>
          <w:lang w:val="en-AU"/>
        </w:rPr>
        <w:t xml:space="preserve"> (continuous), menopausal status randomization stratum (men, premenopausal women, women who are </w:t>
      </w:r>
      <w:proofErr w:type="spellStart"/>
      <w:r w:rsidRPr="00F644FD">
        <w:rPr>
          <w:lang w:val="en-AU"/>
        </w:rPr>
        <w:t>perimenopausal</w:t>
      </w:r>
      <w:proofErr w:type="spellEnd"/>
      <w:r w:rsidRPr="00F644FD">
        <w:rPr>
          <w:lang w:val="en-AU"/>
        </w:rPr>
        <w:t xml:space="preserve"> or &lt;3 years postmenopausal, women who are </w:t>
      </w:r>
      <w:r w:rsidRPr="00F644FD">
        <w:rPr>
          <w:lang w:val="en-AU"/>
        </w:rPr>
        <w:sym w:font="Symbol" w:char="F0B3"/>
      </w:r>
      <w:r w:rsidRPr="00F644FD">
        <w:rPr>
          <w:lang w:val="en-AU"/>
        </w:rPr>
        <w:t>3 years postmenopausal) and the interaction of time by treatment.</w:t>
      </w:r>
    </w:p>
    <w:p w14:paraId="2FF891B0" w14:textId="77777777" w:rsidR="00151B4D" w:rsidRPr="00F644FD" w:rsidRDefault="00151B4D" w:rsidP="00151B4D">
      <w:pPr>
        <w:pStyle w:val="BodyText3"/>
        <w:rPr>
          <w:lang w:val="en-AU"/>
        </w:rPr>
      </w:pPr>
      <w:r w:rsidRPr="00F644FD">
        <w:rPr>
          <w:vertAlign w:val="superscript"/>
          <w:lang w:val="en-AU"/>
        </w:rPr>
        <w:t>‡</w:t>
      </w:r>
      <w:r w:rsidRPr="00F644FD">
        <w:rPr>
          <w:lang w:val="en-AU"/>
        </w:rPr>
        <w:tab/>
      </w:r>
      <w:proofErr w:type="gramStart"/>
      <w:r w:rsidRPr="00F644FD">
        <w:rPr>
          <w:lang w:val="en-AU"/>
        </w:rPr>
        <w:t>p</w:t>
      </w:r>
      <w:proofErr w:type="gramEnd"/>
      <w:r w:rsidRPr="00F644FD">
        <w:rPr>
          <w:lang w:val="en-AU"/>
        </w:rPr>
        <w:sym w:font="Symbol" w:char="F0A3"/>
      </w:r>
      <w:r w:rsidRPr="00F644FD">
        <w:rPr>
          <w:lang w:val="en-AU"/>
        </w:rPr>
        <w:t>0.001 compared to placebo.</w:t>
      </w:r>
    </w:p>
    <w:p w14:paraId="6DF9EB1F" w14:textId="77777777" w:rsidR="00151B4D" w:rsidRPr="00F644FD" w:rsidRDefault="00151B4D" w:rsidP="00151B4D">
      <w:pPr>
        <w:pStyle w:val="BodyText3"/>
        <w:rPr>
          <w:lang w:val="en-AU"/>
        </w:rPr>
      </w:pPr>
      <w:proofErr w:type="gramStart"/>
      <w:r w:rsidRPr="00F644FD">
        <w:rPr>
          <w:vertAlign w:val="superscript"/>
          <w:lang w:val="en-AU"/>
        </w:rPr>
        <w:t>§</w:t>
      </w:r>
      <w:r w:rsidRPr="00F644FD">
        <w:rPr>
          <w:lang w:val="en-AU"/>
        </w:rPr>
        <w:tab/>
        <w:t>p&lt;0.001 compared to placebo (based on adjusted odds ratio comparisons from a logistic regression model using multiple imputation for missing data values).</w:t>
      </w:r>
      <w:proofErr w:type="gramEnd"/>
    </w:p>
    <w:p w14:paraId="27BDEA77" w14:textId="77777777" w:rsidR="00151B4D" w:rsidRPr="00F644FD" w:rsidRDefault="00151B4D" w:rsidP="00151B4D">
      <w:pPr>
        <w:pStyle w:val="BodyText3"/>
        <w:rPr>
          <w:lang w:val="en-AU"/>
        </w:rPr>
      </w:pPr>
      <w:r w:rsidRPr="00F644FD">
        <w:rPr>
          <w:vertAlign w:val="superscript"/>
          <w:lang w:val="en-AU"/>
        </w:rPr>
        <w:t>¶</w:t>
      </w:r>
      <w:r w:rsidRPr="00F644FD">
        <w:rPr>
          <w:lang w:val="en-AU"/>
        </w:rPr>
        <w:tab/>
        <w:t>p&lt;0.05 compared to placebo.</w:t>
      </w:r>
    </w:p>
    <w:p w14:paraId="52889F76" w14:textId="59E28C01" w:rsidR="00F56CE4" w:rsidRPr="00F644FD" w:rsidRDefault="00F56CE4" w:rsidP="00151B4D">
      <w:pPr>
        <w:pStyle w:val="BodyText3"/>
        <w:rPr>
          <w:lang w:val="en-AU"/>
        </w:rPr>
      </w:pPr>
      <w:r w:rsidRPr="00F644FD">
        <w:rPr>
          <w:vertAlign w:val="superscript"/>
          <w:lang w:val="en-AU"/>
        </w:rPr>
        <w:lastRenderedPageBreak/>
        <w:t>#</w:t>
      </w:r>
      <w:r w:rsidRPr="00F644FD">
        <w:rPr>
          <w:lang w:val="en-AU"/>
        </w:rPr>
        <w:tab/>
        <w:t xml:space="preserve">Obtained from a repeated measures ANCOVA model with terms for prior </w:t>
      </w:r>
      <w:proofErr w:type="spellStart"/>
      <w:r w:rsidRPr="00F644FD">
        <w:rPr>
          <w:lang w:val="en-AU"/>
        </w:rPr>
        <w:t>antihyperglycaemic</w:t>
      </w:r>
      <w:proofErr w:type="spellEnd"/>
      <w:r w:rsidRPr="00F644FD">
        <w:rPr>
          <w:lang w:val="en-AU"/>
        </w:rPr>
        <w:t xml:space="preserve"> medication, menopausal</w:t>
      </w:r>
      <w:r w:rsidR="00AD03B2" w:rsidRPr="00F644FD">
        <w:rPr>
          <w:lang w:val="en-AU"/>
        </w:rPr>
        <w:t xml:space="preserve"> status stratum, baseline </w:t>
      </w:r>
      <w:proofErr w:type="spellStart"/>
      <w:r w:rsidR="00AD03B2" w:rsidRPr="00F644FD">
        <w:rPr>
          <w:lang w:val="en-AU"/>
        </w:rPr>
        <w:t>eGFR</w:t>
      </w:r>
      <w:proofErr w:type="spellEnd"/>
      <w:r w:rsidRPr="00F644FD">
        <w:rPr>
          <w:lang w:val="en-AU"/>
        </w:rPr>
        <w:t>,</w:t>
      </w:r>
      <w:r w:rsidR="00AD03B2" w:rsidRPr="00F644FD">
        <w:rPr>
          <w:lang w:val="en-AU"/>
        </w:rPr>
        <w:t xml:space="preserve"> </w:t>
      </w:r>
      <w:r w:rsidRPr="00F644FD">
        <w:rPr>
          <w:lang w:val="en-AU"/>
        </w:rPr>
        <w:t>baseline HbA1c, treatment, subgroup, treatment-by-subgroup</w:t>
      </w:r>
      <w:proofErr w:type="gramStart"/>
      <w:r w:rsidRPr="00F644FD">
        <w:rPr>
          <w:lang w:val="en-AU"/>
        </w:rPr>
        <w:t>,  and</w:t>
      </w:r>
      <w:proofErr w:type="gramEnd"/>
      <w:r w:rsidRPr="00F644FD">
        <w:rPr>
          <w:lang w:val="en-AU"/>
        </w:rPr>
        <w:t xml:space="preserve"> treatment-by-time-by-subgroup interactions.</w:t>
      </w:r>
    </w:p>
    <w:p w14:paraId="185B2678" w14:textId="725D1337" w:rsidR="00151B4D" w:rsidRPr="00F644FD" w:rsidRDefault="00151B4D" w:rsidP="00151B4D">
      <w:pPr>
        <w:pStyle w:val="Heading7"/>
        <w:rPr>
          <w:iCs/>
          <w:lang w:val="en-AU"/>
        </w:rPr>
      </w:pPr>
      <w:r w:rsidRPr="00F644FD">
        <w:rPr>
          <w:lang w:val="en-AU"/>
        </w:rPr>
        <w:t>HbA1c (%) Change over Time in a 26</w:t>
      </w:r>
      <w:r w:rsidRPr="00F644FD">
        <w:rPr>
          <w:lang w:val="en-AU"/>
        </w:rPr>
        <w:noBreakHyphen/>
        <w:t>Week Placebo</w:t>
      </w:r>
      <w:r w:rsidRPr="00F644FD">
        <w:rPr>
          <w:lang w:val="en-AU"/>
        </w:rPr>
        <w:noBreakHyphen/>
        <w:t xml:space="preserve">Controlled Study for </w:t>
      </w:r>
      <w:proofErr w:type="spellStart"/>
      <w:r w:rsidRPr="00F644FD">
        <w:rPr>
          <w:lang w:val="en-AU"/>
        </w:rPr>
        <w:t>Ertugliflozin</w:t>
      </w:r>
      <w:proofErr w:type="spellEnd"/>
      <w:r w:rsidRPr="00F644FD">
        <w:rPr>
          <w:lang w:val="en-AU"/>
        </w:rPr>
        <w:t xml:space="preserve"> Used in Combination with Metformin*</w:t>
      </w:r>
    </w:p>
    <w:p w14:paraId="629370F1" w14:textId="46C46D32" w:rsidR="003603EE" w:rsidRPr="00F644FD" w:rsidRDefault="003603EE" w:rsidP="00353D93">
      <w:pPr>
        <w:pStyle w:val="BodyText"/>
      </w:pPr>
      <w:r w:rsidRPr="00345D1C">
        <w:rPr>
          <w:noProof/>
          <w:lang w:eastAsia="en-AU"/>
        </w:rPr>
        <w:drawing>
          <wp:inline distT="0" distB="0" distL="0" distR="0" wp14:anchorId="14A2C3B8" wp14:editId="0FBC8460">
            <wp:extent cx="8010525" cy="3610128"/>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K8835 Figure 2_MK8835B_Figure 1 - Study 007_ER.png"/>
                    <pic:cNvPicPr/>
                  </pic:nvPicPr>
                  <pic:blipFill rotWithShape="1">
                    <a:blip r:embed="rId18" cstate="print">
                      <a:extLst>
                        <a:ext uri="{28A0092B-C50C-407E-A947-70E740481C1C}">
                          <a14:useLocalDpi xmlns:a14="http://schemas.microsoft.com/office/drawing/2010/main" val="0"/>
                        </a:ext>
                      </a:extLst>
                    </a:blip>
                    <a:srcRect t="8237"/>
                    <a:stretch/>
                  </pic:blipFill>
                  <pic:spPr bwMode="auto">
                    <a:xfrm>
                      <a:off x="0" y="0"/>
                      <a:ext cx="8007864" cy="3608929"/>
                    </a:xfrm>
                    <a:prstGeom prst="rect">
                      <a:avLst/>
                    </a:prstGeom>
                    <a:ln>
                      <a:noFill/>
                    </a:ln>
                    <a:extLst>
                      <a:ext uri="{53640926-AAD7-44D8-BBD7-CCE9431645EC}">
                        <a14:shadowObscured xmlns:a14="http://schemas.microsoft.com/office/drawing/2010/main"/>
                      </a:ext>
                    </a:extLst>
                  </pic:spPr>
                </pic:pic>
              </a:graphicData>
            </a:graphic>
          </wp:inline>
        </w:drawing>
      </w:r>
    </w:p>
    <w:p w14:paraId="6A11DEFA" w14:textId="5B20BD94" w:rsidR="00151B4D" w:rsidRPr="00F644FD" w:rsidRDefault="00151B4D" w:rsidP="002D246B">
      <w:pPr>
        <w:pStyle w:val="BodyText3"/>
        <w:rPr>
          <w:lang w:val="en-AU"/>
        </w:rPr>
      </w:pPr>
      <w:r w:rsidRPr="00F644FD">
        <w:rPr>
          <w:lang w:val="en-AU"/>
        </w:rPr>
        <w:t>*</w:t>
      </w:r>
      <w:r w:rsidRPr="00F644FD">
        <w:rPr>
          <w:lang w:val="en-AU"/>
        </w:rPr>
        <w:tab/>
        <w:t>Based on the full analysis set populat</w:t>
      </w:r>
      <w:r w:rsidR="00360581" w:rsidRPr="00F644FD">
        <w:rPr>
          <w:lang w:val="en-AU"/>
        </w:rPr>
        <w:t>ion, which included all randomis</w:t>
      </w:r>
      <w:r w:rsidRPr="00F644FD">
        <w:rPr>
          <w:lang w:val="en-AU"/>
        </w:rPr>
        <w:t>ed, treated patients with at least one HbA1c measurement.</w:t>
      </w:r>
    </w:p>
    <w:p w14:paraId="193667E2" w14:textId="467E1396" w:rsidR="0057373A" w:rsidRPr="00F644FD" w:rsidRDefault="0057373A" w:rsidP="00542329">
      <w:pPr>
        <w:pStyle w:val="Heading3"/>
      </w:pPr>
      <w:r w:rsidRPr="00F644FD">
        <w:t xml:space="preserve">Factorial </w:t>
      </w:r>
      <w:r w:rsidR="002722E4" w:rsidRPr="00F644FD">
        <w:t xml:space="preserve">study </w:t>
      </w:r>
      <w:r w:rsidRPr="00F644FD">
        <w:t xml:space="preserve">with </w:t>
      </w:r>
      <w:proofErr w:type="spellStart"/>
      <w:r w:rsidR="002722E4" w:rsidRPr="00F644FD">
        <w:t>ertugliflozin</w:t>
      </w:r>
      <w:proofErr w:type="spellEnd"/>
      <w:r w:rsidR="002722E4" w:rsidRPr="00F644FD">
        <w:t xml:space="preserve"> </w:t>
      </w:r>
      <w:r w:rsidRPr="00F644FD">
        <w:t xml:space="preserve">and </w:t>
      </w:r>
      <w:proofErr w:type="spellStart"/>
      <w:r w:rsidR="002722E4" w:rsidRPr="00F644FD">
        <w:t>sitagliptin</w:t>
      </w:r>
      <w:proofErr w:type="spellEnd"/>
      <w:r w:rsidR="002722E4" w:rsidRPr="00F644FD">
        <w:t xml:space="preserve"> </w:t>
      </w:r>
      <w:r w:rsidRPr="00F644FD">
        <w:t xml:space="preserve">as </w:t>
      </w:r>
      <w:r w:rsidR="002722E4" w:rsidRPr="00F644FD">
        <w:t>add</w:t>
      </w:r>
      <w:r w:rsidRPr="00F644FD">
        <w:t xml:space="preserve">-on </w:t>
      </w:r>
      <w:r w:rsidR="002722E4" w:rsidRPr="00F644FD">
        <w:t xml:space="preserve">combination therapy </w:t>
      </w:r>
      <w:r w:rsidRPr="00F644FD">
        <w:t xml:space="preserve">with </w:t>
      </w:r>
      <w:r w:rsidR="002722E4" w:rsidRPr="00F644FD">
        <w:t>metformin</w:t>
      </w:r>
    </w:p>
    <w:p w14:paraId="573C1647" w14:textId="344A105B" w:rsidR="0057373A" w:rsidRPr="00F644FD" w:rsidRDefault="0057373A" w:rsidP="0057373A">
      <w:r w:rsidRPr="00F644FD">
        <w:t>A total of 1,233 patients with type 2 dia</w:t>
      </w:r>
      <w:r w:rsidR="00360581" w:rsidRPr="00F644FD">
        <w:t>betes participated in a randomis</w:t>
      </w:r>
      <w:r w:rsidRPr="00F644FD">
        <w:t>ed, double-blind, multi-centre, 26</w:t>
      </w:r>
      <w:r w:rsidR="007A1A3D" w:rsidRPr="00F644FD">
        <w:noBreakHyphen/>
      </w:r>
      <w:r w:rsidRPr="00F644FD">
        <w:t>week, active</w:t>
      </w:r>
      <w:r w:rsidR="007A1A3D" w:rsidRPr="00F644FD">
        <w:noBreakHyphen/>
      </w:r>
      <w:r w:rsidRPr="00F644FD">
        <w:t xml:space="preserve">controlled study to evaluate the efficacy and safety of </w:t>
      </w:r>
      <w:proofErr w:type="spellStart"/>
      <w:r w:rsidRPr="00F644FD">
        <w:t>ertugliflozin</w:t>
      </w:r>
      <w:proofErr w:type="spellEnd"/>
      <w:r w:rsidRPr="00F644FD">
        <w:t xml:space="preserve"> 5 mg or 15 mg in combination with </w:t>
      </w:r>
      <w:proofErr w:type="spellStart"/>
      <w:r w:rsidRPr="00F644FD">
        <w:t>sitagliptin</w:t>
      </w:r>
      <w:proofErr w:type="spellEnd"/>
      <w:r w:rsidRPr="00F644FD">
        <w:t xml:space="preserve"> 100 mg compared to the individual components.  Patients with type 2 diabetes inadequately controlled on metformin monothera</w:t>
      </w:r>
      <w:r w:rsidR="00360581" w:rsidRPr="00F644FD">
        <w:t>py (≥1,500 mg/day) were randomis</w:t>
      </w:r>
      <w:r w:rsidRPr="00F644FD">
        <w:t xml:space="preserve">ed to one of five active-treatment arms: </w:t>
      </w:r>
      <w:proofErr w:type="spellStart"/>
      <w:r w:rsidRPr="00F644FD">
        <w:t>ertugliflozin</w:t>
      </w:r>
      <w:proofErr w:type="spellEnd"/>
      <w:r w:rsidRPr="00F644FD">
        <w:t xml:space="preserve"> 5 mg or 15 mg, </w:t>
      </w:r>
      <w:proofErr w:type="spellStart"/>
      <w:r w:rsidRPr="00F644FD">
        <w:t>sitagliptin</w:t>
      </w:r>
      <w:proofErr w:type="spellEnd"/>
      <w:r w:rsidRPr="00F644FD">
        <w:t xml:space="preserve"> 100 mg, or </w:t>
      </w:r>
      <w:proofErr w:type="spellStart"/>
      <w:r w:rsidRPr="00F644FD">
        <w:t>sitagliptin</w:t>
      </w:r>
      <w:proofErr w:type="spellEnd"/>
      <w:r w:rsidRPr="00F644FD">
        <w:t xml:space="preserve"> 100 mg in combination with 5 mg or 15 mg </w:t>
      </w:r>
      <w:proofErr w:type="spellStart"/>
      <w:r w:rsidRPr="00F644FD">
        <w:t>ertugliflozin</w:t>
      </w:r>
      <w:proofErr w:type="spellEnd"/>
      <w:r w:rsidRPr="00F644FD">
        <w:t xml:space="preserve"> administered once daily in addition to continuation of background metformin therapy.</w:t>
      </w:r>
    </w:p>
    <w:p w14:paraId="74B04CF7" w14:textId="77777777" w:rsidR="00B81855" w:rsidRPr="00F644FD" w:rsidRDefault="00B81855" w:rsidP="0057373A"/>
    <w:p w14:paraId="6EFD1EED" w14:textId="7F37EFC4" w:rsidR="0057373A" w:rsidRPr="00F644FD" w:rsidRDefault="0057373A" w:rsidP="0057373A">
      <w:r w:rsidRPr="00F644FD">
        <w:t xml:space="preserve">At Week 26, </w:t>
      </w:r>
      <w:proofErr w:type="spellStart"/>
      <w:r w:rsidRPr="00F644FD">
        <w:t>ertugliflozin</w:t>
      </w:r>
      <w:proofErr w:type="spellEnd"/>
      <w:r w:rsidRPr="00F644FD">
        <w:t xml:space="preserve"> 5 mg or 15 mg used in combination with </w:t>
      </w:r>
      <w:proofErr w:type="spellStart"/>
      <w:r w:rsidRPr="00F644FD">
        <w:t>sitagliptin</w:t>
      </w:r>
      <w:proofErr w:type="spellEnd"/>
      <w:r w:rsidRPr="00F644FD">
        <w:t xml:space="preserve"> 100 mg provided statistically significant improvement in HbA1c and FPG compared to the individual </w:t>
      </w:r>
      <w:r w:rsidRPr="002722E4">
        <w:t xml:space="preserve">components (see Table </w:t>
      </w:r>
      <w:r w:rsidR="004A255A" w:rsidRPr="002722E4">
        <w:t>4</w:t>
      </w:r>
      <w:r w:rsidRPr="002722E4">
        <w:t xml:space="preserve">).  More patients receiving </w:t>
      </w:r>
      <w:proofErr w:type="spellStart"/>
      <w:r w:rsidRPr="002722E4">
        <w:t>ertugliflozin</w:t>
      </w:r>
      <w:proofErr w:type="spellEnd"/>
      <w:r w:rsidRPr="002722E4">
        <w:t xml:space="preserve"> 5 mg or 15 mg in</w:t>
      </w:r>
      <w:r w:rsidRPr="00F644FD">
        <w:t xml:space="preserve"> combination with </w:t>
      </w:r>
      <w:proofErr w:type="spellStart"/>
      <w:r w:rsidRPr="00F644FD">
        <w:t>sitagliptin</w:t>
      </w:r>
      <w:proofErr w:type="spellEnd"/>
      <w:r w:rsidRPr="00F644FD">
        <w:t xml:space="preserve"> 100 mg achieved an HbA1c &lt;7% compared to the individual components.  Treatment with </w:t>
      </w:r>
      <w:proofErr w:type="spellStart"/>
      <w:r w:rsidRPr="00F644FD">
        <w:t>ertugliflozin</w:t>
      </w:r>
      <w:proofErr w:type="spellEnd"/>
      <w:r w:rsidRPr="00F644FD">
        <w:t xml:space="preserve"> 5 mg or 15 mg in combination with </w:t>
      </w:r>
      <w:proofErr w:type="spellStart"/>
      <w:r w:rsidRPr="00F644FD">
        <w:t>sitagliptin</w:t>
      </w:r>
      <w:proofErr w:type="spellEnd"/>
      <w:r w:rsidRPr="00F644FD">
        <w:t xml:space="preserve"> 100</w:t>
      </w:r>
      <w:r w:rsidR="00B47F8E" w:rsidRPr="00F644FD">
        <w:t> </w:t>
      </w:r>
      <w:r w:rsidRPr="00F644FD">
        <w:t xml:space="preserve">mg also resulted in a statistically significant reduction in body weight and systolic blood pressure compared to </w:t>
      </w:r>
      <w:proofErr w:type="spellStart"/>
      <w:r w:rsidRPr="00F644FD">
        <w:t>sitagliptin</w:t>
      </w:r>
      <w:proofErr w:type="spellEnd"/>
      <w:r w:rsidRPr="00F644FD">
        <w:t xml:space="preserve"> 100 mg.</w:t>
      </w:r>
    </w:p>
    <w:p w14:paraId="4FB54744" w14:textId="55066370" w:rsidR="0057373A" w:rsidRPr="00F644FD" w:rsidRDefault="0057373A" w:rsidP="0057373A">
      <w:pPr>
        <w:pStyle w:val="Heading6"/>
      </w:pPr>
      <w:r w:rsidRPr="00F644FD">
        <w:lastRenderedPageBreak/>
        <w:t xml:space="preserve">Results at Week 26 from a Factorial Study with </w:t>
      </w:r>
      <w:proofErr w:type="spellStart"/>
      <w:r w:rsidRPr="00F644FD">
        <w:rPr>
          <w:bCs/>
        </w:rPr>
        <w:t>Ertugliflozin</w:t>
      </w:r>
      <w:proofErr w:type="spellEnd"/>
      <w:r w:rsidRPr="00F644FD">
        <w:rPr>
          <w:bCs/>
        </w:rPr>
        <w:t xml:space="preserve"> and </w:t>
      </w:r>
      <w:proofErr w:type="spellStart"/>
      <w:r w:rsidRPr="00F644FD">
        <w:t>Sitagliptin</w:t>
      </w:r>
      <w:proofErr w:type="spellEnd"/>
      <w:r w:rsidRPr="00F644FD">
        <w:t xml:space="preserve"> as </w:t>
      </w:r>
      <w:r w:rsidRPr="00F644FD">
        <w:rPr>
          <w:bCs/>
        </w:rPr>
        <w:t>Add</w:t>
      </w:r>
      <w:r w:rsidRPr="00F644FD">
        <w:rPr>
          <w:bCs/>
        </w:rPr>
        <w:noBreakHyphen/>
        <w:t xml:space="preserve">on Combination </w:t>
      </w:r>
      <w:r w:rsidRPr="00F644FD">
        <w:t>Therapy with Metformin Compared to Individual Components Alone*</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2368"/>
        <w:gridCol w:w="1248"/>
        <w:gridCol w:w="1276"/>
        <w:gridCol w:w="1019"/>
        <w:gridCol w:w="1874"/>
        <w:gridCol w:w="1785"/>
      </w:tblGrid>
      <w:tr w:rsidR="00355EBA" w:rsidRPr="00F644FD" w14:paraId="72CC5838" w14:textId="77777777" w:rsidTr="00C02C6F">
        <w:trPr>
          <w:cantSplit/>
          <w:jc w:val="center"/>
        </w:trPr>
        <w:tc>
          <w:tcPr>
            <w:tcW w:w="236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8DE5CF" w14:textId="77777777" w:rsidR="00355EBA" w:rsidRPr="00971219" w:rsidRDefault="00355EBA" w:rsidP="00D7707C">
            <w:pPr>
              <w:pStyle w:val="Tablenormal0"/>
              <w:rPr>
                <w:b/>
                <w:sz w:val="19"/>
                <w:szCs w:val="19"/>
              </w:rPr>
            </w:pPr>
          </w:p>
        </w:tc>
        <w:tc>
          <w:tcPr>
            <w:tcW w:w="124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1B5F091" w14:textId="3DC829B1" w:rsidR="00355EBA" w:rsidRPr="00971219" w:rsidRDefault="00355EBA" w:rsidP="00D7707C">
            <w:pPr>
              <w:pStyle w:val="Tablecentered"/>
              <w:rPr>
                <w:b/>
                <w:bCs/>
                <w:sz w:val="19"/>
                <w:szCs w:val="19"/>
              </w:rPr>
            </w:pPr>
            <w:proofErr w:type="spellStart"/>
            <w:r w:rsidRPr="00971219">
              <w:rPr>
                <w:b/>
                <w:bCs/>
                <w:sz w:val="19"/>
                <w:szCs w:val="19"/>
              </w:rPr>
              <w:t>Ertugliflozin</w:t>
            </w:r>
            <w:proofErr w:type="spellEnd"/>
            <w:r w:rsidRPr="00971219">
              <w:rPr>
                <w:b/>
                <w:bCs/>
                <w:sz w:val="19"/>
                <w:szCs w:val="19"/>
              </w:rPr>
              <w:t xml:space="preserve"> 5 mg</w:t>
            </w: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BDAD79F" w14:textId="6D697CD1" w:rsidR="00355EBA" w:rsidRPr="00971219" w:rsidRDefault="00355EBA" w:rsidP="00D7707C">
            <w:pPr>
              <w:pStyle w:val="Tablecentered"/>
              <w:rPr>
                <w:b/>
                <w:bCs/>
                <w:sz w:val="19"/>
                <w:szCs w:val="19"/>
              </w:rPr>
            </w:pPr>
            <w:proofErr w:type="spellStart"/>
            <w:r w:rsidRPr="00971219">
              <w:rPr>
                <w:b/>
                <w:bCs/>
                <w:sz w:val="19"/>
                <w:szCs w:val="19"/>
              </w:rPr>
              <w:t>Ertugliflozin</w:t>
            </w:r>
            <w:proofErr w:type="spellEnd"/>
            <w:r w:rsidRPr="00971219">
              <w:rPr>
                <w:b/>
                <w:bCs/>
                <w:sz w:val="19"/>
                <w:szCs w:val="19"/>
              </w:rPr>
              <w:t xml:space="preserve"> 15 mg</w:t>
            </w:r>
          </w:p>
        </w:tc>
        <w:tc>
          <w:tcPr>
            <w:tcW w:w="10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8ECCA6" w14:textId="77777777" w:rsidR="00355EBA" w:rsidRPr="00971219" w:rsidRDefault="00355EBA" w:rsidP="00D7707C">
            <w:pPr>
              <w:pStyle w:val="Tablecentered"/>
              <w:rPr>
                <w:b/>
                <w:bCs/>
                <w:sz w:val="19"/>
                <w:szCs w:val="19"/>
              </w:rPr>
            </w:pPr>
            <w:proofErr w:type="spellStart"/>
            <w:r w:rsidRPr="00971219">
              <w:rPr>
                <w:b/>
                <w:bCs/>
                <w:sz w:val="19"/>
                <w:szCs w:val="19"/>
              </w:rPr>
              <w:t>Sitagliptin</w:t>
            </w:r>
            <w:proofErr w:type="spellEnd"/>
            <w:r w:rsidRPr="00971219">
              <w:rPr>
                <w:b/>
                <w:bCs/>
                <w:sz w:val="19"/>
                <w:szCs w:val="19"/>
              </w:rPr>
              <w:t xml:space="preserve"> 100 mg</w:t>
            </w:r>
          </w:p>
        </w:tc>
        <w:tc>
          <w:tcPr>
            <w:tcW w:w="18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4DC6A1" w14:textId="56C4F70D" w:rsidR="00355EBA" w:rsidRPr="00971219" w:rsidRDefault="00355EBA" w:rsidP="00D7707C">
            <w:pPr>
              <w:pStyle w:val="Tablecentered"/>
              <w:rPr>
                <w:b/>
                <w:bCs/>
                <w:sz w:val="19"/>
                <w:szCs w:val="19"/>
              </w:rPr>
            </w:pPr>
            <w:proofErr w:type="spellStart"/>
            <w:r w:rsidRPr="00971219">
              <w:rPr>
                <w:b/>
                <w:bCs/>
                <w:sz w:val="19"/>
                <w:szCs w:val="19"/>
              </w:rPr>
              <w:t>Ertugliflozin</w:t>
            </w:r>
            <w:proofErr w:type="spellEnd"/>
            <w:r w:rsidRPr="00971219">
              <w:rPr>
                <w:b/>
                <w:bCs/>
                <w:sz w:val="19"/>
                <w:szCs w:val="19"/>
              </w:rPr>
              <w:t xml:space="preserve"> 5 mg +</w:t>
            </w:r>
          </w:p>
          <w:p w14:paraId="2CCA15E3" w14:textId="77777777" w:rsidR="00355EBA" w:rsidRPr="00971219" w:rsidRDefault="00355EBA" w:rsidP="00D7707C">
            <w:pPr>
              <w:pStyle w:val="Tablecentered"/>
              <w:rPr>
                <w:b/>
                <w:bCs/>
                <w:sz w:val="19"/>
                <w:szCs w:val="19"/>
              </w:rPr>
            </w:pPr>
            <w:proofErr w:type="spellStart"/>
            <w:r w:rsidRPr="00971219">
              <w:rPr>
                <w:b/>
                <w:bCs/>
                <w:sz w:val="19"/>
                <w:szCs w:val="19"/>
              </w:rPr>
              <w:t>Sitagliptin</w:t>
            </w:r>
            <w:proofErr w:type="spellEnd"/>
            <w:r w:rsidRPr="00971219">
              <w:rPr>
                <w:b/>
                <w:bCs/>
                <w:sz w:val="19"/>
                <w:szCs w:val="19"/>
              </w:rPr>
              <w:t xml:space="preserve"> 100 mg</w:t>
            </w:r>
          </w:p>
        </w:tc>
        <w:tc>
          <w:tcPr>
            <w:tcW w:w="17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B661A1" w14:textId="79C7FA13" w:rsidR="00355EBA" w:rsidRPr="00971219" w:rsidRDefault="00355EBA" w:rsidP="00D7707C">
            <w:pPr>
              <w:pStyle w:val="Tablecentered"/>
              <w:rPr>
                <w:b/>
                <w:bCs/>
                <w:sz w:val="19"/>
                <w:szCs w:val="19"/>
              </w:rPr>
            </w:pPr>
            <w:proofErr w:type="spellStart"/>
            <w:r w:rsidRPr="00971219">
              <w:rPr>
                <w:b/>
                <w:bCs/>
                <w:sz w:val="19"/>
                <w:szCs w:val="19"/>
              </w:rPr>
              <w:t>Ertugliflozin</w:t>
            </w:r>
            <w:proofErr w:type="spellEnd"/>
            <w:r w:rsidRPr="00971219">
              <w:rPr>
                <w:b/>
                <w:bCs/>
                <w:sz w:val="19"/>
                <w:szCs w:val="19"/>
              </w:rPr>
              <w:t xml:space="preserve"> 15 mg + </w:t>
            </w:r>
            <w:proofErr w:type="spellStart"/>
            <w:r w:rsidRPr="00971219">
              <w:rPr>
                <w:b/>
                <w:bCs/>
                <w:sz w:val="19"/>
                <w:szCs w:val="19"/>
              </w:rPr>
              <w:t>Sitagliptin</w:t>
            </w:r>
            <w:proofErr w:type="spellEnd"/>
            <w:r w:rsidRPr="00971219">
              <w:rPr>
                <w:b/>
                <w:bCs/>
                <w:sz w:val="19"/>
                <w:szCs w:val="19"/>
              </w:rPr>
              <w:t xml:space="preserve"> 100 mg</w:t>
            </w:r>
          </w:p>
        </w:tc>
      </w:tr>
      <w:tr w:rsidR="00355EBA" w:rsidRPr="00F644FD" w14:paraId="680B6F71" w14:textId="77777777" w:rsidTr="00C02C6F">
        <w:trPr>
          <w:cantSplit/>
          <w:jc w:val="center"/>
        </w:trPr>
        <w:tc>
          <w:tcPr>
            <w:tcW w:w="236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4614A6A" w14:textId="77777777" w:rsidR="00355EBA" w:rsidRPr="00971219" w:rsidRDefault="00355EBA" w:rsidP="00D7707C">
            <w:pPr>
              <w:pStyle w:val="Tablenormal0"/>
              <w:rPr>
                <w:b/>
                <w:bCs/>
                <w:sz w:val="19"/>
                <w:szCs w:val="19"/>
              </w:rPr>
            </w:pPr>
            <w:r w:rsidRPr="00971219">
              <w:rPr>
                <w:b/>
                <w:bCs/>
                <w:sz w:val="19"/>
                <w:szCs w:val="19"/>
              </w:rPr>
              <w:t>HbA1c (%)</w:t>
            </w:r>
          </w:p>
        </w:tc>
        <w:tc>
          <w:tcPr>
            <w:tcW w:w="124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37097E7" w14:textId="77777777" w:rsidR="00355EBA" w:rsidRPr="00D254CA" w:rsidRDefault="00355EBA" w:rsidP="00D254CA">
            <w:pPr>
              <w:pStyle w:val="Tablecentered"/>
              <w:rPr>
                <w:b/>
                <w:bCs/>
                <w:sz w:val="19"/>
              </w:rPr>
            </w:pPr>
            <w:r w:rsidRPr="00D254CA">
              <w:rPr>
                <w:b/>
                <w:bCs/>
                <w:sz w:val="19"/>
              </w:rPr>
              <w:t>N = 250</w:t>
            </w:r>
          </w:p>
        </w:tc>
        <w:tc>
          <w:tcPr>
            <w:tcW w:w="127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1805920" w14:textId="77777777" w:rsidR="00355EBA" w:rsidRPr="00D254CA" w:rsidRDefault="00355EBA" w:rsidP="00D254CA">
            <w:pPr>
              <w:pStyle w:val="Tablecentered"/>
              <w:rPr>
                <w:b/>
                <w:bCs/>
                <w:sz w:val="19"/>
              </w:rPr>
            </w:pPr>
            <w:r w:rsidRPr="00D254CA">
              <w:rPr>
                <w:b/>
                <w:bCs/>
                <w:sz w:val="19"/>
              </w:rPr>
              <w:t>N = 248</w:t>
            </w:r>
          </w:p>
        </w:tc>
        <w:tc>
          <w:tcPr>
            <w:tcW w:w="101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3E80328" w14:textId="77777777" w:rsidR="00355EBA" w:rsidRPr="00D254CA" w:rsidRDefault="00355EBA" w:rsidP="00D254CA">
            <w:pPr>
              <w:pStyle w:val="Tablecentered"/>
              <w:rPr>
                <w:b/>
                <w:bCs/>
                <w:sz w:val="19"/>
              </w:rPr>
            </w:pPr>
            <w:r w:rsidRPr="00D254CA">
              <w:rPr>
                <w:b/>
                <w:bCs/>
                <w:sz w:val="19"/>
              </w:rPr>
              <w:t>N = 247</w:t>
            </w:r>
          </w:p>
        </w:tc>
        <w:tc>
          <w:tcPr>
            <w:tcW w:w="18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6CDE9E7" w14:textId="77777777" w:rsidR="00355EBA" w:rsidRPr="00D254CA" w:rsidRDefault="00355EBA" w:rsidP="00D254CA">
            <w:pPr>
              <w:pStyle w:val="Tablecentered"/>
              <w:rPr>
                <w:rFonts w:eastAsia="MS Mincho"/>
                <w:b/>
                <w:bCs/>
                <w:sz w:val="19"/>
                <w:lang w:eastAsia="ja-JP"/>
              </w:rPr>
            </w:pPr>
            <w:r w:rsidRPr="00D254CA">
              <w:rPr>
                <w:rFonts w:eastAsia="MS Mincho"/>
                <w:b/>
                <w:bCs/>
                <w:sz w:val="19"/>
                <w:lang w:eastAsia="ja-JP"/>
              </w:rPr>
              <w:t>N = 243</w:t>
            </w:r>
          </w:p>
        </w:tc>
        <w:tc>
          <w:tcPr>
            <w:tcW w:w="17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4930AA1" w14:textId="77777777" w:rsidR="00355EBA" w:rsidRPr="00D254CA" w:rsidRDefault="00355EBA" w:rsidP="00D254CA">
            <w:pPr>
              <w:pStyle w:val="Tablecentered"/>
              <w:rPr>
                <w:rFonts w:eastAsia="MS Mincho"/>
                <w:b/>
                <w:bCs/>
                <w:sz w:val="19"/>
                <w:lang w:eastAsia="ja-JP"/>
              </w:rPr>
            </w:pPr>
            <w:r w:rsidRPr="00D254CA">
              <w:rPr>
                <w:rFonts w:eastAsia="MS Mincho"/>
                <w:b/>
                <w:bCs/>
                <w:sz w:val="19"/>
                <w:lang w:eastAsia="ja-JP"/>
              </w:rPr>
              <w:t>N = 244</w:t>
            </w:r>
          </w:p>
        </w:tc>
      </w:tr>
      <w:tr w:rsidR="00355EBA" w:rsidRPr="00F644FD" w14:paraId="77E6C7A7"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19BF41A8" w14:textId="77777777" w:rsidR="00355EBA" w:rsidRPr="00971219" w:rsidRDefault="00355EBA" w:rsidP="00D254CA">
            <w:pPr>
              <w:pStyle w:val="StyleTablenormalindent95pt"/>
            </w:pPr>
            <w:r w:rsidRPr="00971219">
              <w:t>Baseline (mean)</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59468A52" w14:textId="1FF62406" w:rsidR="00355EBA" w:rsidRPr="00971219" w:rsidRDefault="00355EBA" w:rsidP="00D7707C">
            <w:pPr>
              <w:pStyle w:val="StyleTablecentered95pt"/>
            </w:pPr>
            <w:r w:rsidRPr="00971219">
              <w:t>8.</w:t>
            </w:r>
            <w:r w:rsidR="00F56CE4" w:rsidRPr="00971219">
              <w:t>57</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02353FCA" w14:textId="25EBA89F" w:rsidR="00355EBA" w:rsidRPr="00971219" w:rsidRDefault="00355EBA" w:rsidP="00D7707C">
            <w:pPr>
              <w:pStyle w:val="StyleTablecentered95pt"/>
            </w:pPr>
            <w:r w:rsidRPr="00971219">
              <w:t>8.</w:t>
            </w:r>
            <w:r w:rsidR="00F56CE4" w:rsidRPr="00971219">
              <w:t>57</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4FDCCD3F" w14:textId="60EB46FB" w:rsidR="00355EBA" w:rsidRPr="00971219" w:rsidRDefault="00355EBA" w:rsidP="00D7707C">
            <w:pPr>
              <w:pStyle w:val="StyleTablecentered95pt"/>
            </w:pPr>
            <w:r w:rsidRPr="00971219">
              <w:t>8.5</w:t>
            </w:r>
            <w:r w:rsidR="00F56CE4" w:rsidRPr="00971219">
              <w:t>0</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64BAD1D0" w14:textId="09DD07EB" w:rsidR="00355EBA" w:rsidRPr="00971219" w:rsidRDefault="00355EBA" w:rsidP="00D7707C">
            <w:pPr>
              <w:pStyle w:val="StyleTablecentered95pt"/>
              <w:rPr>
                <w:rFonts w:eastAsia="MS Mincho"/>
                <w:lang w:eastAsia="ja-JP"/>
              </w:rPr>
            </w:pPr>
            <w:r w:rsidRPr="00971219">
              <w:rPr>
                <w:rFonts w:eastAsia="MS Mincho"/>
                <w:lang w:eastAsia="ja-JP"/>
              </w:rPr>
              <w:t>8.</w:t>
            </w:r>
            <w:r w:rsidR="00F56CE4" w:rsidRPr="00971219">
              <w:rPr>
                <w:rFonts w:eastAsia="MS Mincho"/>
                <w:lang w:eastAsia="ja-JP"/>
              </w:rPr>
              <w:t>5</w:t>
            </w:r>
            <w:r w:rsidRPr="00971219">
              <w:rPr>
                <w:rFonts w:eastAsia="MS Mincho"/>
                <w:lang w:eastAsia="ja-JP"/>
              </w:rPr>
              <w:t>6</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E1006EE" w14:textId="38CD1137" w:rsidR="00355EBA" w:rsidRPr="00971219" w:rsidRDefault="00355EBA" w:rsidP="00D7707C">
            <w:pPr>
              <w:pStyle w:val="StyleTablecentered95pt"/>
              <w:rPr>
                <w:rFonts w:eastAsia="MS Mincho"/>
                <w:lang w:eastAsia="ja-JP"/>
              </w:rPr>
            </w:pPr>
            <w:r w:rsidRPr="00971219">
              <w:rPr>
                <w:rFonts w:eastAsia="MS Mincho"/>
                <w:lang w:eastAsia="ja-JP"/>
              </w:rPr>
              <w:t>8.</w:t>
            </w:r>
            <w:r w:rsidR="00F56CE4" w:rsidRPr="00971219">
              <w:rPr>
                <w:rFonts w:eastAsia="MS Mincho"/>
                <w:lang w:eastAsia="ja-JP"/>
              </w:rPr>
              <w:t>5</w:t>
            </w:r>
            <w:r w:rsidRPr="00971219">
              <w:rPr>
                <w:rFonts w:eastAsia="MS Mincho"/>
                <w:lang w:eastAsia="ja-JP"/>
              </w:rPr>
              <w:t>6</w:t>
            </w:r>
          </w:p>
        </w:tc>
      </w:tr>
      <w:tr w:rsidR="00355EBA" w:rsidRPr="00F644FD" w14:paraId="3BDD2E15"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55B9235B" w14:textId="77777777" w:rsidR="00D254CA" w:rsidRDefault="00355EBA" w:rsidP="00D254CA">
            <w:pPr>
              <w:pStyle w:val="StyleTablenormalindent95pt"/>
            </w:pPr>
            <w:r w:rsidRPr="00971219">
              <w:t>Change from baseline</w:t>
            </w:r>
          </w:p>
          <w:p w14:paraId="6B8640C9" w14:textId="3A8E3911" w:rsidR="00355EBA" w:rsidRPr="00971219" w:rsidRDefault="00355EBA" w:rsidP="00D254CA">
            <w:pPr>
              <w:pStyle w:val="StyleTablenormalindent95pt"/>
            </w:pPr>
            <w:r w:rsidRPr="00971219">
              <w:t xml:space="preserve"> (LS mean</w:t>
            </w:r>
            <w:r w:rsidRPr="00C02C6F">
              <w:rPr>
                <w:vertAlign w:val="superscript"/>
              </w:rPr>
              <w:t>†</w:t>
            </w:r>
            <w:r w:rsidRPr="00971219">
              <w:t>)</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1870473F" w14:textId="15C8E5CB" w:rsidR="00355EBA" w:rsidRPr="00971219" w:rsidRDefault="00355EBA" w:rsidP="00D7707C">
            <w:pPr>
              <w:pStyle w:val="StyleTablecentered95pt"/>
            </w:pPr>
            <w:r w:rsidRPr="00971219">
              <w:t>-1.0</w:t>
            </w:r>
            <w:r w:rsidR="00F56CE4" w:rsidRPr="00971219">
              <w:t>2</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266A08D7" w14:textId="691E45B5" w:rsidR="00355EBA" w:rsidRPr="00971219" w:rsidRDefault="00355EBA" w:rsidP="00D7707C">
            <w:pPr>
              <w:pStyle w:val="StyleTablecentered95pt"/>
            </w:pPr>
            <w:r w:rsidRPr="00971219">
              <w:t>-1.</w:t>
            </w:r>
            <w:r w:rsidR="00F56CE4" w:rsidRPr="00971219">
              <w:t>08</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4CE1E87C" w14:textId="484F574B" w:rsidR="00355EBA" w:rsidRPr="00971219" w:rsidRDefault="00355EBA" w:rsidP="00D7707C">
            <w:pPr>
              <w:pStyle w:val="StyleTablecentered95pt"/>
            </w:pPr>
            <w:r w:rsidRPr="00971219">
              <w:t>-1.</w:t>
            </w:r>
            <w:r w:rsidR="00F56CE4" w:rsidRPr="00971219">
              <w:t>05</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11A0C8B9" w14:textId="7D336E6A" w:rsidR="00355EBA" w:rsidRPr="00971219" w:rsidRDefault="00355EBA" w:rsidP="00D7707C">
            <w:pPr>
              <w:pStyle w:val="StyleTablecentered95pt"/>
              <w:rPr>
                <w:rFonts w:eastAsia="MS Mincho"/>
                <w:lang w:eastAsia="ja-JP"/>
              </w:rPr>
            </w:pPr>
            <w:r w:rsidRPr="00971219">
              <w:rPr>
                <w:rFonts w:eastAsia="MS Mincho"/>
                <w:lang w:eastAsia="ja-JP"/>
              </w:rPr>
              <w:t>-1.</w:t>
            </w:r>
            <w:r w:rsidR="00F56CE4" w:rsidRPr="00971219">
              <w:rPr>
                <w:rFonts w:eastAsia="MS Mincho"/>
                <w:lang w:eastAsia="ja-JP"/>
              </w:rPr>
              <w:t>49</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6041155B" w14:textId="2E1A35D6" w:rsidR="00355EBA" w:rsidRPr="00971219" w:rsidRDefault="00355EBA" w:rsidP="00D7707C">
            <w:pPr>
              <w:pStyle w:val="StyleTablecentered95pt"/>
              <w:rPr>
                <w:rFonts w:eastAsia="MS Mincho"/>
                <w:lang w:eastAsia="ja-JP"/>
              </w:rPr>
            </w:pPr>
            <w:r w:rsidRPr="00971219">
              <w:rPr>
                <w:rFonts w:eastAsia="MS Mincho"/>
                <w:lang w:eastAsia="ja-JP"/>
              </w:rPr>
              <w:t>-1.5</w:t>
            </w:r>
            <w:r w:rsidR="00F56CE4" w:rsidRPr="00971219">
              <w:rPr>
                <w:rFonts w:eastAsia="MS Mincho"/>
                <w:lang w:eastAsia="ja-JP"/>
              </w:rPr>
              <w:t>2</w:t>
            </w:r>
          </w:p>
        </w:tc>
      </w:tr>
      <w:tr w:rsidR="00355EBA" w:rsidRPr="00F644FD" w14:paraId="4E907BFC"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6D872CD7" w14:textId="27CF889F" w:rsidR="00355EBA" w:rsidRPr="00971219" w:rsidRDefault="00355EBA" w:rsidP="00D254CA">
            <w:pPr>
              <w:pStyle w:val="StyleTablenormalindent95pt"/>
            </w:pPr>
            <w:r w:rsidRPr="00971219">
              <w:t xml:space="preserve">Difference from </w:t>
            </w:r>
            <w:proofErr w:type="spellStart"/>
            <w:r w:rsidRPr="00971219">
              <w:t>Sitagliptin</w:t>
            </w:r>
            <w:proofErr w:type="spellEnd"/>
            <w:r w:rsidRPr="00971219">
              <w:t xml:space="preserve"> </w:t>
            </w:r>
          </w:p>
          <w:p w14:paraId="75D02CE3" w14:textId="0F6A95E8" w:rsidR="00355EBA" w:rsidRPr="00971219" w:rsidRDefault="00355EBA" w:rsidP="00D254CA">
            <w:pPr>
              <w:pStyle w:val="StyleTablenormalindent95pt"/>
            </w:pPr>
            <w:r w:rsidRPr="00971219">
              <w:t xml:space="preserve">   </w:t>
            </w:r>
            <w:proofErr w:type="spellStart"/>
            <w:r w:rsidRPr="00971219">
              <w:t>Ertugliflozin</w:t>
            </w:r>
            <w:proofErr w:type="spellEnd"/>
            <w:r w:rsidRPr="00971219">
              <w:t xml:space="preserve"> 5 mg</w:t>
            </w:r>
          </w:p>
          <w:p w14:paraId="4E56F92C" w14:textId="53CECEB5" w:rsidR="00355EBA" w:rsidRPr="00971219" w:rsidRDefault="00355EBA" w:rsidP="00D254CA">
            <w:pPr>
              <w:pStyle w:val="StyleTablenormalindent95pt"/>
            </w:pPr>
            <w:r w:rsidRPr="00971219">
              <w:t xml:space="preserve">   </w:t>
            </w:r>
            <w:proofErr w:type="spellStart"/>
            <w:r w:rsidRPr="00971219">
              <w:t>Ertugliflozin</w:t>
            </w:r>
            <w:proofErr w:type="spellEnd"/>
            <w:r w:rsidRPr="00971219">
              <w:t xml:space="preserve"> 15 mg</w:t>
            </w:r>
          </w:p>
          <w:p w14:paraId="79A1FECC" w14:textId="77777777" w:rsidR="00355EBA" w:rsidRPr="00971219" w:rsidRDefault="00355EBA" w:rsidP="00D254CA">
            <w:pPr>
              <w:pStyle w:val="StyleTablenormalindent95pt"/>
            </w:pPr>
            <w:r w:rsidRPr="00971219">
              <w:t xml:space="preserve">   (LS mean</w:t>
            </w:r>
            <w:r w:rsidRPr="00C02C6F">
              <w:rPr>
                <w:vertAlign w:val="superscript"/>
              </w:rPr>
              <w:t>†</w:t>
            </w:r>
            <w:r w:rsidRPr="00971219">
              <w:t>, 95% CI)</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56B8D4F0" w14:textId="77777777" w:rsidR="00355EBA" w:rsidRPr="00971219" w:rsidRDefault="00355EBA" w:rsidP="00D7707C">
            <w:pPr>
              <w:pStyle w:val="Tablecentered"/>
              <w:rPr>
                <w:sz w:val="19"/>
                <w:szCs w:val="19"/>
              </w:rPr>
            </w:pP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0BCDEC8F" w14:textId="77777777" w:rsidR="00355EBA" w:rsidRPr="00971219" w:rsidRDefault="00355EBA" w:rsidP="00D7707C">
            <w:pPr>
              <w:pStyle w:val="Tablecentered"/>
              <w:rPr>
                <w:sz w:val="19"/>
                <w:szCs w:val="19"/>
              </w:rPr>
            </w:pP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75F8D69B" w14:textId="77777777" w:rsidR="00355EBA" w:rsidRPr="00971219" w:rsidRDefault="00355EBA" w:rsidP="00D7707C">
            <w:pPr>
              <w:pStyle w:val="Tablecentered"/>
              <w:rPr>
                <w:sz w:val="19"/>
                <w:szCs w:val="19"/>
              </w:rPr>
            </w:pPr>
          </w:p>
        </w:tc>
        <w:tc>
          <w:tcPr>
            <w:tcW w:w="1874" w:type="dxa"/>
            <w:tcBorders>
              <w:top w:val="nil"/>
              <w:left w:val="single" w:sz="6" w:space="0" w:color="auto"/>
              <w:bottom w:val="nil"/>
              <w:right w:val="single" w:sz="6" w:space="0" w:color="auto"/>
            </w:tcBorders>
            <w:tcMar>
              <w:top w:w="57" w:type="dxa"/>
              <w:left w:w="57" w:type="dxa"/>
              <w:bottom w:w="57" w:type="dxa"/>
              <w:right w:w="57" w:type="dxa"/>
            </w:tcMar>
          </w:tcPr>
          <w:p w14:paraId="664DDC09" w14:textId="77777777" w:rsidR="00355EBA" w:rsidRPr="00971219" w:rsidRDefault="00355EBA" w:rsidP="000465A3">
            <w:pPr>
              <w:pStyle w:val="StyleTablecentered95pt"/>
              <w:rPr>
                <w:rFonts w:eastAsia="MS Mincho"/>
                <w:lang w:eastAsia="ja-JP"/>
              </w:rPr>
            </w:pPr>
          </w:p>
          <w:p w14:paraId="53FF3C7B" w14:textId="59170191" w:rsidR="00355EBA" w:rsidRPr="00971219" w:rsidRDefault="00355EBA" w:rsidP="000465A3">
            <w:pPr>
              <w:pStyle w:val="StyleTablecentered95pt"/>
              <w:rPr>
                <w:rFonts w:eastAsia="MS Mincho"/>
                <w:lang w:eastAsia="ja-JP"/>
              </w:rPr>
            </w:pPr>
            <w:r w:rsidRPr="00971219">
              <w:rPr>
                <w:rFonts w:eastAsia="MS Mincho"/>
                <w:lang w:eastAsia="ja-JP"/>
              </w:rPr>
              <w:t>-0.4</w:t>
            </w:r>
            <w:r w:rsidR="00F56CE4" w:rsidRPr="00971219">
              <w:rPr>
                <w:rFonts w:eastAsia="MS Mincho"/>
                <w:lang w:eastAsia="ja-JP"/>
              </w:rPr>
              <w:t>3</w:t>
            </w:r>
            <w:r w:rsidRPr="00971219">
              <w:rPr>
                <w:rFonts w:eastAsia="MS Mincho"/>
                <w:vertAlign w:val="superscript"/>
                <w:lang w:eastAsia="ja-JP"/>
              </w:rPr>
              <w:t>‡</w:t>
            </w:r>
            <w:r w:rsidRPr="00971219">
              <w:rPr>
                <w:rFonts w:eastAsia="MS Mincho"/>
                <w:lang w:eastAsia="ja-JP"/>
              </w:rPr>
              <w:t xml:space="preserve"> (-0.6</w:t>
            </w:r>
            <w:r w:rsidR="00F56CE4" w:rsidRPr="00971219">
              <w:rPr>
                <w:rFonts w:eastAsia="MS Mincho"/>
                <w:lang w:eastAsia="ja-JP"/>
              </w:rPr>
              <w:t>0</w:t>
            </w:r>
            <w:r w:rsidRPr="00971219">
              <w:rPr>
                <w:rFonts w:eastAsia="MS Mincho"/>
                <w:lang w:eastAsia="ja-JP"/>
              </w:rPr>
              <w:t>, -0.</w:t>
            </w:r>
            <w:r w:rsidR="00F56CE4" w:rsidRPr="00971219">
              <w:rPr>
                <w:rFonts w:eastAsia="MS Mincho"/>
                <w:lang w:eastAsia="ja-JP"/>
              </w:rPr>
              <w:t>27</w:t>
            </w:r>
            <w:r w:rsidRPr="00971219">
              <w:rPr>
                <w:rFonts w:eastAsia="MS Mincho"/>
                <w:lang w:eastAsia="ja-JP"/>
              </w:rPr>
              <w:t>)</w:t>
            </w:r>
          </w:p>
          <w:p w14:paraId="4B6586A2" w14:textId="62A40FA2" w:rsidR="002F7DB3" w:rsidRPr="00971219" w:rsidRDefault="00355EBA" w:rsidP="000465A3">
            <w:pPr>
              <w:pStyle w:val="Tablecentered"/>
              <w:rPr>
                <w:rFonts w:eastAsia="MS Mincho"/>
                <w:sz w:val="19"/>
                <w:szCs w:val="19"/>
                <w:lang w:eastAsia="ja-JP"/>
              </w:rPr>
            </w:pPr>
            <w:r w:rsidRPr="00971219">
              <w:rPr>
                <w:rFonts w:eastAsia="MS Mincho"/>
                <w:lang w:eastAsia="ja-JP"/>
              </w:rPr>
              <w:t>-0.</w:t>
            </w:r>
            <w:r w:rsidR="00F56CE4" w:rsidRPr="00971219">
              <w:rPr>
                <w:rFonts w:eastAsia="MS Mincho"/>
                <w:lang w:eastAsia="ja-JP"/>
              </w:rPr>
              <w:t>46</w:t>
            </w:r>
            <w:r w:rsidRPr="00971219">
              <w:rPr>
                <w:rFonts w:eastAsia="MS Mincho"/>
                <w:vertAlign w:val="superscript"/>
                <w:lang w:eastAsia="ja-JP"/>
              </w:rPr>
              <w:t>‡</w:t>
            </w:r>
            <w:r w:rsidRPr="00971219">
              <w:rPr>
                <w:rFonts w:eastAsia="MS Mincho"/>
                <w:lang w:eastAsia="ja-JP"/>
              </w:rPr>
              <w:t xml:space="preserve"> (-0.6</w:t>
            </w:r>
            <w:r w:rsidR="00F56CE4" w:rsidRPr="00971219">
              <w:rPr>
                <w:rFonts w:eastAsia="MS Mincho"/>
                <w:lang w:eastAsia="ja-JP"/>
              </w:rPr>
              <w:t>3</w:t>
            </w:r>
            <w:r w:rsidRPr="00971219">
              <w:rPr>
                <w:rFonts w:eastAsia="MS Mincho"/>
                <w:lang w:eastAsia="ja-JP"/>
              </w:rPr>
              <w:t>, -0.3</w:t>
            </w:r>
            <w:r w:rsidR="00F56CE4" w:rsidRPr="00971219">
              <w:rPr>
                <w:rFonts w:eastAsia="MS Mincho"/>
                <w:lang w:eastAsia="ja-JP"/>
              </w:rPr>
              <w:t>0</w:t>
            </w:r>
            <w:r w:rsidRPr="00971219">
              <w:rPr>
                <w:rFonts w:eastAsia="MS Mincho"/>
                <w:lang w:eastAsia="ja-JP"/>
              </w:rPr>
              <w:t>)</w:t>
            </w:r>
          </w:p>
        </w:tc>
        <w:tc>
          <w:tcPr>
            <w:tcW w:w="1785" w:type="dxa"/>
            <w:tcBorders>
              <w:top w:val="nil"/>
              <w:left w:val="single" w:sz="6" w:space="0" w:color="auto"/>
              <w:bottom w:val="nil"/>
              <w:right w:val="single" w:sz="6" w:space="0" w:color="auto"/>
            </w:tcBorders>
            <w:tcMar>
              <w:top w:w="57" w:type="dxa"/>
              <w:left w:w="57" w:type="dxa"/>
              <w:bottom w:w="57" w:type="dxa"/>
              <w:right w:w="57" w:type="dxa"/>
            </w:tcMar>
          </w:tcPr>
          <w:p w14:paraId="10EAD836" w14:textId="77777777" w:rsidR="00355EBA" w:rsidRPr="00971219" w:rsidRDefault="00355EBA" w:rsidP="000465A3">
            <w:pPr>
              <w:pStyle w:val="StyleTablecentered95pt"/>
              <w:rPr>
                <w:rFonts w:eastAsia="MS Mincho"/>
                <w:lang w:eastAsia="ja-JP"/>
              </w:rPr>
            </w:pPr>
          </w:p>
          <w:p w14:paraId="1C753D8D" w14:textId="45B204B1" w:rsidR="00355EBA" w:rsidRPr="00971219" w:rsidRDefault="00355EBA" w:rsidP="000465A3">
            <w:pPr>
              <w:pStyle w:val="StyleTablecentered95pt"/>
              <w:rPr>
                <w:rFonts w:eastAsia="MS Mincho"/>
                <w:lang w:eastAsia="ja-JP"/>
              </w:rPr>
            </w:pPr>
            <w:r w:rsidRPr="00971219">
              <w:rPr>
                <w:rFonts w:eastAsia="MS Mincho"/>
                <w:lang w:eastAsia="ja-JP"/>
              </w:rPr>
              <w:t>-0.</w:t>
            </w:r>
            <w:r w:rsidR="00F56CE4" w:rsidRPr="00971219">
              <w:rPr>
                <w:rFonts w:eastAsia="MS Mincho"/>
                <w:lang w:eastAsia="ja-JP"/>
              </w:rPr>
              <w:t>47</w:t>
            </w:r>
            <w:r w:rsidRPr="00971219">
              <w:rPr>
                <w:rFonts w:eastAsia="MS Mincho"/>
                <w:vertAlign w:val="superscript"/>
                <w:lang w:eastAsia="ja-JP"/>
              </w:rPr>
              <w:t>‡</w:t>
            </w:r>
            <w:r w:rsidRPr="00971219">
              <w:rPr>
                <w:rFonts w:eastAsia="MS Mincho"/>
                <w:lang w:eastAsia="ja-JP"/>
              </w:rPr>
              <w:t xml:space="preserve"> (-0.6</w:t>
            </w:r>
            <w:r w:rsidR="00F56CE4" w:rsidRPr="00971219">
              <w:rPr>
                <w:rFonts w:eastAsia="MS Mincho"/>
                <w:lang w:eastAsia="ja-JP"/>
              </w:rPr>
              <w:t>3</w:t>
            </w:r>
            <w:r w:rsidRPr="00971219">
              <w:rPr>
                <w:rFonts w:eastAsia="MS Mincho"/>
                <w:lang w:eastAsia="ja-JP"/>
              </w:rPr>
              <w:t>, -0.3</w:t>
            </w:r>
            <w:r w:rsidR="00F56CE4" w:rsidRPr="00971219">
              <w:rPr>
                <w:rFonts w:eastAsia="MS Mincho"/>
                <w:lang w:eastAsia="ja-JP"/>
              </w:rPr>
              <w:t>0</w:t>
            </w:r>
            <w:r w:rsidRPr="00971219">
              <w:rPr>
                <w:rFonts w:eastAsia="MS Mincho"/>
                <w:lang w:eastAsia="ja-JP"/>
              </w:rPr>
              <w:t>)</w:t>
            </w:r>
          </w:p>
          <w:p w14:paraId="58C70AF6" w14:textId="77777777" w:rsidR="00355EBA" w:rsidRPr="00971219" w:rsidRDefault="00355EBA" w:rsidP="000465A3">
            <w:pPr>
              <w:pStyle w:val="StyleTablecentered95pt"/>
              <w:rPr>
                <w:rFonts w:eastAsia="MS Mincho" w:cs="Arial"/>
                <w:szCs w:val="19"/>
                <w:lang w:eastAsia="ja-JP"/>
              </w:rPr>
            </w:pPr>
          </w:p>
          <w:p w14:paraId="799B1C10" w14:textId="7FB4C31C" w:rsidR="00355EBA" w:rsidRPr="00971219" w:rsidRDefault="00355EBA" w:rsidP="000465A3">
            <w:pPr>
              <w:pStyle w:val="Tablecentered"/>
              <w:rPr>
                <w:rFonts w:eastAsia="MS Mincho"/>
                <w:sz w:val="19"/>
                <w:szCs w:val="19"/>
                <w:lang w:eastAsia="ja-JP"/>
              </w:rPr>
            </w:pPr>
            <w:r w:rsidRPr="00971219">
              <w:rPr>
                <w:rFonts w:eastAsia="MS Mincho" w:cs="Arial"/>
                <w:szCs w:val="19"/>
                <w:lang w:eastAsia="ja-JP"/>
              </w:rPr>
              <w:t>-0.4</w:t>
            </w:r>
            <w:r w:rsidR="00F56CE4" w:rsidRPr="00971219">
              <w:rPr>
                <w:rFonts w:eastAsia="MS Mincho" w:cs="Arial"/>
                <w:szCs w:val="19"/>
                <w:lang w:eastAsia="ja-JP"/>
              </w:rPr>
              <w:t>4</w:t>
            </w:r>
            <w:r w:rsidRPr="00971219">
              <w:rPr>
                <w:rFonts w:eastAsia="MS Mincho" w:cs="Arial"/>
                <w:szCs w:val="19"/>
                <w:vertAlign w:val="superscript"/>
                <w:lang w:eastAsia="ja-JP"/>
              </w:rPr>
              <w:t>‡</w:t>
            </w:r>
            <w:r w:rsidRPr="00C625B5">
              <w:rPr>
                <w:rFonts w:eastAsia="MS Mincho"/>
              </w:rPr>
              <w:t xml:space="preserve"> (-0.6</w:t>
            </w:r>
            <w:r w:rsidR="00F56CE4" w:rsidRPr="00C625B5">
              <w:rPr>
                <w:rFonts w:eastAsia="MS Mincho"/>
              </w:rPr>
              <w:t>1</w:t>
            </w:r>
            <w:r w:rsidRPr="00C625B5">
              <w:rPr>
                <w:rFonts w:eastAsia="MS Mincho"/>
              </w:rPr>
              <w:t>, -0.</w:t>
            </w:r>
            <w:r w:rsidR="00F56CE4" w:rsidRPr="00C625B5">
              <w:rPr>
                <w:rFonts w:eastAsia="MS Mincho"/>
              </w:rPr>
              <w:t>27</w:t>
            </w:r>
            <w:r w:rsidRPr="00C625B5">
              <w:rPr>
                <w:rFonts w:eastAsia="MS Mincho"/>
              </w:rPr>
              <w:t>)</w:t>
            </w:r>
          </w:p>
        </w:tc>
      </w:tr>
      <w:tr w:rsidR="00355EBA" w:rsidRPr="00F644FD" w14:paraId="55F26C5E" w14:textId="77777777" w:rsidTr="00C02C6F">
        <w:trPr>
          <w:cantSplit/>
          <w:jc w:val="center"/>
        </w:trPr>
        <w:tc>
          <w:tcPr>
            <w:tcW w:w="236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F15B39" w14:textId="77777777" w:rsidR="00355EBA" w:rsidRPr="00971219" w:rsidRDefault="00355EBA" w:rsidP="00D7707C">
            <w:pPr>
              <w:pStyle w:val="Tablenormal0"/>
              <w:rPr>
                <w:b/>
                <w:bCs/>
                <w:sz w:val="19"/>
                <w:szCs w:val="19"/>
              </w:rPr>
            </w:pPr>
            <w:r w:rsidRPr="00971219">
              <w:rPr>
                <w:b/>
                <w:bCs/>
                <w:sz w:val="19"/>
                <w:szCs w:val="19"/>
              </w:rPr>
              <w:t>Patients [N (%)] with HbA1c &lt;7%</w:t>
            </w:r>
          </w:p>
        </w:tc>
        <w:tc>
          <w:tcPr>
            <w:tcW w:w="124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456A08" w14:textId="77777777" w:rsidR="00355EBA" w:rsidRPr="00971219" w:rsidRDefault="00355EBA" w:rsidP="00D7707C">
            <w:pPr>
              <w:pStyle w:val="StyleTablecentered95pt"/>
            </w:pPr>
            <w:r w:rsidRPr="00971219">
              <w:t>66 (26.4)</w:t>
            </w:r>
          </w:p>
        </w:tc>
        <w:tc>
          <w:tcPr>
            <w:tcW w:w="127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0183F4" w14:textId="77777777" w:rsidR="00355EBA" w:rsidRPr="00971219" w:rsidRDefault="00355EBA" w:rsidP="00D7707C">
            <w:pPr>
              <w:pStyle w:val="StyleTablecentered95pt"/>
            </w:pPr>
            <w:r w:rsidRPr="00971219">
              <w:t>79 (31.9)</w:t>
            </w:r>
          </w:p>
        </w:tc>
        <w:tc>
          <w:tcPr>
            <w:tcW w:w="1019"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83019AE" w14:textId="77777777" w:rsidR="00355EBA" w:rsidRPr="00971219" w:rsidRDefault="00355EBA" w:rsidP="00D7707C">
            <w:pPr>
              <w:pStyle w:val="StyleTablecentered95pt"/>
            </w:pPr>
            <w:r w:rsidRPr="00971219">
              <w:t>81 (32.8)</w:t>
            </w:r>
          </w:p>
        </w:tc>
        <w:tc>
          <w:tcPr>
            <w:tcW w:w="18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561395" w14:textId="77777777" w:rsidR="00355EBA" w:rsidRPr="00971219" w:rsidRDefault="00355EBA" w:rsidP="00D7707C">
            <w:pPr>
              <w:pStyle w:val="StyleTablecentered95pt"/>
            </w:pPr>
            <w:r w:rsidRPr="00971219">
              <w:t>127</w:t>
            </w:r>
            <w:r w:rsidRPr="00971219">
              <w:rPr>
                <w:vertAlign w:val="superscript"/>
              </w:rPr>
              <w:t>§</w:t>
            </w:r>
            <w:r w:rsidRPr="00C625B5">
              <w:t xml:space="preserve"> (52.3)</w:t>
            </w:r>
          </w:p>
        </w:tc>
        <w:tc>
          <w:tcPr>
            <w:tcW w:w="17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3A2035" w14:textId="77777777" w:rsidR="00355EBA" w:rsidRPr="00971219" w:rsidRDefault="00355EBA" w:rsidP="00D7707C">
            <w:pPr>
              <w:pStyle w:val="StyleTablecentered95pt"/>
            </w:pPr>
            <w:r w:rsidRPr="00971219">
              <w:t>120</w:t>
            </w:r>
            <w:r w:rsidRPr="00971219">
              <w:rPr>
                <w:vertAlign w:val="superscript"/>
              </w:rPr>
              <w:t>§</w:t>
            </w:r>
            <w:r w:rsidRPr="00C625B5">
              <w:t xml:space="preserve"> (49.2)</w:t>
            </w:r>
          </w:p>
        </w:tc>
      </w:tr>
      <w:tr w:rsidR="00355EBA" w:rsidRPr="00F644FD" w14:paraId="19362A46" w14:textId="77777777" w:rsidTr="00C02C6F">
        <w:trPr>
          <w:cantSplit/>
          <w:jc w:val="center"/>
        </w:trPr>
        <w:tc>
          <w:tcPr>
            <w:tcW w:w="236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0342731" w14:textId="080CCE6B" w:rsidR="00355EBA" w:rsidRPr="00971219" w:rsidRDefault="00355EBA" w:rsidP="00D7707C">
            <w:pPr>
              <w:pStyle w:val="Tablenormal0"/>
              <w:rPr>
                <w:b/>
                <w:bCs/>
                <w:sz w:val="19"/>
                <w:szCs w:val="19"/>
              </w:rPr>
            </w:pPr>
            <w:r w:rsidRPr="00971219">
              <w:rPr>
                <w:b/>
                <w:bCs/>
                <w:sz w:val="19"/>
                <w:szCs w:val="19"/>
              </w:rPr>
              <w:t>FPG (</w:t>
            </w:r>
            <w:proofErr w:type="spellStart"/>
            <w:r w:rsidRPr="00971219">
              <w:rPr>
                <w:b/>
                <w:bCs/>
                <w:sz w:val="19"/>
                <w:szCs w:val="19"/>
              </w:rPr>
              <w:t>mmol</w:t>
            </w:r>
            <w:proofErr w:type="spellEnd"/>
            <w:r w:rsidRPr="00971219">
              <w:rPr>
                <w:b/>
                <w:bCs/>
                <w:sz w:val="19"/>
                <w:szCs w:val="19"/>
              </w:rPr>
              <w:t>/L)</w:t>
            </w:r>
          </w:p>
        </w:tc>
        <w:tc>
          <w:tcPr>
            <w:tcW w:w="124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BD062DB" w14:textId="77777777" w:rsidR="00355EBA" w:rsidRPr="00971219" w:rsidRDefault="00355EBA" w:rsidP="00D7707C">
            <w:pPr>
              <w:pStyle w:val="Tablecentered"/>
              <w:rPr>
                <w:b/>
                <w:bCs/>
                <w:sz w:val="19"/>
                <w:szCs w:val="19"/>
              </w:rPr>
            </w:pPr>
            <w:r w:rsidRPr="00971219">
              <w:rPr>
                <w:b/>
                <w:bCs/>
                <w:sz w:val="19"/>
                <w:szCs w:val="19"/>
              </w:rPr>
              <w:t>N = 250</w:t>
            </w:r>
          </w:p>
        </w:tc>
        <w:tc>
          <w:tcPr>
            <w:tcW w:w="127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046D6685" w14:textId="77777777" w:rsidR="00355EBA" w:rsidRPr="00971219" w:rsidRDefault="00355EBA" w:rsidP="00D7707C">
            <w:pPr>
              <w:pStyle w:val="Tablecentered"/>
              <w:rPr>
                <w:b/>
                <w:bCs/>
                <w:sz w:val="19"/>
                <w:szCs w:val="19"/>
              </w:rPr>
            </w:pPr>
            <w:r w:rsidRPr="00971219">
              <w:rPr>
                <w:b/>
                <w:bCs/>
                <w:sz w:val="19"/>
                <w:szCs w:val="19"/>
              </w:rPr>
              <w:t>N = 248</w:t>
            </w:r>
          </w:p>
        </w:tc>
        <w:tc>
          <w:tcPr>
            <w:tcW w:w="101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402B2A3" w14:textId="77777777" w:rsidR="00355EBA" w:rsidRPr="00971219" w:rsidRDefault="00355EBA" w:rsidP="00D7707C">
            <w:pPr>
              <w:pStyle w:val="Tablecentered"/>
              <w:rPr>
                <w:b/>
                <w:bCs/>
                <w:sz w:val="19"/>
                <w:szCs w:val="19"/>
              </w:rPr>
            </w:pPr>
            <w:r w:rsidRPr="00971219">
              <w:rPr>
                <w:b/>
                <w:bCs/>
                <w:sz w:val="19"/>
                <w:szCs w:val="19"/>
              </w:rPr>
              <w:t>N = 247</w:t>
            </w:r>
          </w:p>
        </w:tc>
        <w:tc>
          <w:tcPr>
            <w:tcW w:w="18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68C0B81" w14:textId="77777777" w:rsidR="00355EBA" w:rsidRPr="00971219" w:rsidRDefault="00355EBA" w:rsidP="00D7707C">
            <w:pPr>
              <w:pStyle w:val="Tablecentered"/>
              <w:rPr>
                <w:b/>
                <w:bCs/>
                <w:sz w:val="19"/>
                <w:szCs w:val="19"/>
              </w:rPr>
            </w:pPr>
            <w:r w:rsidRPr="00971219">
              <w:rPr>
                <w:b/>
                <w:bCs/>
                <w:sz w:val="19"/>
                <w:szCs w:val="19"/>
              </w:rPr>
              <w:t>N = 243</w:t>
            </w:r>
          </w:p>
        </w:tc>
        <w:tc>
          <w:tcPr>
            <w:tcW w:w="17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5A22A1B" w14:textId="77777777" w:rsidR="00355EBA" w:rsidRPr="00971219" w:rsidRDefault="00355EBA" w:rsidP="00D7707C">
            <w:pPr>
              <w:pStyle w:val="Tablecentered"/>
              <w:rPr>
                <w:b/>
                <w:bCs/>
                <w:sz w:val="19"/>
                <w:szCs w:val="19"/>
              </w:rPr>
            </w:pPr>
            <w:r w:rsidRPr="00971219">
              <w:rPr>
                <w:b/>
                <w:bCs/>
                <w:sz w:val="19"/>
                <w:szCs w:val="19"/>
              </w:rPr>
              <w:t>N = 244</w:t>
            </w:r>
          </w:p>
        </w:tc>
      </w:tr>
      <w:tr w:rsidR="00355EBA" w:rsidRPr="00F644FD" w14:paraId="7E6967A6"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4E007873" w14:textId="77777777" w:rsidR="00355EBA" w:rsidRPr="00971219" w:rsidRDefault="00355EBA" w:rsidP="00D254CA">
            <w:pPr>
              <w:pStyle w:val="StyleTablenormalindent95pt"/>
            </w:pPr>
            <w:r w:rsidRPr="00971219">
              <w:t xml:space="preserve">Baseline (mean) </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0319B663" w14:textId="77777777" w:rsidR="00355EBA" w:rsidRPr="00971219" w:rsidRDefault="00355EBA" w:rsidP="00D7707C">
            <w:pPr>
              <w:pStyle w:val="StyleTablecentered95pt"/>
            </w:pPr>
            <w:r w:rsidRPr="00971219">
              <w:t>10.22</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0C76A8F1" w14:textId="77777777" w:rsidR="00355EBA" w:rsidRPr="00971219" w:rsidRDefault="00355EBA" w:rsidP="00D7707C">
            <w:pPr>
              <w:pStyle w:val="StyleTablecentered95pt"/>
            </w:pPr>
            <w:r w:rsidRPr="00971219">
              <w:t>9.96</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3F3BE924" w14:textId="77777777" w:rsidR="00355EBA" w:rsidRPr="00971219" w:rsidRDefault="00355EBA" w:rsidP="00D7707C">
            <w:pPr>
              <w:pStyle w:val="StyleTablecentered95pt"/>
            </w:pPr>
            <w:r w:rsidRPr="00971219">
              <w:t>9.85</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786BCE66" w14:textId="77777777" w:rsidR="00355EBA" w:rsidRPr="00971219" w:rsidRDefault="00355EBA" w:rsidP="00D7707C">
            <w:pPr>
              <w:pStyle w:val="StyleTablecentered95pt"/>
            </w:pPr>
            <w:r w:rsidRPr="00971219">
              <w:t>10.20</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5ADA2925" w14:textId="77777777" w:rsidR="00355EBA" w:rsidRPr="00971219" w:rsidRDefault="00355EBA" w:rsidP="00D7707C">
            <w:pPr>
              <w:pStyle w:val="StyleTablecentered95pt"/>
            </w:pPr>
            <w:r w:rsidRPr="00971219">
              <w:t>9.83</w:t>
            </w:r>
          </w:p>
        </w:tc>
      </w:tr>
      <w:tr w:rsidR="00355EBA" w:rsidRPr="00F644FD" w14:paraId="12BB4AB6"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7D30274D" w14:textId="77777777" w:rsidR="00D254CA" w:rsidRDefault="00355EBA" w:rsidP="00D254CA">
            <w:pPr>
              <w:pStyle w:val="StyleTablenormalindent95pt"/>
            </w:pPr>
            <w:r w:rsidRPr="00971219">
              <w:t xml:space="preserve">Change from baseline </w:t>
            </w:r>
          </w:p>
          <w:p w14:paraId="2CBA4B22" w14:textId="3B60A4EB" w:rsidR="00355EBA" w:rsidRPr="00971219" w:rsidRDefault="00355EBA" w:rsidP="00D254CA">
            <w:pPr>
              <w:pStyle w:val="StyleTablenormalindent95pt"/>
            </w:pPr>
            <w:r w:rsidRPr="00971219">
              <w:t>(LS mean</w:t>
            </w:r>
            <w:r w:rsidRPr="00C02C6F">
              <w:rPr>
                <w:vertAlign w:val="superscript"/>
              </w:rPr>
              <w:t>†</w:t>
            </w:r>
            <w:r w:rsidRPr="00971219">
              <w:t>)</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01E12C8D" w14:textId="77777777" w:rsidR="00355EBA" w:rsidRPr="00971219" w:rsidRDefault="00355EBA" w:rsidP="00D7707C">
            <w:pPr>
              <w:pStyle w:val="StyleTablecentered95pt"/>
            </w:pPr>
            <w:r w:rsidRPr="00971219">
              <w:t>-1.98</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3676BE7E" w14:textId="77777777" w:rsidR="00355EBA" w:rsidRPr="00971219" w:rsidRDefault="00355EBA" w:rsidP="00D7707C">
            <w:pPr>
              <w:pStyle w:val="StyleTablecentered95pt"/>
            </w:pPr>
            <w:r w:rsidRPr="00971219">
              <w:t>-2.05</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0476B422" w14:textId="77777777" w:rsidR="00355EBA" w:rsidRPr="00971219" w:rsidRDefault="00355EBA" w:rsidP="00D7707C">
            <w:pPr>
              <w:pStyle w:val="StyleTablecentered95pt"/>
            </w:pPr>
            <w:r w:rsidRPr="00971219">
              <w:t>-1.42</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03167E20" w14:textId="75152F79" w:rsidR="00355EBA" w:rsidRPr="00971219" w:rsidRDefault="00355EBA" w:rsidP="00D7707C">
            <w:pPr>
              <w:pStyle w:val="StyleTablecentered95pt"/>
            </w:pPr>
            <w:r w:rsidRPr="00971219">
              <w:t>-2.44</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10F1439B" w14:textId="77777777" w:rsidR="00355EBA" w:rsidRPr="00971219" w:rsidRDefault="00355EBA" w:rsidP="00D7707C">
            <w:pPr>
              <w:pStyle w:val="StyleTablecentered95pt"/>
            </w:pPr>
            <w:r w:rsidRPr="00971219">
              <w:t>-2.70</w:t>
            </w:r>
          </w:p>
        </w:tc>
      </w:tr>
      <w:tr w:rsidR="00355EBA" w:rsidRPr="00F644FD" w14:paraId="193A3AED"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16CA195A" w14:textId="575C8AB3" w:rsidR="00355EBA" w:rsidRPr="00971219" w:rsidRDefault="00355EBA" w:rsidP="00D254CA">
            <w:pPr>
              <w:pStyle w:val="StyleTablenormalindent95pt"/>
            </w:pPr>
            <w:r w:rsidRPr="00971219">
              <w:t xml:space="preserve">Difference from </w:t>
            </w:r>
            <w:proofErr w:type="spellStart"/>
            <w:r w:rsidRPr="00971219">
              <w:t>Sitagliptin</w:t>
            </w:r>
            <w:proofErr w:type="spellEnd"/>
          </w:p>
          <w:p w14:paraId="623B57FA" w14:textId="4BFE2D4F" w:rsidR="00355EBA" w:rsidRPr="00971219" w:rsidRDefault="00355EBA" w:rsidP="00D254CA">
            <w:pPr>
              <w:pStyle w:val="StyleTablenormalindent95pt"/>
            </w:pPr>
            <w:r w:rsidRPr="00971219">
              <w:t xml:space="preserve">   </w:t>
            </w:r>
            <w:proofErr w:type="spellStart"/>
            <w:r w:rsidRPr="00971219">
              <w:t>Ertugliflozin</w:t>
            </w:r>
            <w:proofErr w:type="spellEnd"/>
            <w:r w:rsidRPr="00971219">
              <w:t xml:space="preserve"> 5 mg</w:t>
            </w:r>
          </w:p>
          <w:p w14:paraId="19AAFA33" w14:textId="0356F58C" w:rsidR="00355EBA" w:rsidRPr="00971219" w:rsidRDefault="00355EBA" w:rsidP="00D254CA">
            <w:pPr>
              <w:pStyle w:val="StyleTablenormalindent95pt"/>
            </w:pPr>
            <w:r w:rsidRPr="00971219">
              <w:t xml:space="preserve">   </w:t>
            </w:r>
            <w:proofErr w:type="spellStart"/>
            <w:r w:rsidRPr="00971219">
              <w:t>Ertugliflozin</w:t>
            </w:r>
            <w:proofErr w:type="spellEnd"/>
            <w:r w:rsidRPr="00971219">
              <w:t xml:space="preserve"> 15 mg</w:t>
            </w:r>
          </w:p>
          <w:p w14:paraId="4F4D2AFA" w14:textId="77777777" w:rsidR="00355EBA" w:rsidRPr="00971219" w:rsidRDefault="00355EBA" w:rsidP="00D254CA">
            <w:pPr>
              <w:pStyle w:val="StyleTablenormalindent95pt"/>
            </w:pPr>
            <w:r w:rsidRPr="00971219">
              <w:t xml:space="preserve">   (LS mean</w:t>
            </w:r>
            <w:r w:rsidRPr="00C02C6F">
              <w:rPr>
                <w:vertAlign w:val="superscript"/>
              </w:rPr>
              <w:t>†</w:t>
            </w:r>
            <w:r w:rsidRPr="00971219">
              <w:t>, 95% CI)</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5E76985A" w14:textId="77777777" w:rsidR="00355EBA" w:rsidRPr="00971219" w:rsidRDefault="00355EBA" w:rsidP="00D7707C">
            <w:pPr>
              <w:pStyle w:val="Tablecentered"/>
              <w:rPr>
                <w:sz w:val="19"/>
                <w:szCs w:val="19"/>
              </w:rPr>
            </w:pP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06BFA53E" w14:textId="77777777" w:rsidR="00355EBA" w:rsidRPr="00971219" w:rsidRDefault="00355EBA" w:rsidP="00D7707C">
            <w:pPr>
              <w:pStyle w:val="Tablecentered"/>
              <w:rPr>
                <w:sz w:val="19"/>
                <w:szCs w:val="19"/>
              </w:rPr>
            </w:pP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0132E843" w14:textId="77777777" w:rsidR="00355EBA" w:rsidRPr="00971219" w:rsidRDefault="00355EBA" w:rsidP="00D7707C">
            <w:pPr>
              <w:pStyle w:val="Tablecentered"/>
              <w:rPr>
                <w:sz w:val="19"/>
                <w:szCs w:val="19"/>
              </w:rPr>
            </w:pPr>
          </w:p>
        </w:tc>
        <w:tc>
          <w:tcPr>
            <w:tcW w:w="1874" w:type="dxa"/>
            <w:tcBorders>
              <w:top w:val="nil"/>
              <w:left w:val="single" w:sz="6" w:space="0" w:color="auto"/>
              <w:bottom w:val="nil"/>
              <w:right w:val="single" w:sz="6" w:space="0" w:color="auto"/>
            </w:tcBorders>
            <w:tcMar>
              <w:top w:w="57" w:type="dxa"/>
              <w:left w:w="57" w:type="dxa"/>
              <w:bottom w:w="57" w:type="dxa"/>
              <w:right w:w="57" w:type="dxa"/>
            </w:tcMar>
          </w:tcPr>
          <w:p w14:paraId="45196917" w14:textId="77777777" w:rsidR="004A4153" w:rsidRDefault="004A4153" w:rsidP="004A4153">
            <w:pPr>
              <w:pStyle w:val="StyleTablecentered95pt"/>
            </w:pPr>
          </w:p>
          <w:p w14:paraId="6D83F9B6" w14:textId="77777777" w:rsidR="00355EBA" w:rsidRPr="00971219" w:rsidRDefault="00355EBA" w:rsidP="004A4153">
            <w:pPr>
              <w:pStyle w:val="StyleTablecentered95pt"/>
            </w:pPr>
            <w:r w:rsidRPr="00971219">
              <w:t>-1.02</w:t>
            </w:r>
            <w:r w:rsidRPr="00C02C6F">
              <w:rPr>
                <w:vertAlign w:val="superscript"/>
              </w:rPr>
              <w:t>‡</w:t>
            </w:r>
            <w:r w:rsidRPr="00971219">
              <w:t xml:space="preserve"> (-1.33, -0.71)</w:t>
            </w:r>
          </w:p>
          <w:p w14:paraId="7E4DA0A6" w14:textId="3B6D8F09" w:rsidR="00355EBA" w:rsidRPr="00971219" w:rsidRDefault="00355EBA" w:rsidP="004A4153">
            <w:pPr>
              <w:pStyle w:val="StyleTablecentered95pt"/>
            </w:pPr>
            <w:r w:rsidRPr="00971219">
              <w:t>- 0.46</w:t>
            </w:r>
            <w:r w:rsidRPr="001B3C28">
              <w:rPr>
                <w:vertAlign w:val="superscript"/>
              </w:rPr>
              <w:t>¶</w:t>
            </w:r>
            <w:r w:rsidRPr="00971219">
              <w:t xml:space="preserve"> (-0.77, -0.15)</w:t>
            </w:r>
          </w:p>
        </w:tc>
        <w:tc>
          <w:tcPr>
            <w:tcW w:w="1785" w:type="dxa"/>
            <w:tcBorders>
              <w:top w:val="nil"/>
              <w:left w:val="single" w:sz="6" w:space="0" w:color="auto"/>
              <w:bottom w:val="nil"/>
              <w:right w:val="single" w:sz="6" w:space="0" w:color="auto"/>
            </w:tcBorders>
            <w:tcMar>
              <w:top w:w="57" w:type="dxa"/>
              <w:left w:w="57" w:type="dxa"/>
              <w:bottom w:w="57" w:type="dxa"/>
              <w:right w:w="57" w:type="dxa"/>
            </w:tcMar>
          </w:tcPr>
          <w:p w14:paraId="0318FD4A" w14:textId="77777777" w:rsidR="00355EBA" w:rsidRPr="00971219" w:rsidRDefault="00355EBA" w:rsidP="004A4153">
            <w:pPr>
              <w:pStyle w:val="StyleTablecentered95pt"/>
            </w:pPr>
          </w:p>
          <w:p w14:paraId="70B9B275" w14:textId="77777777" w:rsidR="00355EBA" w:rsidRPr="00971219" w:rsidRDefault="00355EBA" w:rsidP="004A4153">
            <w:pPr>
              <w:pStyle w:val="StyleTablecentered95pt"/>
            </w:pPr>
            <w:r w:rsidRPr="00971219">
              <w:t>-1.28</w:t>
            </w:r>
            <w:r w:rsidRPr="00C02C6F">
              <w:rPr>
                <w:vertAlign w:val="superscript"/>
              </w:rPr>
              <w:t>‡</w:t>
            </w:r>
            <w:r w:rsidRPr="00971219">
              <w:t xml:space="preserve"> (-1.60, -0.97)</w:t>
            </w:r>
          </w:p>
          <w:p w14:paraId="1F0023A6" w14:textId="77777777" w:rsidR="00355EBA" w:rsidRPr="00971219" w:rsidRDefault="00355EBA" w:rsidP="004A4153">
            <w:pPr>
              <w:pStyle w:val="StyleTablecentered95pt"/>
            </w:pPr>
          </w:p>
          <w:p w14:paraId="1E9D7264" w14:textId="27BD6FA2" w:rsidR="00355EBA" w:rsidRPr="00971219" w:rsidRDefault="00355EBA" w:rsidP="004A4153">
            <w:pPr>
              <w:pStyle w:val="StyleTablecentered95pt"/>
              <w:rPr>
                <w:szCs w:val="19"/>
              </w:rPr>
            </w:pPr>
            <w:r w:rsidRPr="00971219">
              <w:t>-0.65</w:t>
            </w:r>
            <w:r w:rsidRPr="00C02C6F">
              <w:rPr>
                <w:vertAlign w:val="superscript"/>
              </w:rPr>
              <w:t>‡</w:t>
            </w:r>
            <w:r w:rsidRPr="00971219">
              <w:t xml:space="preserve"> (-0.96, -0.35)</w:t>
            </w:r>
            <w:r w:rsidR="004A4153" w:rsidRPr="00971219" w:rsidDel="004A4153">
              <w:t xml:space="preserve"> </w:t>
            </w:r>
          </w:p>
        </w:tc>
      </w:tr>
      <w:tr w:rsidR="00355EBA" w:rsidRPr="00F644FD" w14:paraId="57BB6D51" w14:textId="77777777" w:rsidTr="00C02C6F">
        <w:trPr>
          <w:cantSplit/>
          <w:jc w:val="center"/>
        </w:trPr>
        <w:tc>
          <w:tcPr>
            <w:tcW w:w="236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9F34C58" w14:textId="77777777" w:rsidR="00355EBA" w:rsidRPr="00971219" w:rsidRDefault="00355EBA" w:rsidP="00D7707C">
            <w:pPr>
              <w:pStyle w:val="Tablenormal0"/>
              <w:rPr>
                <w:b/>
                <w:bCs/>
                <w:sz w:val="19"/>
                <w:szCs w:val="19"/>
              </w:rPr>
            </w:pPr>
            <w:r w:rsidRPr="00971219">
              <w:rPr>
                <w:b/>
                <w:bCs/>
                <w:sz w:val="19"/>
                <w:szCs w:val="19"/>
              </w:rPr>
              <w:t>Body Weight (kg)</w:t>
            </w:r>
          </w:p>
        </w:tc>
        <w:tc>
          <w:tcPr>
            <w:tcW w:w="124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5C4B94A" w14:textId="77777777" w:rsidR="00355EBA" w:rsidRPr="00971219" w:rsidRDefault="00355EBA" w:rsidP="00D7707C">
            <w:pPr>
              <w:pStyle w:val="Tablecentered"/>
              <w:rPr>
                <w:b/>
                <w:bCs/>
                <w:sz w:val="19"/>
                <w:szCs w:val="19"/>
              </w:rPr>
            </w:pPr>
            <w:r w:rsidRPr="00971219">
              <w:rPr>
                <w:b/>
                <w:bCs/>
                <w:sz w:val="19"/>
                <w:szCs w:val="19"/>
              </w:rPr>
              <w:t>N = 250</w:t>
            </w:r>
          </w:p>
        </w:tc>
        <w:tc>
          <w:tcPr>
            <w:tcW w:w="127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705263F" w14:textId="77777777" w:rsidR="00355EBA" w:rsidRPr="00971219" w:rsidRDefault="00355EBA" w:rsidP="00D7707C">
            <w:pPr>
              <w:pStyle w:val="Tablecentered"/>
              <w:rPr>
                <w:b/>
                <w:bCs/>
                <w:sz w:val="19"/>
                <w:szCs w:val="19"/>
              </w:rPr>
            </w:pPr>
            <w:r w:rsidRPr="00971219">
              <w:rPr>
                <w:b/>
                <w:bCs/>
                <w:sz w:val="19"/>
                <w:szCs w:val="19"/>
              </w:rPr>
              <w:t>N = 248</w:t>
            </w:r>
          </w:p>
        </w:tc>
        <w:tc>
          <w:tcPr>
            <w:tcW w:w="101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7B991AF8" w14:textId="77777777" w:rsidR="00355EBA" w:rsidRPr="00971219" w:rsidRDefault="00355EBA" w:rsidP="00D7707C">
            <w:pPr>
              <w:pStyle w:val="Tablecentered"/>
              <w:rPr>
                <w:b/>
                <w:bCs/>
                <w:sz w:val="19"/>
                <w:szCs w:val="19"/>
              </w:rPr>
            </w:pPr>
            <w:r w:rsidRPr="00971219">
              <w:rPr>
                <w:b/>
                <w:bCs/>
                <w:sz w:val="19"/>
                <w:szCs w:val="19"/>
              </w:rPr>
              <w:t>N = 247</w:t>
            </w:r>
          </w:p>
        </w:tc>
        <w:tc>
          <w:tcPr>
            <w:tcW w:w="18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BACA55D" w14:textId="77777777" w:rsidR="00355EBA" w:rsidRPr="00971219" w:rsidRDefault="00355EBA" w:rsidP="00D7707C">
            <w:pPr>
              <w:pStyle w:val="Tablecentered"/>
              <w:rPr>
                <w:b/>
                <w:bCs/>
                <w:sz w:val="19"/>
                <w:szCs w:val="19"/>
              </w:rPr>
            </w:pPr>
            <w:r w:rsidRPr="00971219">
              <w:rPr>
                <w:b/>
                <w:bCs/>
                <w:sz w:val="19"/>
                <w:szCs w:val="19"/>
              </w:rPr>
              <w:t>N = 243</w:t>
            </w:r>
          </w:p>
        </w:tc>
        <w:tc>
          <w:tcPr>
            <w:tcW w:w="17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6950B1A1" w14:textId="77777777" w:rsidR="00355EBA" w:rsidRPr="00971219" w:rsidRDefault="00355EBA" w:rsidP="00D7707C">
            <w:pPr>
              <w:pStyle w:val="Tablecentered"/>
              <w:rPr>
                <w:b/>
                <w:bCs/>
                <w:sz w:val="19"/>
                <w:szCs w:val="19"/>
              </w:rPr>
            </w:pPr>
            <w:r w:rsidRPr="00971219">
              <w:rPr>
                <w:b/>
                <w:bCs/>
                <w:sz w:val="19"/>
                <w:szCs w:val="19"/>
              </w:rPr>
              <w:t>N = 244</w:t>
            </w:r>
          </w:p>
        </w:tc>
      </w:tr>
      <w:tr w:rsidR="00355EBA" w:rsidRPr="00F644FD" w14:paraId="1D5B6B50"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4C5D919E" w14:textId="77777777" w:rsidR="00355EBA" w:rsidRPr="00971219" w:rsidRDefault="00355EBA" w:rsidP="00D254CA">
            <w:pPr>
              <w:pStyle w:val="StyleTablenormalindent95pt"/>
            </w:pPr>
            <w:r w:rsidRPr="00971219">
              <w:t>Baseline (mean)</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3CA84865" w14:textId="77777777" w:rsidR="00355EBA" w:rsidRPr="00971219" w:rsidRDefault="00355EBA" w:rsidP="00D7707C">
            <w:pPr>
              <w:pStyle w:val="StyleTablecentered95pt"/>
            </w:pPr>
            <w:r w:rsidRPr="00971219">
              <w:t>88.6</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1EEE170C" w14:textId="77777777" w:rsidR="00355EBA" w:rsidRPr="00971219" w:rsidRDefault="00355EBA" w:rsidP="00D7707C">
            <w:pPr>
              <w:pStyle w:val="StyleTablecentered95pt"/>
            </w:pPr>
            <w:r w:rsidRPr="00971219">
              <w:t>88.0</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2EF6DE5C" w14:textId="77777777" w:rsidR="00355EBA" w:rsidRPr="00971219" w:rsidRDefault="00355EBA" w:rsidP="00D7707C">
            <w:pPr>
              <w:pStyle w:val="StyleTablecentered95pt"/>
            </w:pPr>
            <w:r w:rsidRPr="00971219">
              <w:t>89.8</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4FBD2F56" w14:textId="77777777" w:rsidR="00355EBA" w:rsidRPr="00971219" w:rsidRDefault="00355EBA" w:rsidP="00D7707C">
            <w:pPr>
              <w:pStyle w:val="StyleTablecentered95pt"/>
            </w:pPr>
            <w:r w:rsidRPr="00971219">
              <w:t>89.5</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27CDCDC3" w14:textId="77777777" w:rsidR="00355EBA" w:rsidRPr="00971219" w:rsidRDefault="00355EBA" w:rsidP="00D7707C">
            <w:pPr>
              <w:pStyle w:val="StyleTablecentered95pt"/>
            </w:pPr>
            <w:r w:rsidRPr="00971219">
              <w:t>87.5</w:t>
            </w:r>
          </w:p>
        </w:tc>
      </w:tr>
      <w:tr w:rsidR="00355EBA" w:rsidRPr="00F644FD" w14:paraId="0D1985E7"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05A38D16" w14:textId="77777777" w:rsidR="00D254CA" w:rsidRDefault="00355EBA" w:rsidP="00D254CA">
            <w:pPr>
              <w:pStyle w:val="StyleTablenormalindent95pt"/>
            </w:pPr>
            <w:r w:rsidRPr="00971219">
              <w:t xml:space="preserve">Change from baseline </w:t>
            </w:r>
          </w:p>
          <w:p w14:paraId="57309BC0" w14:textId="6E6843EE" w:rsidR="00355EBA" w:rsidRPr="00971219" w:rsidRDefault="00355EBA" w:rsidP="00D254CA">
            <w:pPr>
              <w:pStyle w:val="StyleTablenormalindent95pt"/>
            </w:pPr>
            <w:r w:rsidRPr="00971219">
              <w:t>(LS mean</w:t>
            </w:r>
            <w:r w:rsidRPr="00C02C6F">
              <w:rPr>
                <w:vertAlign w:val="superscript"/>
              </w:rPr>
              <w:t>†</w:t>
            </w:r>
            <w:r w:rsidRPr="00971219">
              <w:t>)</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7ED3FDB9" w14:textId="77777777" w:rsidR="00355EBA" w:rsidRPr="00971219" w:rsidRDefault="00355EBA" w:rsidP="00D7707C">
            <w:pPr>
              <w:pStyle w:val="StyleTablecentered95pt"/>
            </w:pPr>
            <w:r w:rsidRPr="00971219">
              <w:t>-2.7</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25B98E68" w14:textId="77777777" w:rsidR="00355EBA" w:rsidRPr="00971219" w:rsidRDefault="00355EBA" w:rsidP="00D7707C">
            <w:pPr>
              <w:pStyle w:val="StyleTablecentered95pt"/>
            </w:pPr>
            <w:r w:rsidRPr="00971219">
              <w:t>-3.7</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5A98EA58" w14:textId="77777777" w:rsidR="00355EBA" w:rsidRPr="00971219" w:rsidRDefault="00355EBA" w:rsidP="00D7707C">
            <w:pPr>
              <w:pStyle w:val="StyleTablecentered95pt"/>
            </w:pPr>
            <w:r w:rsidRPr="00971219">
              <w:t>-0.7</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37632582" w14:textId="77777777" w:rsidR="00355EBA" w:rsidRPr="00971219" w:rsidRDefault="00355EBA" w:rsidP="00D7707C">
            <w:pPr>
              <w:pStyle w:val="StyleTablecentered95pt"/>
            </w:pPr>
            <w:r w:rsidRPr="00971219">
              <w:t>-2.5</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71A2C982" w14:textId="77777777" w:rsidR="00355EBA" w:rsidRPr="00971219" w:rsidRDefault="00355EBA" w:rsidP="00D7707C">
            <w:pPr>
              <w:pStyle w:val="StyleTablecentered95pt"/>
            </w:pPr>
            <w:r w:rsidRPr="00971219">
              <w:t>-2.9</w:t>
            </w:r>
          </w:p>
        </w:tc>
      </w:tr>
      <w:tr w:rsidR="00355EBA" w:rsidRPr="00F644FD" w14:paraId="01F5C368" w14:textId="77777777" w:rsidTr="00C02C6F">
        <w:trPr>
          <w:cantSplit/>
          <w:jc w:val="center"/>
        </w:trPr>
        <w:tc>
          <w:tcPr>
            <w:tcW w:w="2368"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2732A432" w14:textId="77777777" w:rsidR="00355EBA" w:rsidRPr="00971219" w:rsidRDefault="00355EBA" w:rsidP="00D254CA">
            <w:pPr>
              <w:pStyle w:val="StyleTablenormalindent95pt"/>
            </w:pPr>
            <w:r w:rsidRPr="00971219">
              <w:t xml:space="preserve">Difference from </w:t>
            </w:r>
            <w:proofErr w:type="spellStart"/>
            <w:r w:rsidRPr="00971219">
              <w:t>Sitagliptin</w:t>
            </w:r>
            <w:proofErr w:type="spellEnd"/>
          </w:p>
          <w:p w14:paraId="5CD1CB42" w14:textId="77777777" w:rsidR="00355EBA" w:rsidRPr="00971219" w:rsidRDefault="00355EBA" w:rsidP="00D254CA">
            <w:pPr>
              <w:pStyle w:val="StyleTablenormalindent95pt"/>
            </w:pPr>
            <w:r w:rsidRPr="00971219">
              <w:t>(LS mean</w:t>
            </w:r>
            <w:r w:rsidRPr="00C02C6F">
              <w:rPr>
                <w:vertAlign w:val="superscript"/>
              </w:rPr>
              <w:t>†</w:t>
            </w:r>
            <w:r w:rsidRPr="00971219">
              <w:t>, 95% CI)</w:t>
            </w:r>
          </w:p>
        </w:tc>
        <w:tc>
          <w:tcPr>
            <w:tcW w:w="1248"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776F8C8C" w14:textId="77777777" w:rsidR="00355EBA" w:rsidRPr="00971219" w:rsidRDefault="00355EBA" w:rsidP="00D7707C">
            <w:pPr>
              <w:pStyle w:val="Tablecentered"/>
              <w:rPr>
                <w:sz w:val="19"/>
                <w:szCs w:val="19"/>
              </w:rPr>
            </w:pPr>
          </w:p>
        </w:tc>
        <w:tc>
          <w:tcPr>
            <w:tcW w:w="1276"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0D6FD471" w14:textId="77777777" w:rsidR="00355EBA" w:rsidRPr="00971219" w:rsidRDefault="00355EBA" w:rsidP="00D7707C">
            <w:pPr>
              <w:pStyle w:val="Tablecentered"/>
              <w:rPr>
                <w:sz w:val="19"/>
                <w:szCs w:val="19"/>
              </w:rPr>
            </w:pPr>
          </w:p>
        </w:tc>
        <w:tc>
          <w:tcPr>
            <w:tcW w:w="1019"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635B703" w14:textId="77777777" w:rsidR="00355EBA" w:rsidRPr="00971219" w:rsidRDefault="00355EBA" w:rsidP="00D7707C">
            <w:pPr>
              <w:pStyle w:val="Tablecentered"/>
              <w:rPr>
                <w:sz w:val="19"/>
                <w:szCs w:val="19"/>
              </w:rPr>
            </w:pPr>
          </w:p>
        </w:tc>
        <w:tc>
          <w:tcPr>
            <w:tcW w:w="1874"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4AC308BD" w14:textId="48CB21AE" w:rsidR="00D254CA" w:rsidRDefault="00355EBA" w:rsidP="00D254CA">
            <w:pPr>
              <w:pStyle w:val="StyleTablecentered95pt"/>
            </w:pPr>
            <w:r w:rsidRPr="00971219">
              <w:t>-1.8</w:t>
            </w:r>
            <w:r w:rsidRPr="00C02C6F">
              <w:rPr>
                <w:vertAlign w:val="superscript"/>
              </w:rPr>
              <w:t>‡</w:t>
            </w:r>
            <w:r w:rsidRPr="00971219">
              <w:t xml:space="preserve"> </w:t>
            </w:r>
          </w:p>
          <w:p w14:paraId="0821F7D2" w14:textId="77777777" w:rsidR="00355EBA" w:rsidRPr="00971219" w:rsidRDefault="00355EBA" w:rsidP="00D254CA">
            <w:pPr>
              <w:pStyle w:val="StyleTablecentered95pt"/>
            </w:pPr>
            <w:r w:rsidRPr="00971219">
              <w:t>(-2.5, -1.2)</w:t>
            </w:r>
          </w:p>
        </w:tc>
        <w:tc>
          <w:tcPr>
            <w:tcW w:w="1785" w:type="dxa"/>
            <w:tcBorders>
              <w:top w:val="nil"/>
              <w:left w:val="single" w:sz="6" w:space="0" w:color="auto"/>
              <w:bottom w:val="single" w:sz="6" w:space="0" w:color="auto"/>
              <w:right w:val="single" w:sz="6" w:space="0" w:color="auto"/>
            </w:tcBorders>
            <w:tcMar>
              <w:top w:w="57" w:type="dxa"/>
              <w:left w:w="57" w:type="dxa"/>
              <w:bottom w:w="57" w:type="dxa"/>
              <w:right w:w="57" w:type="dxa"/>
            </w:tcMar>
            <w:vAlign w:val="center"/>
          </w:tcPr>
          <w:p w14:paraId="1A2CE0D9" w14:textId="77777777" w:rsidR="00355EBA" w:rsidRPr="00971219" w:rsidRDefault="00355EBA" w:rsidP="00D7707C">
            <w:pPr>
              <w:pStyle w:val="StyleTablecentered95pt"/>
            </w:pPr>
            <w:r w:rsidRPr="00971219">
              <w:t>-2.3</w:t>
            </w:r>
            <w:r w:rsidRPr="00C02C6F">
              <w:rPr>
                <w:vertAlign w:val="superscript"/>
              </w:rPr>
              <w:t>‡</w:t>
            </w:r>
            <w:r w:rsidRPr="00971219">
              <w:t xml:space="preserve"> </w:t>
            </w:r>
          </w:p>
          <w:p w14:paraId="46BAA917" w14:textId="77777777" w:rsidR="00355EBA" w:rsidRPr="00971219" w:rsidRDefault="00355EBA" w:rsidP="00D7707C">
            <w:pPr>
              <w:pStyle w:val="StyleTablecentered95pt"/>
            </w:pPr>
            <w:r w:rsidRPr="00971219">
              <w:t>(-2.9, -1.6)</w:t>
            </w:r>
          </w:p>
        </w:tc>
      </w:tr>
      <w:tr w:rsidR="00355EBA" w:rsidRPr="00F644FD" w14:paraId="22898F1B" w14:textId="77777777" w:rsidTr="00C02C6F">
        <w:trPr>
          <w:cantSplit/>
          <w:jc w:val="center"/>
        </w:trPr>
        <w:tc>
          <w:tcPr>
            <w:tcW w:w="236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4C561D69" w14:textId="77777777" w:rsidR="00355EBA" w:rsidRPr="00971219" w:rsidRDefault="00355EBA" w:rsidP="00D7707C">
            <w:pPr>
              <w:pStyle w:val="Tablenormal0"/>
              <w:rPr>
                <w:b/>
                <w:bCs/>
                <w:sz w:val="19"/>
                <w:szCs w:val="19"/>
              </w:rPr>
            </w:pPr>
            <w:r w:rsidRPr="00971219">
              <w:rPr>
                <w:b/>
                <w:bCs/>
                <w:sz w:val="19"/>
                <w:szCs w:val="19"/>
              </w:rPr>
              <w:t>Systolic Blood Pressure</w:t>
            </w:r>
          </w:p>
        </w:tc>
        <w:tc>
          <w:tcPr>
            <w:tcW w:w="1248"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1EB31A91" w14:textId="77777777" w:rsidR="00355EBA" w:rsidRPr="00971219" w:rsidRDefault="00355EBA" w:rsidP="00D7707C">
            <w:pPr>
              <w:pStyle w:val="Tablecentered"/>
              <w:rPr>
                <w:b/>
                <w:bCs/>
                <w:sz w:val="19"/>
                <w:szCs w:val="19"/>
              </w:rPr>
            </w:pPr>
            <w:r w:rsidRPr="00971219">
              <w:rPr>
                <w:b/>
                <w:bCs/>
                <w:sz w:val="19"/>
                <w:szCs w:val="19"/>
              </w:rPr>
              <w:t>N = 250</w:t>
            </w:r>
          </w:p>
        </w:tc>
        <w:tc>
          <w:tcPr>
            <w:tcW w:w="1276"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80EF9DA" w14:textId="77777777" w:rsidR="00355EBA" w:rsidRPr="00971219" w:rsidRDefault="00355EBA" w:rsidP="00D7707C">
            <w:pPr>
              <w:pStyle w:val="Tablecentered"/>
              <w:rPr>
                <w:b/>
                <w:bCs/>
                <w:sz w:val="19"/>
                <w:szCs w:val="19"/>
              </w:rPr>
            </w:pPr>
            <w:r w:rsidRPr="00971219">
              <w:rPr>
                <w:b/>
                <w:bCs/>
                <w:sz w:val="19"/>
                <w:szCs w:val="19"/>
              </w:rPr>
              <w:t>N = 248</w:t>
            </w:r>
          </w:p>
        </w:tc>
        <w:tc>
          <w:tcPr>
            <w:tcW w:w="1019"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5193FD7B" w14:textId="77777777" w:rsidR="00355EBA" w:rsidRPr="00971219" w:rsidRDefault="00355EBA" w:rsidP="00D7707C">
            <w:pPr>
              <w:pStyle w:val="Tablecentered"/>
              <w:rPr>
                <w:b/>
                <w:bCs/>
                <w:sz w:val="19"/>
                <w:szCs w:val="19"/>
              </w:rPr>
            </w:pPr>
            <w:r w:rsidRPr="00971219">
              <w:rPr>
                <w:b/>
                <w:bCs/>
                <w:sz w:val="19"/>
                <w:szCs w:val="19"/>
              </w:rPr>
              <w:t>N = 247</w:t>
            </w:r>
          </w:p>
        </w:tc>
        <w:tc>
          <w:tcPr>
            <w:tcW w:w="1874"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357036FE" w14:textId="77777777" w:rsidR="00355EBA" w:rsidRPr="00971219" w:rsidRDefault="00355EBA" w:rsidP="00D7707C">
            <w:pPr>
              <w:pStyle w:val="Tablecentered"/>
              <w:rPr>
                <w:b/>
                <w:bCs/>
                <w:sz w:val="19"/>
                <w:szCs w:val="19"/>
              </w:rPr>
            </w:pPr>
            <w:r w:rsidRPr="00971219">
              <w:rPr>
                <w:b/>
                <w:bCs/>
                <w:sz w:val="19"/>
                <w:szCs w:val="19"/>
              </w:rPr>
              <w:t>N = 243</w:t>
            </w:r>
          </w:p>
        </w:tc>
        <w:tc>
          <w:tcPr>
            <w:tcW w:w="1785" w:type="dxa"/>
            <w:tcBorders>
              <w:top w:val="single" w:sz="6" w:space="0" w:color="auto"/>
              <w:left w:val="single" w:sz="6" w:space="0" w:color="auto"/>
              <w:bottom w:val="nil"/>
              <w:right w:val="single" w:sz="6" w:space="0" w:color="auto"/>
            </w:tcBorders>
            <w:tcMar>
              <w:top w:w="57" w:type="dxa"/>
              <w:left w:w="57" w:type="dxa"/>
              <w:bottom w:w="57" w:type="dxa"/>
              <w:right w:w="57" w:type="dxa"/>
            </w:tcMar>
            <w:vAlign w:val="center"/>
          </w:tcPr>
          <w:p w14:paraId="2CFA89EA" w14:textId="77777777" w:rsidR="00355EBA" w:rsidRPr="00971219" w:rsidRDefault="00355EBA" w:rsidP="00D7707C">
            <w:pPr>
              <w:pStyle w:val="Tablecentered"/>
              <w:rPr>
                <w:b/>
                <w:bCs/>
                <w:sz w:val="19"/>
                <w:szCs w:val="19"/>
              </w:rPr>
            </w:pPr>
            <w:r w:rsidRPr="00971219">
              <w:rPr>
                <w:b/>
                <w:bCs/>
                <w:sz w:val="19"/>
                <w:szCs w:val="19"/>
              </w:rPr>
              <w:t>N = 244</w:t>
            </w:r>
          </w:p>
        </w:tc>
      </w:tr>
      <w:tr w:rsidR="00355EBA" w:rsidRPr="00F644FD" w14:paraId="383D61D0"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1243C206" w14:textId="77777777" w:rsidR="00355EBA" w:rsidRPr="00971219" w:rsidRDefault="00355EBA" w:rsidP="00D254CA">
            <w:pPr>
              <w:pStyle w:val="StyleTablenormalindent95pt"/>
            </w:pPr>
            <w:r w:rsidRPr="00971219">
              <w:t>Baseline (mean)</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4C771108" w14:textId="77777777" w:rsidR="00355EBA" w:rsidRPr="00971219" w:rsidRDefault="00355EBA" w:rsidP="00D7707C">
            <w:pPr>
              <w:pStyle w:val="StyleTablecentered95pt"/>
            </w:pPr>
            <w:r w:rsidRPr="00971219">
              <w:t>129.7</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0ED54A3C" w14:textId="77777777" w:rsidR="00355EBA" w:rsidRPr="00971219" w:rsidRDefault="00355EBA" w:rsidP="00D7707C">
            <w:pPr>
              <w:pStyle w:val="StyleTablecentered95pt"/>
            </w:pPr>
            <w:r w:rsidRPr="00971219">
              <w:t>128.9</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278D899C" w14:textId="77777777" w:rsidR="00355EBA" w:rsidRPr="00971219" w:rsidRDefault="00355EBA" w:rsidP="00D7707C">
            <w:pPr>
              <w:pStyle w:val="StyleTablecentered95pt"/>
            </w:pPr>
            <w:r w:rsidRPr="00971219">
              <w:t>128.3</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7BE4E6C8" w14:textId="77777777" w:rsidR="00355EBA" w:rsidRPr="00971219" w:rsidRDefault="00355EBA" w:rsidP="00D7707C">
            <w:pPr>
              <w:pStyle w:val="StyleTablecentered95pt"/>
            </w:pPr>
            <w:r w:rsidRPr="00971219">
              <w:t>130.2</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177680F1" w14:textId="77777777" w:rsidR="00355EBA" w:rsidRPr="00971219" w:rsidRDefault="00355EBA" w:rsidP="00D7707C">
            <w:pPr>
              <w:pStyle w:val="StyleTablecentered95pt"/>
            </w:pPr>
            <w:r w:rsidRPr="00971219">
              <w:t>129.1</w:t>
            </w:r>
          </w:p>
        </w:tc>
      </w:tr>
      <w:tr w:rsidR="00355EBA" w:rsidRPr="00F644FD" w14:paraId="33304AC2"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3102F17B" w14:textId="77777777" w:rsidR="00D254CA" w:rsidRDefault="00355EBA" w:rsidP="00D254CA">
            <w:pPr>
              <w:pStyle w:val="StyleTablenormalindent95pt"/>
            </w:pPr>
            <w:r w:rsidRPr="00971219">
              <w:t>Change from baseline</w:t>
            </w:r>
          </w:p>
          <w:p w14:paraId="25DE2E3F" w14:textId="58F6C470" w:rsidR="00355EBA" w:rsidRPr="00971219" w:rsidRDefault="00355EBA" w:rsidP="00D254CA">
            <w:pPr>
              <w:pStyle w:val="StyleTablenormalindent95pt"/>
            </w:pPr>
            <w:r w:rsidRPr="00971219">
              <w:t xml:space="preserve"> (LS mean</w:t>
            </w:r>
            <w:r w:rsidRPr="00C02C6F">
              <w:rPr>
                <w:vertAlign w:val="superscript"/>
              </w:rPr>
              <w:t>†</w:t>
            </w:r>
            <w:r w:rsidRPr="00971219">
              <w:t>)</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57A0FDE1" w14:textId="77777777" w:rsidR="00355EBA" w:rsidRPr="00971219" w:rsidRDefault="00355EBA" w:rsidP="00D7707C">
            <w:pPr>
              <w:pStyle w:val="StyleTablecentered95pt"/>
            </w:pPr>
            <w:r w:rsidRPr="00971219">
              <w:t>-3.9</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56387628" w14:textId="77777777" w:rsidR="00355EBA" w:rsidRPr="00971219" w:rsidRDefault="00355EBA" w:rsidP="00D7707C">
            <w:pPr>
              <w:pStyle w:val="StyleTablecentered95pt"/>
            </w:pPr>
            <w:r w:rsidRPr="00971219">
              <w:t>-3.7</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4F19B911" w14:textId="77777777" w:rsidR="00355EBA" w:rsidRPr="00971219" w:rsidRDefault="00355EBA" w:rsidP="00D7707C">
            <w:pPr>
              <w:pStyle w:val="StyleTablecentered95pt"/>
            </w:pPr>
            <w:r w:rsidRPr="00971219">
              <w:t>-0.7</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28DDA788" w14:textId="77777777" w:rsidR="00355EBA" w:rsidRPr="00971219" w:rsidRDefault="00355EBA" w:rsidP="00D7707C">
            <w:pPr>
              <w:pStyle w:val="StyleTablecentered95pt"/>
            </w:pPr>
            <w:r w:rsidRPr="00971219">
              <w:t>-3.4</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5A70C487" w14:textId="77777777" w:rsidR="00355EBA" w:rsidRPr="00971219" w:rsidRDefault="00355EBA" w:rsidP="00D7707C">
            <w:pPr>
              <w:pStyle w:val="StyleTablecentered95pt"/>
            </w:pPr>
            <w:r w:rsidRPr="00971219">
              <w:t>-3.7</w:t>
            </w:r>
          </w:p>
        </w:tc>
      </w:tr>
      <w:tr w:rsidR="00355EBA" w:rsidRPr="00F644FD" w14:paraId="58D366C2" w14:textId="77777777" w:rsidTr="00C02C6F">
        <w:trPr>
          <w:cantSplit/>
          <w:jc w:val="center"/>
        </w:trPr>
        <w:tc>
          <w:tcPr>
            <w:tcW w:w="2368"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5EB0B48A" w14:textId="77777777" w:rsidR="00355EBA" w:rsidRPr="00971219" w:rsidRDefault="00355EBA" w:rsidP="00D254CA">
            <w:pPr>
              <w:pStyle w:val="StyleTablenormalindent95pt"/>
            </w:pPr>
            <w:r w:rsidRPr="00971219">
              <w:t xml:space="preserve">Difference from </w:t>
            </w:r>
            <w:proofErr w:type="spellStart"/>
            <w:r w:rsidRPr="00971219">
              <w:t>Sitagliptin</w:t>
            </w:r>
            <w:proofErr w:type="spellEnd"/>
            <w:r w:rsidRPr="00971219">
              <w:t xml:space="preserve"> </w:t>
            </w:r>
          </w:p>
          <w:p w14:paraId="3C0AF796" w14:textId="77777777" w:rsidR="00355EBA" w:rsidRPr="00971219" w:rsidRDefault="00355EBA" w:rsidP="00D254CA">
            <w:pPr>
              <w:pStyle w:val="StyleTablenormalindent95pt"/>
            </w:pPr>
            <w:r w:rsidRPr="00971219">
              <w:t>(LS mean</w:t>
            </w:r>
            <w:r w:rsidRPr="00C02C6F">
              <w:rPr>
                <w:vertAlign w:val="superscript"/>
              </w:rPr>
              <w:t>†</w:t>
            </w:r>
            <w:r w:rsidRPr="00971219">
              <w:t>, 95% CI)</w:t>
            </w:r>
          </w:p>
        </w:tc>
        <w:tc>
          <w:tcPr>
            <w:tcW w:w="1248"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0BC90D16" w14:textId="77777777" w:rsidR="00355EBA" w:rsidRPr="00971219" w:rsidRDefault="00355EBA" w:rsidP="00D7707C">
            <w:pPr>
              <w:pStyle w:val="Tablecentered"/>
              <w:rPr>
                <w:sz w:val="19"/>
                <w:szCs w:val="19"/>
              </w:rPr>
            </w:pPr>
          </w:p>
        </w:tc>
        <w:tc>
          <w:tcPr>
            <w:tcW w:w="1276"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3B07C56E" w14:textId="77777777" w:rsidR="00355EBA" w:rsidRPr="00971219" w:rsidRDefault="00355EBA" w:rsidP="00D7707C">
            <w:pPr>
              <w:pStyle w:val="Tablecentered"/>
              <w:rPr>
                <w:sz w:val="19"/>
                <w:szCs w:val="19"/>
              </w:rPr>
            </w:pPr>
          </w:p>
        </w:tc>
        <w:tc>
          <w:tcPr>
            <w:tcW w:w="1019"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342DEEE5" w14:textId="77777777" w:rsidR="00355EBA" w:rsidRPr="00971219" w:rsidRDefault="00355EBA" w:rsidP="00D7707C">
            <w:pPr>
              <w:pStyle w:val="Tablecentered"/>
              <w:rPr>
                <w:sz w:val="19"/>
                <w:szCs w:val="19"/>
              </w:rPr>
            </w:pPr>
          </w:p>
        </w:tc>
        <w:tc>
          <w:tcPr>
            <w:tcW w:w="1874"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6AEBC905" w14:textId="7AB6E35C" w:rsidR="00355EBA" w:rsidRPr="00971219" w:rsidRDefault="00355EBA" w:rsidP="00D7707C">
            <w:pPr>
              <w:pStyle w:val="StyleTablecentered95pt"/>
            </w:pPr>
            <w:r w:rsidRPr="00971219">
              <w:t>-2.8</w:t>
            </w:r>
            <w:r w:rsidRPr="001B3C28">
              <w:rPr>
                <w:vertAlign w:val="superscript"/>
              </w:rPr>
              <w:t>¶</w:t>
            </w:r>
            <w:r w:rsidRPr="00971219">
              <w:t xml:space="preserve"> (-4.7, -0.8)</w:t>
            </w:r>
          </w:p>
        </w:tc>
        <w:tc>
          <w:tcPr>
            <w:tcW w:w="1785" w:type="dxa"/>
            <w:tcBorders>
              <w:top w:val="nil"/>
              <w:left w:val="single" w:sz="6" w:space="0" w:color="auto"/>
              <w:bottom w:val="single" w:sz="4" w:space="0" w:color="auto"/>
              <w:right w:val="single" w:sz="6" w:space="0" w:color="auto"/>
            </w:tcBorders>
            <w:tcMar>
              <w:top w:w="57" w:type="dxa"/>
              <w:left w:w="57" w:type="dxa"/>
              <w:bottom w:w="57" w:type="dxa"/>
              <w:right w:w="57" w:type="dxa"/>
            </w:tcMar>
            <w:vAlign w:val="center"/>
          </w:tcPr>
          <w:p w14:paraId="75A512E9" w14:textId="33D7D944" w:rsidR="00355EBA" w:rsidRPr="00971219" w:rsidRDefault="00355EBA" w:rsidP="00D7707C">
            <w:pPr>
              <w:pStyle w:val="StyleTablecentered95pt"/>
            </w:pPr>
            <w:r w:rsidRPr="00971219">
              <w:t>-3.0</w:t>
            </w:r>
            <w:r w:rsidRPr="001B3C28">
              <w:rPr>
                <w:vertAlign w:val="superscript"/>
              </w:rPr>
              <w:t>¶</w:t>
            </w:r>
            <w:r w:rsidRPr="00971219">
              <w:t xml:space="preserve"> (-4.9, -1.1)</w:t>
            </w:r>
          </w:p>
        </w:tc>
      </w:tr>
      <w:tr w:rsidR="00F56CE4" w:rsidRPr="00F644FD" w14:paraId="3E72159B" w14:textId="77777777" w:rsidTr="00C02C6F">
        <w:trPr>
          <w:cantSplit/>
          <w:jc w:val="center"/>
        </w:trPr>
        <w:tc>
          <w:tcPr>
            <w:tcW w:w="9570"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16A84B7" w14:textId="4E01B53D" w:rsidR="00F56CE4" w:rsidRPr="00971219" w:rsidRDefault="00F56CE4" w:rsidP="00D7707C">
            <w:pPr>
              <w:pStyle w:val="Tablenormal0"/>
              <w:rPr>
                <w:b/>
                <w:bCs/>
                <w:sz w:val="19"/>
                <w:szCs w:val="19"/>
              </w:rPr>
            </w:pPr>
            <w:r w:rsidRPr="00971219">
              <w:rPr>
                <w:b/>
                <w:bCs/>
                <w:sz w:val="19"/>
                <w:szCs w:val="19"/>
              </w:rPr>
              <w:t>Efficacy in patients with high baseline HbA1c (≥10%)</w:t>
            </w:r>
          </w:p>
        </w:tc>
      </w:tr>
      <w:tr w:rsidR="00F56CE4" w:rsidRPr="00F644FD" w14:paraId="3C41ABAF" w14:textId="77777777" w:rsidTr="00C02C6F">
        <w:trPr>
          <w:cantSplit/>
          <w:jc w:val="center"/>
        </w:trPr>
        <w:tc>
          <w:tcPr>
            <w:tcW w:w="2368"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584D47E3" w14:textId="5981624A" w:rsidR="00F56CE4" w:rsidRPr="00971219" w:rsidRDefault="00F56CE4" w:rsidP="0085705E">
            <w:pPr>
              <w:keepNext/>
              <w:keepLines/>
              <w:contextualSpacing/>
              <w:rPr>
                <w:sz w:val="19"/>
                <w:szCs w:val="19"/>
              </w:rPr>
            </w:pPr>
            <w:r w:rsidRPr="00971219">
              <w:rPr>
                <w:sz w:val="19"/>
                <w:szCs w:val="19"/>
              </w:rPr>
              <w:t>HbA1c (%)</w:t>
            </w:r>
          </w:p>
        </w:tc>
        <w:tc>
          <w:tcPr>
            <w:tcW w:w="1248"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27CBA8EE" w14:textId="53A492AA" w:rsidR="00F56CE4" w:rsidRPr="00971219" w:rsidRDefault="00F56CE4" w:rsidP="0085705E">
            <w:pPr>
              <w:pStyle w:val="Tablecentered"/>
              <w:rPr>
                <w:b/>
                <w:bCs/>
                <w:sz w:val="19"/>
                <w:szCs w:val="19"/>
              </w:rPr>
            </w:pPr>
            <w:r w:rsidRPr="00971219">
              <w:rPr>
                <w:b/>
                <w:bCs/>
                <w:sz w:val="19"/>
                <w:szCs w:val="19"/>
              </w:rPr>
              <w:t>N = 25</w:t>
            </w:r>
          </w:p>
        </w:tc>
        <w:tc>
          <w:tcPr>
            <w:tcW w:w="1276"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4B1C87A7" w14:textId="6B9B5F2B" w:rsidR="00F56CE4" w:rsidRPr="00971219" w:rsidRDefault="00F56CE4" w:rsidP="0085705E">
            <w:pPr>
              <w:pStyle w:val="Tablecentered"/>
              <w:rPr>
                <w:b/>
                <w:bCs/>
                <w:sz w:val="19"/>
                <w:szCs w:val="19"/>
              </w:rPr>
            </w:pPr>
            <w:r w:rsidRPr="00971219">
              <w:rPr>
                <w:b/>
                <w:bCs/>
                <w:sz w:val="19"/>
                <w:szCs w:val="19"/>
              </w:rPr>
              <w:t>N = 21</w:t>
            </w:r>
          </w:p>
        </w:tc>
        <w:tc>
          <w:tcPr>
            <w:tcW w:w="1019"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208CFFAA" w14:textId="429EE58A" w:rsidR="00F56CE4" w:rsidRPr="00971219" w:rsidRDefault="00F56CE4" w:rsidP="0085705E">
            <w:pPr>
              <w:pStyle w:val="Tablecentered"/>
              <w:rPr>
                <w:b/>
                <w:bCs/>
                <w:sz w:val="19"/>
                <w:szCs w:val="19"/>
              </w:rPr>
            </w:pPr>
            <w:r w:rsidRPr="00971219">
              <w:rPr>
                <w:b/>
                <w:bCs/>
                <w:sz w:val="19"/>
                <w:szCs w:val="19"/>
              </w:rPr>
              <w:t>N = 26</w:t>
            </w:r>
          </w:p>
        </w:tc>
        <w:tc>
          <w:tcPr>
            <w:tcW w:w="1874"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5C38E91C" w14:textId="64D8AEC8" w:rsidR="00F56CE4" w:rsidRPr="00971219" w:rsidRDefault="00F56CE4" w:rsidP="0085705E">
            <w:pPr>
              <w:pStyle w:val="Tablecentered"/>
              <w:rPr>
                <w:b/>
                <w:bCs/>
                <w:sz w:val="19"/>
                <w:szCs w:val="19"/>
              </w:rPr>
            </w:pPr>
            <w:r w:rsidRPr="00971219">
              <w:rPr>
                <w:b/>
                <w:bCs/>
                <w:sz w:val="19"/>
                <w:szCs w:val="19"/>
              </w:rPr>
              <w:t>N = 20</w:t>
            </w:r>
          </w:p>
        </w:tc>
        <w:tc>
          <w:tcPr>
            <w:tcW w:w="1785" w:type="dxa"/>
            <w:tcBorders>
              <w:top w:val="single" w:sz="4" w:space="0" w:color="auto"/>
              <w:left w:val="single" w:sz="6" w:space="0" w:color="auto"/>
              <w:bottom w:val="nil"/>
              <w:right w:val="single" w:sz="6" w:space="0" w:color="auto"/>
            </w:tcBorders>
            <w:tcMar>
              <w:top w:w="57" w:type="dxa"/>
              <w:left w:w="57" w:type="dxa"/>
              <w:bottom w:w="57" w:type="dxa"/>
              <w:right w:w="57" w:type="dxa"/>
            </w:tcMar>
            <w:vAlign w:val="center"/>
          </w:tcPr>
          <w:p w14:paraId="0E53B489" w14:textId="67B60BB7" w:rsidR="00F56CE4" w:rsidRPr="00971219" w:rsidRDefault="00F56CE4" w:rsidP="0085705E">
            <w:pPr>
              <w:pStyle w:val="Tablecentered"/>
              <w:rPr>
                <w:b/>
                <w:bCs/>
                <w:sz w:val="19"/>
                <w:szCs w:val="19"/>
              </w:rPr>
            </w:pPr>
            <w:r w:rsidRPr="00971219">
              <w:rPr>
                <w:b/>
                <w:bCs/>
                <w:sz w:val="19"/>
                <w:szCs w:val="19"/>
              </w:rPr>
              <w:t>N = 22</w:t>
            </w:r>
          </w:p>
        </w:tc>
      </w:tr>
      <w:tr w:rsidR="00F56CE4" w:rsidRPr="00F644FD" w14:paraId="60422D9B"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6E20CFCE" w14:textId="4DEC5C3F" w:rsidR="00F56CE4" w:rsidRPr="00971219" w:rsidRDefault="00F56CE4" w:rsidP="0085705E">
            <w:pPr>
              <w:pStyle w:val="StyleTablenormalindent95pt"/>
            </w:pPr>
            <w:r w:rsidRPr="00971219">
              <w:t>Baseline (mean)</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7BD1157B" w14:textId="7F9BC4E2" w:rsidR="00F56CE4" w:rsidRPr="00971219" w:rsidRDefault="00F56CE4" w:rsidP="0085705E">
            <w:pPr>
              <w:pStyle w:val="StyleTablecentered95pt"/>
            </w:pPr>
            <w:r w:rsidRPr="00971219">
              <w:t>10.66</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1F32156F" w14:textId="15DD16CD" w:rsidR="00F56CE4" w:rsidRPr="00971219" w:rsidRDefault="00F56CE4" w:rsidP="0085705E">
            <w:pPr>
              <w:pStyle w:val="StyleTablecentered95pt"/>
            </w:pPr>
            <w:r w:rsidRPr="00971219">
              <w:t>10.51</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5F6CFFA4" w14:textId="5DC08452" w:rsidR="00F56CE4" w:rsidRPr="00971219" w:rsidRDefault="00F56CE4" w:rsidP="0085705E">
            <w:pPr>
              <w:pStyle w:val="StyleTablecentered95pt"/>
            </w:pPr>
            <w:r w:rsidRPr="00971219">
              <w:t>10.46</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739818E2" w14:textId="3DA1336D" w:rsidR="00F56CE4" w:rsidRPr="00971219" w:rsidRDefault="00F56CE4" w:rsidP="0085705E">
            <w:pPr>
              <w:pStyle w:val="StyleTablecentered95pt"/>
            </w:pPr>
            <w:r w:rsidRPr="00971219">
              <w:t>10.46</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2CFF7BEE" w14:textId="6C3EBD2E" w:rsidR="00F56CE4" w:rsidRPr="00971219" w:rsidRDefault="00F56CE4" w:rsidP="0085705E">
            <w:pPr>
              <w:pStyle w:val="StyleTablecentered95pt"/>
            </w:pPr>
            <w:r w:rsidRPr="00971219">
              <w:t>10.39</w:t>
            </w:r>
          </w:p>
        </w:tc>
      </w:tr>
      <w:tr w:rsidR="00F56CE4" w:rsidRPr="00F644FD" w14:paraId="39E68EA8" w14:textId="77777777" w:rsidTr="00C02C6F">
        <w:trPr>
          <w:cantSplit/>
          <w:jc w:val="center"/>
        </w:trPr>
        <w:tc>
          <w:tcPr>
            <w:tcW w:w="2368" w:type="dxa"/>
            <w:tcBorders>
              <w:top w:val="nil"/>
              <w:left w:val="single" w:sz="6" w:space="0" w:color="auto"/>
              <w:bottom w:val="nil"/>
              <w:right w:val="single" w:sz="6" w:space="0" w:color="auto"/>
            </w:tcBorders>
            <w:tcMar>
              <w:top w:w="57" w:type="dxa"/>
              <w:left w:w="57" w:type="dxa"/>
              <w:bottom w:w="57" w:type="dxa"/>
              <w:right w:w="57" w:type="dxa"/>
            </w:tcMar>
            <w:vAlign w:val="center"/>
          </w:tcPr>
          <w:p w14:paraId="600BCF91" w14:textId="3DEC6CB8" w:rsidR="00F56CE4" w:rsidRPr="00971219" w:rsidRDefault="00F56CE4" w:rsidP="0085705E">
            <w:pPr>
              <w:pStyle w:val="StyleTablenormalindent95pt"/>
            </w:pPr>
            <w:r w:rsidRPr="00971219">
              <w:t>Change from baseline (LS mean#)</w:t>
            </w:r>
          </w:p>
        </w:tc>
        <w:tc>
          <w:tcPr>
            <w:tcW w:w="1248" w:type="dxa"/>
            <w:tcBorders>
              <w:top w:val="nil"/>
              <w:left w:val="single" w:sz="6" w:space="0" w:color="auto"/>
              <w:bottom w:val="nil"/>
              <w:right w:val="single" w:sz="6" w:space="0" w:color="auto"/>
            </w:tcBorders>
            <w:tcMar>
              <w:top w:w="57" w:type="dxa"/>
              <w:left w:w="57" w:type="dxa"/>
              <w:bottom w:w="57" w:type="dxa"/>
              <w:right w:w="57" w:type="dxa"/>
            </w:tcMar>
            <w:vAlign w:val="center"/>
          </w:tcPr>
          <w:p w14:paraId="4026C737" w14:textId="3213B4F9" w:rsidR="00F56CE4" w:rsidRPr="00971219" w:rsidRDefault="00F56CE4" w:rsidP="0085705E">
            <w:pPr>
              <w:pStyle w:val="StyleTablecentered95pt"/>
            </w:pPr>
            <w:r w:rsidRPr="00971219">
              <w:t>-2.10</w:t>
            </w:r>
          </w:p>
        </w:tc>
        <w:tc>
          <w:tcPr>
            <w:tcW w:w="1276" w:type="dxa"/>
            <w:tcBorders>
              <w:top w:val="nil"/>
              <w:left w:val="single" w:sz="6" w:space="0" w:color="auto"/>
              <w:bottom w:val="nil"/>
              <w:right w:val="single" w:sz="6" w:space="0" w:color="auto"/>
            </w:tcBorders>
            <w:tcMar>
              <w:top w:w="57" w:type="dxa"/>
              <w:left w:w="57" w:type="dxa"/>
              <w:bottom w:w="57" w:type="dxa"/>
              <w:right w:w="57" w:type="dxa"/>
            </w:tcMar>
            <w:vAlign w:val="center"/>
          </w:tcPr>
          <w:p w14:paraId="2AB56525" w14:textId="39127E0A" w:rsidR="00F56CE4" w:rsidRPr="00971219" w:rsidRDefault="00F56CE4" w:rsidP="0085705E">
            <w:pPr>
              <w:pStyle w:val="StyleTablecentered95pt"/>
            </w:pPr>
            <w:r w:rsidRPr="00971219">
              <w:t>-1.30</w:t>
            </w:r>
          </w:p>
        </w:tc>
        <w:tc>
          <w:tcPr>
            <w:tcW w:w="1019" w:type="dxa"/>
            <w:tcBorders>
              <w:top w:val="nil"/>
              <w:left w:val="single" w:sz="6" w:space="0" w:color="auto"/>
              <w:bottom w:val="nil"/>
              <w:right w:val="single" w:sz="6" w:space="0" w:color="auto"/>
            </w:tcBorders>
            <w:tcMar>
              <w:top w:w="57" w:type="dxa"/>
              <w:left w:w="57" w:type="dxa"/>
              <w:bottom w:w="57" w:type="dxa"/>
              <w:right w:w="57" w:type="dxa"/>
            </w:tcMar>
            <w:vAlign w:val="center"/>
          </w:tcPr>
          <w:p w14:paraId="0BF5FFF5" w14:textId="157A0759" w:rsidR="00F56CE4" w:rsidRPr="00971219" w:rsidRDefault="00F56CE4" w:rsidP="0085705E">
            <w:pPr>
              <w:pStyle w:val="StyleTablecentered95pt"/>
            </w:pPr>
            <w:r w:rsidRPr="00971219">
              <w:t>-1.82</w:t>
            </w:r>
          </w:p>
        </w:tc>
        <w:tc>
          <w:tcPr>
            <w:tcW w:w="1874" w:type="dxa"/>
            <w:tcBorders>
              <w:top w:val="nil"/>
              <w:left w:val="single" w:sz="6" w:space="0" w:color="auto"/>
              <w:bottom w:val="nil"/>
              <w:right w:val="single" w:sz="6" w:space="0" w:color="auto"/>
            </w:tcBorders>
            <w:tcMar>
              <w:top w:w="57" w:type="dxa"/>
              <w:left w:w="57" w:type="dxa"/>
              <w:bottom w:w="57" w:type="dxa"/>
              <w:right w:w="57" w:type="dxa"/>
            </w:tcMar>
            <w:vAlign w:val="center"/>
          </w:tcPr>
          <w:p w14:paraId="7769005D" w14:textId="0578A047" w:rsidR="00F56CE4" w:rsidRPr="00971219" w:rsidRDefault="00F56CE4" w:rsidP="0085705E">
            <w:pPr>
              <w:pStyle w:val="StyleTablecentered95pt"/>
            </w:pPr>
            <w:r w:rsidRPr="00971219">
              <w:t>-2.35</w:t>
            </w:r>
          </w:p>
        </w:tc>
        <w:tc>
          <w:tcPr>
            <w:tcW w:w="1785" w:type="dxa"/>
            <w:tcBorders>
              <w:top w:val="nil"/>
              <w:left w:val="single" w:sz="6" w:space="0" w:color="auto"/>
              <w:bottom w:val="nil"/>
              <w:right w:val="single" w:sz="6" w:space="0" w:color="auto"/>
            </w:tcBorders>
            <w:tcMar>
              <w:top w:w="57" w:type="dxa"/>
              <w:left w:w="57" w:type="dxa"/>
              <w:bottom w:w="57" w:type="dxa"/>
              <w:right w:w="57" w:type="dxa"/>
            </w:tcMar>
            <w:vAlign w:val="center"/>
          </w:tcPr>
          <w:p w14:paraId="123FEFFE" w14:textId="7FA96715" w:rsidR="00F56CE4" w:rsidRPr="00971219" w:rsidRDefault="00F56CE4" w:rsidP="0085705E">
            <w:pPr>
              <w:pStyle w:val="StyleTablecentered95pt"/>
            </w:pPr>
            <w:r w:rsidRPr="00971219">
              <w:t xml:space="preserve">-2.66 </w:t>
            </w:r>
          </w:p>
        </w:tc>
      </w:tr>
      <w:tr w:rsidR="00F56CE4" w:rsidRPr="00F644FD" w14:paraId="22C0CC9C" w14:textId="77777777" w:rsidTr="00C02C6F">
        <w:trPr>
          <w:cantSplit/>
          <w:trHeight w:val="608"/>
          <w:jc w:val="center"/>
        </w:trPr>
        <w:tc>
          <w:tcPr>
            <w:tcW w:w="2368"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281BF607" w14:textId="377B8515" w:rsidR="00F56CE4" w:rsidRPr="00971219" w:rsidRDefault="00F56CE4" w:rsidP="0085705E">
            <w:pPr>
              <w:pStyle w:val="StyleTablenormalindent95pt"/>
            </w:pPr>
            <w:r w:rsidRPr="00971219">
              <w:t xml:space="preserve">Difference from </w:t>
            </w:r>
            <w:proofErr w:type="spellStart"/>
            <w:r w:rsidRPr="00971219">
              <w:t>Sitagliptin</w:t>
            </w:r>
            <w:proofErr w:type="spellEnd"/>
            <w:r w:rsidRPr="00971219">
              <w:t xml:space="preserve"> </w:t>
            </w:r>
          </w:p>
          <w:p w14:paraId="53BA3B04" w14:textId="2B68393F" w:rsidR="00F56CE4" w:rsidRPr="00971219" w:rsidRDefault="00F56CE4" w:rsidP="0085705E">
            <w:pPr>
              <w:pStyle w:val="StyleTablenormalindent95pt"/>
            </w:pPr>
            <w:r w:rsidRPr="00971219">
              <w:t xml:space="preserve">   </w:t>
            </w:r>
            <w:proofErr w:type="spellStart"/>
            <w:r w:rsidR="009211AE" w:rsidRPr="00971219">
              <w:t>Ertugliflozin</w:t>
            </w:r>
            <w:proofErr w:type="spellEnd"/>
            <w:r w:rsidRPr="00971219">
              <w:t xml:space="preserve"> 5 mg</w:t>
            </w:r>
          </w:p>
          <w:p w14:paraId="540E4CDE" w14:textId="062C0B88" w:rsidR="00D7707C" w:rsidRPr="00971219" w:rsidRDefault="00F56CE4" w:rsidP="0085705E">
            <w:pPr>
              <w:pStyle w:val="StyleTablenormalindent95pt"/>
            </w:pPr>
            <w:r w:rsidRPr="00971219">
              <w:t xml:space="preserve">   </w:t>
            </w:r>
            <w:proofErr w:type="spellStart"/>
            <w:r w:rsidR="009211AE" w:rsidRPr="00971219">
              <w:t>Ertugliflozin</w:t>
            </w:r>
            <w:proofErr w:type="spellEnd"/>
            <w:r w:rsidRPr="00971219">
              <w:t xml:space="preserve"> 15 mg</w:t>
            </w:r>
          </w:p>
          <w:p w14:paraId="2609415A" w14:textId="18AD59E9" w:rsidR="00F56CE4" w:rsidRPr="00971219" w:rsidRDefault="00F56CE4" w:rsidP="0085705E">
            <w:pPr>
              <w:pStyle w:val="StyleTablenormalindent95pt"/>
            </w:pPr>
            <w:r w:rsidRPr="00971219">
              <w:t xml:space="preserve"> (LS mean#, 95% CI)</w:t>
            </w:r>
          </w:p>
        </w:tc>
        <w:tc>
          <w:tcPr>
            <w:tcW w:w="1248"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4C1CF136" w14:textId="77777777" w:rsidR="00F56CE4" w:rsidRPr="00971219" w:rsidRDefault="00F56CE4" w:rsidP="0085705E">
            <w:pPr>
              <w:pStyle w:val="Tablecentered"/>
              <w:rPr>
                <w:sz w:val="19"/>
                <w:szCs w:val="19"/>
              </w:rPr>
            </w:pPr>
          </w:p>
        </w:tc>
        <w:tc>
          <w:tcPr>
            <w:tcW w:w="1276"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0D5E8474" w14:textId="77777777" w:rsidR="00F56CE4" w:rsidRPr="00971219" w:rsidRDefault="00F56CE4" w:rsidP="0085705E">
            <w:pPr>
              <w:pStyle w:val="Tablecentered"/>
              <w:rPr>
                <w:sz w:val="19"/>
                <w:szCs w:val="19"/>
              </w:rPr>
            </w:pPr>
          </w:p>
        </w:tc>
        <w:tc>
          <w:tcPr>
            <w:tcW w:w="1019" w:type="dxa"/>
            <w:tcBorders>
              <w:top w:val="nil"/>
              <w:left w:val="single" w:sz="6" w:space="0" w:color="auto"/>
              <w:bottom w:val="single" w:sz="8" w:space="0" w:color="auto"/>
              <w:right w:val="single" w:sz="6" w:space="0" w:color="auto"/>
            </w:tcBorders>
            <w:tcMar>
              <w:top w:w="57" w:type="dxa"/>
              <w:left w:w="57" w:type="dxa"/>
              <w:bottom w:w="57" w:type="dxa"/>
              <w:right w:w="57" w:type="dxa"/>
            </w:tcMar>
            <w:vAlign w:val="center"/>
          </w:tcPr>
          <w:p w14:paraId="7E0C15D4" w14:textId="77777777" w:rsidR="00F56CE4" w:rsidRPr="00971219" w:rsidRDefault="00F56CE4" w:rsidP="0085705E">
            <w:pPr>
              <w:pStyle w:val="Tablecentered"/>
              <w:rPr>
                <w:sz w:val="19"/>
                <w:szCs w:val="19"/>
              </w:rPr>
            </w:pPr>
          </w:p>
        </w:tc>
        <w:tc>
          <w:tcPr>
            <w:tcW w:w="1874" w:type="dxa"/>
            <w:tcBorders>
              <w:top w:val="nil"/>
              <w:left w:val="single" w:sz="6" w:space="0" w:color="auto"/>
              <w:bottom w:val="single" w:sz="8" w:space="0" w:color="auto"/>
              <w:right w:val="single" w:sz="6" w:space="0" w:color="auto"/>
            </w:tcBorders>
            <w:tcMar>
              <w:top w:w="57" w:type="dxa"/>
              <w:left w:w="57" w:type="dxa"/>
              <w:bottom w:w="57" w:type="dxa"/>
              <w:right w:w="57" w:type="dxa"/>
            </w:tcMar>
          </w:tcPr>
          <w:p w14:paraId="56BFF82B" w14:textId="77777777" w:rsidR="00F56CE4" w:rsidRPr="00971219" w:rsidRDefault="00F56CE4" w:rsidP="004A4153">
            <w:pPr>
              <w:pStyle w:val="StyleTablecentered95pt"/>
              <w:rPr>
                <w:rFonts w:eastAsia="MS Mincho"/>
              </w:rPr>
            </w:pPr>
          </w:p>
          <w:p w14:paraId="1DA06795" w14:textId="77777777" w:rsidR="00F56CE4" w:rsidRPr="00971219" w:rsidRDefault="00F56CE4" w:rsidP="004A4153">
            <w:pPr>
              <w:pStyle w:val="StyleTablecentered95pt"/>
              <w:rPr>
                <w:rFonts w:eastAsia="MS Mincho"/>
              </w:rPr>
            </w:pPr>
            <w:r w:rsidRPr="00971219">
              <w:rPr>
                <w:rFonts w:eastAsia="MS Mincho"/>
              </w:rPr>
              <w:t>-0.53 (-1.08, -0.03)</w:t>
            </w:r>
          </w:p>
          <w:p w14:paraId="2DB2906D" w14:textId="77777777" w:rsidR="00F56CE4" w:rsidRPr="00971219" w:rsidRDefault="00F56CE4" w:rsidP="004A4153">
            <w:pPr>
              <w:pStyle w:val="StyleTablecentered95pt"/>
              <w:rPr>
                <w:rFonts w:eastAsia="MS Mincho"/>
              </w:rPr>
            </w:pPr>
            <w:r w:rsidRPr="00971219">
              <w:rPr>
                <w:rFonts w:eastAsia="MS Mincho"/>
              </w:rPr>
              <w:t>-0.24 (-0.80, -0.32)</w:t>
            </w:r>
          </w:p>
          <w:p w14:paraId="30AE4EFE" w14:textId="77777777" w:rsidR="00F56CE4" w:rsidRPr="00971219" w:rsidRDefault="00F56CE4" w:rsidP="004A4153">
            <w:pPr>
              <w:pStyle w:val="Tablecentered"/>
              <w:rPr>
                <w:sz w:val="19"/>
                <w:szCs w:val="19"/>
              </w:rPr>
            </w:pPr>
          </w:p>
        </w:tc>
        <w:tc>
          <w:tcPr>
            <w:tcW w:w="1785" w:type="dxa"/>
            <w:tcBorders>
              <w:top w:val="nil"/>
              <w:left w:val="single" w:sz="6" w:space="0" w:color="auto"/>
              <w:bottom w:val="single" w:sz="8" w:space="0" w:color="auto"/>
              <w:right w:val="single" w:sz="6" w:space="0" w:color="auto"/>
            </w:tcBorders>
            <w:tcMar>
              <w:top w:w="57" w:type="dxa"/>
              <w:left w:w="57" w:type="dxa"/>
              <w:bottom w:w="57" w:type="dxa"/>
              <w:right w:w="57" w:type="dxa"/>
            </w:tcMar>
          </w:tcPr>
          <w:p w14:paraId="6FAA980E" w14:textId="77777777" w:rsidR="00F56CE4" w:rsidRPr="00971219" w:rsidRDefault="00F56CE4" w:rsidP="004A4153">
            <w:pPr>
              <w:pStyle w:val="StyleTablecentered95pt"/>
              <w:rPr>
                <w:rFonts w:eastAsia="MS Mincho"/>
              </w:rPr>
            </w:pPr>
          </w:p>
          <w:p w14:paraId="7E984153" w14:textId="77777777" w:rsidR="00F56CE4" w:rsidRPr="00971219" w:rsidRDefault="00F56CE4" w:rsidP="004A4153">
            <w:pPr>
              <w:pStyle w:val="StyleTablecentered95pt"/>
              <w:rPr>
                <w:rFonts w:eastAsia="MS Mincho"/>
              </w:rPr>
            </w:pPr>
            <w:r w:rsidRPr="00971219">
              <w:rPr>
                <w:rFonts w:eastAsia="MS Mincho"/>
              </w:rPr>
              <w:t>-0.84 (-1.38, -0.30)</w:t>
            </w:r>
          </w:p>
          <w:p w14:paraId="320F111A" w14:textId="77777777" w:rsidR="00F56CE4" w:rsidRPr="00971219" w:rsidRDefault="00F56CE4" w:rsidP="004A4153">
            <w:pPr>
              <w:pStyle w:val="StyleTablecentered95pt"/>
              <w:rPr>
                <w:rFonts w:eastAsia="MS Mincho"/>
              </w:rPr>
            </w:pPr>
          </w:p>
          <w:p w14:paraId="2A192C2F" w14:textId="3725ED9D" w:rsidR="00F56CE4" w:rsidRPr="00971219" w:rsidRDefault="00F56CE4" w:rsidP="004A4153">
            <w:pPr>
              <w:pStyle w:val="Tablecentered"/>
              <w:rPr>
                <w:sz w:val="19"/>
                <w:szCs w:val="19"/>
              </w:rPr>
            </w:pPr>
            <w:r w:rsidRPr="00971219">
              <w:rPr>
                <w:rFonts w:eastAsia="MS Mincho"/>
              </w:rPr>
              <w:t>-1.36 (-1.91, -0.81)</w:t>
            </w:r>
          </w:p>
        </w:tc>
      </w:tr>
    </w:tbl>
    <w:p w14:paraId="721CD062" w14:textId="11A09C3D" w:rsidR="0057373A" w:rsidRPr="00F644FD" w:rsidRDefault="00360581" w:rsidP="0057373A">
      <w:pPr>
        <w:pStyle w:val="BodyText3"/>
        <w:rPr>
          <w:lang w:val="en-AU"/>
        </w:rPr>
      </w:pPr>
      <w:r w:rsidRPr="00F644FD">
        <w:rPr>
          <w:szCs w:val="18"/>
          <w:lang w:val="en-AU"/>
        </w:rPr>
        <w:t>*</w:t>
      </w:r>
      <w:r w:rsidRPr="00F644FD">
        <w:rPr>
          <w:szCs w:val="18"/>
          <w:lang w:val="en-AU"/>
        </w:rPr>
        <w:tab/>
        <w:t>N includes all randomis</w:t>
      </w:r>
      <w:r w:rsidR="0057373A" w:rsidRPr="00F644FD">
        <w:rPr>
          <w:szCs w:val="18"/>
          <w:lang w:val="en-AU"/>
        </w:rPr>
        <w:t>ed, treated patients who had at least one measurement of the outcome variable</w:t>
      </w:r>
      <w:r w:rsidR="0057373A" w:rsidRPr="00F644FD">
        <w:rPr>
          <w:lang w:val="en-AU"/>
        </w:rPr>
        <w:t>.</w:t>
      </w:r>
    </w:p>
    <w:p w14:paraId="567340DA" w14:textId="77777777" w:rsidR="0057373A" w:rsidRPr="00F644FD" w:rsidRDefault="0057373A" w:rsidP="0057373A">
      <w:pPr>
        <w:pStyle w:val="BodyText3"/>
        <w:rPr>
          <w:lang w:val="en-AU"/>
        </w:rPr>
      </w:pPr>
      <w:r w:rsidRPr="00F644FD">
        <w:rPr>
          <w:vertAlign w:val="superscript"/>
          <w:lang w:val="en-AU"/>
        </w:rPr>
        <w:t>†</w:t>
      </w:r>
      <w:r w:rsidRPr="00F644FD">
        <w:rPr>
          <w:lang w:val="en-AU"/>
        </w:rPr>
        <w:tab/>
        <w:t xml:space="preserve">Least squares means adjusted for treatment, time, baseline </w:t>
      </w:r>
      <w:proofErr w:type="spellStart"/>
      <w:r w:rsidRPr="00F644FD">
        <w:rPr>
          <w:lang w:val="en-AU"/>
        </w:rPr>
        <w:t>eGFR</w:t>
      </w:r>
      <w:proofErr w:type="spellEnd"/>
      <w:r w:rsidRPr="00F644FD">
        <w:rPr>
          <w:lang w:val="en-AU"/>
        </w:rPr>
        <w:t xml:space="preserve"> and the interaction of time by treatment.</w:t>
      </w:r>
    </w:p>
    <w:p w14:paraId="1E8BD1C6" w14:textId="77777777" w:rsidR="0057373A" w:rsidRPr="00F644FD" w:rsidRDefault="0057373A" w:rsidP="0057373A">
      <w:pPr>
        <w:pStyle w:val="BodyText3"/>
        <w:rPr>
          <w:lang w:val="en-AU"/>
        </w:rPr>
      </w:pPr>
      <w:r w:rsidRPr="00F644FD">
        <w:rPr>
          <w:vertAlign w:val="superscript"/>
          <w:lang w:val="en-AU"/>
        </w:rPr>
        <w:t>‡</w:t>
      </w:r>
      <w:r w:rsidRPr="00F644FD">
        <w:rPr>
          <w:lang w:val="en-AU"/>
        </w:rPr>
        <w:tab/>
        <w:t>p&lt;0.001 compared to control group.</w:t>
      </w:r>
    </w:p>
    <w:p w14:paraId="74FB65F4" w14:textId="77777777" w:rsidR="0057373A" w:rsidRPr="00F644FD" w:rsidRDefault="0057373A" w:rsidP="0057373A">
      <w:pPr>
        <w:pStyle w:val="BodyText3"/>
        <w:rPr>
          <w:lang w:val="en-AU"/>
        </w:rPr>
      </w:pPr>
      <w:r w:rsidRPr="00F644FD">
        <w:rPr>
          <w:vertAlign w:val="superscript"/>
          <w:lang w:val="en-AU"/>
        </w:rPr>
        <w:lastRenderedPageBreak/>
        <w:t>§</w:t>
      </w:r>
      <w:r w:rsidRPr="00F644FD">
        <w:rPr>
          <w:lang w:val="en-AU"/>
        </w:rPr>
        <w:tab/>
        <w:t xml:space="preserve">p&lt;0.001 compared to corresponding dose of </w:t>
      </w:r>
      <w:proofErr w:type="spellStart"/>
      <w:r w:rsidRPr="00F644FD">
        <w:rPr>
          <w:lang w:val="en-AU"/>
        </w:rPr>
        <w:t>ertugliflozin</w:t>
      </w:r>
      <w:proofErr w:type="spellEnd"/>
      <w:r w:rsidRPr="00F644FD">
        <w:rPr>
          <w:lang w:val="en-AU"/>
        </w:rPr>
        <w:t xml:space="preserve"> or </w:t>
      </w:r>
      <w:proofErr w:type="spellStart"/>
      <w:r w:rsidRPr="00F644FD">
        <w:rPr>
          <w:lang w:val="en-AU"/>
        </w:rPr>
        <w:t>sitagliptin</w:t>
      </w:r>
      <w:proofErr w:type="spellEnd"/>
      <w:r w:rsidRPr="00F644FD">
        <w:rPr>
          <w:lang w:val="en-AU"/>
        </w:rPr>
        <w:t xml:space="preserve"> (based on adjusted odds ratio comparisons from a logistic regression model using multiple imputation for missing data values).</w:t>
      </w:r>
    </w:p>
    <w:p w14:paraId="6B83375A" w14:textId="77777777" w:rsidR="0057373A" w:rsidRPr="00F644FD" w:rsidRDefault="0057373A" w:rsidP="0057373A">
      <w:pPr>
        <w:pStyle w:val="BodyText3"/>
        <w:rPr>
          <w:lang w:val="en-AU"/>
        </w:rPr>
      </w:pPr>
      <w:r w:rsidRPr="00F644FD">
        <w:rPr>
          <w:vertAlign w:val="superscript"/>
          <w:lang w:val="en-AU"/>
        </w:rPr>
        <w:t>¶</w:t>
      </w:r>
      <w:r w:rsidRPr="00F644FD">
        <w:rPr>
          <w:lang w:val="en-AU"/>
        </w:rPr>
        <w:tab/>
        <w:t>p≤0.005 compared to control group.</w:t>
      </w:r>
    </w:p>
    <w:p w14:paraId="10E010C4" w14:textId="539E8178" w:rsidR="00F56CE4" w:rsidRPr="00F644FD" w:rsidRDefault="00F56CE4" w:rsidP="00F56CE4">
      <w:pPr>
        <w:pStyle w:val="BodyText3"/>
        <w:rPr>
          <w:rFonts w:cs="Arial"/>
          <w:szCs w:val="18"/>
          <w:lang w:val="en-AU"/>
        </w:rPr>
      </w:pPr>
      <w:r w:rsidRPr="00F644FD">
        <w:rPr>
          <w:vertAlign w:val="superscript"/>
          <w:lang w:val="en-AU"/>
        </w:rPr>
        <w:t>#</w:t>
      </w:r>
      <w:r w:rsidRPr="00F644FD">
        <w:rPr>
          <w:rFonts w:cs="Arial"/>
          <w:szCs w:val="18"/>
          <w:lang w:val="en-AU"/>
        </w:rPr>
        <w:tab/>
      </w:r>
      <w:proofErr w:type="gramStart"/>
      <w:r w:rsidRPr="00F644FD">
        <w:rPr>
          <w:rFonts w:cs="Arial"/>
          <w:szCs w:val="18"/>
          <w:lang w:val="en-AU"/>
        </w:rPr>
        <w:t>Obtained</w:t>
      </w:r>
      <w:proofErr w:type="gramEnd"/>
      <w:r w:rsidRPr="00F644FD">
        <w:rPr>
          <w:rFonts w:cs="Arial"/>
          <w:szCs w:val="18"/>
          <w:lang w:val="en-AU"/>
        </w:rPr>
        <w:t xml:space="preserve"> from a repeated measures ANCOVA model adjusted for baseline </w:t>
      </w:r>
      <w:proofErr w:type="spellStart"/>
      <w:r w:rsidRPr="00F644FD">
        <w:rPr>
          <w:rFonts w:cs="Arial"/>
          <w:szCs w:val="18"/>
          <w:lang w:val="en-AU"/>
        </w:rPr>
        <w:t>eGFR</w:t>
      </w:r>
      <w:proofErr w:type="spellEnd"/>
      <w:r w:rsidRPr="00F644FD">
        <w:rPr>
          <w:rFonts w:cs="Arial"/>
          <w:szCs w:val="18"/>
          <w:lang w:val="en-AU"/>
        </w:rPr>
        <w:t>, baseline HbA1c, treatment, subgroup, treatment-by-subgroup, and treatment-by-time-by-subgroup interactions.</w:t>
      </w:r>
    </w:p>
    <w:p w14:paraId="3904B4FD" w14:textId="6AAB7FE0" w:rsidR="007E41AE" w:rsidRPr="00F644FD" w:rsidRDefault="007E41AE" w:rsidP="00542329">
      <w:pPr>
        <w:pStyle w:val="Heading3"/>
      </w:pPr>
      <w:proofErr w:type="spellStart"/>
      <w:r w:rsidRPr="00F644FD">
        <w:t>Ertugliflozin</w:t>
      </w:r>
      <w:proofErr w:type="spellEnd"/>
      <w:r w:rsidRPr="00F644FD">
        <w:t xml:space="preserve"> as </w:t>
      </w:r>
      <w:r w:rsidR="002722E4" w:rsidRPr="00F644FD">
        <w:t>add</w:t>
      </w:r>
      <w:r w:rsidRPr="00F644FD">
        <w:t xml:space="preserve">-on </w:t>
      </w:r>
      <w:r w:rsidR="002722E4" w:rsidRPr="00F644FD">
        <w:t xml:space="preserve">combination therapy </w:t>
      </w:r>
      <w:r w:rsidRPr="00F644FD">
        <w:t xml:space="preserve">with </w:t>
      </w:r>
      <w:r w:rsidR="002722E4" w:rsidRPr="00F644FD">
        <w:t xml:space="preserve">metformin </w:t>
      </w:r>
      <w:r w:rsidRPr="00F644FD">
        <w:t xml:space="preserve">and </w:t>
      </w:r>
      <w:proofErr w:type="spellStart"/>
      <w:r w:rsidR="002722E4" w:rsidRPr="00F644FD">
        <w:t>sitagliptin</w:t>
      </w:r>
      <w:proofErr w:type="spellEnd"/>
    </w:p>
    <w:p w14:paraId="04A02B0D" w14:textId="53EE0AF6" w:rsidR="007E41AE" w:rsidRPr="00F644FD" w:rsidRDefault="007E41AE" w:rsidP="007E41AE">
      <w:r w:rsidRPr="00F644FD">
        <w:t xml:space="preserve">A total of 463 patients with type </w:t>
      </w:r>
      <w:proofErr w:type="gramStart"/>
      <w:r w:rsidRPr="00F644FD">
        <w:t>2 diabetes</w:t>
      </w:r>
      <w:proofErr w:type="gramEnd"/>
      <w:r w:rsidRPr="00F644FD">
        <w:t xml:space="preserve"> inadequately controlled on metformin (≥1,500 mg/day) and </w:t>
      </w:r>
      <w:proofErr w:type="spellStart"/>
      <w:r w:rsidRPr="00F644FD">
        <w:t>sitagliptin</w:t>
      </w:r>
      <w:proofErr w:type="spellEnd"/>
      <w:r w:rsidRPr="00F644FD">
        <w:t xml:space="preserve"> 100 mg once </w:t>
      </w:r>
      <w:r w:rsidR="00360581" w:rsidRPr="00F644FD">
        <w:t>daily participated in a randomis</w:t>
      </w:r>
      <w:r w:rsidRPr="00F644FD">
        <w:t>ed, double</w:t>
      </w:r>
      <w:r w:rsidRPr="00F644FD">
        <w:noBreakHyphen/>
        <w:t>blind, multi</w:t>
      </w:r>
      <w:r w:rsidRPr="00F644FD">
        <w:noBreakHyphen/>
        <w:t>centre, 26</w:t>
      </w:r>
      <w:r w:rsidRPr="00F644FD">
        <w:noBreakHyphen/>
        <w:t>week, placebo</w:t>
      </w:r>
      <w:r w:rsidRPr="00F644FD">
        <w:noBreakHyphen/>
        <w:t xml:space="preserve">controlled study to evaluate the efficacy and safety of </w:t>
      </w:r>
      <w:proofErr w:type="spellStart"/>
      <w:r w:rsidRPr="00F644FD">
        <w:t>ertugl</w:t>
      </w:r>
      <w:r w:rsidR="00360581" w:rsidRPr="00F644FD">
        <w:t>iflozin</w:t>
      </w:r>
      <w:proofErr w:type="spellEnd"/>
      <w:r w:rsidR="00360581" w:rsidRPr="00F644FD">
        <w:t>.  Patients were randomis</w:t>
      </w:r>
      <w:r w:rsidRPr="00F644FD">
        <w:t xml:space="preserve">ed to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 mg, or placebo administered once daily in addition to continuation of background metformin and </w:t>
      </w:r>
      <w:proofErr w:type="spellStart"/>
      <w:r w:rsidRPr="00F644FD">
        <w:t>sitagliptin</w:t>
      </w:r>
      <w:proofErr w:type="spellEnd"/>
      <w:r w:rsidRPr="00F644FD">
        <w:t xml:space="preserve"> therapy.</w:t>
      </w:r>
    </w:p>
    <w:p w14:paraId="2A859359" w14:textId="77777777" w:rsidR="00B81855" w:rsidRPr="00F644FD" w:rsidRDefault="00B81855" w:rsidP="007E41AE"/>
    <w:p w14:paraId="1146B5D1" w14:textId="41B3EB90" w:rsidR="007E41AE" w:rsidRPr="00F644FD" w:rsidRDefault="007E41AE" w:rsidP="007E41AE">
      <w:r w:rsidRPr="00F644FD">
        <w:t xml:space="preserve">At Week 26, treatment with </w:t>
      </w:r>
      <w:proofErr w:type="spellStart"/>
      <w:r w:rsidRPr="00F644FD">
        <w:t>ertugliflozin</w:t>
      </w:r>
      <w:proofErr w:type="spellEnd"/>
      <w:r w:rsidRPr="00F644FD">
        <w:t xml:space="preserve"> at 5 mg or 15 mg daily provided statistically significant improvements in HbA1c, FPG, body weight, and systolic blood pressure compared to placebo.  </w:t>
      </w:r>
      <w:proofErr w:type="spellStart"/>
      <w:r w:rsidRPr="00F644FD">
        <w:t>Ertugliflozin</w:t>
      </w:r>
      <w:proofErr w:type="spellEnd"/>
      <w:r w:rsidRPr="00F644FD">
        <w:t xml:space="preserve"> also resulted in a greater proportion of patients achieving </w:t>
      </w:r>
      <w:r w:rsidRPr="002722E4">
        <w:t>an HbA1c &lt;7% compared to placebo (see Table </w:t>
      </w:r>
      <w:r w:rsidR="00DA2502" w:rsidRPr="002722E4">
        <w:t>5</w:t>
      </w:r>
      <w:r w:rsidRPr="002722E4">
        <w:t>).</w:t>
      </w:r>
    </w:p>
    <w:p w14:paraId="52B806AF" w14:textId="0AC4EE72" w:rsidR="007E41AE" w:rsidRPr="00F644FD" w:rsidRDefault="007E41AE" w:rsidP="007E41AE">
      <w:pPr>
        <w:pStyle w:val="Heading6"/>
      </w:pPr>
      <w:r w:rsidRPr="00F644FD">
        <w:t xml:space="preserve">Results at Week 26 from an Add-on Study of </w:t>
      </w:r>
      <w:proofErr w:type="spellStart"/>
      <w:r w:rsidRPr="00F644FD">
        <w:t>Ertugliflozin</w:t>
      </w:r>
      <w:proofErr w:type="spellEnd"/>
      <w:r w:rsidRPr="00F644FD">
        <w:t xml:space="preserve"> in Combination with Metformin and </w:t>
      </w:r>
      <w:proofErr w:type="spellStart"/>
      <w:r w:rsidRPr="00F644FD">
        <w:t>Sitagliptin</w:t>
      </w:r>
      <w:proofErr w:type="spellEnd"/>
      <w:r w:rsidRPr="00F644FD">
        <w:t>*</w:t>
      </w:r>
    </w:p>
    <w:tbl>
      <w:tblPr>
        <w:tblW w:w="93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140"/>
        <w:gridCol w:w="1916"/>
        <w:gridCol w:w="1984"/>
        <w:gridCol w:w="1276"/>
      </w:tblGrid>
      <w:tr w:rsidR="007E41AE" w:rsidRPr="00F644FD" w14:paraId="5C838AC7" w14:textId="77777777" w:rsidTr="003A644C">
        <w:trPr>
          <w:jc w:val="center"/>
        </w:trPr>
        <w:tc>
          <w:tcPr>
            <w:tcW w:w="4140" w:type="dxa"/>
            <w:tcBorders>
              <w:top w:val="single" w:sz="6" w:space="0" w:color="auto"/>
              <w:left w:val="single" w:sz="6" w:space="0" w:color="auto"/>
              <w:bottom w:val="single" w:sz="6" w:space="0" w:color="auto"/>
              <w:right w:val="single" w:sz="6" w:space="0" w:color="auto"/>
            </w:tcBorders>
            <w:vAlign w:val="center"/>
          </w:tcPr>
          <w:p w14:paraId="78E541A3" w14:textId="77777777" w:rsidR="007E41AE" w:rsidRPr="00F644FD" w:rsidRDefault="007E41AE" w:rsidP="00F85539">
            <w:pPr>
              <w:pStyle w:val="Tablecentered"/>
              <w:jc w:val="left"/>
            </w:pPr>
          </w:p>
        </w:tc>
        <w:tc>
          <w:tcPr>
            <w:tcW w:w="1916" w:type="dxa"/>
            <w:tcBorders>
              <w:top w:val="single" w:sz="6" w:space="0" w:color="auto"/>
              <w:left w:val="single" w:sz="6" w:space="0" w:color="auto"/>
              <w:bottom w:val="single" w:sz="6" w:space="0" w:color="auto"/>
              <w:right w:val="single" w:sz="6" w:space="0" w:color="auto"/>
            </w:tcBorders>
            <w:vAlign w:val="center"/>
          </w:tcPr>
          <w:p w14:paraId="2E0968D9" w14:textId="3A005BCB" w:rsidR="007E41AE" w:rsidRPr="00F644FD" w:rsidRDefault="007E41AE" w:rsidP="00F85539">
            <w:pPr>
              <w:pStyle w:val="Tablecentered"/>
              <w:rPr>
                <w:b/>
              </w:rPr>
            </w:pPr>
            <w:proofErr w:type="spellStart"/>
            <w:r w:rsidRPr="00F644FD">
              <w:rPr>
                <w:b/>
              </w:rPr>
              <w:t>Ertugliflozin</w:t>
            </w:r>
            <w:proofErr w:type="spellEnd"/>
            <w:r w:rsidRPr="00F644FD">
              <w:rPr>
                <w:b/>
              </w:rPr>
              <w:t xml:space="preserve"> 5 mg</w:t>
            </w:r>
          </w:p>
        </w:tc>
        <w:tc>
          <w:tcPr>
            <w:tcW w:w="1984" w:type="dxa"/>
            <w:tcBorders>
              <w:top w:val="single" w:sz="6" w:space="0" w:color="auto"/>
              <w:left w:val="single" w:sz="6" w:space="0" w:color="auto"/>
              <w:bottom w:val="single" w:sz="6" w:space="0" w:color="auto"/>
              <w:right w:val="single" w:sz="6" w:space="0" w:color="auto"/>
            </w:tcBorders>
            <w:vAlign w:val="center"/>
          </w:tcPr>
          <w:p w14:paraId="65394C3C" w14:textId="408C508E" w:rsidR="007E41AE" w:rsidRPr="00F644FD" w:rsidRDefault="007E41AE" w:rsidP="00F85539">
            <w:pPr>
              <w:pStyle w:val="Tablecentered"/>
              <w:rPr>
                <w:b/>
              </w:rPr>
            </w:pPr>
            <w:proofErr w:type="spellStart"/>
            <w:r w:rsidRPr="00F644FD">
              <w:rPr>
                <w:b/>
              </w:rPr>
              <w:t>Ertugliflozin</w:t>
            </w:r>
            <w:proofErr w:type="spellEnd"/>
            <w:r w:rsidRPr="00F644FD">
              <w:rPr>
                <w:b/>
              </w:rPr>
              <w:t xml:space="preserve"> 15 mg</w:t>
            </w:r>
          </w:p>
        </w:tc>
        <w:tc>
          <w:tcPr>
            <w:tcW w:w="1276" w:type="dxa"/>
            <w:tcBorders>
              <w:top w:val="single" w:sz="6" w:space="0" w:color="auto"/>
              <w:left w:val="single" w:sz="6" w:space="0" w:color="auto"/>
              <w:bottom w:val="single" w:sz="6" w:space="0" w:color="auto"/>
              <w:right w:val="single" w:sz="6" w:space="0" w:color="auto"/>
            </w:tcBorders>
            <w:vAlign w:val="center"/>
          </w:tcPr>
          <w:p w14:paraId="2B4DA36E" w14:textId="5601C2F3" w:rsidR="007E41AE" w:rsidRPr="00F644FD" w:rsidRDefault="007E41AE" w:rsidP="00F85539">
            <w:pPr>
              <w:pStyle w:val="Tablecentered"/>
              <w:rPr>
                <w:b/>
              </w:rPr>
            </w:pPr>
            <w:r w:rsidRPr="00F644FD">
              <w:rPr>
                <w:b/>
              </w:rPr>
              <w:t>Placebo</w:t>
            </w:r>
          </w:p>
        </w:tc>
      </w:tr>
      <w:tr w:rsidR="007E41AE" w:rsidRPr="00F644FD" w14:paraId="3C18CC51" w14:textId="77777777" w:rsidTr="003A644C">
        <w:trPr>
          <w:trHeight w:hRule="exact" w:val="288"/>
          <w:jc w:val="center"/>
        </w:trPr>
        <w:tc>
          <w:tcPr>
            <w:tcW w:w="4140" w:type="dxa"/>
            <w:tcBorders>
              <w:top w:val="single" w:sz="6" w:space="0" w:color="auto"/>
              <w:left w:val="single" w:sz="6" w:space="0" w:color="auto"/>
              <w:bottom w:val="nil"/>
              <w:right w:val="single" w:sz="6" w:space="0" w:color="auto"/>
            </w:tcBorders>
            <w:vAlign w:val="center"/>
          </w:tcPr>
          <w:p w14:paraId="3D6FC9A3" w14:textId="77777777" w:rsidR="007E41AE" w:rsidRPr="00F644FD" w:rsidRDefault="007E41AE" w:rsidP="000C1DA5">
            <w:pPr>
              <w:pStyle w:val="Tablenormal0"/>
              <w:rPr>
                <w:b/>
                <w:bCs/>
              </w:rPr>
            </w:pPr>
            <w:r w:rsidRPr="00F644FD">
              <w:rPr>
                <w:b/>
                <w:bCs/>
              </w:rPr>
              <w:t>HbA1c (%)</w:t>
            </w:r>
          </w:p>
        </w:tc>
        <w:tc>
          <w:tcPr>
            <w:tcW w:w="1916" w:type="dxa"/>
            <w:tcBorders>
              <w:top w:val="single" w:sz="6" w:space="0" w:color="auto"/>
              <w:left w:val="single" w:sz="6" w:space="0" w:color="auto"/>
              <w:bottom w:val="nil"/>
              <w:right w:val="single" w:sz="6" w:space="0" w:color="auto"/>
            </w:tcBorders>
            <w:vAlign w:val="center"/>
          </w:tcPr>
          <w:p w14:paraId="049747C9" w14:textId="77777777" w:rsidR="007E41AE" w:rsidRPr="00F644FD" w:rsidRDefault="007E41AE" w:rsidP="00F85539">
            <w:pPr>
              <w:pStyle w:val="Tablecentered"/>
              <w:rPr>
                <w:b/>
              </w:rPr>
            </w:pPr>
            <w:r w:rsidRPr="00F644FD">
              <w:rPr>
                <w:b/>
              </w:rPr>
              <w:t>N = 156</w:t>
            </w:r>
          </w:p>
        </w:tc>
        <w:tc>
          <w:tcPr>
            <w:tcW w:w="1984" w:type="dxa"/>
            <w:tcBorders>
              <w:top w:val="single" w:sz="6" w:space="0" w:color="auto"/>
              <w:left w:val="single" w:sz="6" w:space="0" w:color="auto"/>
              <w:bottom w:val="nil"/>
              <w:right w:val="single" w:sz="6" w:space="0" w:color="auto"/>
            </w:tcBorders>
            <w:vAlign w:val="center"/>
          </w:tcPr>
          <w:p w14:paraId="3AA9AE21" w14:textId="77777777" w:rsidR="007E41AE" w:rsidRPr="00F644FD" w:rsidRDefault="007E41AE" w:rsidP="00F85539">
            <w:pPr>
              <w:pStyle w:val="Tablecentered"/>
              <w:rPr>
                <w:b/>
              </w:rPr>
            </w:pPr>
            <w:r w:rsidRPr="00F644FD">
              <w:rPr>
                <w:b/>
              </w:rPr>
              <w:t>N = 153</w:t>
            </w:r>
          </w:p>
        </w:tc>
        <w:tc>
          <w:tcPr>
            <w:tcW w:w="1276" w:type="dxa"/>
            <w:tcBorders>
              <w:top w:val="single" w:sz="6" w:space="0" w:color="auto"/>
              <w:left w:val="single" w:sz="6" w:space="0" w:color="auto"/>
              <w:bottom w:val="nil"/>
              <w:right w:val="single" w:sz="6" w:space="0" w:color="auto"/>
            </w:tcBorders>
            <w:vAlign w:val="center"/>
          </w:tcPr>
          <w:p w14:paraId="1A8A061A" w14:textId="77777777" w:rsidR="007E41AE" w:rsidRPr="00F644FD" w:rsidRDefault="007E41AE" w:rsidP="00F85539">
            <w:pPr>
              <w:pStyle w:val="Tablecentered"/>
              <w:rPr>
                <w:b/>
              </w:rPr>
            </w:pPr>
            <w:r w:rsidRPr="00F644FD">
              <w:rPr>
                <w:b/>
              </w:rPr>
              <w:t>N = 153</w:t>
            </w:r>
          </w:p>
        </w:tc>
      </w:tr>
      <w:tr w:rsidR="007E41AE" w:rsidRPr="00F644FD" w14:paraId="2F8C3EC1"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1E631419" w14:textId="77777777" w:rsidR="007E41AE" w:rsidRPr="00F644FD" w:rsidRDefault="007E41AE" w:rsidP="000C1DA5">
            <w:pPr>
              <w:pStyle w:val="Tablenormalindent"/>
            </w:pPr>
            <w:r w:rsidRPr="00F644FD">
              <w:t>Baseline (mean)</w:t>
            </w:r>
          </w:p>
        </w:tc>
        <w:tc>
          <w:tcPr>
            <w:tcW w:w="1916" w:type="dxa"/>
            <w:tcBorders>
              <w:top w:val="nil"/>
              <w:left w:val="single" w:sz="6" w:space="0" w:color="auto"/>
              <w:bottom w:val="nil"/>
              <w:right w:val="single" w:sz="6" w:space="0" w:color="auto"/>
            </w:tcBorders>
            <w:vAlign w:val="center"/>
          </w:tcPr>
          <w:p w14:paraId="5A06C04C" w14:textId="59A102D4" w:rsidR="007E41AE" w:rsidRPr="00F644FD" w:rsidRDefault="007E41AE" w:rsidP="000C1DA5">
            <w:pPr>
              <w:pStyle w:val="Tablecentered"/>
            </w:pPr>
            <w:r w:rsidRPr="00F644FD">
              <w:t>8.</w:t>
            </w:r>
            <w:r w:rsidR="00250E45" w:rsidRPr="00F644FD">
              <w:t>05</w:t>
            </w:r>
          </w:p>
        </w:tc>
        <w:tc>
          <w:tcPr>
            <w:tcW w:w="1984" w:type="dxa"/>
            <w:tcBorders>
              <w:top w:val="nil"/>
              <w:left w:val="single" w:sz="6" w:space="0" w:color="auto"/>
              <w:bottom w:val="nil"/>
              <w:right w:val="single" w:sz="6" w:space="0" w:color="auto"/>
            </w:tcBorders>
            <w:vAlign w:val="center"/>
          </w:tcPr>
          <w:p w14:paraId="500C0CCF" w14:textId="7CAC2747" w:rsidR="007E41AE" w:rsidRPr="00F644FD" w:rsidRDefault="007E41AE" w:rsidP="000C1DA5">
            <w:pPr>
              <w:pStyle w:val="Tablecentered"/>
            </w:pPr>
            <w:r w:rsidRPr="00F644FD">
              <w:t>8.0</w:t>
            </w:r>
            <w:r w:rsidR="00250E45" w:rsidRPr="00F644FD">
              <w:t>0</w:t>
            </w:r>
          </w:p>
        </w:tc>
        <w:tc>
          <w:tcPr>
            <w:tcW w:w="1276" w:type="dxa"/>
            <w:tcBorders>
              <w:top w:val="nil"/>
              <w:left w:val="single" w:sz="6" w:space="0" w:color="auto"/>
              <w:bottom w:val="nil"/>
              <w:right w:val="single" w:sz="6" w:space="0" w:color="auto"/>
            </w:tcBorders>
            <w:vAlign w:val="center"/>
          </w:tcPr>
          <w:p w14:paraId="79543BEF" w14:textId="1AEC925B" w:rsidR="007E41AE" w:rsidRPr="00F644FD" w:rsidRDefault="007E41AE" w:rsidP="000C1DA5">
            <w:pPr>
              <w:pStyle w:val="Tablecentered"/>
            </w:pPr>
            <w:r w:rsidRPr="00F644FD">
              <w:t>8.0</w:t>
            </w:r>
            <w:r w:rsidR="00250E45" w:rsidRPr="00F644FD">
              <w:t>3</w:t>
            </w:r>
          </w:p>
        </w:tc>
      </w:tr>
      <w:tr w:rsidR="007E41AE" w:rsidRPr="00F644FD" w14:paraId="5E2FEE13"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3250406A" w14:textId="77777777" w:rsidR="007E41AE" w:rsidRPr="00F644FD" w:rsidRDefault="007E41AE" w:rsidP="000C1DA5">
            <w:pPr>
              <w:pStyle w:val="Tablenormalindent"/>
            </w:pPr>
            <w:r w:rsidRPr="00F644FD">
              <w:t>Change from baseline (LS mean</w:t>
            </w:r>
            <w:r w:rsidRPr="00F644FD">
              <w:rPr>
                <w:vertAlign w:val="superscript"/>
              </w:rPr>
              <w:t>†</w:t>
            </w:r>
            <w:r w:rsidRPr="00F644FD">
              <w:t>)</w:t>
            </w:r>
          </w:p>
        </w:tc>
        <w:tc>
          <w:tcPr>
            <w:tcW w:w="1916" w:type="dxa"/>
            <w:tcBorders>
              <w:top w:val="nil"/>
              <w:left w:val="single" w:sz="6" w:space="0" w:color="auto"/>
              <w:bottom w:val="nil"/>
              <w:right w:val="single" w:sz="6" w:space="0" w:color="auto"/>
            </w:tcBorders>
            <w:vAlign w:val="center"/>
          </w:tcPr>
          <w:p w14:paraId="4BC3F53A" w14:textId="2646C629" w:rsidR="007E41AE" w:rsidRPr="00F644FD" w:rsidRDefault="007E41AE" w:rsidP="000C1DA5">
            <w:pPr>
              <w:pStyle w:val="Tablecentered"/>
            </w:pPr>
            <w:r w:rsidRPr="00F644FD">
              <w:t>-0.</w:t>
            </w:r>
            <w:r w:rsidR="00250E45" w:rsidRPr="00F644FD">
              <w:t>7</w:t>
            </w:r>
            <w:r w:rsidRPr="00F644FD">
              <w:t>8</w:t>
            </w:r>
          </w:p>
        </w:tc>
        <w:tc>
          <w:tcPr>
            <w:tcW w:w="1984" w:type="dxa"/>
            <w:tcBorders>
              <w:top w:val="nil"/>
              <w:left w:val="single" w:sz="6" w:space="0" w:color="auto"/>
              <w:bottom w:val="nil"/>
              <w:right w:val="single" w:sz="6" w:space="0" w:color="auto"/>
            </w:tcBorders>
            <w:vAlign w:val="center"/>
          </w:tcPr>
          <w:p w14:paraId="37A3A04A" w14:textId="2578F9DE" w:rsidR="007E41AE" w:rsidRPr="00F644FD" w:rsidRDefault="007E41AE" w:rsidP="000C1DA5">
            <w:pPr>
              <w:pStyle w:val="Tablecentered"/>
            </w:pPr>
            <w:r w:rsidRPr="00F644FD">
              <w:t>-0.</w:t>
            </w:r>
            <w:r w:rsidR="00250E45" w:rsidRPr="00F644FD">
              <w:t>86</w:t>
            </w:r>
          </w:p>
        </w:tc>
        <w:tc>
          <w:tcPr>
            <w:tcW w:w="1276" w:type="dxa"/>
            <w:tcBorders>
              <w:top w:val="nil"/>
              <w:left w:val="single" w:sz="6" w:space="0" w:color="auto"/>
              <w:bottom w:val="nil"/>
              <w:right w:val="single" w:sz="6" w:space="0" w:color="auto"/>
            </w:tcBorders>
            <w:vAlign w:val="center"/>
          </w:tcPr>
          <w:p w14:paraId="1B491824" w14:textId="4D4C61E3" w:rsidR="007E41AE" w:rsidRPr="00F644FD" w:rsidRDefault="007E41AE" w:rsidP="000C1DA5">
            <w:pPr>
              <w:pStyle w:val="Tablecentered"/>
            </w:pPr>
            <w:r w:rsidRPr="00F644FD">
              <w:t>-0.</w:t>
            </w:r>
            <w:r w:rsidR="00250E45" w:rsidRPr="00F644FD">
              <w:t>09</w:t>
            </w:r>
          </w:p>
        </w:tc>
      </w:tr>
      <w:tr w:rsidR="007E41AE" w:rsidRPr="00F644FD" w14:paraId="56F5B37E" w14:textId="77777777" w:rsidTr="003A644C">
        <w:trPr>
          <w:trHeight w:val="273"/>
          <w:jc w:val="center"/>
        </w:trPr>
        <w:tc>
          <w:tcPr>
            <w:tcW w:w="4140" w:type="dxa"/>
            <w:tcBorders>
              <w:top w:val="nil"/>
              <w:left w:val="single" w:sz="6" w:space="0" w:color="auto"/>
              <w:bottom w:val="single" w:sz="6" w:space="0" w:color="auto"/>
              <w:right w:val="single" w:sz="6" w:space="0" w:color="auto"/>
            </w:tcBorders>
            <w:vAlign w:val="center"/>
          </w:tcPr>
          <w:p w14:paraId="6FCD364D" w14:textId="4BB4C910" w:rsidR="007E41AE" w:rsidRPr="00F644FD" w:rsidRDefault="007E41AE" w:rsidP="000C1DA5">
            <w:pPr>
              <w:pStyle w:val="Tablenormalindent"/>
            </w:pPr>
            <w:r w:rsidRPr="00F644FD">
              <w:t>Difference from placebo (LS mean</w:t>
            </w:r>
            <w:r w:rsidRPr="00F644FD">
              <w:rPr>
                <w:vertAlign w:val="superscript"/>
              </w:rPr>
              <w:t>†</w:t>
            </w:r>
            <w:r w:rsidRPr="00F644FD">
              <w:t>, 95% CI)</w:t>
            </w:r>
          </w:p>
        </w:tc>
        <w:tc>
          <w:tcPr>
            <w:tcW w:w="1916" w:type="dxa"/>
            <w:tcBorders>
              <w:top w:val="nil"/>
              <w:left w:val="single" w:sz="6" w:space="0" w:color="auto"/>
              <w:bottom w:val="single" w:sz="6" w:space="0" w:color="auto"/>
              <w:right w:val="single" w:sz="6" w:space="0" w:color="auto"/>
            </w:tcBorders>
            <w:vAlign w:val="center"/>
          </w:tcPr>
          <w:p w14:paraId="2EA91B4A" w14:textId="4DC9E988" w:rsidR="007E41AE" w:rsidRPr="00F644FD" w:rsidRDefault="007E41AE" w:rsidP="000C1DA5">
            <w:pPr>
              <w:pStyle w:val="Tablecentered"/>
            </w:pPr>
            <w:r w:rsidRPr="00F644FD">
              <w:t>-0.</w:t>
            </w:r>
            <w:r w:rsidR="00250E45" w:rsidRPr="00F644FD">
              <w:t>69</w:t>
            </w:r>
            <w:r w:rsidRPr="00382499">
              <w:rPr>
                <w:vertAlign w:val="superscript"/>
              </w:rPr>
              <w:t>‡</w:t>
            </w:r>
            <w:r w:rsidRPr="00F644FD">
              <w:t xml:space="preserve"> (-0.</w:t>
            </w:r>
            <w:r w:rsidR="00250E45" w:rsidRPr="00F644FD">
              <w:t>87</w:t>
            </w:r>
            <w:r w:rsidRPr="00F644FD">
              <w:t>, -0.5</w:t>
            </w:r>
            <w:r w:rsidR="00250E45" w:rsidRPr="00F644FD">
              <w:t>0</w:t>
            </w:r>
            <w:r w:rsidRPr="00F644FD">
              <w:t>)</w:t>
            </w:r>
          </w:p>
        </w:tc>
        <w:tc>
          <w:tcPr>
            <w:tcW w:w="1984" w:type="dxa"/>
            <w:tcBorders>
              <w:top w:val="nil"/>
              <w:left w:val="single" w:sz="6" w:space="0" w:color="auto"/>
              <w:bottom w:val="single" w:sz="6" w:space="0" w:color="auto"/>
              <w:right w:val="single" w:sz="6" w:space="0" w:color="auto"/>
            </w:tcBorders>
            <w:vAlign w:val="center"/>
          </w:tcPr>
          <w:p w14:paraId="2888AE57" w14:textId="3385EF9E" w:rsidR="007E41AE" w:rsidRPr="00F644FD" w:rsidRDefault="007E41AE" w:rsidP="000C1DA5">
            <w:pPr>
              <w:pStyle w:val="Tablecentered"/>
            </w:pPr>
            <w:r w:rsidRPr="00F644FD">
              <w:t>-0.</w:t>
            </w:r>
            <w:r w:rsidR="00250E45" w:rsidRPr="00F644FD">
              <w:t>76</w:t>
            </w:r>
            <w:r w:rsidRPr="00382499">
              <w:rPr>
                <w:vertAlign w:val="superscript"/>
              </w:rPr>
              <w:t>‡</w:t>
            </w:r>
            <w:r w:rsidRPr="00F644FD">
              <w:t xml:space="preserve"> (-0.9</w:t>
            </w:r>
            <w:r w:rsidR="00250E45" w:rsidRPr="00F644FD">
              <w:t>5</w:t>
            </w:r>
            <w:r w:rsidRPr="00F644FD">
              <w:t>, -0.</w:t>
            </w:r>
            <w:r w:rsidR="00250E45" w:rsidRPr="00F644FD">
              <w:t>58</w:t>
            </w:r>
            <w:r w:rsidRPr="00F644FD">
              <w:t>)</w:t>
            </w:r>
          </w:p>
        </w:tc>
        <w:tc>
          <w:tcPr>
            <w:tcW w:w="1276" w:type="dxa"/>
            <w:tcBorders>
              <w:top w:val="nil"/>
              <w:left w:val="single" w:sz="6" w:space="0" w:color="auto"/>
              <w:bottom w:val="single" w:sz="6" w:space="0" w:color="auto"/>
              <w:right w:val="single" w:sz="6" w:space="0" w:color="auto"/>
            </w:tcBorders>
            <w:vAlign w:val="center"/>
          </w:tcPr>
          <w:p w14:paraId="1E950BE3" w14:textId="77777777" w:rsidR="007E41AE" w:rsidRPr="00F644FD" w:rsidRDefault="007E41AE" w:rsidP="000C1DA5">
            <w:pPr>
              <w:pStyle w:val="Tablecentered"/>
            </w:pPr>
          </w:p>
        </w:tc>
      </w:tr>
      <w:tr w:rsidR="007E41AE" w:rsidRPr="00F644FD" w14:paraId="579D487F" w14:textId="77777777" w:rsidTr="003A644C">
        <w:trPr>
          <w:trHeight w:val="273"/>
          <w:jc w:val="center"/>
        </w:trPr>
        <w:tc>
          <w:tcPr>
            <w:tcW w:w="4140" w:type="dxa"/>
            <w:tcBorders>
              <w:top w:val="single" w:sz="6" w:space="0" w:color="auto"/>
              <w:left w:val="single" w:sz="6" w:space="0" w:color="auto"/>
              <w:bottom w:val="single" w:sz="6" w:space="0" w:color="auto"/>
              <w:right w:val="single" w:sz="6" w:space="0" w:color="auto"/>
            </w:tcBorders>
            <w:vAlign w:val="center"/>
          </w:tcPr>
          <w:p w14:paraId="2AF3D32C" w14:textId="77777777" w:rsidR="007E41AE" w:rsidRPr="00F644FD" w:rsidRDefault="007E41AE" w:rsidP="000C1DA5">
            <w:pPr>
              <w:pStyle w:val="Tablenormal0"/>
              <w:rPr>
                <w:b/>
                <w:bCs/>
              </w:rPr>
            </w:pPr>
            <w:r w:rsidRPr="00F644FD">
              <w:rPr>
                <w:b/>
                <w:bCs/>
              </w:rPr>
              <w:t>Patients [N (%)] with HbA1c &lt;7%</w:t>
            </w:r>
          </w:p>
        </w:tc>
        <w:tc>
          <w:tcPr>
            <w:tcW w:w="1916" w:type="dxa"/>
            <w:tcBorders>
              <w:top w:val="single" w:sz="6" w:space="0" w:color="auto"/>
              <w:left w:val="single" w:sz="6" w:space="0" w:color="auto"/>
              <w:bottom w:val="single" w:sz="6" w:space="0" w:color="auto"/>
              <w:right w:val="single" w:sz="6" w:space="0" w:color="auto"/>
            </w:tcBorders>
            <w:vAlign w:val="center"/>
          </w:tcPr>
          <w:p w14:paraId="66F91620" w14:textId="77777777" w:rsidR="007E41AE" w:rsidRPr="00F644FD" w:rsidRDefault="007E41AE" w:rsidP="00F85539">
            <w:pPr>
              <w:pStyle w:val="Tablecentered"/>
              <w:rPr>
                <w:color w:val="000000"/>
              </w:rPr>
            </w:pPr>
            <w:r w:rsidRPr="00F644FD">
              <w:t>50 (32.1)</w:t>
            </w:r>
            <w:r w:rsidRPr="00F644FD">
              <w:rPr>
                <w:vertAlign w:val="superscript"/>
              </w:rPr>
              <w:t>‡</w:t>
            </w:r>
          </w:p>
        </w:tc>
        <w:tc>
          <w:tcPr>
            <w:tcW w:w="1984" w:type="dxa"/>
            <w:tcBorders>
              <w:top w:val="single" w:sz="6" w:space="0" w:color="auto"/>
              <w:left w:val="single" w:sz="6" w:space="0" w:color="auto"/>
              <w:bottom w:val="single" w:sz="6" w:space="0" w:color="auto"/>
              <w:right w:val="single" w:sz="6" w:space="0" w:color="auto"/>
            </w:tcBorders>
            <w:vAlign w:val="center"/>
          </w:tcPr>
          <w:p w14:paraId="7CD2ACFA" w14:textId="77777777" w:rsidR="007E41AE" w:rsidRPr="00F644FD" w:rsidRDefault="007E41AE" w:rsidP="00F85539">
            <w:pPr>
              <w:pStyle w:val="Tablecentered"/>
              <w:rPr>
                <w:color w:val="000000"/>
              </w:rPr>
            </w:pPr>
            <w:r w:rsidRPr="00F644FD">
              <w:t>61 (39.9)</w:t>
            </w:r>
            <w:r w:rsidRPr="00F644FD">
              <w:rPr>
                <w:vertAlign w:val="superscript"/>
              </w:rPr>
              <w:t>‡</w:t>
            </w:r>
          </w:p>
        </w:tc>
        <w:tc>
          <w:tcPr>
            <w:tcW w:w="1276" w:type="dxa"/>
            <w:tcBorders>
              <w:top w:val="single" w:sz="6" w:space="0" w:color="auto"/>
              <w:left w:val="single" w:sz="6" w:space="0" w:color="auto"/>
              <w:bottom w:val="single" w:sz="6" w:space="0" w:color="auto"/>
              <w:right w:val="single" w:sz="6" w:space="0" w:color="auto"/>
            </w:tcBorders>
            <w:vAlign w:val="center"/>
          </w:tcPr>
          <w:p w14:paraId="3942ED7B" w14:textId="77777777" w:rsidR="007E41AE" w:rsidRPr="00F644FD" w:rsidRDefault="007E41AE" w:rsidP="00F85539">
            <w:pPr>
              <w:pStyle w:val="Tablecentered"/>
              <w:rPr>
                <w:color w:val="000000"/>
              </w:rPr>
            </w:pPr>
            <w:r w:rsidRPr="00F644FD">
              <w:t>26 (17.0)</w:t>
            </w:r>
          </w:p>
        </w:tc>
      </w:tr>
      <w:tr w:rsidR="007E41AE" w:rsidRPr="00F644FD" w14:paraId="67565B4E" w14:textId="77777777" w:rsidTr="003A644C">
        <w:trPr>
          <w:trHeight w:val="273"/>
          <w:jc w:val="center"/>
        </w:trPr>
        <w:tc>
          <w:tcPr>
            <w:tcW w:w="4140" w:type="dxa"/>
            <w:tcBorders>
              <w:top w:val="single" w:sz="6" w:space="0" w:color="auto"/>
              <w:left w:val="single" w:sz="6" w:space="0" w:color="auto"/>
              <w:bottom w:val="nil"/>
              <w:right w:val="single" w:sz="6" w:space="0" w:color="auto"/>
            </w:tcBorders>
            <w:vAlign w:val="center"/>
          </w:tcPr>
          <w:p w14:paraId="47F30E8C" w14:textId="6035ABB9" w:rsidR="007E41AE" w:rsidRPr="00F644FD" w:rsidRDefault="007E41AE" w:rsidP="000C1DA5">
            <w:pPr>
              <w:pStyle w:val="Tablenormal0"/>
              <w:rPr>
                <w:b/>
                <w:bCs/>
              </w:rPr>
            </w:pPr>
            <w:r w:rsidRPr="00F644FD">
              <w:rPr>
                <w:b/>
                <w:bCs/>
              </w:rPr>
              <w:t>FPG (</w:t>
            </w:r>
            <w:proofErr w:type="spellStart"/>
            <w:r w:rsidR="00154D86" w:rsidRPr="00F644FD">
              <w:rPr>
                <w:b/>
                <w:bCs/>
              </w:rPr>
              <w:t>mmol</w:t>
            </w:r>
            <w:proofErr w:type="spellEnd"/>
            <w:r w:rsidR="00154D86" w:rsidRPr="00F644FD">
              <w:rPr>
                <w:b/>
                <w:bCs/>
              </w:rPr>
              <w:t>/L</w:t>
            </w:r>
            <w:r w:rsidRPr="00F644FD">
              <w:rPr>
                <w:b/>
                <w:bCs/>
              </w:rPr>
              <w:t>)</w:t>
            </w:r>
          </w:p>
        </w:tc>
        <w:tc>
          <w:tcPr>
            <w:tcW w:w="1916" w:type="dxa"/>
            <w:tcBorders>
              <w:top w:val="single" w:sz="6" w:space="0" w:color="auto"/>
              <w:left w:val="single" w:sz="6" w:space="0" w:color="auto"/>
              <w:bottom w:val="nil"/>
              <w:right w:val="single" w:sz="6" w:space="0" w:color="auto"/>
            </w:tcBorders>
            <w:vAlign w:val="center"/>
          </w:tcPr>
          <w:p w14:paraId="5281E59A" w14:textId="77777777" w:rsidR="007E41AE" w:rsidRPr="00F644FD" w:rsidRDefault="007E41AE" w:rsidP="00F85539">
            <w:pPr>
              <w:pStyle w:val="Tablecentered"/>
              <w:rPr>
                <w:b/>
              </w:rPr>
            </w:pPr>
            <w:r w:rsidRPr="00F644FD">
              <w:rPr>
                <w:b/>
              </w:rPr>
              <w:t>N = 156</w:t>
            </w:r>
          </w:p>
        </w:tc>
        <w:tc>
          <w:tcPr>
            <w:tcW w:w="1984" w:type="dxa"/>
            <w:tcBorders>
              <w:top w:val="single" w:sz="6" w:space="0" w:color="auto"/>
              <w:left w:val="single" w:sz="6" w:space="0" w:color="auto"/>
              <w:bottom w:val="nil"/>
              <w:right w:val="single" w:sz="6" w:space="0" w:color="auto"/>
            </w:tcBorders>
            <w:vAlign w:val="center"/>
          </w:tcPr>
          <w:p w14:paraId="5C522F7E" w14:textId="77777777" w:rsidR="007E41AE" w:rsidRPr="00F644FD" w:rsidRDefault="007E41AE" w:rsidP="00F85539">
            <w:pPr>
              <w:pStyle w:val="Tablecentered"/>
              <w:rPr>
                <w:b/>
              </w:rPr>
            </w:pPr>
            <w:r w:rsidRPr="00F644FD">
              <w:rPr>
                <w:b/>
              </w:rPr>
              <w:t>N = 153</w:t>
            </w:r>
          </w:p>
        </w:tc>
        <w:tc>
          <w:tcPr>
            <w:tcW w:w="1276" w:type="dxa"/>
            <w:tcBorders>
              <w:top w:val="single" w:sz="6" w:space="0" w:color="auto"/>
              <w:left w:val="single" w:sz="6" w:space="0" w:color="auto"/>
              <w:bottom w:val="nil"/>
              <w:right w:val="single" w:sz="6" w:space="0" w:color="auto"/>
            </w:tcBorders>
            <w:vAlign w:val="center"/>
          </w:tcPr>
          <w:p w14:paraId="57F4D9DA" w14:textId="77777777" w:rsidR="007E41AE" w:rsidRPr="00F644FD" w:rsidRDefault="007E41AE" w:rsidP="00F85539">
            <w:pPr>
              <w:pStyle w:val="Tablecentered"/>
              <w:rPr>
                <w:b/>
              </w:rPr>
            </w:pPr>
            <w:r w:rsidRPr="00F644FD">
              <w:rPr>
                <w:b/>
              </w:rPr>
              <w:t>N = 153</w:t>
            </w:r>
          </w:p>
        </w:tc>
      </w:tr>
      <w:tr w:rsidR="00154D86" w:rsidRPr="00F644FD" w14:paraId="3C545CBF"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76F9BABD" w14:textId="76601AEA" w:rsidR="00154D86" w:rsidRPr="00F644FD" w:rsidRDefault="00154D86" w:rsidP="000C1DA5">
            <w:pPr>
              <w:pStyle w:val="Tablenormalindent"/>
            </w:pPr>
            <w:r w:rsidRPr="00F644FD">
              <w:t>Baseline (mean)</w:t>
            </w:r>
          </w:p>
        </w:tc>
        <w:tc>
          <w:tcPr>
            <w:tcW w:w="1916" w:type="dxa"/>
            <w:tcBorders>
              <w:top w:val="nil"/>
              <w:left w:val="single" w:sz="6" w:space="0" w:color="auto"/>
              <w:bottom w:val="nil"/>
              <w:right w:val="single" w:sz="6" w:space="0" w:color="auto"/>
            </w:tcBorders>
            <w:vAlign w:val="center"/>
          </w:tcPr>
          <w:p w14:paraId="657DEB14" w14:textId="6B355DCC" w:rsidR="00154D86" w:rsidRPr="00F644FD" w:rsidRDefault="00154D86" w:rsidP="000C1DA5">
            <w:pPr>
              <w:pStyle w:val="Tablecentered"/>
            </w:pPr>
            <w:r w:rsidRPr="00F644FD">
              <w:t>9.31</w:t>
            </w:r>
          </w:p>
        </w:tc>
        <w:tc>
          <w:tcPr>
            <w:tcW w:w="1984" w:type="dxa"/>
            <w:tcBorders>
              <w:top w:val="nil"/>
              <w:left w:val="single" w:sz="6" w:space="0" w:color="auto"/>
              <w:bottom w:val="nil"/>
              <w:right w:val="single" w:sz="6" w:space="0" w:color="auto"/>
            </w:tcBorders>
            <w:vAlign w:val="center"/>
          </w:tcPr>
          <w:p w14:paraId="2AB05939" w14:textId="40BC2CB4" w:rsidR="00154D86" w:rsidRPr="00F644FD" w:rsidRDefault="00154D86" w:rsidP="000C1DA5">
            <w:pPr>
              <w:pStyle w:val="Tablecentered"/>
            </w:pPr>
            <w:r w:rsidRPr="00F644FD">
              <w:t>9.53</w:t>
            </w:r>
          </w:p>
        </w:tc>
        <w:tc>
          <w:tcPr>
            <w:tcW w:w="1276" w:type="dxa"/>
            <w:tcBorders>
              <w:top w:val="nil"/>
              <w:left w:val="single" w:sz="6" w:space="0" w:color="auto"/>
              <w:bottom w:val="nil"/>
              <w:right w:val="single" w:sz="6" w:space="0" w:color="auto"/>
            </w:tcBorders>
            <w:vAlign w:val="center"/>
          </w:tcPr>
          <w:p w14:paraId="4A5BBC51" w14:textId="3F35EC76" w:rsidR="00154D86" w:rsidRPr="00F644FD" w:rsidRDefault="00154D86" w:rsidP="000C1DA5">
            <w:pPr>
              <w:pStyle w:val="Tablecentered"/>
            </w:pPr>
            <w:r w:rsidRPr="00F644FD">
              <w:t>9.41</w:t>
            </w:r>
          </w:p>
        </w:tc>
      </w:tr>
      <w:tr w:rsidR="00154D86" w:rsidRPr="00F644FD" w14:paraId="3545ACA2"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0B76E5C1" w14:textId="77777777" w:rsidR="00154D86" w:rsidRPr="00F644FD" w:rsidRDefault="00154D86" w:rsidP="000C1DA5">
            <w:pPr>
              <w:pStyle w:val="Tablenormalindent"/>
            </w:pPr>
            <w:r w:rsidRPr="00F644FD">
              <w:t>Change from baseline (LS mean</w:t>
            </w:r>
            <w:r w:rsidRPr="00F644FD">
              <w:rPr>
                <w:vertAlign w:val="superscript"/>
              </w:rPr>
              <w:t>†</w:t>
            </w:r>
            <w:r w:rsidRPr="00F644FD">
              <w:t>)</w:t>
            </w:r>
          </w:p>
        </w:tc>
        <w:tc>
          <w:tcPr>
            <w:tcW w:w="1916" w:type="dxa"/>
            <w:tcBorders>
              <w:top w:val="nil"/>
              <w:left w:val="single" w:sz="6" w:space="0" w:color="auto"/>
              <w:bottom w:val="nil"/>
              <w:right w:val="single" w:sz="6" w:space="0" w:color="auto"/>
            </w:tcBorders>
            <w:vAlign w:val="center"/>
          </w:tcPr>
          <w:p w14:paraId="6B58D2D6" w14:textId="795C473A" w:rsidR="00154D86" w:rsidRPr="00F644FD" w:rsidRDefault="00154D86" w:rsidP="000C1DA5">
            <w:pPr>
              <w:pStyle w:val="Tablecentered"/>
            </w:pPr>
            <w:r w:rsidRPr="00F644FD">
              <w:t>-1.49</w:t>
            </w:r>
          </w:p>
        </w:tc>
        <w:tc>
          <w:tcPr>
            <w:tcW w:w="1984" w:type="dxa"/>
            <w:tcBorders>
              <w:top w:val="nil"/>
              <w:left w:val="single" w:sz="6" w:space="0" w:color="auto"/>
              <w:bottom w:val="nil"/>
              <w:right w:val="single" w:sz="6" w:space="0" w:color="auto"/>
            </w:tcBorders>
            <w:vAlign w:val="center"/>
          </w:tcPr>
          <w:p w14:paraId="499D3EA6" w14:textId="0E0BCEB5" w:rsidR="00154D86" w:rsidRPr="00F644FD" w:rsidRDefault="00154D86" w:rsidP="000C1DA5">
            <w:pPr>
              <w:pStyle w:val="Tablecentered"/>
            </w:pPr>
            <w:r w:rsidRPr="00F644FD">
              <w:t>-1.83</w:t>
            </w:r>
          </w:p>
        </w:tc>
        <w:tc>
          <w:tcPr>
            <w:tcW w:w="1276" w:type="dxa"/>
            <w:tcBorders>
              <w:top w:val="nil"/>
              <w:left w:val="single" w:sz="6" w:space="0" w:color="auto"/>
              <w:bottom w:val="nil"/>
              <w:right w:val="single" w:sz="6" w:space="0" w:color="auto"/>
            </w:tcBorders>
            <w:vAlign w:val="center"/>
          </w:tcPr>
          <w:p w14:paraId="30793727" w14:textId="12BD3054" w:rsidR="00154D86" w:rsidRPr="00F644FD" w:rsidRDefault="00154D86" w:rsidP="000C1DA5">
            <w:pPr>
              <w:pStyle w:val="Tablecentered"/>
            </w:pPr>
            <w:r w:rsidRPr="00F644FD">
              <w:t>-0.10</w:t>
            </w:r>
          </w:p>
        </w:tc>
      </w:tr>
      <w:tr w:rsidR="00154D86" w:rsidRPr="00F644FD" w14:paraId="09474954" w14:textId="77777777" w:rsidTr="003A644C">
        <w:trPr>
          <w:trHeight w:val="273"/>
          <w:jc w:val="center"/>
        </w:trPr>
        <w:tc>
          <w:tcPr>
            <w:tcW w:w="4140" w:type="dxa"/>
            <w:tcBorders>
              <w:top w:val="nil"/>
              <w:left w:val="single" w:sz="6" w:space="0" w:color="auto"/>
              <w:bottom w:val="single" w:sz="6" w:space="0" w:color="auto"/>
              <w:right w:val="single" w:sz="6" w:space="0" w:color="auto"/>
            </w:tcBorders>
            <w:vAlign w:val="center"/>
          </w:tcPr>
          <w:p w14:paraId="4CFC980B" w14:textId="14B0DD36" w:rsidR="00154D86" w:rsidRPr="00F644FD" w:rsidRDefault="00154D86" w:rsidP="000C1DA5">
            <w:pPr>
              <w:pStyle w:val="Tablenormalindent"/>
            </w:pPr>
            <w:r w:rsidRPr="00F644FD">
              <w:t>Difference from placebo (LS mean</w:t>
            </w:r>
            <w:r w:rsidRPr="00F644FD">
              <w:rPr>
                <w:vertAlign w:val="superscript"/>
              </w:rPr>
              <w:t>†</w:t>
            </w:r>
            <w:r w:rsidRPr="00F644FD">
              <w:t>, 95% CI)</w:t>
            </w:r>
          </w:p>
        </w:tc>
        <w:tc>
          <w:tcPr>
            <w:tcW w:w="1916" w:type="dxa"/>
            <w:tcBorders>
              <w:top w:val="nil"/>
              <w:left w:val="single" w:sz="6" w:space="0" w:color="auto"/>
              <w:bottom w:val="single" w:sz="6" w:space="0" w:color="auto"/>
              <w:right w:val="single" w:sz="6" w:space="0" w:color="auto"/>
            </w:tcBorders>
            <w:vAlign w:val="center"/>
          </w:tcPr>
          <w:p w14:paraId="1161CBFE" w14:textId="66C9EC35" w:rsidR="00154D86" w:rsidRPr="00F644FD" w:rsidRDefault="00154D86" w:rsidP="000C1DA5">
            <w:pPr>
              <w:pStyle w:val="Tablecentered"/>
            </w:pPr>
            <w:r w:rsidRPr="00F644FD">
              <w:t>-1.40</w:t>
            </w:r>
            <w:r w:rsidRPr="00382499">
              <w:rPr>
                <w:vertAlign w:val="superscript"/>
              </w:rPr>
              <w:t>‡</w:t>
            </w:r>
            <w:r w:rsidRPr="00F644FD">
              <w:t xml:space="preserve"> (-1.82, -0.97)</w:t>
            </w:r>
          </w:p>
        </w:tc>
        <w:tc>
          <w:tcPr>
            <w:tcW w:w="1984" w:type="dxa"/>
            <w:tcBorders>
              <w:top w:val="nil"/>
              <w:left w:val="single" w:sz="6" w:space="0" w:color="auto"/>
              <w:bottom w:val="single" w:sz="6" w:space="0" w:color="auto"/>
              <w:right w:val="single" w:sz="6" w:space="0" w:color="auto"/>
            </w:tcBorders>
            <w:vAlign w:val="center"/>
          </w:tcPr>
          <w:p w14:paraId="6FDB9B9F" w14:textId="13C77B17" w:rsidR="00154D86" w:rsidRPr="00F644FD" w:rsidRDefault="00154D86" w:rsidP="000C1DA5">
            <w:pPr>
              <w:pStyle w:val="Tablecentered"/>
            </w:pPr>
            <w:r w:rsidRPr="00F644FD">
              <w:t>-1.74</w:t>
            </w:r>
            <w:r w:rsidRPr="00382499">
              <w:rPr>
                <w:vertAlign w:val="superscript"/>
              </w:rPr>
              <w:t>‡</w:t>
            </w:r>
            <w:r w:rsidRPr="00F644FD">
              <w:t xml:space="preserve"> </w:t>
            </w:r>
            <w:r w:rsidR="007F7D62">
              <w:t>(</w:t>
            </w:r>
            <w:r w:rsidRPr="00F644FD">
              <w:t>-2.16, -1.31)</w:t>
            </w:r>
          </w:p>
        </w:tc>
        <w:tc>
          <w:tcPr>
            <w:tcW w:w="1276" w:type="dxa"/>
            <w:tcBorders>
              <w:top w:val="nil"/>
              <w:left w:val="single" w:sz="6" w:space="0" w:color="auto"/>
              <w:bottom w:val="single" w:sz="6" w:space="0" w:color="auto"/>
              <w:right w:val="single" w:sz="6" w:space="0" w:color="auto"/>
            </w:tcBorders>
            <w:vAlign w:val="center"/>
          </w:tcPr>
          <w:p w14:paraId="56EE267C" w14:textId="77777777" w:rsidR="00154D86" w:rsidRPr="00F644FD" w:rsidRDefault="00154D86" w:rsidP="000C1DA5">
            <w:pPr>
              <w:pStyle w:val="Tablecentered"/>
            </w:pPr>
          </w:p>
        </w:tc>
      </w:tr>
      <w:tr w:rsidR="00154D86" w:rsidRPr="00F644FD" w14:paraId="3C9F69A0" w14:textId="77777777" w:rsidTr="003A644C">
        <w:trPr>
          <w:trHeight w:val="273"/>
          <w:jc w:val="center"/>
        </w:trPr>
        <w:tc>
          <w:tcPr>
            <w:tcW w:w="4140" w:type="dxa"/>
            <w:tcBorders>
              <w:top w:val="single" w:sz="6" w:space="0" w:color="auto"/>
              <w:left w:val="single" w:sz="6" w:space="0" w:color="auto"/>
              <w:bottom w:val="nil"/>
              <w:right w:val="single" w:sz="6" w:space="0" w:color="auto"/>
            </w:tcBorders>
            <w:vAlign w:val="center"/>
          </w:tcPr>
          <w:p w14:paraId="0ED4CCAC" w14:textId="77777777" w:rsidR="00154D86" w:rsidRPr="00F644FD" w:rsidRDefault="00154D86" w:rsidP="000C1DA5">
            <w:pPr>
              <w:pStyle w:val="Tablenormal0"/>
              <w:rPr>
                <w:b/>
                <w:bCs/>
              </w:rPr>
            </w:pPr>
            <w:r w:rsidRPr="00F644FD">
              <w:rPr>
                <w:b/>
                <w:bCs/>
              </w:rPr>
              <w:t>Body Weight (kg)</w:t>
            </w:r>
          </w:p>
        </w:tc>
        <w:tc>
          <w:tcPr>
            <w:tcW w:w="1916" w:type="dxa"/>
            <w:tcBorders>
              <w:top w:val="single" w:sz="6" w:space="0" w:color="auto"/>
              <w:left w:val="single" w:sz="6" w:space="0" w:color="auto"/>
              <w:bottom w:val="nil"/>
              <w:right w:val="single" w:sz="6" w:space="0" w:color="auto"/>
            </w:tcBorders>
            <w:vAlign w:val="center"/>
          </w:tcPr>
          <w:p w14:paraId="14BC9BF5" w14:textId="77777777" w:rsidR="00154D86" w:rsidRPr="00F644FD" w:rsidRDefault="00154D86" w:rsidP="00F85539">
            <w:pPr>
              <w:pStyle w:val="Tablecentered"/>
              <w:rPr>
                <w:b/>
              </w:rPr>
            </w:pPr>
            <w:r w:rsidRPr="00F644FD">
              <w:rPr>
                <w:b/>
              </w:rPr>
              <w:t>N = 156</w:t>
            </w:r>
          </w:p>
        </w:tc>
        <w:tc>
          <w:tcPr>
            <w:tcW w:w="1984" w:type="dxa"/>
            <w:tcBorders>
              <w:top w:val="single" w:sz="6" w:space="0" w:color="auto"/>
              <w:left w:val="single" w:sz="6" w:space="0" w:color="auto"/>
              <w:bottom w:val="nil"/>
              <w:right w:val="single" w:sz="6" w:space="0" w:color="auto"/>
            </w:tcBorders>
            <w:vAlign w:val="center"/>
          </w:tcPr>
          <w:p w14:paraId="22B7C5B2" w14:textId="77777777" w:rsidR="00154D86" w:rsidRPr="00F644FD" w:rsidRDefault="00154D86" w:rsidP="00F85539">
            <w:pPr>
              <w:pStyle w:val="Tablecentered"/>
              <w:rPr>
                <w:b/>
              </w:rPr>
            </w:pPr>
            <w:r w:rsidRPr="00F644FD">
              <w:rPr>
                <w:b/>
              </w:rPr>
              <w:t>N = 153</w:t>
            </w:r>
          </w:p>
        </w:tc>
        <w:tc>
          <w:tcPr>
            <w:tcW w:w="1276" w:type="dxa"/>
            <w:tcBorders>
              <w:top w:val="single" w:sz="6" w:space="0" w:color="auto"/>
              <w:left w:val="single" w:sz="6" w:space="0" w:color="auto"/>
              <w:bottom w:val="nil"/>
              <w:right w:val="single" w:sz="6" w:space="0" w:color="auto"/>
            </w:tcBorders>
            <w:vAlign w:val="center"/>
          </w:tcPr>
          <w:p w14:paraId="7F280046" w14:textId="77777777" w:rsidR="00154D86" w:rsidRPr="00F644FD" w:rsidRDefault="00154D86" w:rsidP="00F85539">
            <w:pPr>
              <w:pStyle w:val="Tablecentered"/>
              <w:rPr>
                <w:b/>
              </w:rPr>
            </w:pPr>
            <w:r w:rsidRPr="00F644FD">
              <w:rPr>
                <w:b/>
              </w:rPr>
              <w:t>N = 153</w:t>
            </w:r>
          </w:p>
        </w:tc>
      </w:tr>
      <w:tr w:rsidR="00154D86" w:rsidRPr="00F644FD" w14:paraId="20BA73F7"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4AA4040E" w14:textId="77777777" w:rsidR="00154D86" w:rsidRPr="00F644FD" w:rsidRDefault="00154D86" w:rsidP="000C1DA5">
            <w:pPr>
              <w:pStyle w:val="Tablenormalindent"/>
            </w:pPr>
            <w:r w:rsidRPr="00F644FD">
              <w:t>Baseline (mean)</w:t>
            </w:r>
          </w:p>
        </w:tc>
        <w:tc>
          <w:tcPr>
            <w:tcW w:w="1916" w:type="dxa"/>
            <w:tcBorders>
              <w:top w:val="nil"/>
              <w:left w:val="single" w:sz="6" w:space="0" w:color="auto"/>
              <w:bottom w:val="nil"/>
              <w:right w:val="single" w:sz="6" w:space="0" w:color="auto"/>
            </w:tcBorders>
            <w:vAlign w:val="center"/>
          </w:tcPr>
          <w:p w14:paraId="113C5A44" w14:textId="77777777" w:rsidR="00154D86" w:rsidRPr="00F644FD" w:rsidRDefault="00154D86" w:rsidP="000C1DA5">
            <w:pPr>
              <w:pStyle w:val="Tablecentered"/>
            </w:pPr>
            <w:r w:rsidRPr="00F644FD">
              <w:t>87.6</w:t>
            </w:r>
          </w:p>
        </w:tc>
        <w:tc>
          <w:tcPr>
            <w:tcW w:w="1984" w:type="dxa"/>
            <w:tcBorders>
              <w:top w:val="nil"/>
              <w:left w:val="single" w:sz="6" w:space="0" w:color="auto"/>
              <w:bottom w:val="nil"/>
              <w:right w:val="single" w:sz="6" w:space="0" w:color="auto"/>
            </w:tcBorders>
            <w:vAlign w:val="center"/>
          </w:tcPr>
          <w:p w14:paraId="535F99A0" w14:textId="77777777" w:rsidR="00154D86" w:rsidRPr="00F644FD" w:rsidRDefault="00154D86" w:rsidP="000C1DA5">
            <w:pPr>
              <w:pStyle w:val="Tablecentered"/>
            </w:pPr>
            <w:r w:rsidRPr="00F644FD">
              <w:t>86.6</w:t>
            </w:r>
          </w:p>
        </w:tc>
        <w:tc>
          <w:tcPr>
            <w:tcW w:w="1276" w:type="dxa"/>
            <w:tcBorders>
              <w:top w:val="nil"/>
              <w:left w:val="single" w:sz="6" w:space="0" w:color="auto"/>
              <w:bottom w:val="nil"/>
              <w:right w:val="single" w:sz="6" w:space="0" w:color="auto"/>
            </w:tcBorders>
            <w:vAlign w:val="center"/>
          </w:tcPr>
          <w:p w14:paraId="15956E70" w14:textId="77777777" w:rsidR="00154D86" w:rsidRPr="00F644FD" w:rsidRDefault="00154D86" w:rsidP="000C1DA5">
            <w:pPr>
              <w:pStyle w:val="Tablecentered"/>
            </w:pPr>
            <w:r w:rsidRPr="00F644FD">
              <w:t>86.5</w:t>
            </w:r>
          </w:p>
        </w:tc>
      </w:tr>
      <w:tr w:rsidR="00154D86" w:rsidRPr="00F644FD" w14:paraId="21F0C3A6"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2BFF83D4" w14:textId="77777777" w:rsidR="00154D86" w:rsidRPr="00F644FD" w:rsidRDefault="00154D86" w:rsidP="000C1DA5">
            <w:pPr>
              <w:pStyle w:val="Tablenormalindent"/>
            </w:pPr>
            <w:r w:rsidRPr="00F644FD">
              <w:t>Change from baseline (LS mean</w:t>
            </w:r>
            <w:r w:rsidRPr="00F644FD">
              <w:rPr>
                <w:vertAlign w:val="superscript"/>
              </w:rPr>
              <w:t>†</w:t>
            </w:r>
            <w:r w:rsidRPr="00F644FD">
              <w:t>)</w:t>
            </w:r>
          </w:p>
        </w:tc>
        <w:tc>
          <w:tcPr>
            <w:tcW w:w="1916" w:type="dxa"/>
            <w:tcBorders>
              <w:top w:val="nil"/>
              <w:left w:val="single" w:sz="6" w:space="0" w:color="auto"/>
              <w:bottom w:val="nil"/>
              <w:right w:val="single" w:sz="6" w:space="0" w:color="auto"/>
            </w:tcBorders>
            <w:vAlign w:val="center"/>
          </w:tcPr>
          <w:p w14:paraId="04711F3B" w14:textId="77777777" w:rsidR="00154D86" w:rsidRPr="00F644FD" w:rsidRDefault="00154D86" w:rsidP="000C1DA5">
            <w:pPr>
              <w:pStyle w:val="Tablecentered"/>
            </w:pPr>
            <w:r w:rsidRPr="00F644FD">
              <w:t>-3.3</w:t>
            </w:r>
          </w:p>
        </w:tc>
        <w:tc>
          <w:tcPr>
            <w:tcW w:w="1984" w:type="dxa"/>
            <w:tcBorders>
              <w:top w:val="nil"/>
              <w:left w:val="single" w:sz="6" w:space="0" w:color="auto"/>
              <w:bottom w:val="nil"/>
              <w:right w:val="single" w:sz="6" w:space="0" w:color="auto"/>
            </w:tcBorders>
            <w:vAlign w:val="center"/>
          </w:tcPr>
          <w:p w14:paraId="02C7CB4A" w14:textId="77777777" w:rsidR="00154D86" w:rsidRPr="00F644FD" w:rsidRDefault="00154D86" w:rsidP="000C1DA5">
            <w:pPr>
              <w:pStyle w:val="Tablecentered"/>
            </w:pPr>
            <w:r w:rsidRPr="00F644FD">
              <w:t>-3.0</w:t>
            </w:r>
          </w:p>
        </w:tc>
        <w:tc>
          <w:tcPr>
            <w:tcW w:w="1276" w:type="dxa"/>
            <w:tcBorders>
              <w:top w:val="nil"/>
              <w:left w:val="single" w:sz="6" w:space="0" w:color="auto"/>
              <w:bottom w:val="nil"/>
              <w:right w:val="single" w:sz="6" w:space="0" w:color="auto"/>
            </w:tcBorders>
            <w:vAlign w:val="center"/>
          </w:tcPr>
          <w:p w14:paraId="45CE99D8" w14:textId="77777777" w:rsidR="00154D86" w:rsidRPr="00F644FD" w:rsidRDefault="00154D86" w:rsidP="000C1DA5">
            <w:pPr>
              <w:pStyle w:val="Tablecentered"/>
            </w:pPr>
            <w:r w:rsidRPr="00F644FD">
              <w:t>-1.3</w:t>
            </w:r>
          </w:p>
        </w:tc>
      </w:tr>
      <w:tr w:rsidR="00154D86" w:rsidRPr="00F644FD" w14:paraId="321C9A7E" w14:textId="77777777" w:rsidTr="003A644C">
        <w:trPr>
          <w:trHeight w:val="273"/>
          <w:jc w:val="center"/>
        </w:trPr>
        <w:tc>
          <w:tcPr>
            <w:tcW w:w="4140" w:type="dxa"/>
            <w:tcBorders>
              <w:top w:val="nil"/>
              <w:left w:val="single" w:sz="6" w:space="0" w:color="auto"/>
              <w:bottom w:val="single" w:sz="6" w:space="0" w:color="auto"/>
              <w:right w:val="single" w:sz="6" w:space="0" w:color="auto"/>
            </w:tcBorders>
            <w:vAlign w:val="center"/>
          </w:tcPr>
          <w:p w14:paraId="2D796FA7" w14:textId="77777777" w:rsidR="00154D86" w:rsidRPr="00F644FD" w:rsidRDefault="00154D86" w:rsidP="000C1DA5">
            <w:pPr>
              <w:pStyle w:val="Tablenormalindent"/>
            </w:pPr>
            <w:r w:rsidRPr="00F644FD">
              <w:t xml:space="preserve">Difference from placebo </w:t>
            </w:r>
          </w:p>
          <w:p w14:paraId="2C8E690F" w14:textId="26BD184F" w:rsidR="00154D86" w:rsidRPr="00F644FD" w:rsidRDefault="00154D86" w:rsidP="000C1DA5">
            <w:pPr>
              <w:pStyle w:val="Tablenormalindent"/>
            </w:pPr>
            <w:r w:rsidRPr="00F644FD">
              <w:t>(LS mean</w:t>
            </w:r>
            <w:r w:rsidRPr="00F644FD">
              <w:rPr>
                <w:vertAlign w:val="superscript"/>
              </w:rPr>
              <w:t>†</w:t>
            </w:r>
            <w:r w:rsidRPr="00F644FD">
              <w:t>, 95% CI)</w:t>
            </w:r>
          </w:p>
        </w:tc>
        <w:tc>
          <w:tcPr>
            <w:tcW w:w="1916" w:type="dxa"/>
            <w:tcBorders>
              <w:top w:val="nil"/>
              <w:left w:val="single" w:sz="6" w:space="0" w:color="auto"/>
              <w:bottom w:val="single" w:sz="6" w:space="0" w:color="auto"/>
              <w:right w:val="single" w:sz="6" w:space="0" w:color="auto"/>
            </w:tcBorders>
            <w:vAlign w:val="center"/>
          </w:tcPr>
          <w:p w14:paraId="6E612F4D" w14:textId="50E61E97" w:rsidR="00154D86" w:rsidRPr="00F644FD" w:rsidRDefault="00154D86" w:rsidP="000C1DA5">
            <w:pPr>
              <w:pStyle w:val="Tablecentered"/>
            </w:pPr>
            <w:r w:rsidRPr="00F644FD">
              <w:t>-2.0</w:t>
            </w:r>
            <w:r w:rsidRPr="00382499">
              <w:rPr>
                <w:vertAlign w:val="superscript"/>
              </w:rPr>
              <w:t>‡</w:t>
            </w:r>
            <w:r w:rsidRPr="00F644FD">
              <w:t xml:space="preserve"> (-2.6, -1.4)</w:t>
            </w:r>
          </w:p>
        </w:tc>
        <w:tc>
          <w:tcPr>
            <w:tcW w:w="1984" w:type="dxa"/>
            <w:tcBorders>
              <w:top w:val="nil"/>
              <w:left w:val="single" w:sz="6" w:space="0" w:color="auto"/>
              <w:bottom w:val="single" w:sz="6" w:space="0" w:color="auto"/>
              <w:right w:val="single" w:sz="6" w:space="0" w:color="auto"/>
            </w:tcBorders>
            <w:vAlign w:val="center"/>
          </w:tcPr>
          <w:p w14:paraId="2160886C" w14:textId="6B7798B3" w:rsidR="00154D86" w:rsidRPr="00F644FD" w:rsidRDefault="00154D86" w:rsidP="000C1DA5">
            <w:pPr>
              <w:pStyle w:val="Tablecentered"/>
            </w:pPr>
            <w:r w:rsidRPr="00F644FD">
              <w:t>-1.7</w:t>
            </w:r>
            <w:r w:rsidRPr="00382499">
              <w:rPr>
                <w:vertAlign w:val="superscript"/>
              </w:rPr>
              <w:t>‡</w:t>
            </w:r>
            <w:r w:rsidRPr="00F644FD">
              <w:t xml:space="preserve"> (-2.3, -1.1)</w:t>
            </w:r>
          </w:p>
        </w:tc>
        <w:tc>
          <w:tcPr>
            <w:tcW w:w="1276" w:type="dxa"/>
            <w:tcBorders>
              <w:top w:val="nil"/>
              <w:left w:val="single" w:sz="6" w:space="0" w:color="auto"/>
              <w:bottom w:val="single" w:sz="6" w:space="0" w:color="auto"/>
              <w:right w:val="single" w:sz="6" w:space="0" w:color="auto"/>
            </w:tcBorders>
            <w:vAlign w:val="center"/>
          </w:tcPr>
          <w:p w14:paraId="0F5E5CD9" w14:textId="77777777" w:rsidR="00154D86" w:rsidRPr="00F644FD" w:rsidRDefault="00154D86" w:rsidP="000C1DA5">
            <w:pPr>
              <w:pStyle w:val="Tablecentered"/>
            </w:pPr>
          </w:p>
        </w:tc>
      </w:tr>
      <w:tr w:rsidR="00154D86" w:rsidRPr="00F644FD" w14:paraId="7AE7D965" w14:textId="77777777" w:rsidTr="003A644C">
        <w:trPr>
          <w:trHeight w:val="273"/>
          <w:jc w:val="center"/>
        </w:trPr>
        <w:tc>
          <w:tcPr>
            <w:tcW w:w="4140" w:type="dxa"/>
            <w:tcBorders>
              <w:top w:val="single" w:sz="6" w:space="0" w:color="auto"/>
              <w:left w:val="single" w:sz="6" w:space="0" w:color="auto"/>
              <w:bottom w:val="nil"/>
              <w:right w:val="single" w:sz="6" w:space="0" w:color="auto"/>
            </w:tcBorders>
            <w:vAlign w:val="center"/>
          </w:tcPr>
          <w:p w14:paraId="0E5FAD51" w14:textId="77777777" w:rsidR="00154D86" w:rsidRPr="00F644FD" w:rsidRDefault="00154D86" w:rsidP="000C1DA5">
            <w:pPr>
              <w:pStyle w:val="Tablenormal0"/>
              <w:rPr>
                <w:b/>
                <w:bCs/>
              </w:rPr>
            </w:pPr>
            <w:r w:rsidRPr="00F644FD">
              <w:rPr>
                <w:b/>
                <w:bCs/>
              </w:rPr>
              <w:t>Systolic Blood Pressure</w:t>
            </w:r>
          </w:p>
        </w:tc>
        <w:tc>
          <w:tcPr>
            <w:tcW w:w="1916" w:type="dxa"/>
            <w:tcBorders>
              <w:top w:val="single" w:sz="6" w:space="0" w:color="auto"/>
              <w:left w:val="single" w:sz="6" w:space="0" w:color="auto"/>
              <w:bottom w:val="nil"/>
              <w:right w:val="single" w:sz="6" w:space="0" w:color="auto"/>
            </w:tcBorders>
            <w:vAlign w:val="center"/>
          </w:tcPr>
          <w:p w14:paraId="0788B23A" w14:textId="77777777" w:rsidR="00154D86" w:rsidRPr="00F644FD" w:rsidRDefault="00154D86" w:rsidP="00F85539">
            <w:pPr>
              <w:pStyle w:val="Tablecentered"/>
              <w:rPr>
                <w:b/>
              </w:rPr>
            </w:pPr>
            <w:r w:rsidRPr="00F644FD">
              <w:rPr>
                <w:b/>
              </w:rPr>
              <w:t>N = 156</w:t>
            </w:r>
          </w:p>
        </w:tc>
        <w:tc>
          <w:tcPr>
            <w:tcW w:w="1984" w:type="dxa"/>
            <w:tcBorders>
              <w:top w:val="single" w:sz="6" w:space="0" w:color="auto"/>
              <w:left w:val="single" w:sz="6" w:space="0" w:color="auto"/>
              <w:bottom w:val="nil"/>
              <w:right w:val="single" w:sz="6" w:space="0" w:color="auto"/>
            </w:tcBorders>
            <w:vAlign w:val="center"/>
          </w:tcPr>
          <w:p w14:paraId="222A1E95" w14:textId="77777777" w:rsidR="00154D86" w:rsidRPr="00F644FD" w:rsidRDefault="00154D86" w:rsidP="00F85539">
            <w:pPr>
              <w:pStyle w:val="Tablecentered"/>
              <w:rPr>
                <w:b/>
              </w:rPr>
            </w:pPr>
            <w:r w:rsidRPr="00F644FD">
              <w:rPr>
                <w:b/>
              </w:rPr>
              <w:t>N = 153</w:t>
            </w:r>
          </w:p>
        </w:tc>
        <w:tc>
          <w:tcPr>
            <w:tcW w:w="1276" w:type="dxa"/>
            <w:tcBorders>
              <w:top w:val="single" w:sz="6" w:space="0" w:color="auto"/>
              <w:left w:val="single" w:sz="6" w:space="0" w:color="auto"/>
              <w:bottom w:val="nil"/>
              <w:right w:val="single" w:sz="6" w:space="0" w:color="auto"/>
            </w:tcBorders>
            <w:vAlign w:val="center"/>
          </w:tcPr>
          <w:p w14:paraId="44E406DB" w14:textId="77777777" w:rsidR="00154D86" w:rsidRPr="00F644FD" w:rsidRDefault="00154D86" w:rsidP="00F85539">
            <w:pPr>
              <w:pStyle w:val="Tablecentered"/>
              <w:rPr>
                <w:b/>
              </w:rPr>
            </w:pPr>
            <w:r w:rsidRPr="00F644FD">
              <w:rPr>
                <w:b/>
              </w:rPr>
              <w:t>N = 153</w:t>
            </w:r>
          </w:p>
        </w:tc>
      </w:tr>
      <w:tr w:rsidR="00154D86" w:rsidRPr="00F644FD" w14:paraId="12FB2070"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2B8BEFBA" w14:textId="77777777" w:rsidR="00154D86" w:rsidRPr="00F644FD" w:rsidRDefault="00154D86" w:rsidP="000C1DA5">
            <w:pPr>
              <w:pStyle w:val="Tablenormalindent"/>
            </w:pPr>
            <w:r w:rsidRPr="00F644FD">
              <w:t>Baseline (mean)</w:t>
            </w:r>
          </w:p>
        </w:tc>
        <w:tc>
          <w:tcPr>
            <w:tcW w:w="1916" w:type="dxa"/>
            <w:tcBorders>
              <w:top w:val="nil"/>
              <w:left w:val="single" w:sz="6" w:space="0" w:color="auto"/>
              <w:bottom w:val="nil"/>
              <w:right w:val="single" w:sz="6" w:space="0" w:color="auto"/>
            </w:tcBorders>
            <w:vAlign w:val="center"/>
          </w:tcPr>
          <w:p w14:paraId="32788BF6" w14:textId="77777777" w:rsidR="00154D86" w:rsidRPr="00F644FD" w:rsidRDefault="00154D86" w:rsidP="000C1DA5">
            <w:pPr>
              <w:pStyle w:val="Tablecentered"/>
            </w:pPr>
            <w:r w:rsidRPr="00F644FD">
              <w:t>132.1</w:t>
            </w:r>
          </w:p>
        </w:tc>
        <w:tc>
          <w:tcPr>
            <w:tcW w:w="1984" w:type="dxa"/>
            <w:tcBorders>
              <w:top w:val="nil"/>
              <w:left w:val="single" w:sz="6" w:space="0" w:color="auto"/>
              <w:bottom w:val="nil"/>
              <w:right w:val="single" w:sz="6" w:space="0" w:color="auto"/>
            </w:tcBorders>
            <w:vAlign w:val="center"/>
          </w:tcPr>
          <w:p w14:paraId="559E2A97" w14:textId="77777777" w:rsidR="00154D86" w:rsidRPr="00F644FD" w:rsidRDefault="00154D86" w:rsidP="000C1DA5">
            <w:pPr>
              <w:pStyle w:val="Tablecentered"/>
            </w:pPr>
            <w:r w:rsidRPr="00F644FD">
              <w:t>131.6</w:t>
            </w:r>
          </w:p>
        </w:tc>
        <w:tc>
          <w:tcPr>
            <w:tcW w:w="1276" w:type="dxa"/>
            <w:tcBorders>
              <w:top w:val="nil"/>
              <w:left w:val="single" w:sz="6" w:space="0" w:color="auto"/>
              <w:bottom w:val="nil"/>
              <w:right w:val="single" w:sz="6" w:space="0" w:color="auto"/>
            </w:tcBorders>
            <w:vAlign w:val="center"/>
          </w:tcPr>
          <w:p w14:paraId="2FD4D4F9" w14:textId="77777777" w:rsidR="00154D86" w:rsidRPr="00F644FD" w:rsidRDefault="00154D86" w:rsidP="000C1DA5">
            <w:pPr>
              <w:pStyle w:val="Tablecentered"/>
            </w:pPr>
            <w:r w:rsidRPr="00F644FD">
              <w:t>130.2</w:t>
            </w:r>
          </w:p>
        </w:tc>
      </w:tr>
      <w:tr w:rsidR="00154D86" w:rsidRPr="00F644FD" w14:paraId="57A747AC" w14:textId="77777777" w:rsidTr="003A644C">
        <w:trPr>
          <w:trHeight w:val="273"/>
          <w:jc w:val="center"/>
        </w:trPr>
        <w:tc>
          <w:tcPr>
            <w:tcW w:w="4140" w:type="dxa"/>
            <w:tcBorders>
              <w:top w:val="nil"/>
              <w:left w:val="single" w:sz="6" w:space="0" w:color="auto"/>
              <w:bottom w:val="nil"/>
              <w:right w:val="single" w:sz="6" w:space="0" w:color="auto"/>
            </w:tcBorders>
            <w:vAlign w:val="center"/>
          </w:tcPr>
          <w:p w14:paraId="47182335" w14:textId="77777777" w:rsidR="00154D86" w:rsidRPr="00F644FD" w:rsidRDefault="00154D86" w:rsidP="000C1DA5">
            <w:pPr>
              <w:pStyle w:val="Tablenormalindent"/>
            </w:pPr>
            <w:r w:rsidRPr="00F644FD">
              <w:t>Change from baseline (LS mean</w:t>
            </w:r>
            <w:r w:rsidRPr="00F644FD">
              <w:rPr>
                <w:vertAlign w:val="superscript"/>
              </w:rPr>
              <w:t>†</w:t>
            </w:r>
            <w:r w:rsidRPr="00F644FD">
              <w:t>)</w:t>
            </w:r>
          </w:p>
        </w:tc>
        <w:tc>
          <w:tcPr>
            <w:tcW w:w="1916" w:type="dxa"/>
            <w:tcBorders>
              <w:top w:val="nil"/>
              <w:left w:val="single" w:sz="6" w:space="0" w:color="auto"/>
              <w:bottom w:val="nil"/>
              <w:right w:val="single" w:sz="6" w:space="0" w:color="auto"/>
            </w:tcBorders>
            <w:vAlign w:val="center"/>
          </w:tcPr>
          <w:p w14:paraId="040B7CC7" w14:textId="77777777" w:rsidR="00154D86" w:rsidRPr="00F644FD" w:rsidRDefault="00154D86" w:rsidP="000C1DA5">
            <w:pPr>
              <w:pStyle w:val="Tablecentered"/>
            </w:pPr>
            <w:r w:rsidRPr="00F644FD">
              <w:t>-3.8</w:t>
            </w:r>
          </w:p>
        </w:tc>
        <w:tc>
          <w:tcPr>
            <w:tcW w:w="1984" w:type="dxa"/>
            <w:tcBorders>
              <w:top w:val="nil"/>
              <w:left w:val="single" w:sz="6" w:space="0" w:color="auto"/>
              <w:bottom w:val="nil"/>
              <w:right w:val="single" w:sz="6" w:space="0" w:color="auto"/>
            </w:tcBorders>
            <w:vAlign w:val="center"/>
          </w:tcPr>
          <w:p w14:paraId="47BE8D93" w14:textId="77777777" w:rsidR="00154D86" w:rsidRPr="00F644FD" w:rsidRDefault="00154D86" w:rsidP="000C1DA5">
            <w:pPr>
              <w:pStyle w:val="Tablecentered"/>
            </w:pPr>
            <w:r w:rsidRPr="00F644FD">
              <w:t>-4.8</w:t>
            </w:r>
          </w:p>
        </w:tc>
        <w:tc>
          <w:tcPr>
            <w:tcW w:w="1276" w:type="dxa"/>
            <w:tcBorders>
              <w:top w:val="nil"/>
              <w:left w:val="single" w:sz="6" w:space="0" w:color="auto"/>
              <w:bottom w:val="nil"/>
              <w:right w:val="single" w:sz="6" w:space="0" w:color="auto"/>
            </w:tcBorders>
            <w:vAlign w:val="center"/>
          </w:tcPr>
          <w:p w14:paraId="744A0B7A" w14:textId="77777777" w:rsidR="00154D86" w:rsidRPr="00F644FD" w:rsidRDefault="00154D86" w:rsidP="000C1DA5">
            <w:pPr>
              <w:pStyle w:val="Tablecentered"/>
            </w:pPr>
            <w:r w:rsidRPr="00F644FD">
              <w:t>-0.9</w:t>
            </w:r>
          </w:p>
        </w:tc>
      </w:tr>
      <w:tr w:rsidR="00154D86" w:rsidRPr="00F644FD" w14:paraId="1643D131" w14:textId="77777777" w:rsidTr="003A644C">
        <w:trPr>
          <w:trHeight w:val="273"/>
          <w:jc w:val="center"/>
        </w:trPr>
        <w:tc>
          <w:tcPr>
            <w:tcW w:w="4140" w:type="dxa"/>
            <w:tcBorders>
              <w:top w:val="nil"/>
              <w:left w:val="single" w:sz="6" w:space="0" w:color="auto"/>
              <w:bottom w:val="single" w:sz="6" w:space="0" w:color="auto"/>
              <w:right w:val="single" w:sz="6" w:space="0" w:color="auto"/>
            </w:tcBorders>
            <w:vAlign w:val="center"/>
          </w:tcPr>
          <w:p w14:paraId="4775712B" w14:textId="77777777" w:rsidR="00154D86" w:rsidRPr="00F644FD" w:rsidRDefault="00154D86" w:rsidP="000C1DA5">
            <w:pPr>
              <w:pStyle w:val="Tablenormalindent"/>
            </w:pPr>
            <w:r w:rsidRPr="00F644FD">
              <w:t>Difference from placebo (LS mean</w:t>
            </w:r>
            <w:r w:rsidRPr="00F644FD">
              <w:rPr>
                <w:vertAlign w:val="superscript"/>
              </w:rPr>
              <w:t>†</w:t>
            </w:r>
            <w:r w:rsidRPr="00F644FD">
              <w:t>, 95% CI)</w:t>
            </w:r>
          </w:p>
        </w:tc>
        <w:tc>
          <w:tcPr>
            <w:tcW w:w="1916" w:type="dxa"/>
            <w:tcBorders>
              <w:top w:val="nil"/>
              <w:left w:val="single" w:sz="6" w:space="0" w:color="auto"/>
              <w:bottom w:val="single" w:sz="6" w:space="0" w:color="auto"/>
              <w:right w:val="single" w:sz="6" w:space="0" w:color="auto"/>
            </w:tcBorders>
            <w:vAlign w:val="center"/>
          </w:tcPr>
          <w:p w14:paraId="7F8356BC" w14:textId="72F58B18" w:rsidR="00154D86" w:rsidRPr="00F644FD" w:rsidRDefault="00154D86" w:rsidP="000C1DA5">
            <w:pPr>
              <w:pStyle w:val="Tablecentered"/>
            </w:pPr>
            <w:r w:rsidRPr="00F644FD">
              <w:t>-2.9</w:t>
            </w:r>
            <w:r w:rsidRPr="00382499">
              <w:rPr>
                <w:vertAlign w:val="superscript"/>
              </w:rPr>
              <w:t>§</w:t>
            </w:r>
            <w:r w:rsidRPr="00F644FD">
              <w:t xml:space="preserve"> (-5.4, -0.5)</w:t>
            </w:r>
          </w:p>
        </w:tc>
        <w:tc>
          <w:tcPr>
            <w:tcW w:w="1984" w:type="dxa"/>
            <w:tcBorders>
              <w:top w:val="nil"/>
              <w:left w:val="single" w:sz="6" w:space="0" w:color="auto"/>
              <w:bottom w:val="single" w:sz="6" w:space="0" w:color="auto"/>
              <w:right w:val="single" w:sz="6" w:space="0" w:color="auto"/>
            </w:tcBorders>
            <w:vAlign w:val="center"/>
          </w:tcPr>
          <w:p w14:paraId="6CA35B83" w14:textId="6629F6FF" w:rsidR="00154D86" w:rsidRPr="00F644FD" w:rsidRDefault="00154D86" w:rsidP="000C1DA5">
            <w:pPr>
              <w:pStyle w:val="Tablecentered"/>
            </w:pPr>
            <w:r w:rsidRPr="00F644FD">
              <w:t>-3.9</w:t>
            </w:r>
            <w:r w:rsidRPr="00382499">
              <w:rPr>
                <w:vertAlign w:val="superscript"/>
              </w:rPr>
              <w:t>§</w:t>
            </w:r>
            <w:r w:rsidRPr="00F644FD">
              <w:t xml:space="preserve"> (-6.4, -1.5)</w:t>
            </w:r>
          </w:p>
        </w:tc>
        <w:tc>
          <w:tcPr>
            <w:tcW w:w="1276" w:type="dxa"/>
            <w:tcBorders>
              <w:top w:val="nil"/>
              <w:left w:val="single" w:sz="6" w:space="0" w:color="auto"/>
              <w:bottom w:val="single" w:sz="6" w:space="0" w:color="auto"/>
              <w:right w:val="single" w:sz="6" w:space="0" w:color="auto"/>
            </w:tcBorders>
            <w:vAlign w:val="center"/>
          </w:tcPr>
          <w:p w14:paraId="51FA9C1C" w14:textId="77777777" w:rsidR="00154D86" w:rsidRPr="00F644FD" w:rsidRDefault="00154D86" w:rsidP="000C1DA5">
            <w:pPr>
              <w:pStyle w:val="Tablecentered"/>
            </w:pPr>
          </w:p>
        </w:tc>
      </w:tr>
    </w:tbl>
    <w:p w14:paraId="42BCF14F" w14:textId="42494A12" w:rsidR="007E41AE" w:rsidRPr="00F644FD" w:rsidRDefault="00360581" w:rsidP="007E41AE">
      <w:pPr>
        <w:pStyle w:val="BodyText3"/>
        <w:rPr>
          <w:lang w:val="en-AU"/>
        </w:rPr>
      </w:pPr>
      <w:r w:rsidRPr="00F644FD">
        <w:rPr>
          <w:lang w:val="en-AU"/>
        </w:rPr>
        <w:t>*</w:t>
      </w:r>
      <w:r w:rsidRPr="00F644FD">
        <w:rPr>
          <w:lang w:val="en-AU"/>
        </w:rPr>
        <w:tab/>
        <w:t>N includes all randomis</w:t>
      </w:r>
      <w:r w:rsidR="007E41AE" w:rsidRPr="00F644FD">
        <w:rPr>
          <w:lang w:val="en-AU"/>
        </w:rPr>
        <w:t>ed, treated patients who had at least one measurement of the outcome variable.</w:t>
      </w:r>
    </w:p>
    <w:p w14:paraId="6582397D" w14:textId="0C178661" w:rsidR="007E41AE" w:rsidRPr="00F644FD" w:rsidRDefault="007E41AE" w:rsidP="007E41AE">
      <w:pPr>
        <w:pStyle w:val="BodyText3"/>
        <w:rPr>
          <w:lang w:val="en-AU"/>
        </w:rPr>
      </w:pPr>
      <w:r w:rsidRPr="00F644FD">
        <w:rPr>
          <w:vertAlign w:val="superscript"/>
          <w:lang w:val="en-AU"/>
        </w:rPr>
        <w:t>†</w:t>
      </w:r>
      <w:r w:rsidRPr="00F644FD">
        <w:rPr>
          <w:lang w:val="en-AU"/>
        </w:rPr>
        <w:tab/>
        <w:t xml:space="preserve">Least squares means adjusted for treatment, time, </w:t>
      </w:r>
      <w:proofErr w:type="gramStart"/>
      <w:r w:rsidRPr="00F644FD">
        <w:rPr>
          <w:lang w:val="en-AU"/>
        </w:rPr>
        <w:t>prior</w:t>
      </w:r>
      <w:proofErr w:type="gramEnd"/>
      <w:r w:rsidRPr="00F644FD">
        <w:rPr>
          <w:lang w:val="en-AU"/>
        </w:rPr>
        <w:t xml:space="preserve"> </w:t>
      </w:r>
      <w:proofErr w:type="spellStart"/>
      <w:r w:rsidRPr="00F644FD">
        <w:rPr>
          <w:lang w:val="en-AU"/>
        </w:rPr>
        <w:t>antihyperglyc</w:t>
      </w:r>
      <w:r w:rsidR="006107DC" w:rsidRPr="00F644FD">
        <w:rPr>
          <w:lang w:val="en-AU"/>
        </w:rPr>
        <w:t>a</w:t>
      </w:r>
      <w:r w:rsidRPr="00F644FD">
        <w:rPr>
          <w:lang w:val="en-AU"/>
        </w:rPr>
        <w:t>emic</w:t>
      </w:r>
      <w:proofErr w:type="spellEnd"/>
      <w:r w:rsidRPr="00F644FD">
        <w:rPr>
          <w:lang w:val="en-AU"/>
        </w:rPr>
        <w:t xml:space="preserve"> medication.</w:t>
      </w:r>
    </w:p>
    <w:p w14:paraId="4FE46FCA" w14:textId="77777777" w:rsidR="007E41AE" w:rsidRPr="00F644FD" w:rsidRDefault="007E41AE" w:rsidP="007E41AE">
      <w:pPr>
        <w:pStyle w:val="BodyText3"/>
        <w:rPr>
          <w:lang w:val="en-AU"/>
        </w:rPr>
      </w:pPr>
      <w:r w:rsidRPr="00F644FD">
        <w:rPr>
          <w:vertAlign w:val="superscript"/>
          <w:lang w:val="en-AU"/>
        </w:rPr>
        <w:t>‡</w:t>
      </w:r>
      <w:r w:rsidRPr="00F644FD">
        <w:rPr>
          <w:lang w:val="en-AU"/>
        </w:rPr>
        <w:tab/>
      </w:r>
      <w:proofErr w:type="gramStart"/>
      <w:r w:rsidRPr="00F644FD">
        <w:rPr>
          <w:lang w:val="en-AU"/>
        </w:rPr>
        <w:t>p</w:t>
      </w:r>
      <w:proofErr w:type="gramEnd"/>
      <w:r w:rsidRPr="00F644FD">
        <w:rPr>
          <w:lang w:val="en-AU"/>
        </w:rPr>
        <w:sym w:font="Symbol" w:char="F0A3"/>
      </w:r>
      <w:r w:rsidRPr="00F644FD">
        <w:rPr>
          <w:lang w:val="en-AU"/>
        </w:rPr>
        <w:t>0.001 compared to placebo.</w:t>
      </w:r>
    </w:p>
    <w:p w14:paraId="09A16A22" w14:textId="77777777" w:rsidR="007E41AE" w:rsidRPr="00F644FD" w:rsidRDefault="007E41AE" w:rsidP="007E41AE">
      <w:pPr>
        <w:pStyle w:val="BodyText3"/>
        <w:rPr>
          <w:lang w:val="en-AU"/>
        </w:rPr>
      </w:pPr>
      <w:r w:rsidRPr="00F644FD">
        <w:rPr>
          <w:vertAlign w:val="superscript"/>
          <w:lang w:val="en-AU"/>
        </w:rPr>
        <w:t>§</w:t>
      </w:r>
      <w:r w:rsidRPr="00F644FD">
        <w:rPr>
          <w:lang w:val="en-AU"/>
        </w:rPr>
        <w:tab/>
        <w:t>p&lt;0.05 compared to placebo.</w:t>
      </w:r>
    </w:p>
    <w:p w14:paraId="66BDA46F" w14:textId="77555B76" w:rsidR="007E41AE" w:rsidRPr="00F644FD" w:rsidRDefault="007E41AE" w:rsidP="00542329">
      <w:pPr>
        <w:pStyle w:val="Heading3"/>
      </w:pPr>
      <w:r w:rsidRPr="00F644FD">
        <w:lastRenderedPageBreak/>
        <w:t>Active</w:t>
      </w:r>
      <w:r w:rsidR="00BD0A1B" w:rsidRPr="00F644FD">
        <w:t>-</w:t>
      </w:r>
      <w:r w:rsidR="002722E4" w:rsidRPr="00F644FD">
        <w:t xml:space="preserve">controlled study </w:t>
      </w:r>
      <w:r w:rsidRPr="00F644FD">
        <w:t xml:space="preserve">of </w:t>
      </w:r>
      <w:proofErr w:type="spellStart"/>
      <w:r w:rsidR="002722E4" w:rsidRPr="00F644FD">
        <w:t>ertugliflozin</w:t>
      </w:r>
      <w:proofErr w:type="spellEnd"/>
      <w:r w:rsidR="002722E4" w:rsidRPr="00F644FD">
        <w:t xml:space="preserve"> </w:t>
      </w:r>
      <w:r w:rsidRPr="00F644FD">
        <w:t xml:space="preserve">versus </w:t>
      </w:r>
      <w:r w:rsidR="002722E4" w:rsidRPr="00F644FD">
        <w:t xml:space="preserve">glimepiride </w:t>
      </w:r>
      <w:r w:rsidRPr="00F644FD">
        <w:t xml:space="preserve">as </w:t>
      </w:r>
      <w:r w:rsidR="002722E4" w:rsidRPr="00F644FD">
        <w:t>add</w:t>
      </w:r>
      <w:r w:rsidRPr="00F644FD">
        <w:t xml:space="preserve">-on </w:t>
      </w:r>
      <w:r w:rsidR="002722E4" w:rsidRPr="00F644FD">
        <w:t xml:space="preserve">combination therapy </w:t>
      </w:r>
      <w:r w:rsidRPr="00F644FD">
        <w:t xml:space="preserve">with </w:t>
      </w:r>
      <w:r w:rsidR="002722E4" w:rsidRPr="00F644FD">
        <w:t>metformin</w:t>
      </w:r>
    </w:p>
    <w:p w14:paraId="145A28D1" w14:textId="69DED6AC" w:rsidR="007E41AE" w:rsidRPr="00F644FD" w:rsidRDefault="007E41AE" w:rsidP="00F85539">
      <w:r w:rsidRPr="00F644FD">
        <w:t>A total of 1,326 patients with type 2 diabetes inadequately controlled on metformin monoth</w:t>
      </w:r>
      <w:r w:rsidR="00360581" w:rsidRPr="00F644FD">
        <w:t>erapy participated in a randomis</w:t>
      </w:r>
      <w:r w:rsidRPr="00F644FD">
        <w:t>ed, double-blind, multi-centre, 52</w:t>
      </w:r>
      <w:r w:rsidRPr="00F644FD">
        <w:noBreakHyphen/>
        <w:t>week, active comparator</w:t>
      </w:r>
      <w:r w:rsidRPr="00F644FD">
        <w:noBreakHyphen/>
        <w:t xml:space="preserve">controlled study to evaluate the efficacy and safety of </w:t>
      </w:r>
      <w:proofErr w:type="spellStart"/>
      <w:r w:rsidRPr="00F644FD">
        <w:t>ertugliflozin</w:t>
      </w:r>
      <w:proofErr w:type="spellEnd"/>
      <w:r w:rsidRPr="00F644FD">
        <w:t xml:space="preserve"> in combination with metformin.  These patients, who were receiving metformin monotherap</w:t>
      </w:r>
      <w:r w:rsidR="00360581" w:rsidRPr="00F644FD">
        <w:t>y (≥1,500 mg/day), were randomis</w:t>
      </w:r>
      <w:r w:rsidRPr="00F644FD">
        <w:t xml:space="preserve">ed to </w:t>
      </w:r>
      <w:proofErr w:type="spellStart"/>
      <w:r w:rsidRPr="00F644FD">
        <w:t>ertugliflozin</w:t>
      </w:r>
      <w:proofErr w:type="spellEnd"/>
      <w:r w:rsidRPr="00F644FD">
        <w:t xml:space="preserve"> 5 mg, </w:t>
      </w:r>
      <w:proofErr w:type="spellStart"/>
      <w:r w:rsidRPr="00F644FD">
        <w:t>ertugliflozin</w:t>
      </w:r>
      <w:proofErr w:type="spellEnd"/>
      <w:r w:rsidRPr="00F644FD">
        <w:t xml:space="preserve"> 15 mg, or glimepiride administered once daily in addition to continuation of background metformin therapy.  Glimepiride was initiated at 1 mg/day and titrated up to a maximum dose of 6 or 8 mg/day (depending on maximum approved dose in each country) or a maximum tolerated dose or down</w:t>
      </w:r>
      <w:r w:rsidRPr="00F644FD">
        <w:noBreakHyphen/>
        <w:t>titrated to avoid or manage hypoglycaemia.  The mean daily dose of glimepiride was 3.0 mg.</w:t>
      </w:r>
    </w:p>
    <w:p w14:paraId="61727B4C" w14:textId="77777777" w:rsidR="00B81855" w:rsidRPr="00F644FD" w:rsidRDefault="00B81855" w:rsidP="00F85539"/>
    <w:p w14:paraId="684E55E0" w14:textId="12746A61" w:rsidR="007E41AE" w:rsidRPr="00F644FD" w:rsidRDefault="007E41AE" w:rsidP="00F85539">
      <w:r w:rsidRPr="00F644FD">
        <w:t xml:space="preserve">At Week 52, </w:t>
      </w:r>
      <w:proofErr w:type="spellStart"/>
      <w:r w:rsidRPr="00F644FD">
        <w:t>ertugliflozin</w:t>
      </w:r>
      <w:proofErr w:type="spellEnd"/>
      <w:r w:rsidRPr="00F644FD">
        <w:t xml:space="preserve"> 5 mg and 15 mg provided similar reductions in HbA1c from baseline compared to glimepiride when added to metformin therapy.  </w:t>
      </w:r>
      <w:proofErr w:type="spellStart"/>
      <w:r w:rsidRPr="00F644FD">
        <w:t>Ertugliflozin</w:t>
      </w:r>
      <w:proofErr w:type="spellEnd"/>
      <w:r w:rsidRPr="00F644FD">
        <w:t xml:space="preserve"> 15 mg was non-inferior to glimepiride after 52 weeks of treatment.  At Week 52, </w:t>
      </w:r>
      <w:proofErr w:type="spellStart"/>
      <w:r w:rsidRPr="00F644FD">
        <w:t>ertugliflozin</w:t>
      </w:r>
      <w:proofErr w:type="spellEnd"/>
      <w:r w:rsidRPr="00F644FD">
        <w:t xml:space="preserve"> 15 mg resulted in a statistically significant difference in change from baseline for body weight compared to glimepiride (</w:t>
      </w:r>
      <w:r w:rsidRPr="00F644FD">
        <w:noBreakHyphen/>
        <w:t xml:space="preserve">3.4 kg for </w:t>
      </w:r>
      <w:proofErr w:type="spellStart"/>
      <w:r w:rsidRPr="00F644FD">
        <w:t>ertugliflozin</w:t>
      </w:r>
      <w:proofErr w:type="spellEnd"/>
      <w:r w:rsidRPr="00F644FD">
        <w:t xml:space="preserve"> 15 mg vs. +0.9 kg for glimepiride; </w:t>
      </w:r>
      <w:r w:rsidRPr="002722E4">
        <w:t xml:space="preserve">treatment difference </w:t>
      </w:r>
      <w:r w:rsidRPr="002722E4">
        <w:noBreakHyphen/>
        <w:t xml:space="preserve">4.3 kg; p&lt;0.001). </w:t>
      </w:r>
      <w:proofErr w:type="gramStart"/>
      <w:r w:rsidRPr="002722E4">
        <w:t>(See Table </w:t>
      </w:r>
      <w:r w:rsidR="00374211" w:rsidRPr="002722E4">
        <w:t>6</w:t>
      </w:r>
      <w:r w:rsidRPr="002722E4">
        <w:t xml:space="preserve"> and Figure </w:t>
      </w:r>
      <w:r w:rsidR="00374211" w:rsidRPr="002722E4">
        <w:t>4</w:t>
      </w:r>
      <w:r w:rsidRPr="002722E4">
        <w:t>.)</w:t>
      </w:r>
      <w:proofErr w:type="gramEnd"/>
    </w:p>
    <w:p w14:paraId="09512F64" w14:textId="7BEC4EA5" w:rsidR="007E41AE" w:rsidRPr="00F644FD" w:rsidRDefault="007E41AE" w:rsidP="007E41AE">
      <w:pPr>
        <w:pStyle w:val="Heading6"/>
      </w:pPr>
      <w:r w:rsidRPr="00F644FD">
        <w:t xml:space="preserve">Results at Week 52 from an Active-Controlled Study Comparing </w:t>
      </w:r>
      <w:proofErr w:type="spellStart"/>
      <w:r w:rsidRPr="00F644FD">
        <w:t>Ertugliflozin</w:t>
      </w:r>
      <w:proofErr w:type="spellEnd"/>
      <w:r w:rsidRPr="00F644FD">
        <w:t xml:space="preserve"> to Glimepiride as Add-on Therapy in Patients Inadequately Controlled on Metformin*</w:t>
      </w:r>
    </w:p>
    <w:tbl>
      <w:tblPr>
        <w:tblW w:w="9283" w:type="dxa"/>
        <w:jc w:val="center"/>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322"/>
        <w:gridCol w:w="1902"/>
        <w:gridCol w:w="1842"/>
        <w:gridCol w:w="1217"/>
      </w:tblGrid>
      <w:tr w:rsidR="007E41AE" w:rsidRPr="00F644FD" w14:paraId="5878F198" w14:textId="77777777" w:rsidTr="002722E4">
        <w:trPr>
          <w:trHeight w:hRule="exact" w:val="519"/>
          <w:jc w:val="center"/>
        </w:trPr>
        <w:tc>
          <w:tcPr>
            <w:tcW w:w="4322" w:type="dxa"/>
            <w:tcBorders>
              <w:top w:val="single" w:sz="6" w:space="0" w:color="auto"/>
              <w:left w:val="single" w:sz="6" w:space="0" w:color="auto"/>
              <w:bottom w:val="single" w:sz="6" w:space="0" w:color="auto"/>
              <w:right w:val="single" w:sz="6" w:space="0" w:color="auto"/>
            </w:tcBorders>
            <w:vAlign w:val="center"/>
          </w:tcPr>
          <w:p w14:paraId="0A93C01C" w14:textId="77777777" w:rsidR="007E41AE" w:rsidRPr="00F644FD" w:rsidRDefault="007E41AE" w:rsidP="007E41AE">
            <w:pPr>
              <w:pStyle w:val="Tablenormal0"/>
              <w:jc w:val="center"/>
              <w:rPr>
                <w:b/>
              </w:rPr>
            </w:pPr>
          </w:p>
        </w:tc>
        <w:tc>
          <w:tcPr>
            <w:tcW w:w="1902" w:type="dxa"/>
            <w:tcBorders>
              <w:top w:val="single" w:sz="6" w:space="0" w:color="auto"/>
              <w:left w:val="single" w:sz="6" w:space="0" w:color="auto"/>
              <w:bottom w:val="single" w:sz="6" w:space="0" w:color="auto"/>
              <w:right w:val="single" w:sz="6" w:space="0" w:color="auto"/>
            </w:tcBorders>
            <w:vAlign w:val="center"/>
          </w:tcPr>
          <w:p w14:paraId="613DAF29" w14:textId="77777777" w:rsidR="007E41AE" w:rsidRPr="00F644FD" w:rsidRDefault="007E41AE" w:rsidP="000C1DA5">
            <w:pPr>
              <w:pStyle w:val="Tablecentered"/>
              <w:rPr>
                <w:b/>
                <w:bCs/>
              </w:rPr>
            </w:pPr>
            <w:proofErr w:type="spellStart"/>
            <w:r w:rsidRPr="00F644FD">
              <w:rPr>
                <w:b/>
                <w:bCs/>
              </w:rPr>
              <w:t>Ertugliflozin</w:t>
            </w:r>
            <w:proofErr w:type="spellEnd"/>
            <w:r w:rsidRPr="00F644FD">
              <w:rPr>
                <w:b/>
                <w:bCs/>
              </w:rPr>
              <w:t xml:space="preserve"> 5 mg</w:t>
            </w:r>
          </w:p>
        </w:tc>
        <w:tc>
          <w:tcPr>
            <w:tcW w:w="1842" w:type="dxa"/>
            <w:tcBorders>
              <w:top w:val="single" w:sz="6" w:space="0" w:color="auto"/>
              <w:left w:val="single" w:sz="6" w:space="0" w:color="auto"/>
              <w:bottom w:val="single" w:sz="6" w:space="0" w:color="auto"/>
              <w:right w:val="single" w:sz="6" w:space="0" w:color="auto"/>
            </w:tcBorders>
            <w:vAlign w:val="center"/>
          </w:tcPr>
          <w:p w14:paraId="1675B28E" w14:textId="77777777" w:rsidR="007E41AE" w:rsidRPr="00F644FD" w:rsidRDefault="007E41AE" w:rsidP="000C1DA5">
            <w:pPr>
              <w:pStyle w:val="Tablecentered"/>
              <w:rPr>
                <w:b/>
                <w:bCs/>
              </w:rPr>
            </w:pPr>
            <w:proofErr w:type="spellStart"/>
            <w:r w:rsidRPr="00F644FD">
              <w:rPr>
                <w:b/>
                <w:bCs/>
              </w:rPr>
              <w:t>Ertugliflozin</w:t>
            </w:r>
            <w:proofErr w:type="spellEnd"/>
            <w:r w:rsidRPr="00F644FD">
              <w:rPr>
                <w:b/>
                <w:bCs/>
              </w:rPr>
              <w:t xml:space="preserve"> 15 mg</w:t>
            </w:r>
          </w:p>
        </w:tc>
        <w:tc>
          <w:tcPr>
            <w:tcW w:w="1217" w:type="dxa"/>
            <w:tcBorders>
              <w:top w:val="single" w:sz="6" w:space="0" w:color="auto"/>
              <w:left w:val="single" w:sz="6" w:space="0" w:color="auto"/>
              <w:bottom w:val="single" w:sz="6" w:space="0" w:color="auto"/>
              <w:right w:val="single" w:sz="6" w:space="0" w:color="auto"/>
            </w:tcBorders>
            <w:vAlign w:val="center"/>
          </w:tcPr>
          <w:p w14:paraId="3C4FB253" w14:textId="77777777" w:rsidR="007E41AE" w:rsidRPr="00F644FD" w:rsidRDefault="007E41AE" w:rsidP="000C1DA5">
            <w:pPr>
              <w:pStyle w:val="Tablecentered"/>
              <w:rPr>
                <w:b/>
                <w:bCs/>
              </w:rPr>
            </w:pPr>
            <w:r w:rsidRPr="00F644FD">
              <w:rPr>
                <w:b/>
                <w:bCs/>
              </w:rPr>
              <w:t>Glimepiride</w:t>
            </w:r>
          </w:p>
        </w:tc>
      </w:tr>
      <w:tr w:rsidR="007E41AE" w:rsidRPr="00F644FD" w14:paraId="60600225" w14:textId="77777777" w:rsidTr="002722E4">
        <w:trPr>
          <w:trHeight w:val="324"/>
          <w:jc w:val="center"/>
        </w:trPr>
        <w:tc>
          <w:tcPr>
            <w:tcW w:w="4322" w:type="dxa"/>
            <w:tcBorders>
              <w:top w:val="single" w:sz="6" w:space="0" w:color="auto"/>
              <w:left w:val="single" w:sz="6" w:space="0" w:color="auto"/>
              <w:bottom w:val="nil"/>
              <w:right w:val="single" w:sz="6" w:space="0" w:color="auto"/>
            </w:tcBorders>
            <w:vAlign w:val="center"/>
          </w:tcPr>
          <w:p w14:paraId="32D92D16" w14:textId="77777777" w:rsidR="007E41AE" w:rsidRPr="00F644FD" w:rsidRDefault="007E41AE" w:rsidP="007E41AE">
            <w:pPr>
              <w:pStyle w:val="Tablenormal0"/>
              <w:rPr>
                <w:b/>
              </w:rPr>
            </w:pPr>
            <w:r w:rsidRPr="00F644FD">
              <w:rPr>
                <w:b/>
              </w:rPr>
              <w:t>HbA1c (%)</w:t>
            </w:r>
          </w:p>
        </w:tc>
        <w:tc>
          <w:tcPr>
            <w:tcW w:w="1902" w:type="dxa"/>
            <w:tcBorders>
              <w:top w:val="single" w:sz="6" w:space="0" w:color="auto"/>
              <w:left w:val="single" w:sz="6" w:space="0" w:color="auto"/>
              <w:bottom w:val="nil"/>
              <w:right w:val="single" w:sz="6" w:space="0" w:color="auto"/>
            </w:tcBorders>
            <w:vAlign w:val="center"/>
          </w:tcPr>
          <w:p w14:paraId="50A368CD" w14:textId="77777777" w:rsidR="007E41AE" w:rsidRPr="00F644FD" w:rsidRDefault="007E41AE" w:rsidP="000C1DA5">
            <w:pPr>
              <w:pStyle w:val="Tablecentered"/>
              <w:rPr>
                <w:b/>
                <w:bCs/>
              </w:rPr>
            </w:pPr>
            <w:r w:rsidRPr="00F644FD">
              <w:rPr>
                <w:b/>
                <w:bCs/>
              </w:rPr>
              <w:t>N = 448</w:t>
            </w:r>
          </w:p>
        </w:tc>
        <w:tc>
          <w:tcPr>
            <w:tcW w:w="1842" w:type="dxa"/>
            <w:tcBorders>
              <w:top w:val="single" w:sz="6" w:space="0" w:color="auto"/>
              <w:left w:val="single" w:sz="6" w:space="0" w:color="auto"/>
              <w:bottom w:val="nil"/>
              <w:right w:val="single" w:sz="6" w:space="0" w:color="auto"/>
            </w:tcBorders>
            <w:vAlign w:val="center"/>
          </w:tcPr>
          <w:p w14:paraId="27F86913" w14:textId="77777777" w:rsidR="007E41AE" w:rsidRPr="00F644FD" w:rsidRDefault="007E41AE" w:rsidP="000C1DA5">
            <w:pPr>
              <w:pStyle w:val="Tablecentered"/>
              <w:rPr>
                <w:b/>
                <w:bCs/>
              </w:rPr>
            </w:pPr>
            <w:r w:rsidRPr="00F644FD">
              <w:rPr>
                <w:b/>
                <w:bCs/>
              </w:rPr>
              <w:t>N = 440</w:t>
            </w:r>
          </w:p>
        </w:tc>
        <w:tc>
          <w:tcPr>
            <w:tcW w:w="1217" w:type="dxa"/>
            <w:tcBorders>
              <w:top w:val="single" w:sz="6" w:space="0" w:color="auto"/>
              <w:left w:val="single" w:sz="6" w:space="0" w:color="auto"/>
              <w:bottom w:val="nil"/>
              <w:right w:val="single" w:sz="6" w:space="0" w:color="auto"/>
            </w:tcBorders>
            <w:vAlign w:val="center"/>
          </w:tcPr>
          <w:p w14:paraId="7FE3C741" w14:textId="77777777" w:rsidR="007E41AE" w:rsidRPr="00F644FD" w:rsidRDefault="007E41AE" w:rsidP="000C1DA5">
            <w:pPr>
              <w:pStyle w:val="Tablecentered"/>
              <w:rPr>
                <w:b/>
                <w:bCs/>
              </w:rPr>
            </w:pPr>
            <w:r w:rsidRPr="00F644FD">
              <w:rPr>
                <w:b/>
                <w:bCs/>
              </w:rPr>
              <w:t>N = 437</w:t>
            </w:r>
          </w:p>
        </w:tc>
      </w:tr>
      <w:tr w:rsidR="007E41AE" w:rsidRPr="00F644FD" w14:paraId="003E57D3" w14:textId="77777777" w:rsidTr="002722E4">
        <w:trPr>
          <w:trHeight w:val="324"/>
          <w:jc w:val="center"/>
        </w:trPr>
        <w:tc>
          <w:tcPr>
            <w:tcW w:w="4322" w:type="dxa"/>
            <w:tcBorders>
              <w:top w:val="nil"/>
              <w:left w:val="single" w:sz="6" w:space="0" w:color="auto"/>
              <w:bottom w:val="nil"/>
              <w:right w:val="single" w:sz="6" w:space="0" w:color="auto"/>
            </w:tcBorders>
            <w:vAlign w:val="center"/>
          </w:tcPr>
          <w:p w14:paraId="5E3F371B" w14:textId="77777777" w:rsidR="007E41AE" w:rsidRPr="00F644FD" w:rsidRDefault="007E41AE" w:rsidP="000C1DA5">
            <w:pPr>
              <w:pStyle w:val="Tablenormalindent"/>
            </w:pPr>
            <w:r w:rsidRPr="00F644FD">
              <w:t>Baseline (mean)</w:t>
            </w:r>
          </w:p>
        </w:tc>
        <w:tc>
          <w:tcPr>
            <w:tcW w:w="1902" w:type="dxa"/>
            <w:tcBorders>
              <w:top w:val="nil"/>
              <w:left w:val="single" w:sz="6" w:space="0" w:color="auto"/>
              <w:bottom w:val="nil"/>
              <w:right w:val="single" w:sz="6" w:space="0" w:color="auto"/>
            </w:tcBorders>
            <w:vAlign w:val="center"/>
          </w:tcPr>
          <w:p w14:paraId="3A31F5B4" w14:textId="703D7741" w:rsidR="007E41AE" w:rsidRPr="00F644FD" w:rsidRDefault="007E41AE" w:rsidP="000C1DA5">
            <w:pPr>
              <w:pStyle w:val="Tablecentered"/>
            </w:pPr>
            <w:r w:rsidRPr="00F644FD">
              <w:t>7.8</w:t>
            </w:r>
            <w:r w:rsidR="004D554B" w:rsidRPr="00F644FD">
              <w:t>1</w:t>
            </w:r>
          </w:p>
        </w:tc>
        <w:tc>
          <w:tcPr>
            <w:tcW w:w="1842" w:type="dxa"/>
            <w:tcBorders>
              <w:top w:val="nil"/>
              <w:left w:val="single" w:sz="6" w:space="0" w:color="auto"/>
              <w:bottom w:val="nil"/>
              <w:right w:val="single" w:sz="6" w:space="0" w:color="auto"/>
            </w:tcBorders>
            <w:vAlign w:val="center"/>
          </w:tcPr>
          <w:p w14:paraId="29ABCDA3" w14:textId="789AA654" w:rsidR="007E41AE" w:rsidRPr="00F644FD" w:rsidRDefault="007E41AE" w:rsidP="000C1DA5">
            <w:pPr>
              <w:pStyle w:val="Tablecentered"/>
            </w:pPr>
            <w:r w:rsidRPr="00F644FD">
              <w:t>7.8</w:t>
            </w:r>
            <w:r w:rsidR="004D554B" w:rsidRPr="00F644FD">
              <w:t>0</w:t>
            </w:r>
          </w:p>
        </w:tc>
        <w:tc>
          <w:tcPr>
            <w:tcW w:w="1217" w:type="dxa"/>
            <w:tcBorders>
              <w:top w:val="nil"/>
              <w:left w:val="single" w:sz="6" w:space="0" w:color="auto"/>
              <w:bottom w:val="nil"/>
              <w:right w:val="single" w:sz="6" w:space="0" w:color="auto"/>
            </w:tcBorders>
            <w:vAlign w:val="center"/>
          </w:tcPr>
          <w:p w14:paraId="3EFCB87D" w14:textId="6EEC9F2F" w:rsidR="007E41AE" w:rsidRPr="00F644FD" w:rsidRDefault="00F014E2" w:rsidP="000C1DA5">
            <w:pPr>
              <w:pStyle w:val="Tablecentered"/>
            </w:pPr>
            <w:r w:rsidRPr="00F644FD">
              <w:t>7.76</w:t>
            </w:r>
          </w:p>
        </w:tc>
      </w:tr>
      <w:tr w:rsidR="007E41AE" w:rsidRPr="00F644FD" w14:paraId="552C5B21" w14:textId="77777777" w:rsidTr="002722E4">
        <w:trPr>
          <w:trHeight w:val="324"/>
          <w:jc w:val="center"/>
        </w:trPr>
        <w:tc>
          <w:tcPr>
            <w:tcW w:w="4322" w:type="dxa"/>
            <w:tcBorders>
              <w:top w:val="nil"/>
              <w:left w:val="single" w:sz="6" w:space="0" w:color="auto"/>
              <w:bottom w:val="nil"/>
              <w:right w:val="single" w:sz="6" w:space="0" w:color="auto"/>
            </w:tcBorders>
            <w:vAlign w:val="center"/>
          </w:tcPr>
          <w:p w14:paraId="72BBE6E8" w14:textId="77777777" w:rsidR="007E41AE" w:rsidRPr="00F644FD" w:rsidRDefault="007E41AE" w:rsidP="000C1DA5">
            <w:pPr>
              <w:pStyle w:val="Tablenormalindent"/>
            </w:pPr>
            <w:r w:rsidRPr="00F644FD">
              <w:t>Change from baseline (LS mean</w:t>
            </w:r>
            <w:r w:rsidRPr="00F644FD">
              <w:rPr>
                <w:vertAlign w:val="superscript"/>
              </w:rPr>
              <w:t>†</w:t>
            </w:r>
            <w:r w:rsidRPr="00F644FD">
              <w:t>)</w:t>
            </w:r>
          </w:p>
        </w:tc>
        <w:tc>
          <w:tcPr>
            <w:tcW w:w="1902" w:type="dxa"/>
            <w:tcBorders>
              <w:top w:val="nil"/>
              <w:left w:val="single" w:sz="6" w:space="0" w:color="auto"/>
              <w:bottom w:val="nil"/>
              <w:right w:val="single" w:sz="6" w:space="0" w:color="auto"/>
            </w:tcBorders>
            <w:vAlign w:val="center"/>
          </w:tcPr>
          <w:p w14:paraId="2D964766" w14:textId="600050BD" w:rsidR="007E41AE" w:rsidRPr="00F644FD" w:rsidRDefault="007E41AE" w:rsidP="000C1DA5">
            <w:pPr>
              <w:pStyle w:val="Tablecentered"/>
            </w:pPr>
            <w:r w:rsidRPr="00F644FD">
              <w:t>-0.</w:t>
            </w:r>
            <w:r w:rsidRPr="00F644FD">
              <w:rPr>
                <w:rFonts w:eastAsia="SimSun"/>
              </w:rPr>
              <w:t>6</w:t>
            </w:r>
            <w:r w:rsidR="004D554B" w:rsidRPr="00F644FD">
              <w:rPr>
                <w:rFonts w:eastAsia="SimSun"/>
              </w:rPr>
              <w:t>56</w:t>
            </w:r>
          </w:p>
        </w:tc>
        <w:tc>
          <w:tcPr>
            <w:tcW w:w="1842" w:type="dxa"/>
            <w:tcBorders>
              <w:top w:val="nil"/>
              <w:left w:val="single" w:sz="6" w:space="0" w:color="auto"/>
              <w:bottom w:val="nil"/>
              <w:right w:val="single" w:sz="6" w:space="0" w:color="auto"/>
            </w:tcBorders>
            <w:vAlign w:val="center"/>
          </w:tcPr>
          <w:p w14:paraId="793DD22B" w14:textId="6EA88BF8" w:rsidR="007E41AE" w:rsidRPr="00F644FD" w:rsidRDefault="007E41AE" w:rsidP="000C1DA5">
            <w:pPr>
              <w:pStyle w:val="Tablecentered"/>
            </w:pPr>
            <w:r w:rsidRPr="00F644FD">
              <w:t>-0.</w:t>
            </w:r>
            <w:r w:rsidR="004D554B" w:rsidRPr="00F644FD">
              <w:t>64</w:t>
            </w:r>
          </w:p>
        </w:tc>
        <w:tc>
          <w:tcPr>
            <w:tcW w:w="1217" w:type="dxa"/>
            <w:tcBorders>
              <w:top w:val="nil"/>
              <w:left w:val="single" w:sz="6" w:space="0" w:color="auto"/>
              <w:bottom w:val="nil"/>
              <w:right w:val="single" w:sz="6" w:space="0" w:color="auto"/>
            </w:tcBorders>
            <w:vAlign w:val="center"/>
          </w:tcPr>
          <w:p w14:paraId="53B4ABB7" w14:textId="2B514258" w:rsidR="007E41AE" w:rsidRPr="00F644FD" w:rsidRDefault="007E41AE" w:rsidP="000C1DA5">
            <w:pPr>
              <w:pStyle w:val="Tablecentered"/>
            </w:pPr>
            <w:r w:rsidRPr="00F644FD">
              <w:t>-0.7</w:t>
            </w:r>
            <w:r w:rsidR="009449F2" w:rsidRPr="00F644FD">
              <w:t>4</w:t>
            </w:r>
          </w:p>
        </w:tc>
      </w:tr>
      <w:tr w:rsidR="007E41AE" w:rsidRPr="00F644FD" w14:paraId="0B466EA5" w14:textId="77777777" w:rsidTr="002722E4">
        <w:trPr>
          <w:trHeight w:val="324"/>
          <w:jc w:val="center"/>
        </w:trPr>
        <w:tc>
          <w:tcPr>
            <w:tcW w:w="4322" w:type="dxa"/>
            <w:tcBorders>
              <w:top w:val="nil"/>
              <w:left w:val="single" w:sz="6" w:space="0" w:color="auto"/>
              <w:bottom w:val="single" w:sz="6" w:space="0" w:color="auto"/>
              <w:right w:val="single" w:sz="6" w:space="0" w:color="auto"/>
            </w:tcBorders>
            <w:vAlign w:val="center"/>
          </w:tcPr>
          <w:p w14:paraId="21B0DE0D" w14:textId="77777777" w:rsidR="007E41AE" w:rsidRPr="00F644FD" w:rsidRDefault="007E41AE" w:rsidP="000C1DA5">
            <w:pPr>
              <w:pStyle w:val="Tablenormalindent"/>
            </w:pPr>
            <w:r w:rsidRPr="00F644FD">
              <w:t>Difference from glimepiride (LS mean</w:t>
            </w:r>
            <w:r w:rsidRPr="00F644FD">
              <w:rPr>
                <w:vertAlign w:val="superscript"/>
              </w:rPr>
              <w:t>†</w:t>
            </w:r>
            <w:r w:rsidRPr="00F644FD">
              <w:t>, 95% CI)</w:t>
            </w:r>
          </w:p>
        </w:tc>
        <w:tc>
          <w:tcPr>
            <w:tcW w:w="1902" w:type="dxa"/>
            <w:tcBorders>
              <w:top w:val="nil"/>
              <w:left w:val="single" w:sz="6" w:space="0" w:color="auto"/>
              <w:bottom w:val="single" w:sz="6" w:space="0" w:color="auto"/>
              <w:right w:val="single" w:sz="6" w:space="0" w:color="auto"/>
            </w:tcBorders>
            <w:vAlign w:val="center"/>
          </w:tcPr>
          <w:p w14:paraId="19436321" w14:textId="4E35A85A" w:rsidR="007E41AE" w:rsidRPr="00F644FD" w:rsidRDefault="007E41AE" w:rsidP="000C1DA5">
            <w:pPr>
              <w:pStyle w:val="Tablecentered"/>
            </w:pPr>
            <w:r w:rsidRPr="00F644FD">
              <w:t>0.</w:t>
            </w:r>
            <w:r w:rsidR="004D554B" w:rsidRPr="00F644FD">
              <w:rPr>
                <w:rFonts w:eastAsia="SimSun"/>
              </w:rPr>
              <w:t>18</w:t>
            </w:r>
            <w:r w:rsidR="004D554B" w:rsidRPr="00820884">
              <w:rPr>
                <w:vertAlign w:val="superscript"/>
              </w:rPr>
              <w:t>‡</w:t>
            </w:r>
            <w:r w:rsidRPr="00F644FD">
              <w:t xml:space="preserve"> (0.</w:t>
            </w:r>
            <w:r w:rsidR="004D554B" w:rsidRPr="00F644FD">
              <w:rPr>
                <w:rFonts w:eastAsia="SimSun"/>
              </w:rPr>
              <w:t>06</w:t>
            </w:r>
            <w:r w:rsidRPr="00F644FD">
              <w:t>, 0.3</w:t>
            </w:r>
            <w:r w:rsidR="004D554B" w:rsidRPr="00F644FD">
              <w:t>0</w:t>
            </w:r>
            <w:r w:rsidRPr="00F644FD">
              <w:t>)</w:t>
            </w:r>
          </w:p>
        </w:tc>
        <w:tc>
          <w:tcPr>
            <w:tcW w:w="1842" w:type="dxa"/>
            <w:tcBorders>
              <w:top w:val="nil"/>
              <w:left w:val="single" w:sz="6" w:space="0" w:color="auto"/>
              <w:bottom w:val="single" w:sz="6" w:space="0" w:color="auto"/>
              <w:right w:val="single" w:sz="6" w:space="0" w:color="auto"/>
            </w:tcBorders>
            <w:vAlign w:val="center"/>
          </w:tcPr>
          <w:p w14:paraId="493EAAA0" w14:textId="2D66771F" w:rsidR="007E41AE" w:rsidRPr="00F644FD" w:rsidRDefault="007E41AE" w:rsidP="000C1DA5">
            <w:pPr>
              <w:pStyle w:val="Tablecentered"/>
            </w:pPr>
            <w:r w:rsidRPr="00F644FD">
              <w:t>0.1</w:t>
            </w:r>
            <w:r w:rsidR="004D554B" w:rsidRPr="00F644FD">
              <w:t>0</w:t>
            </w:r>
            <w:r w:rsidR="004D554B" w:rsidRPr="00820884">
              <w:rPr>
                <w:vertAlign w:val="superscript"/>
              </w:rPr>
              <w:t>§</w:t>
            </w:r>
            <w:r w:rsidRPr="00F644FD">
              <w:t>(-0.0</w:t>
            </w:r>
            <w:r w:rsidR="004D554B" w:rsidRPr="00F644FD">
              <w:t>2</w:t>
            </w:r>
            <w:r w:rsidRPr="00F644FD">
              <w:t>, 0.2</w:t>
            </w:r>
            <w:r w:rsidR="004D554B" w:rsidRPr="00F644FD">
              <w:t>2</w:t>
            </w:r>
            <w:r w:rsidRPr="00F644FD">
              <w:t>)</w:t>
            </w:r>
          </w:p>
        </w:tc>
        <w:tc>
          <w:tcPr>
            <w:tcW w:w="1217" w:type="dxa"/>
            <w:tcBorders>
              <w:top w:val="nil"/>
              <w:left w:val="single" w:sz="6" w:space="0" w:color="auto"/>
              <w:bottom w:val="single" w:sz="6" w:space="0" w:color="auto"/>
              <w:right w:val="single" w:sz="6" w:space="0" w:color="auto"/>
            </w:tcBorders>
            <w:vAlign w:val="center"/>
          </w:tcPr>
          <w:p w14:paraId="04249A77" w14:textId="77777777" w:rsidR="007E41AE" w:rsidRPr="00F644FD" w:rsidRDefault="007E41AE" w:rsidP="000C1DA5">
            <w:pPr>
              <w:pStyle w:val="Tablecentered"/>
            </w:pPr>
          </w:p>
        </w:tc>
      </w:tr>
      <w:tr w:rsidR="007E41AE" w:rsidRPr="00F644FD" w14:paraId="63714681" w14:textId="77777777" w:rsidTr="002722E4">
        <w:trPr>
          <w:trHeight w:val="324"/>
          <w:jc w:val="center"/>
        </w:trPr>
        <w:tc>
          <w:tcPr>
            <w:tcW w:w="4322" w:type="dxa"/>
            <w:tcBorders>
              <w:top w:val="single" w:sz="6" w:space="0" w:color="auto"/>
              <w:left w:val="single" w:sz="6" w:space="0" w:color="auto"/>
              <w:bottom w:val="single" w:sz="6" w:space="0" w:color="auto"/>
              <w:right w:val="single" w:sz="6" w:space="0" w:color="auto"/>
            </w:tcBorders>
            <w:vAlign w:val="center"/>
          </w:tcPr>
          <w:p w14:paraId="280F7840" w14:textId="77777777" w:rsidR="007E41AE" w:rsidRPr="00F644FD" w:rsidRDefault="007E41AE" w:rsidP="007E41AE">
            <w:pPr>
              <w:pStyle w:val="Tablenormal0"/>
              <w:rPr>
                <w:b/>
              </w:rPr>
            </w:pPr>
            <w:r w:rsidRPr="00F644FD">
              <w:rPr>
                <w:b/>
              </w:rPr>
              <w:t>Patients [N (%)] with HbA1c &lt;7%</w:t>
            </w:r>
          </w:p>
        </w:tc>
        <w:tc>
          <w:tcPr>
            <w:tcW w:w="1902" w:type="dxa"/>
            <w:tcBorders>
              <w:top w:val="single" w:sz="6" w:space="0" w:color="auto"/>
              <w:left w:val="single" w:sz="6" w:space="0" w:color="auto"/>
              <w:bottom w:val="single" w:sz="6" w:space="0" w:color="auto"/>
              <w:right w:val="single" w:sz="6" w:space="0" w:color="auto"/>
            </w:tcBorders>
            <w:vAlign w:val="center"/>
          </w:tcPr>
          <w:p w14:paraId="7484ED96" w14:textId="77777777" w:rsidR="007E41AE" w:rsidRPr="00F644FD" w:rsidRDefault="007E41AE" w:rsidP="000C1DA5">
            <w:pPr>
              <w:pStyle w:val="Tablecentered"/>
            </w:pPr>
            <w:r w:rsidRPr="00F644FD">
              <w:t>154 (34.4)</w:t>
            </w:r>
          </w:p>
        </w:tc>
        <w:tc>
          <w:tcPr>
            <w:tcW w:w="1842" w:type="dxa"/>
            <w:tcBorders>
              <w:top w:val="single" w:sz="6" w:space="0" w:color="auto"/>
              <w:left w:val="single" w:sz="6" w:space="0" w:color="auto"/>
              <w:bottom w:val="single" w:sz="6" w:space="0" w:color="auto"/>
              <w:right w:val="single" w:sz="6" w:space="0" w:color="auto"/>
            </w:tcBorders>
            <w:vAlign w:val="center"/>
          </w:tcPr>
          <w:p w14:paraId="2A9B987E" w14:textId="77777777" w:rsidR="007E41AE" w:rsidRPr="00F644FD" w:rsidRDefault="007E41AE" w:rsidP="000C1DA5">
            <w:pPr>
              <w:pStyle w:val="Tablecentered"/>
            </w:pPr>
            <w:r w:rsidRPr="00F644FD">
              <w:t>167 (38.0)</w:t>
            </w:r>
          </w:p>
        </w:tc>
        <w:tc>
          <w:tcPr>
            <w:tcW w:w="1217" w:type="dxa"/>
            <w:tcBorders>
              <w:top w:val="single" w:sz="6" w:space="0" w:color="auto"/>
              <w:left w:val="single" w:sz="6" w:space="0" w:color="auto"/>
              <w:bottom w:val="single" w:sz="6" w:space="0" w:color="auto"/>
              <w:right w:val="single" w:sz="6" w:space="0" w:color="auto"/>
            </w:tcBorders>
            <w:vAlign w:val="center"/>
          </w:tcPr>
          <w:p w14:paraId="2E35DD23" w14:textId="77777777" w:rsidR="007E41AE" w:rsidRPr="00F644FD" w:rsidRDefault="007E41AE" w:rsidP="000C1DA5">
            <w:pPr>
              <w:pStyle w:val="Tablecentered"/>
            </w:pPr>
            <w:r w:rsidRPr="00F644FD">
              <w:t>190 (43.5)</w:t>
            </w:r>
          </w:p>
        </w:tc>
      </w:tr>
      <w:tr w:rsidR="007E41AE" w:rsidRPr="00F644FD" w14:paraId="7547343D" w14:textId="77777777" w:rsidTr="002722E4">
        <w:trPr>
          <w:trHeight w:val="324"/>
          <w:jc w:val="center"/>
        </w:trPr>
        <w:tc>
          <w:tcPr>
            <w:tcW w:w="4322" w:type="dxa"/>
            <w:tcBorders>
              <w:top w:val="single" w:sz="6" w:space="0" w:color="auto"/>
              <w:left w:val="single" w:sz="6" w:space="0" w:color="auto"/>
              <w:bottom w:val="nil"/>
              <w:right w:val="single" w:sz="6" w:space="0" w:color="auto"/>
            </w:tcBorders>
            <w:vAlign w:val="center"/>
          </w:tcPr>
          <w:p w14:paraId="0BAAA4F3" w14:textId="77777777" w:rsidR="007E41AE" w:rsidRPr="00F644FD" w:rsidRDefault="007E41AE" w:rsidP="007E41AE">
            <w:pPr>
              <w:pStyle w:val="Tablenormal0"/>
              <w:rPr>
                <w:b/>
              </w:rPr>
            </w:pPr>
            <w:r w:rsidRPr="00F644FD">
              <w:rPr>
                <w:b/>
              </w:rPr>
              <w:t>Body Weight (kg)</w:t>
            </w:r>
          </w:p>
        </w:tc>
        <w:tc>
          <w:tcPr>
            <w:tcW w:w="1902" w:type="dxa"/>
            <w:tcBorders>
              <w:top w:val="single" w:sz="6" w:space="0" w:color="auto"/>
              <w:left w:val="single" w:sz="6" w:space="0" w:color="auto"/>
              <w:bottom w:val="nil"/>
              <w:right w:val="single" w:sz="6" w:space="0" w:color="auto"/>
            </w:tcBorders>
            <w:vAlign w:val="center"/>
          </w:tcPr>
          <w:p w14:paraId="2C86A8D7" w14:textId="77777777" w:rsidR="007E41AE" w:rsidRPr="00F644FD" w:rsidRDefault="007E41AE" w:rsidP="000C1DA5">
            <w:pPr>
              <w:pStyle w:val="Tablecentered"/>
              <w:rPr>
                <w:b/>
                <w:bCs/>
              </w:rPr>
            </w:pPr>
            <w:r w:rsidRPr="00F644FD">
              <w:rPr>
                <w:b/>
                <w:bCs/>
              </w:rPr>
              <w:t>N = 448</w:t>
            </w:r>
          </w:p>
        </w:tc>
        <w:tc>
          <w:tcPr>
            <w:tcW w:w="1842" w:type="dxa"/>
            <w:tcBorders>
              <w:top w:val="single" w:sz="6" w:space="0" w:color="auto"/>
              <w:left w:val="single" w:sz="6" w:space="0" w:color="auto"/>
              <w:bottom w:val="nil"/>
              <w:right w:val="single" w:sz="6" w:space="0" w:color="auto"/>
            </w:tcBorders>
            <w:vAlign w:val="center"/>
          </w:tcPr>
          <w:p w14:paraId="4507FA2D" w14:textId="77777777" w:rsidR="007E41AE" w:rsidRPr="00F644FD" w:rsidRDefault="007E41AE" w:rsidP="000C1DA5">
            <w:pPr>
              <w:pStyle w:val="Tablecentered"/>
              <w:rPr>
                <w:b/>
                <w:bCs/>
              </w:rPr>
            </w:pPr>
            <w:r w:rsidRPr="00F644FD">
              <w:rPr>
                <w:b/>
                <w:bCs/>
              </w:rPr>
              <w:t>N = 440</w:t>
            </w:r>
          </w:p>
        </w:tc>
        <w:tc>
          <w:tcPr>
            <w:tcW w:w="1217" w:type="dxa"/>
            <w:tcBorders>
              <w:top w:val="single" w:sz="6" w:space="0" w:color="auto"/>
              <w:left w:val="single" w:sz="6" w:space="0" w:color="auto"/>
              <w:bottom w:val="nil"/>
              <w:right w:val="single" w:sz="6" w:space="0" w:color="auto"/>
            </w:tcBorders>
            <w:vAlign w:val="center"/>
          </w:tcPr>
          <w:p w14:paraId="5E15616B" w14:textId="77777777" w:rsidR="007E41AE" w:rsidRPr="00F644FD" w:rsidRDefault="007E41AE" w:rsidP="000C1DA5">
            <w:pPr>
              <w:pStyle w:val="Tablecentered"/>
              <w:rPr>
                <w:b/>
                <w:bCs/>
              </w:rPr>
            </w:pPr>
            <w:r w:rsidRPr="00F644FD">
              <w:rPr>
                <w:b/>
                <w:bCs/>
              </w:rPr>
              <w:t>N = 437</w:t>
            </w:r>
          </w:p>
        </w:tc>
      </w:tr>
      <w:tr w:rsidR="007E41AE" w:rsidRPr="00F644FD" w14:paraId="6CA594DC" w14:textId="77777777" w:rsidTr="002722E4">
        <w:trPr>
          <w:trHeight w:val="324"/>
          <w:jc w:val="center"/>
        </w:trPr>
        <w:tc>
          <w:tcPr>
            <w:tcW w:w="4322" w:type="dxa"/>
            <w:tcBorders>
              <w:top w:val="nil"/>
              <w:left w:val="single" w:sz="6" w:space="0" w:color="auto"/>
              <w:bottom w:val="nil"/>
              <w:right w:val="single" w:sz="6" w:space="0" w:color="auto"/>
            </w:tcBorders>
            <w:vAlign w:val="center"/>
          </w:tcPr>
          <w:p w14:paraId="47ABF75B" w14:textId="77777777" w:rsidR="007E41AE" w:rsidRPr="00F644FD" w:rsidRDefault="007E41AE" w:rsidP="000C1DA5">
            <w:pPr>
              <w:pStyle w:val="Tablenormalindent"/>
            </w:pPr>
            <w:r w:rsidRPr="00F644FD">
              <w:t>Baseline (mean)</w:t>
            </w:r>
          </w:p>
        </w:tc>
        <w:tc>
          <w:tcPr>
            <w:tcW w:w="1902" w:type="dxa"/>
            <w:tcBorders>
              <w:top w:val="nil"/>
              <w:left w:val="single" w:sz="6" w:space="0" w:color="auto"/>
              <w:bottom w:val="nil"/>
              <w:right w:val="single" w:sz="6" w:space="0" w:color="auto"/>
            </w:tcBorders>
            <w:vAlign w:val="center"/>
          </w:tcPr>
          <w:p w14:paraId="2B3D26D1" w14:textId="77777777" w:rsidR="007E41AE" w:rsidRPr="00F644FD" w:rsidRDefault="007E41AE" w:rsidP="000C1DA5">
            <w:pPr>
              <w:pStyle w:val="Tablecentered"/>
            </w:pPr>
            <w:r w:rsidRPr="00F644FD">
              <w:t>87.9</w:t>
            </w:r>
          </w:p>
        </w:tc>
        <w:tc>
          <w:tcPr>
            <w:tcW w:w="1842" w:type="dxa"/>
            <w:tcBorders>
              <w:top w:val="nil"/>
              <w:left w:val="single" w:sz="6" w:space="0" w:color="auto"/>
              <w:bottom w:val="nil"/>
              <w:right w:val="single" w:sz="6" w:space="0" w:color="auto"/>
            </w:tcBorders>
            <w:vAlign w:val="center"/>
          </w:tcPr>
          <w:p w14:paraId="6406E1B6" w14:textId="77777777" w:rsidR="007E41AE" w:rsidRPr="00F644FD" w:rsidRDefault="007E41AE" w:rsidP="000C1DA5">
            <w:pPr>
              <w:pStyle w:val="Tablecentered"/>
            </w:pPr>
            <w:r w:rsidRPr="00F644FD">
              <w:t>85.6</w:t>
            </w:r>
          </w:p>
        </w:tc>
        <w:tc>
          <w:tcPr>
            <w:tcW w:w="1217" w:type="dxa"/>
            <w:tcBorders>
              <w:top w:val="nil"/>
              <w:left w:val="single" w:sz="6" w:space="0" w:color="auto"/>
              <w:bottom w:val="nil"/>
              <w:right w:val="single" w:sz="6" w:space="0" w:color="auto"/>
            </w:tcBorders>
            <w:vAlign w:val="center"/>
          </w:tcPr>
          <w:p w14:paraId="770DEF63" w14:textId="77777777" w:rsidR="007E41AE" w:rsidRPr="00F644FD" w:rsidRDefault="007E41AE" w:rsidP="000C1DA5">
            <w:pPr>
              <w:pStyle w:val="Tablecentered"/>
            </w:pPr>
            <w:r w:rsidRPr="00F644FD">
              <w:t>86.8</w:t>
            </w:r>
          </w:p>
        </w:tc>
      </w:tr>
      <w:tr w:rsidR="007E41AE" w:rsidRPr="00F644FD" w14:paraId="603AA25E" w14:textId="77777777" w:rsidTr="002722E4">
        <w:trPr>
          <w:trHeight w:val="324"/>
          <w:jc w:val="center"/>
        </w:trPr>
        <w:tc>
          <w:tcPr>
            <w:tcW w:w="4322" w:type="dxa"/>
            <w:tcBorders>
              <w:top w:val="nil"/>
              <w:left w:val="single" w:sz="6" w:space="0" w:color="auto"/>
              <w:bottom w:val="nil"/>
              <w:right w:val="single" w:sz="6" w:space="0" w:color="auto"/>
            </w:tcBorders>
            <w:vAlign w:val="center"/>
          </w:tcPr>
          <w:p w14:paraId="274CAB58" w14:textId="77777777" w:rsidR="007E41AE" w:rsidRPr="00F644FD" w:rsidRDefault="007E41AE" w:rsidP="000C1DA5">
            <w:pPr>
              <w:pStyle w:val="Tablenormalindent"/>
            </w:pPr>
            <w:r w:rsidRPr="00F644FD">
              <w:t>Change from baseline (LS mean</w:t>
            </w:r>
            <w:r w:rsidRPr="00F644FD">
              <w:rPr>
                <w:vertAlign w:val="superscript"/>
              </w:rPr>
              <w:t>†</w:t>
            </w:r>
            <w:r w:rsidRPr="00F644FD">
              <w:t>)</w:t>
            </w:r>
          </w:p>
        </w:tc>
        <w:tc>
          <w:tcPr>
            <w:tcW w:w="1902" w:type="dxa"/>
            <w:tcBorders>
              <w:top w:val="nil"/>
              <w:left w:val="single" w:sz="6" w:space="0" w:color="auto"/>
              <w:bottom w:val="nil"/>
              <w:right w:val="single" w:sz="6" w:space="0" w:color="auto"/>
            </w:tcBorders>
            <w:vAlign w:val="center"/>
          </w:tcPr>
          <w:p w14:paraId="43560657" w14:textId="77777777" w:rsidR="007E41AE" w:rsidRPr="00F644FD" w:rsidRDefault="007E41AE" w:rsidP="000C1DA5">
            <w:pPr>
              <w:pStyle w:val="Tablecentered"/>
            </w:pPr>
            <w:r w:rsidRPr="00F644FD">
              <w:t>-</w:t>
            </w:r>
            <w:r w:rsidRPr="00F644FD">
              <w:rPr>
                <w:rFonts w:eastAsia="SimSun"/>
              </w:rPr>
              <w:t>3.0</w:t>
            </w:r>
          </w:p>
        </w:tc>
        <w:tc>
          <w:tcPr>
            <w:tcW w:w="1842" w:type="dxa"/>
            <w:tcBorders>
              <w:top w:val="nil"/>
              <w:left w:val="single" w:sz="6" w:space="0" w:color="auto"/>
              <w:bottom w:val="nil"/>
              <w:right w:val="single" w:sz="6" w:space="0" w:color="auto"/>
            </w:tcBorders>
            <w:vAlign w:val="center"/>
          </w:tcPr>
          <w:p w14:paraId="563E1A5C" w14:textId="77777777" w:rsidR="007E41AE" w:rsidRPr="00F644FD" w:rsidRDefault="007E41AE" w:rsidP="000C1DA5">
            <w:pPr>
              <w:pStyle w:val="Tablecentered"/>
            </w:pPr>
            <w:r w:rsidRPr="00F644FD">
              <w:t>-3.</w:t>
            </w:r>
            <w:r w:rsidRPr="00F644FD">
              <w:rPr>
                <w:rFonts w:eastAsia="SimSun"/>
              </w:rPr>
              <w:t>4</w:t>
            </w:r>
          </w:p>
        </w:tc>
        <w:tc>
          <w:tcPr>
            <w:tcW w:w="1217" w:type="dxa"/>
            <w:tcBorders>
              <w:top w:val="nil"/>
              <w:left w:val="single" w:sz="6" w:space="0" w:color="auto"/>
              <w:bottom w:val="nil"/>
              <w:right w:val="single" w:sz="6" w:space="0" w:color="auto"/>
            </w:tcBorders>
            <w:vAlign w:val="center"/>
          </w:tcPr>
          <w:p w14:paraId="278624B3" w14:textId="77777777" w:rsidR="007E41AE" w:rsidRPr="00F644FD" w:rsidRDefault="007E41AE" w:rsidP="000C1DA5">
            <w:pPr>
              <w:pStyle w:val="Tablecentered"/>
            </w:pPr>
            <w:r w:rsidRPr="00F644FD">
              <w:t>0.9</w:t>
            </w:r>
          </w:p>
        </w:tc>
      </w:tr>
      <w:tr w:rsidR="007E41AE" w:rsidRPr="00F644FD" w14:paraId="73B32B9B" w14:textId="77777777" w:rsidTr="002722E4">
        <w:trPr>
          <w:trHeight w:val="324"/>
          <w:jc w:val="center"/>
        </w:trPr>
        <w:tc>
          <w:tcPr>
            <w:tcW w:w="4322" w:type="dxa"/>
            <w:tcBorders>
              <w:top w:val="nil"/>
              <w:left w:val="single" w:sz="6" w:space="0" w:color="auto"/>
              <w:bottom w:val="single" w:sz="6" w:space="0" w:color="auto"/>
              <w:right w:val="single" w:sz="6" w:space="0" w:color="auto"/>
            </w:tcBorders>
            <w:vAlign w:val="center"/>
          </w:tcPr>
          <w:p w14:paraId="4473EAF5" w14:textId="77777777" w:rsidR="007E41AE" w:rsidRPr="00F644FD" w:rsidRDefault="007E41AE" w:rsidP="000C1DA5">
            <w:pPr>
              <w:pStyle w:val="Tablenormalindent"/>
            </w:pPr>
            <w:r w:rsidRPr="00F644FD">
              <w:t>Difference from glimepiride (LS mean</w:t>
            </w:r>
            <w:r w:rsidRPr="00F644FD">
              <w:rPr>
                <w:vertAlign w:val="superscript"/>
              </w:rPr>
              <w:t>†</w:t>
            </w:r>
            <w:r w:rsidRPr="00F644FD">
              <w:t>, 95% CI)</w:t>
            </w:r>
          </w:p>
        </w:tc>
        <w:tc>
          <w:tcPr>
            <w:tcW w:w="1902" w:type="dxa"/>
            <w:tcBorders>
              <w:top w:val="nil"/>
              <w:left w:val="single" w:sz="6" w:space="0" w:color="auto"/>
              <w:bottom w:val="single" w:sz="6" w:space="0" w:color="auto"/>
              <w:right w:val="single" w:sz="6" w:space="0" w:color="auto"/>
            </w:tcBorders>
            <w:vAlign w:val="center"/>
          </w:tcPr>
          <w:p w14:paraId="2E0987AE" w14:textId="0D36B9B9" w:rsidR="007E41AE" w:rsidRPr="00F644FD" w:rsidRDefault="007E41AE" w:rsidP="000C1DA5">
            <w:pPr>
              <w:pStyle w:val="Tablecentered"/>
            </w:pPr>
            <w:r w:rsidRPr="00F644FD">
              <w:t>-3.</w:t>
            </w:r>
            <w:r w:rsidRPr="00F644FD">
              <w:rPr>
                <w:rFonts w:eastAsia="SimSun"/>
              </w:rPr>
              <w:t>9</w:t>
            </w:r>
            <w:r w:rsidRPr="00F644FD">
              <w:t xml:space="preserve"> (-4.</w:t>
            </w:r>
            <w:r w:rsidRPr="00F644FD">
              <w:rPr>
                <w:rFonts w:eastAsia="SimSun"/>
              </w:rPr>
              <w:t>4</w:t>
            </w:r>
            <w:r w:rsidRPr="00F644FD">
              <w:t>, -3.</w:t>
            </w:r>
            <w:r w:rsidRPr="00F644FD">
              <w:rPr>
                <w:rFonts w:eastAsia="SimSun"/>
              </w:rPr>
              <w:t>4</w:t>
            </w:r>
            <w:r w:rsidRPr="00F644FD">
              <w:t>)</w:t>
            </w:r>
          </w:p>
        </w:tc>
        <w:tc>
          <w:tcPr>
            <w:tcW w:w="1842" w:type="dxa"/>
            <w:tcBorders>
              <w:top w:val="nil"/>
              <w:left w:val="single" w:sz="6" w:space="0" w:color="auto"/>
              <w:bottom w:val="single" w:sz="6" w:space="0" w:color="auto"/>
              <w:right w:val="single" w:sz="6" w:space="0" w:color="auto"/>
            </w:tcBorders>
            <w:vAlign w:val="center"/>
          </w:tcPr>
          <w:p w14:paraId="3EA6ED69" w14:textId="283B7CFD" w:rsidR="007E41AE" w:rsidRPr="00F644FD" w:rsidRDefault="007E41AE" w:rsidP="000C1DA5">
            <w:pPr>
              <w:pStyle w:val="Tablecentered"/>
            </w:pPr>
            <w:r w:rsidRPr="00F644FD">
              <w:t>-4.</w:t>
            </w:r>
            <w:r w:rsidRPr="00F644FD">
              <w:rPr>
                <w:rFonts w:eastAsia="SimSun"/>
              </w:rPr>
              <w:t>3</w:t>
            </w:r>
            <w:r w:rsidRPr="00820884">
              <w:rPr>
                <w:vertAlign w:val="superscript"/>
              </w:rPr>
              <w:t>§</w:t>
            </w:r>
            <w:r w:rsidRPr="00F644FD">
              <w:t xml:space="preserve"> (-4.</w:t>
            </w:r>
            <w:r w:rsidRPr="00F644FD">
              <w:rPr>
                <w:rFonts w:eastAsia="SimSun"/>
              </w:rPr>
              <w:t>8</w:t>
            </w:r>
            <w:r w:rsidRPr="00F644FD">
              <w:t>, -3.8)</w:t>
            </w:r>
          </w:p>
        </w:tc>
        <w:tc>
          <w:tcPr>
            <w:tcW w:w="1217" w:type="dxa"/>
            <w:tcBorders>
              <w:top w:val="nil"/>
              <w:left w:val="single" w:sz="6" w:space="0" w:color="auto"/>
              <w:bottom w:val="single" w:sz="6" w:space="0" w:color="auto"/>
              <w:right w:val="single" w:sz="6" w:space="0" w:color="auto"/>
            </w:tcBorders>
            <w:vAlign w:val="center"/>
          </w:tcPr>
          <w:p w14:paraId="24EEAEC3" w14:textId="77777777" w:rsidR="007E41AE" w:rsidRPr="00F644FD" w:rsidRDefault="007E41AE" w:rsidP="000C1DA5">
            <w:pPr>
              <w:pStyle w:val="Tablecentered"/>
            </w:pPr>
          </w:p>
        </w:tc>
      </w:tr>
    </w:tbl>
    <w:p w14:paraId="3B9CBF10" w14:textId="0ADAD759" w:rsidR="007E41AE" w:rsidRPr="00F644FD" w:rsidRDefault="00360581" w:rsidP="007E41AE">
      <w:pPr>
        <w:pStyle w:val="BodyText3"/>
        <w:rPr>
          <w:lang w:val="en-AU"/>
        </w:rPr>
      </w:pPr>
      <w:r w:rsidRPr="00F644FD">
        <w:rPr>
          <w:lang w:val="en-AU"/>
        </w:rPr>
        <w:t>*</w:t>
      </w:r>
      <w:r w:rsidRPr="00F644FD">
        <w:rPr>
          <w:lang w:val="en-AU"/>
        </w:rPr>
        <w:tab/>
        <w:t>N includes all randomis</w:t>
      </w:r>
      <w:r w:rsidR="007E41AE" w:rsidRPr="00F644FD">
        <w:rPr>
          <w:lang w:val="en-AU"/>
        </w:rPr>
        <w:t>ed, treated patients who had at least one measurement of the outcome variable.</w:t>
      </w:r>
    </w:p>
    <w:p w14:paraId="075A95EB" w14:textId="35C8DCB3" w:rsidR="007E41AE" w:rsidRPr="00F644FD" w:rsidRDefault="007E41AE" w:rsidP="007E41AE">
      <w:pPr>
        <w:pStyle w:val="BodyText3"/>
        <w:rPr>
          <w:lang w:val="en-AU"/>
        </w:rPr>
      </w:pPr>
      <w:r w:rsidRPr="00F644FD">
        <w:rPr>
          <w:vertAlign w:val="superscript"/>
          <w:lang w:val="en-AU"/>
        </w:rPr>
        <w:t>†</w:t>
      </w:r>
      <w:r w:rsidRPr="00F644FD">
        <w:rPr>
          <w:lang w:val="en-AU"/>
        </w:rPr>
        <w:tab/>
        <w:t xml:space="preserve">Least squares means adjusted for treatment, time, prior </w:t>
      </w:r>
      <w:proofErr w:type="spellStart"/>
      <w:r w:rsidRPr="00F644FD">
        <w:rPr>
          <w:lang w:val="en-AU"/>
        </w:rPr>
        <w:t>antihyperglycaemic</w:t>
      </w:r>
      <w:proofErr w:type="spellEnd"/>
      <w:r w:rsidRPr="00F644FD">
        <w:rPr>
          <w:lang w:val="en-AU"/>
        </w:rPr>
        <w:t xml:space="preserve"> medication (monotherapy or dual therapy), baseline </w:t>
      </w:r>
      <w:proofErr w:type="spellStart"/>
      <w:r w:rsidRPr="00F644FD">
        <w:rPr>
          <w:lang w:val="en-AU"/>
        </w:rPr>
        <w:t>eGFR</w:t>
      </w:r>
      <w:proofErr w:type="spellEnd"/>
      <w:r w:rsidRPr="00F644FD">
        <w:rPr>
          <w:lang w:val="en-AU"/>
        </w:rPr>
        <w:t xml:space="preserve"> (continuous) and the interaction of time by treatment. Time was treated as a categorical variable.</w:t>
      </w:r>
    </w:p>
    <w:p w14:paraId="4BCDA526" w14:textId="5FB5710F" w:rsidR="004D554B" w:rsidRPr="00F644FD" w:rsidRDefault="007E41AE" w:rsidP="004D554B">
      <w:pPr>
        <w:pStyle w:val="BodyText3"/>
        <w:rPr>
          <w:szCs w:val="18"/>
          <w:lang w:val="en-AU"/>
        </w:rPr>
      </w:pPr>
      <w:r w:rsidRPr="00F644FD">
        <w:rPr>
          <w:vertAlign w:val="superscript"/>
          <w:lang w:val="en-AU"/>
        </w:rPr>
        <w:t>‡</w:t>
      </w:r>
      <w:r w:rsidRPr="00F644FD">
        <w:rPr>
          <w:vertAlign w:val="superscript"/>
          <w:lang w:val="en-AU"/>
        </w:rPr>
        <w:tab/>
      </w:r>
      <w:r w:rsidR="004D554B" w:rsidRPr="00F644FD">
        <w:rPr>
          <w:szCs w:val="18"/>
          <w:lang w:val="en-AU"/>
        </w:rPr>
        <w:t xml:space="preserve">Non-inferiority between </w:t>
      </w:r>
      <w:proofErr w:type="spellStart"/>
      <w:r w:rsidR="004D554B" w:rsidRPr="00F644FD">
        <w:rPr>
          <w:szCs w:val="18"/>
          <w:lang w:val="en-AU"/>
        </w:rPr>
        <w:t>ertugliflozin</w:t>
      </w:r>
      <w:proofErr w:type="spellEnd"/>
      <w:r w:rsidR="004D554B" w:rsidRPr="00F644FD">
        <w:rPr>
          <w:szCs w:val="18"/>
          <w:lang w:val="en-AU"/>
        </w:rPr>
        <w:t xml:space="preserve"> 5 mg and glimepiride was not established.</w:t>
      </w:r>
    </w:p>
    <w:p w14:paraId="39360853" w14:textId="600CB0EA" w:rsidR="007E41AE" w:rsidRPr="00F644FD" w:rsidRDefault="004D554B" w:rsidP="007E41AE">
      <w:pPr>
        <w:pStyle w:val="BodyText3"/>
        <w:rPr>
          <w:lang w:val="en-AU"/>
        </w:rPr>
      </w:pPr>
      <w:r w:rsidRPr="00F644FD">
        <w:rPr>
          <w:vertAlign w:val="superscript"/>
          <w:lang w:val="en-AU"/>
        </w:rPr>
        <w:t>§</w:t>
      </w:r>
      <w:r w:rsidRPr="00F644FD">
        <w:rPr>
          <w:vertAlign w:val="superscript"/>
          <w:lang w:val="en-AU"/>
        </w:rPr>
        <w:tab/>
      </w:r>
      <w:r w:rsidR="007E41AE" w:rsidRPr="00F644FD">
        <w:rPr>
          <w:lang w:val="en-AU"/>
        </w:rPr>
        <w:t>Non-inferiority is declared when the upper bound of the two-sided 95% confidence interval (CI) for the mean difference is less than 0.3%.</w:t>
      </w:r>
    </w:p>
    <w:p w14:paraId="1EB7CE1E" w14:textId="023F0AAE" w:rsidR="00F11ABE" w:rsidRPr="00F644FD" w:rsidRDefault="004D554B" w:rsidP="00F11ABE">
      <w:pPr>
        <w:pStyle w:val="BodyText3"/>
        <w:rPr>
          <w:lang w:val="en-AU"/>
        </w:rPr>
      </w:pPr>
      <w:r w:rsidRPr="00F644FD">
        <w:rPr>
          <w:rFonts w:cs="Arial"/>
          <w:vertAlign w:val="superscript"/>
          <w:lang w:val="en-AU"/>
        </w:rPr>
        <w:t>¶</w:t>
      </w:r>
      <w:r w:rsidR="007E41AE" w:rsidRPr="00F644FD">
        <w:rPr>
          <w:lang w:val="en-AU"/>
        </w:rPr>
        <w:tab/>
        <w:t>p&lt;0.001 compared to glimepiride.</w:t>
      </w:r>
    </w:p>
    <w:p w14:paraId="1C50BF98" w14:textId="5805ABB3" w:rsidR="007E41AE" w:rsidRPr="00F644FD" w:rsidRDefault="007E41AE" w:rsidP="00873150">
      <w:pPr>
        <w:pStyle w:val="Heading7"/>
        <w:rPr>
          <w:lang w:val="en-AU"/>
        </w:rPr>
      </w:pPr>
      <w:r w:rsidRPr="00F644FD">
        <w:rPr>
          <w:lang w:val="en-AU"/>
        </w:rPr>
        <w:lastRenderedPageBreak/>
        <w:t>HbA1c (%) Change over Time in an Active</w:t>
      </w:r>
      <w:r w:rsidRPr="00F644FD">
        <w:rPr>
          <w:lang w:val="en-AU"/>
        </w:rPr>
        <w:noBreakHyphen/>
        <w:t xml:space="preserve">Controlled Study Comparing </w:t>
      </w:r>
      <w:proofErr w:type="spellStart"/>
      <w:r w:rsidRPr="00F644FD">
        <w:rPr>
          <w:lang w:val="en-AU"/>
        </w:rPr>
        <w:t>Ertugliflozin</w:t>
      </w:r>
      <w:proofErr w:type="spellEnd"/>
      <w:r w:rsidRPr="00F644FD">
        <w:rPr>
          <w:lang w:val="en-AU"/>
        </w:rPr>
        <w:t xml:space="preserve"> to Glimepiride as Add</w:t>
      </w:r>
      <w:r w:rsidRPr="00F644FD">
        <w:rPr>
          <w:lang w:val="en-AU"/>
        </w:rPr>
        <w:noBreakHyphen/>
        <w:t>on Therapy in Patients Inadequately Controlled on Metformin*</w:t>
      </w:r>
    </w:p>
    <w:p w14:paraId="14EEBA13" w14:textId="6D993449" w:rsidR="007E41AE" w:rsidRPr="00F644FD" w:rsidRDefault="007E41AE" w:rsidP="006D7F54">
      <w:pPr>
        <w:rPr>
          <w:rFonts w:cs="Arial"/>
        </w:rPr>
      </w:pPr>
      <w:r w:rsidRPr="00F644FD">
        <w:rPr>
          <w:noProof/>
          <w:lang w:eastAsia="en-AU"/>
        </w:rPr>
        <w:drawing>
          <wp:inline distT="0" distB="0" distL="0" distR="0" wp14:anchorId="75B19742" wp14:editId="065E6018">
            <wp:extent cx="5715000" cy="3905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8064" b="2977"/>
                    <a:stretch>
                      <a:fillRect/>
                    </a:stretch>
                  </pic:blipFill>
                  <pic:spPr bwMode="auto">
                    <a:xfrm>
                      <a:off x="0" y="0"/>
                      <a:ext cx="5715000" cy="3905250"/>
                    </a:xfrm>
                    <a:prstGeom prst="rect">
                      <a:avLst/>
                    </a:prstGeom>
                    <a:noFill/>
                    <a:ln>
                      <a:noFill/>
                    </a:ln>
                  </pic:spPr>
                </pic:pic>
              </a:graphicData>
            </a:graphic>
          </wp:inline>
        </w:drawing>
      </w:r>
    </w:p>
    <w:p w14:paraId="347BF334" w14:textId="525EA9EA" w:rsidR="007E41AE" w:rsidRPr="00F644FD" w:rsidRDefault="007E41AE" w:rsidP="007E41AE">
      <w:pPr>
        <w:pStyle w:val="BodyText3"/>
        <w:rPr>
          <w:lang w:val="en-AU"/>
        </w:rPr>
      </w:pPr>
      <w:r w:rsidRPr="00F644FD">
        <w:rPr>
          <w:lang w:val="en-AU"/>
        </w:rPr>
        <w:t>*</w:t>
      </w:r>
      <w:r w:rsidRPr="00F644FD">
        <w:rPr>
          <w:lang w:val="en-AU"/>
        </w:rPr>
        <w:tab/>
        <w:t>Based on the full analysis set populat</w:t>
      </w:r>
      <w:r w:rsidR="00360581" w:rsidRPr="00F644FD">
        <w:rPr>
          <w:lang w:val="en-AU"/>
        </w:rPr>
        <w:t>ion, which included all randomis</w:t>
      </w:r>
      <w:r w:rsidRPr="00F644FD">
        <w:rPr>
          <w:lang w:val="en-AU"/>
        </w:rPr>
        <w:t>ed, treated patients with at least one HbA1c measurement.</w:t>
      </w:r>
    </w:p>
    <w:bookmarkEnd w:id="10"/>
    <w:bookmarkEnd w:id="11"/>
    <w:bookmarkEnd w:id="12"/>
    <w:bookmarkEnd w:id="13"/>
    <w:p w14:paraId="648113F1" w14:textId="77777777" w:rsidR="00552026" w:rsidRPr="00F644FD" w:rsidRDefault="00552026" w:rsidP="00552026">
      <w:pPr>
        <w:pStyle w:val="Heading2"/>
      </w:pPr>
      <w:r w:rsidRPr="00F644FD">
        <w:t>5.2</w:t>
      </w:r>
      <w:r w:rsidRPr="00F644FD">
        <w:tab/>
        <w:t>PHARMACOKINETIC PROPERTIES</w:t>
      </w:r>
    </w:p>
    <w:p w14:paraId="6855AD6D" w14:textId="77777777" w:rsidR="00552026" w:rsidRPr="00F644FD" w:rsidRDefault="00552026" w:rsidP="00552026">
      <w:pPr>
        <w:pStyle w:val="Heading5"/>
      </w:pPr>
      <w:r w:rsidRPr="00F644FD">
        <w:t>SEGLUROMET</w:t>
      </w:r>
    </w:p>
    <w:p w14:paraId="39EB274F" w14:textId="2354C3A3" w:rsidR="00552026" w:rsidRPr="00F644FD" w:rsidRDefault="00552026" w:rsidP="00552026">
      <w:r w:rsidRPr="00F644FD">
        <w:t xml:space="preserve">SEGLUROMET has been shown to be bioequivalent to </w:t>
      </w:r>
      <w:proofErr w:type="spellStart"/>
      <w:r w:rsidRPr="00F644FD">
        <w:t>coadministration</w:t>
      </w:r>
      <w:proofErr w:type="spellEnd"/>
      <w:r w:rsidRPr="00F644FD">
        <w:t xml:space="preserve"> of corresponding doses of </w:t>
      </w:r>
      <w:proofErr w:type="spellStart"/>
      <w:r w:rsidRPr="00F644FD">
        <w:t>ertugliflozin</w:t>
      </w:r>
      <w:proofErr w:type="spellEnd"/>
      <w:r w:rsidRPr="00F644FD">
        <w:t xml:space="preserve"> and metformin tablets. </w:t>
      </w:r>
    </w:p>
    <w:p w14:paraId="0D4FCD15" w14:textId="77777777" w:rsidR="00552026" w:rsidRPr="00F644FD" w:rsidRDefault="00552026" w:rsidP="00552026">
      <w:pPr>
        <w:pStyle w:val="Heading5"/>
      </w:pPr>
      <w:proofErr w:type="spellStart"/>
      <w:r w:rsidRPr="00F644FD">
        <w:t>Ertugliflozin</w:t>
      </w:r>
      <w:proofErr w:type="spellEnd"/>
    </w:p>
    <w:p w14:paraId="497B47C4" w14:textId="13CE4547" w:rsidR="00552026" w:rsidRPr="00F644FD" w:rsidRDefault="00552026" w:rsidP="00552026">
      <w:r w:rsidRPr="00F644FD">
        <w:t xml:space="preserve">The pharmacokinetics of </w:t>
      </w:r>
      <w:proofErr w:type="spellStart"/>
      <w:r w:rsidRPr="00F644FD">
        <w:t>ertugliflozin</w:t>
      </w:r>
      <w:proofErr w:type="spellEnd"/>
      <w:r w:rsidRPr="00F644FD">
        <w:t xml:space="preserve"> </w:t>
      </w:r>
      <w:proofErr w:type="gramStart"/>
      <w:r w:rsidRPr="00F644FD">
        <w:t>are</w:t>
      </w:r>
      <w:proofErr w:type="gramEnd"/>
      <w:r w:rsidRPr="00F644FD">
        <w:t xml:space="preserve"> similar in healthy subjects and patients with type 2 diabetes.  The steady</w:t>
      </w:r>
      <w:r w:rsidR="00457B35">
        <w:t>-</w:t>
      </w:r>
      <w:r w:rsidRPr="00F644FD">
        <w:t>state mean area under the curve (AUC) and peak concentration (</w:t>
      </w:r>
      <w:proofErr w:type="spellStart"/>
      <w:r w:rsidRPr="00F644FD">
        <w:t>C</w:t>
      </w:r>
      <w:r w:rsidRPr="00F644FD">
        <w:rPr>
          <w:vertAlign w:val="subscript"/>
        </w:rPr>
        <w:t>max</w:t>
      </w:r>
      <w:proofErr w:type="spellEnd"/>
      <w:r w:rsidRPr="00F644FD">
        <w:t xml:space="preserve">) were </w:t>
      </w:r>
      <w:proofErr w:type="gramStart"/>
      <w:r w:rsidRPr="00F644FD">
        <w:t>398 </w:t>
      </w:r>
      <w:proofErr w:type="spellStart"/>
      <w:r w:rsidRPr="00F644FD">
        <w:t>ng</w:t>
      </w:r>
      <w:r w:rsidRPr="00F644FD">
        <w:rPr>
          <w:szCs w:val="22"/>
        </w:rPr>
        <w:t>∙</w:t>
      </w:r>
      <w:r w:rsidRPr="00F644FD">
        <w:t>hr</w:t>
      </w:r>
      <w:proofErr w:type="spellEnd"/>
      <w:r w:rsidRPr="00F644FD">
        <w:t>/mL</w:t>
      </w:r>
      <w:proofErr w:type="gramEnd"/>
      <w:r w:rsidRPr="00F644FD">
        <w:t xml:space="preserve"> and 81.3 ng/mL, respectively, with 5 mg </w:t>
      </w:r>
      <w:proofErr w:type="spellStart"/>
      <w:r w:rsidRPr="00F644FD">
        <w:t>ertugliflozin</w:t>
      </w:r>
      <w:proofErr w:type="spellEnd"/>
      <w:r w:rsidRPr="00F644FD">
        <w:t xml:space="preserve"> once daily treatment, and 1,193 </w:t>
      </w:r>
      <w:proofErr w:type="spellStart"/>
      <w:r w:rsidRPr="00F644FD">
        <w:t>ng</w:t>
      </w:r>
      <w:r w:rsidRPr="00F644FD">
        <w:rPr>
          <w:szCs w:val="22"/>
        </w:rPr>
        <w:t>∙</w:t>
      </w:r>
      <w:r w:rsidRPr="00F644FD">
        <w:t>hr</w:t>
      </w:r>
      <w:proofErr w:type="spellEnd"/>
      <w:r w:rsidRPr="00F644FD">
        <w:t xml:space="preserve">/mL and 268 ng/mL, respectively, with 15 mg </w:t>
      </w:r>
      <w:proofErr w:type="spellStart"/>
      <w:r w:rsidRPr="00F644FD">
        <w:t>ertugliflozin</w:t>
      </w:r>
      <w:proofErr w:type="spellEnd"/>
      <w:r w:rsidRPr="00F644FD">
        <w:t xml:space="preserve"> once daily treatment.  Steady-state is reached after 4 to 6 days of once-daily dosing with </w:t>
      </w:r>
      <w:proofErr w:type="spellStart"/>
      <w:r w:rsidRPr="00F644FD">
        <w:t>ertugliflozin</w:t>
      </w:r>
      <w:proofErr w:type="spellEnd"/>
      <w:r w:rsidRPr="00F644FD">
        <w:t xml:space="preserve">.  </w:t>
      </w:r>
      <w:proofErr w:type="spellStart"/>
      <w:r w:rsidRPr="00F644FD">
        <w:t>Ertugliflozin</w:t>
      </w:r>
      <w:proofErr w:type="spellEnd"/>
      <w:r w:rsidRPr="00F644FD">
        <w:t xml:space="preserve"> does not exhibit time dependent pharmacokinetics and accumulates in plasma up to 10-40% following multiple dosing.</w:t>
      </w:r>
    </w:p>
    <w:p w14:paraId="197CF955" w14:textId="77777777" w:rsidR="00552026" w:rsidRPr="00F644FD" w:rsidRDefault="00552026" w:rsidP="00552026">
      <w:pPr>
        <w:pStyle w:val="Heading3"/>
      </w:pPr>
      <w:r w:rsidRPr="00F644FD">
        <w:t>Absorption</w:t>
      </w:r>
    </w:p>
    <w:p w14:paraId="6A75DE29" w14:textId="77777777" w:rsidR="00552026" w:rsidRPr="00F644FD" w:rsidRDefault="00552026" w:rsidP="00552026">
      <w:pPr>
        <w:pStyle w:val="Heading5"/>
      </w:pPr>
      <w:r w:rsidRPr="00F644FD">
        <w:t>SEGLUROMET</w:t>
      </w:r>
    </w:p>
    <w:p w14:paraId="46D8B225" w14:textId="77777777" w:rsidR="00552026" w:rsidRPr="00F644FD" w:rsidRDefault="00552026" w:rsidP="00552026">
      <w:r w:rsidRPr="00F644FD">
        <w:t xml:space="preserve">The effects of a high-fat meal on the pharmacokinetics of </w:t>
      </w:r>
      <w:proofErr w:type="spellStart"/>
      <w:r w:rsidRPr="00F644FD">
        <w:t>ertugliflozin</w:t>
      </w:r>
      <w:proofErr w:type="spellEnd"/>
      <w:r w:rsidRPr="00F644FD">
        <w:t xml:space="preserve"> and metformin when administered as SEGLUROMET tablets are comparable to those reported for the individual tablets.  Food had no meaningful effect on </w:t>
      </w:r>
      <w:proofErr w:type="spellStart"/>
      <w:r w:rsidRPr="00F644FD">
        <w:t>AUC</w:t>
      </w:r>
      <w:r w:rsidRPr="00F644FD">
        <w:rPr>
          <w:vertAlign w:val="subscript"/>
        </w:rPr>
        <w:t>inf</w:t>
      </w:r>
      <w:proofErr w:type="spellEnd"/>
      <w:r w:rsidRPr="00F644FD">
        <w:t xml:space="preserve"> of </w:t>
      </w:r>
      <w:proofErr w:type="spellStart"/>
      <w:r w:rsidRPr="00F644FD">
        <w:t>ertugliflozin</w:t>
      </w:r>
      <w:proofErr w:type="spellEnd"/>
      <w:r w:rsidRPr="00F644FD">
        <w:t xml:space="preserve"> or metformin, but reduced </w:t>
      </w:r>
      <w:r w:rsidRPr="00F644FD">
        <w:lastRenderedPageBreak/>
        <w:t xml:space="preserve">mean </w:t>
      </w:r>
      <w:proofErr w:type="spellStart"/>
      <w:r w:rsidRPr="00F644FD">
        <w:t>ertugliflozin</w:t>
      </w:r>
      <w:proofErr w:type="spellEnd"/>
      <w:r w:rsidRPr="00F644FD">
        <w:t xml:space="preserve"> </w:t>
      </w:r>
      <w:proofErr w:type="spellStart"/>
      <w:r w:rsidRPr="00F644FD">
        <w:t>C</w:t>
      </w:r>
      <w:r w:rsidRPr="00F644FD">
        <w:rPr>
          <w:vertAlign w:val="subscript"/>
        </w:rPr>
        <w:t>max</w:t>
      </w:r>
      <w:proofErr w:type="spellEnd"/>
      <w:r w:rsidRPr="00F644FD">
        <w:t xml:space="preserve"> by approximately 41% and metformin </w:t>
      </w:r>
      <w:proofErr w:type="spellStart"/>
      <w:r w:rsidRPr="00F644FD">
        <w:t>C</w:t>
      </w:r>
      <w:r w:rsidRPr="00F644FD">
        <w:rPr>
          <w:vertAlign w:val="subscript"/>
        </w:rPr>
        <w:t>max</w:t>
      </w:r>
      <w:proofErr w:type="spellEnd"/>
      <w:r w:rsidRPr="00F644FD">
        <w:t xml:space="preserve"> by approximately 29% compared to the fasted condition.</w:t>
      </w:r>
    </w:p>
    <w:p w14:paraId="02371AD3" w14:textId="77777777" w:rsidR="00552026" w:rsidRPr="00F644FD" w:rsidRDefault="00552026" w:rsidP="00552026">
      <w:pPr>
        <w:pStyle w:val="Heading5"/>
      </w:pPr>
      <w:proofErr w:type="spellStart"/>
      <w:r w:rsidRPr="00F644FD">
        <w:t>Ertugliflozin</w:t>
      </w:r>
      <w:proofErr w:type="spellEnd"/>
    </w:p>
    <w:p w14:paraId="170CBAEA" w14:textId="77777777" w:rsidR="00552026" w:rsidRPr="00F644FD" w:rsidRDefault="00552026" w:rsidP="00552026">
      <w:r w:rsidRPr="00F644FD">
        <w:t xml:space="preserve">Following single dose oral administration of 5 mg and 15 mg of </w:t>
      </w:r>
      <w:proofErr w:type="spellStart"/>
      <w:r w:rsidRPr="00F644FD">
        <w:t>ertugliflozin</w:t>
      </w:r>
      <w:proofErr w:type="spellEnd"/>
      <w:r w:rsidRPr="00F644FD">
        <w:t xml:space="preserve">, peak plasma concentrations (median </w:t>
      </w:r>
      <w:proofErr w:type="spellStart"/>
      <w:r w:rsidRPr="00F644FD">
        <w:t>T</w:t>
      </w:r>
      <w:r w:rsidRPr="00F644FD">
        <w:rPr>
          <w:vertAlign w:val="subscript"/>
        </w:rPr>
        <w:t>max</w:t>
      </w:r>
      <w:proofErr w:type="spellEnd"/>
      <w:r w:rsidRPr="00F644FD">
        <w:t xml:space="preserve">) of </w:t>
      </w:r>
      <w:proofErr w:type="spellStart"/>
      <w:r w:rsidRPr="00F644FD">
        <w:t>ertugliflozin</w:t>
      </w:r>
      <w:proofErr w:type="spellEnd"/>
      <w:r w:rsidRPr="00F644FD">
        <w:t xml:space="preserve"> occur at 1 hour </w:t>
      </w:r>
      <w:proofErr w:type="spellStart"/>
      <w:r w:rsidRPr="00F644FD">
        <w:t>postdose</w:t>
      </w:r>
      <w:proofErr w:type="spellEnd"/>
      <w:r w:rsidRPr="00F644FD">
        <w:t xml:space="preserve"> under fasted conditions.  Plasma </w:t>
      </w:r>
      <w:proofErr w:type="spellStart"/>
      <w:r w:rsidRPr="00F644FD">
        <w:t>C</w:t>
      </w:r>
      <w:r w:rsidRPr="00F644FD">
        <w:rPr>
          <w:vertAlign w:val="subscript"/>
        </w:rPr>
        <w:t>max</w:t>
      </w:r>
      <w:proofErr w:type="spellEnd"/>
      <w:r w:rsidRPr="00F644FD">
        <w:t xml:space="preserve"> and AUC of </w:t>
      </w:r>
      <w:proofErr w:type="spellStart"/>
      <w:r w:rsidRPr="00F644FD">
        <w:t>ertugliflozin</w:t>
      </w:r>
      <w:proofErr w:type="spellEnd"/>
      <w:r w:rsidRPr="00F644FD">
        <w:t xml:space="preserve"> increase in a dose proportional manner following single doses from 0.5 mg to 300 mg and following multiple doses from 1 mg to 100 mg.  The absolute oral bioavailability of </w:t>
      </w:r>
      <w:proofErr w:type="spellStart"/>
      <w:r w:rsidRPr="00F644FD">
        <w:t>ertugliflozin</w:t>
      </w:r>
      <w:proofErr w:type="spellEnd"/>
      <w:r w:rsidRPr="00F644FD">
        <w:t xml:space="preserve"> following administration of a 15 mg dose is approximately 100%.</w:t>
      </w:r>
    </w:p>
    <w:p w14:paraId="5E6B6791" w14:textId="77777777" w:rsidR="00552026" w:rsidRPr="00F644FD" w:rsidRDefault="00552026" w:rsidP="00552026"/>
    <w:p w14:paraId="59711E3C" w14:textId="77777777" w:rsidR="00552026" w:rsidRPr="00F644FD" w:rsidRDefault="00552026" w:rsidP="00552026">
      <w:r w:rsidRPr="00F644FD">
        <w:t xml:space="preserve">Administration of </w:t>
      </w:r>
      <w:proofErr w:type="spellStart"/>
      <w:r w:rsidRPr="00F644FD">
        <w:t>ertugliflozin</w:t>
      </w:r>
      <w:proofErr w:type="spellEnd"/>
      <w:r w:rsidRPr="00F644FD">
        <w:t xml:space="preserve"> with a high-fat and high-calorie meal decreases </w:t>
      </w:r>
      <w:proofErr w:type="spellStart"/>
      <w:r w:rsidRPr="00F644FD">
        <w:t>ertugliflozin</w:t>
      </w:r>
      <w:proofErr w:type="spellEnd"/>
      <w:r w:rsidRPr="00F644FD">
        <w:t xml:space="preserve"> </w:t>
      </w:r>
      <w:proofErr w:type="spellStart"/>
      <w:r w:rsidRPr="00F644FD">
        <w:t>C</w:t>
      </w:r>
      <w:r w:rsidRPr="00F644FD">
        <w:rPr>
          <w:vertAlign w:val="subscript"/>
        </w:rPr>
        <w:t>max</w:t>
      </w:r>
      <w:proofErr w:type="spellEnd"/>
      <w:r w:rsidRPr="00F644FD">
        <w:rPr>
          <w:vertAlign w:val="subscript"/>
        </w:rPr>
        <w:t xml:space="preserve"> </w:t>
      </w:r>
      <w:r w:rsidRPr="00F644FD">
        <w:t xml:space="preserve">by 29% and prolongs </w:t>
      </w:r>
      <w:proofErr w:type="spellStart"/>
      <w:r w:rsidRPr="00F644FD">
        <w:t>T</w:t>
      </w:r>
      <w:r w:rsidRPr="00F644FD">
        <w:rPr>
          <w:vertAlign w:val="subscript"/>
        </w:rPr>
        <w:t>max</w:t>
      </w:r>
      <w:proofErr w:type="spellEnd"/>
      <w:r w:rsidRPr="00F644FD">
        <w:t xml:space="preserve"> by 1 hour, but does not alter AUC as compared with the fasted state.  The observed effect of food on </w:t>
      </w:r>
      <w:proofErr w:type="spellStart"/>
      <w:r w:rsidRPr="00F644FD">
        <w:t>ertugliflozin</w:t>
      </w:r>
      <w:proofErr w:type="spellEnd"/>
      <w:r w:rsidRPr="00F644FD">
        <w:t xml:space="preserve"> pharmacokinetics is not considered clinically relevant, and </w:t>
      </w:r>
      <w:proofErr w:type="spellStart"/>
      <w:r w:rsidRPr="00F644FD">
        <w:t>ertugliflozin</w:t>
      </w:r>
      <w:proofErr w:type="spellEnd"/>
      <w:r w:rsidRPr="00F644FD">
        <w:t xml:space="preserve"> may be administered with or without food.  In Phase 3 clinical trials, </w:t>
      </w:r>
      <w:proofErr w:type="spellStart"/>
      <w:r w:rsidRPr="00F644FD">
        <w:t>ertugliflozin</w:t>
      </w:r>
      <w:proofErr w:type="spellEnd"/>
      <w:r w:rsidRPr="00F644FD">
        <w:t xml:space="preserve"> was administered without regard to meals.</w:t>
      </w:r>
    </w:p>
    <w:p w14:paraId="63A1C799" w14:textId="77777777" w:rsidR="00552026" w:rsidRPr="00F644FD" w:rsidRDefault="00552026" w:rsidP="00552026">
      <w:pPr>
        <w:pStyle w:val="Heading5"/>
      </w:pPr>
      <w:r w:rsidRPr="00F644FD">
        <w:t>Metformin hydrochloride</w:t>
      </w:r>
    </w:p>
    <w:p w14:paraId="507336B0" w14:textId="77777777" w:rsidR="00552026" w:rsidRPr="00F644FD" w:rsidRDefault="00552026" w:rsidP="00552026">
      <w:r w:rsidRPr="00F644FD">
        <w:t>The absolute bioavailability of a metformin hydrochloride 500 mg tablet given under fasting conditions is approximately 50-60%.  Studies using single oral doses of metformin hydrochloride tablets 500 mg to 1,500 mg, and 850 mg to 2,550 mg, indicate that there is a lack of dose proportionality with increasing doses, which is due to decreased absorption rather than an alteration in elimination.  Food decreases the extent of and slightly delays the absorption of metformin, as shown by approximately a 40% lower mean peak plasma concentration (</w:t>
      </w:r>
      <w:proofErr w:type="spellStart"/>
      <w:r w:rsidRPr="00F644FD">
        <w:t>C</w:t>
      </w:r>
      <w:r w:rsidRPr="00F644FD">
        <w:rPr>
          <w:vertAlign w:val="subscript"/>
        </w:rPr>
        <w:t>max</w:t>
      </w:r>
      <w:proofErr w:type="spellEnd"/>
      <w:r w:rsidRPr="00F644FD">
        <w:t>), a 25% lower area under the plasma concentration versus time curve (AUC), and a 35-minute prolongation of time to peak plasma concentration (</w:t>
      </w:r>
      <w:proofErr w:type="spellStart"/>
      <w:r w:rsidRPr="00F644FD">
        <w:t>T</w:t>
      </w:r>
      <w:r w:rsidRPr="00F644FD">
        <w:rPr>
          <w:vertAlign w:val="subscript"/>
        </w:rPr>
        <w:t>max</w:t>
      </w:r>
      <w:proofErr w:type="spellEnd"/>
      <w:r w:rsidRPr="00F644FD">
        <w:t>) following administration of a single 850-mg tablet of metformin with food, compared to the same tablet strength administered fasting.  The clinical relevance of these decreases is unknown.</w:t>
      </w:r>
    </w:p>
    <w:p w14:paraId="6F05CC4F" w14:textId="77777777" w:rsidR="00552026" w:rsidRPr="00F644FD" w:rsidRDefault="00552026" w:rsidP="00552026">
      <w:pPr>
        <w:pStyle w:val="Heading3"/>
      </w:pPr>
      <w:r w:rsidRPr="00F644FD">
        <w:t>Distribution</w:t>
      </w:r>
    </w:p>
    <w:p w14:paraId="4C7BF2C0" w14:textId="77777777" w:rsidR="00552026" w:rsidRPr="00F644FD" w:rsidRDefault="00552026" w:rsidP="00552026">
      <w:pPr>
        <w:pStyle w:val="Heading5"/>
      </w:pPr>
      <w:proofErr w:type="spellStart"/>
      <w:r w:rsidRPr="00F644FD">
        <w:t>Ertugliflozin</w:t>
      </w:r>
      <w:proofErr w:type="spellEnd"/>
    </w:p>
    <w:p w14:paraId="4A1C99EC" w14:textId="12B24E1D" w:rsidR="00552026" w:rsidRPr="00F644FD" w:rsidRDefault="00552026" w:rsidP="00552026">
      <w:r w:rsidRPr="00F644FD">
        <w:t>The mean steady</w:t>
      </w:r>
      <w:r w:rsidR="00457B35">
        <w:t>-</w:t>
      </w:r>
      <w:r w:rsidRPr="00F644FD">
        <w:t xml:space="preserve">state volume of distribution of </w:t>
      </w:r>
      <w:proofErr w:type="spellStart"/>
      <w:r w:rsidRPr="00F644FD">
        <w:t>ertugliflozin</w:t>
      </w:r>
      <w:proofErr w:type="spellEnd"/>
      <w:r w:rsidRPr="00F644FD">
        <w:t xml:space="preserve"> following an intravenous dose is 85.5 L.  Plasma protein binding of </w:t>
      </w:r>
      <w:proofErr w:type="spellStart"/>
      <w:r w:rsidRPr="00F644FD">
        <w:t>ertugliflozin</w:t>
      </w:r>
      <w:proofErr w:type="spellEnd"/>
      <w:r w:rsidRPr="00F644FD">
        <w:t xml:space="preserve"> is 93.6% and is independent of </w:t>
      </w:r>
      <w:proofErr w:type="spellStart"/>
      <w:r w:rsidRPr="00F644FD">
        <w:t>ertugliflozin</w:t>
      </w:r>
      <w:proofErr w:type="spellEnd"/>
      <w:r w:rsidRPr="00F644FD">
        <w:t xml:space="preserve"> plasma concentrations. </w:t>
      </w:r>
      <w:r w:rsidR="00EA54E7">
        <w:t xml:space="preserve"> </w:t>
      </w:r>
      <w:r w:rsidRPr="00F644FD">
        <w:t xml:space="preserve">Plasma protein binding is not meaningfully altered in patients with renal or hepatic impairment.  The blood-to-plasma concentration ratio of </w:t>
      </w:r>
      <w:proofErr w:type="spellStart"/>
      <w:r w:rsidRPr="00F644FD">
        <w:t>ertugliflozin</w:t>
      </w:r>
      <w:proofErr w:type="spellEnd"/>
      <w:r w:rsidRPr="00F644FD">
        <w:t xml:space="preserve"> is 0.66.</w:t>
      </w:r>
    </w:p>
    <w:p w14:paraId="4649DB56" w14:textId="77777777" w:rsidR="00552026" w:rsidRPr="00F644FD" w:rsidRDefault="00552026" w:rsidP="00552026">
      <w:pPr>
        <w:pStyle w:val="Heading5"/>
      </w:pPr>
      <w:r w:rsidRPr="00F644FD">
        <w:t>Metformin hydrochloride</w:t>
      </w:r>
    </w:p>
    <w:p w14:paraId="1A703B99" w14:textId="77777777" w:rsidR="00552026" w:rsidRPr="00F644FD" w:rsidRDefault="00552026" w:rsidP="00552026">
      <w:r w:rsidRPr="00F644FD">
        <w:t>The apparent volume of distribution (V/F) of metformin following single oral doses of metformin hydrochloride tablets 850 mg averaged 654 ± 358 L.  Metformin is negligibly bound to plasma proteins, in contrast to sulfonylureas, which are more than 90% protein bound.  Metformin partitions into erythrocytes, most likely as a function of time.  At usual clinical doses and dosing schedules of metformin hydrochloride tablets, steady-state plasma concentrations of metformin are reached within 24 48 hours and are generally &lt;1 mcg/</w:t>
      </w:r>
      <w:proofErr w:type="spellStart"/>
      <w:r w:rsidRPr="00F644FD">
        <w:t>mL.</w:t>
      </w:r>
      <w:proofErr w:type="spellEnd"/>
      <w:r w:rsidRPr="00F644FD">
        <w:t xml:space="preserve">  During controlled clinical trials of metformin, maximum metformin plasma levels did not exceed </w:t>
      </w:r>
      <w:proofErr w:type="gramStart"/>
      <w:r w:rsidRPr="00F644FD">
        <w:t>5 mcg/mL, even at maximum doses</w:t>
      </w:r>
      <w:proofErr w:type="gramEnd"/>
      <w:r w:rsidRPr="00F644FD">
        <w:t>.</w:t>
      </w:r>
    </w:p>
    <w:p w14:paraId="5EAB2FC0" w14:textId="77777777" w:rsidR="00552026" w:rsidRPr="00F644FD" w:rsidRDefault="00552026" w:rsidP="00552026">
      <w:pPr>
        <w:pStyle w:val="Heading3"/>
      </w:pPr>
      <w:r w:rsidRPr="00F644FD">
        <w:lastRenderedPageBreak/>
        <w:t>Metabolism</w:t>
      </w:r>
    </w:p>
    <w:p w14:paraId="6853CA6A" w14:textId="77777777" w:rsidR="00552026" w:rsidRPr="00F644FD" w:rsidRDefault="00552026" w:rsidP="00552026">
      <w:pPr>
        <w:pStyle w:val="Heading5"/>
      </w:pPr>
      <w:proofErr w:type="spellStart"/>
      <w:r w:rsidRPr="00F644FD">
        <w:t>Ertugliflozin</w:t>
      </w:r>
      <w:proofErr w:type="spellEnd"/>
    </w:p>
    <w:p w14:paraId="71893366" w14:textId="7897E123" w:rsidR="00552026" w:rsidRPr="00F644FD" w:rsidRDefault="00552026" w:rsidP="00552026">
      <w:r w:rsidRPr="00F644FD">
        <w:t xml:space="preserve">Metabolism is the primary clearance mechanism for </w:t>
      </w:r>
      <w:proofErr w:type="spellStart"/>
      <w:r w:rsidRPr="00F644FD">
        <w:t>ertugliflozin</w:t>
      </w:r>
      <w:proofErr w:type="spellEnd"/>
      <w:r w:rsidRPr="00F644FD">
        <w:t xml:space="preserve">.  The major metabolic pathway for </w:t>
      </w:r>
      <w:proofErr w:type="spellStart"/>
      <w:r w:rsidRPr="00F644FD">
        <w:t>ertugliflozin</w:t>
      </w:r>
      <w:proofErr w:type="spellEnd"/>
      <w:r w:rsidRPr="00F644FD">
        <w:t xml:space="preserve"> is UGT1A9 and UGT2B7-mediated O </w:t>
      </w:r>
      <w:proofErr w:type="spellStart"/>
      <w:r w:rsidRPr="00F644FD">
        <w:t>glucuronidation</w:t>
      </w:r>
      <w:proofErr w:type="spellEnd"/>
      <w:r w:rsidRPr="00F644FD">
        <w:t xml:space="preserve"> to two glucuronides</w:t>
      </w:r>
      <w:r w:rsidR="005A68C6">
        <w:t>.</w:t>
      </w:r>
      <w:r w:rsidR="005A68C6" w:rsidRPr="002F4068">
        <w:t xml:space="preserve"> </w:t>
      </w:r>
      <w:r w:rsidR="005A68C6">
        <w:t xml:space="preserve"> These are present in plasma at levels 2- and 4-times lower than </w:t>
      </w:r>
      <w:proofErr w:type="spellStart"/>
      <w:r w:rsidR="005A68C6">
        <w:t>ertugliflozin</w:t>
      </w:r>
      <w:proofErr w:type="spellEnd"/>
      <w:r w:rsidR="005A68C6">
        <w:t xml:space="preserve"> and</w:t>
      </w:r>
      <w:r w:rsidRPr="00F644FD">
        <w:t xml:space="preserve"> are pharmacologically inactive at clinically relevant concentrations. CYP mediated (oxidative) metabolism of </w:t>
      </w:r>
      <w:proofErr w:type="spellStart"/>
      <w:r w:rsidRPr="00F644FD">
        <w:t>ertugliflozin</w:t>
      </w:r>
      <w:proofErr w:type="spellEnd"/>
      <w:r w:rsidRPr="00F644FD">
        <w:t xml:space="preserve"> is minimal (12%).</w:t>
      </w:r>
    </w:p>
    <w:p w14:paraId="3785C9AA" w14:textId="77777777" w:rsidR="00552026" w:rsidRPr="00F644FD" w:rsidRDefault="00552026" w:rsidP="00552026">
      <w:pPr>
        <w:pStyle w:val="Heading5"/>
      </w:pPr>
      <w:r w:rsidRPr="00F644FD">
        <w:t>Metformin hydrochloride</w:t>
      </w:r>
    </w:p>
    <w:p w14:paraId="2296511B" w14:textId="77777777" w:rsidR="00552026" w:rsidRPr="00F644FD" w:rsidRDefault="00552026" w:rsidP="00552026">
      <w:r w:rsidRPr="00F644FD">
        <w:t xml:space="preserve">Intravenous single-dose studies in normal subjects demonstrate that metformin is excreted unchanged in the urine and does not undergo hepatic metabolism (no metabolites have been identified in humans) </w:t>
      </w:r>
      <w:proofErr w:type="gramStart"/>
      <w:r w:rsidRPr="00F644FD">
        <w:t>nor</w:t>
      </w:r>
      <w:proofErr w:type="gramEnd"/>
      <w:r w:rsidRPr="00F644FD">
        <w:t xml:space="preserve"> biliary excretion.</w:t>
      </w:r>
    </w:p>
    <w:p w14:paraId="7BB2442F" w14:textId="75A4FA6A" w:rsidR="00552026" w:rsidRPr="00F644FD" w:rsidRDefault="00552026" w:rsidP="00552026">
      <w:pPr>
        <w:pStyle w:val="Heading3"/>
      </w:pPr>
      <w:r w:rsidRPr="00F644FD">
        <w:t>Excretion</w:t>
      </w:r>
    </w:p>
    <w:p w14:paraId="00EEB4F1" w14:textId="77777777" w:rsidR="00552026" w:rsidRPr="00F644FD" w:rsidRDefault="00552026" w:rsidP="00552026">
      <w:pPr>
        <w:pStyle w:val="Heading5"/>
      </w:pPr>
      <w:proofErr w:type="spellStart"/>
      <w:r w:rsidRPr="00F644FD">
        <w:t>Ertugliflozin</w:t>
      </w:r>
      <w:proofErr w:type="spellEnd"/>
    </w:p>
    <w:p w14:paraId="60A02A63" w14:textId="38B92F5C" w:rsidR="00552026" w:rsidRPr="00F644FD" w:rsidRDefault="00552026" w:rsidP="00552026">
      <w:r w:rsidRPr="00F644FD">
        <w:t>The mean systemic plasma clearance following an intravenous 100 µg dose was 11.2 L/hr.  The mean elimination half</w:t>
      </w:r>
      <w:r w:rsidRPr="00F644FD">
        <w:noBreakHyphen/>
        <w:t>life in type 2 diabetic patients with normal renal function was estimated to be 16.6 hours based on the population pharmacokinetic analysis.  Following administration of an oral [</w:t>
      </w:r>
      <w:r w:rsidRPr="00F644FD">
        <w:rPr>
          <w:vertAlign w:val="superscript"/>
        </w:rPr>
        <w:t>14</w:t>
      </w:r>
      <w:r w:rsidRPr="00F644FD">
        <w:t>C]-</w:t>
      </w:r>
      <w:proofErr w:type="spellStart"/>
      <w:r w:rsidRPr="00F644FD">
        <w:t>ertugliflozin</w:t>
      </w:r>
      <w:proofErr w:type="spellEnd"/>
      <w:r w:rsidRPr="00F644FD">
        <w:t xml:space="preserve"> solution to healthy subjects, approximately 40.9% and 50.2% of the drug</w:t>
      </w:r>
      <w:r w:rsidR="00F27E62">
        <w:t>-</w:t>
      </w:r>
      <w:r w:rsidRPr="00F644FD">
        <w:t xml:space="preserve">related radioactivity was eliminated in faeces and urine, respectively.  Only 1.5% of the administered dose was excreted as unchanged </w:t>
      </w:r>
      <w:proofErr w:type="spellStart"/>
      <w:r w:rsidRPr="00F644FD">
        <w:t>ertugliflozin</w:t>
      </w:r>
      <w:proofErr w:type="spellEnd"/>
      <w:r w:rsidRPr="00F644FD">
        <w:t xml:space="preserve"> in urine and 33.8% as unchanged </w:t>
      </w:r>
      <w:proofErr w:type="spellStart"/>
      <w:r w:rsidRPr="00F644FD">
        <w:t>ertugliflozin</w:t>
      </w:r>
      <w:proofErr w:type="spellEnd"/>
      <w:r w:rsidRPr="00F644FD">
        <w:t xml:space="preserve"> in faeces, which is likely due to biliary excretion of glucuronide metabolites and subsequent hydrolysis to parent.</w:t>
      </w:r>
    </w:p>
    <w:p w14:paraId="7B86F194" w14:textId="77777777" w:rsidR="00552026" w:rsidRPr="00F644FD" w:rsidRDefault="00552026" w:rsidP="00552026">
      <w:pPr>
        <w:pStyle w:val="Heading5"/>
      </w:pPr>
      <w:r w:rsidRPr="00F644FD">
        <w:t>Metformin hydrochloride</w:t>
      </w:r>
    </w:p>
    <w:p w14:paraId="02EEA95D" w14:textId="77777777" w:rsidR="00552026" w:rsidRPr="00F644FD" w:rsidRDefault="00552026" w:rsidP="00552026">
      <w:r w:rsidRPr="00F644FD">
        <w:t>Renal clearance is approximately 3.5 times greater than creatinine clearance, which indicates that tubular secretion is the major route of metformin elimination.  Following oral administration, approximately 90% of the absorbed drug is eliminated via the renal route within the first 24 hours, with a plasma elimination half-life of approximately 6.2 hours.  In blood, the elimination half-life is approximately 17.6 hours, suggesting that the erythrocyte mass may be a compartment of distribution.</w:t>
      </w:r>
    </w:p>
    <w:p w14:paraId="18E40C29" w14:textId="726F76CB" w:rsidR="00552026" w:rsidRPr="00F644FD" w:rsidRDefault="00552026" w:rsidP="00552026">
      <w:pPr>
        <w:pStyle w:val="Heading3"/>
      </w:pPr>
      <w:r w:rsidRPr="00F644FD">
        <w:t xml:space="preserve">Special </w:t>
      </w:r>
      <w:r w:rsidR="00B1112D" w:rsidRPr="00F644FD">
        <w:t>populations</w:t>
      </w:r>
    </w:p>
    <w:p w14:paraId="7FB33D49" w14:textId="16C8E011" w:rsidR="00552026" w:rsidRPr="00F644FD" w:rsidRDefault="00552026" w:rsidP="00552026">
      <w:pPr>
        <w:pStyle w:val="Heading4"/>
      </w:pPr>
      <w:r w:rsidRPr="00F644FD">
        <w:t xml:space="preserve">Renal </w:t>
      </w:r>
      <w:r w:rsidR="00B1112D" w:rsidRPr="00F644FD">
        <w:t>impairment</w:t>
      </w:r>
    </w:p>
    <w:p w14:paraId="1A4319CD" w14:textId="77777777" w:rsidR="00552026" w:rsidRPr="00F644FD" w:rsidRDefault="00552026" w:rsidP="00552026">
      <w:pPr>
        <w:pStyle w:val="Heading5"/>
      </w:pPr>
      <w:r w:rsidRPr="00F644FD">
        <w:t>SEGLUROMET</w:t>
      </w:r>
    </w:p>
    <w:p w14:paraId="1B417FC1" w14:textId="06D66C0E" w:rsidR="00552026" w:rsidRPr="00F644FD" w:rsidRDefault="00552026" w:rsidP="00552026">
      <w:r w:rsidRPr="00F644FD">
        <w:t xml:space="preserve">Studies characterising the pharmacokinetics of </w:t>
      </w:r>
      <w:proofErr w:type="spellStart"/>
      <w:r w:rsidRPr="00F644FD">
        <w:t>ertugliflozin</w:t>
      </w:r>
      <w:proofErr w:type="spellEnd"/>
      <w:r w:rsidRPr="00F644FD">
        <w:t xml:space="preserve"> and metformin after administration of SEGLUROMET in </w:t>
      </w:r>
      <w:proofErr w:type="spellStart"/>
      <w:r w:rsidRPr="00F644FD">
        <w:t>renally</w:t>
      </w:r>
      <w:proofErr w:type="spellEnd"/>
      <w:r w:rsidRPr="00F644FD">
        <w:t xml:space="preserve"> impaired patients have not been performed [see </w:t>
      </w:r>
      <w:r w:rsidR="007D747C" w:rsidRPr="00F644FD">
        <w:t xml:space="preserve">4.2 </w:t>
      </w:r>
      <w:r w:rsidRPr="00F644FD">
        <w:t xml:space="preserve">DOSE AND </w:t>
      </w:r>
      <w:r w:rsidR="007D747C" w:rsidRPr="00F644FD">
        <w:t xml:space="preserve">METHOD OF </w:t>
      </w:r>
      <w:r w:rsidRPr="00F644FD">
        <w:t>ADMINISTRATION].</w:t>
      </w:r>
    </w:p>
    <w:p w14:paraId="3ACEBE05" w14:textId="77777777" w:rsidR="00552026" w:rsidRPr="00F644FD" w:rsidRDefault="00552026" w:rsidP="00552026">
      <w:pPr>
        <w:pStyle w:val="Heading5"/>
      </w:pPr>
      <w:proofErr w:type="spellStart"/>
      <w:r w:rsidRPr="00F644FD">
        <w:t>Ertugliflozin</w:t>
      </w:r>
      <w:proofErr w:type="spellEnd"/>
    </w:p>
    <w:p w14:paraId="285C946B" w14:textId="629A2A67" w:rsidR="00552026" w:rsidRPr="00F644FD" w:rsidRDefault="00552026" w:rsidP="00552026">
      <w:r w:rsidRPr="00F644FD">
        <w:t>In a Phase 1 clinical pharmacology study in patients with type 2 diabetes and mild, moderate, or severe renal impairment (as determined by estimated glomerular filtration rate (</w:t>
      </w:r>
      <w:proofErr w:type="spellStart"/>
      <w:r w:rsidRPr="00F644FD">
        <w:t>eGFR</w:t>
      </w:r>
      <w:proofErr w:type="spellEnd"/>
      <w:r w:rsidRPr="00F644FD">
        <w:t xml:space="preserve">)), following a single-dose administration of 15 mg SEGLUROMET, the mean increases in AUC of </w:t>
      </w:r>
      <w:proofErr w:type="spellStart"/>
      <w:r w:rsidRPr="00F644FD">
        <w:t>ertugliflozin</w:t>
      </w:r>
      <w:proofErr w:type="spellEnd"/>
      <w:r w:rsidRPr="00F644FD">
        <w:t xml:space="preserve"> were ≤1.7</w:t>
      </w:r>
      <w:r w:rsidRPr="00F644FD">
        <w:noBreakHyphen/>
        <w:t xml:space="preserve">fold, compared to subjects with normal renal function.  These increases in </w:t>
      </w:r>
      <w:proofErr w:type="spellStart"/>
      <w:r w:rsidRPr="00F644FD">
        <w:t>ertugliflozin</w:t>
      </w:r>
      <w:proofErr w:type="spellEnd"/>
      <w:r w:rsidRPr="00F644FD">
        <w:t xml:space="preserve"> AUC are not considered clinically relevant.  There were no clinically meaningful differences in the </w:t>
      </w:r>
      <w:proofErr w:type="spellStart"/>
      <w:r w:rsidRPr="00F644FD">
        <w:t>ertugliflozin</w:t>
      </w:r>
      <w:proofErr w:type="spellEnd"/>
      <w:r w:rsidRPr="00F644FD">
        <w:t xml:space="preserve"> </w:t>
      </w:r>
      <w:proofErr w:type="spellStart"/>
      <w:r w:rsidRPr="00F644FD">
        <w:t>C</w:t>
      </w:r>
      <w:r w:rsidRPr="00F644FD">
        <w:rPr>
          <w:vertAlign w:val="subscript"/>
        </w:rPr>
        <w:t>max</w:t>
      </w:r>
      <w:proofErr w:type="spellEnd"/>
      <w:r w:rsidRPr="00F644FD">
        <w:t xml:space="preserve"> values among the different renal </w:t>
      </w:r>
      <w:r w:rsidRPr="00F644FD">
        <w:lastRenderedPageBreak/>
        <w:t xml:space="preserve">function groups.  The 24-hour urinary glucose excretion declined with increasing severity of renal impairment [see </w:t>
      </w:r>
      <w:r w:rsidR="00F82DDA" w:rsidRPr="00F644FD">
        <w:t xml:space="preserve">4.4 SPECIAL WARNINGS AND </w:t>
      </w:r>
      <w:r w:rsidRPr="00F644FD">
        <w:t>PRECAUTIONS</w:t>
      </w:r>
      <w:r w:rsidR="000B50ED">
        <w:t xml:space="preserve"> FOR USE</w:t>
      </w:r>
      <w:r w:rsidRPr="00F644FD">
        <w:t xml:space="preserve">].  The plasma protein binding of </w:t>
      </w:r>
      <w:proofErr w:type="spellStart"/>
      <w:r w:rsidRPr="00F644FD">
        <w:t>ertugliflozin</w:t>
      </w:r>
      <w:proofErr w:type="spellEnd"/>
      <w:r w:rsidRPr="00F644FD">
        <w:t xml:space="preserve"> was unaffected in patients with renal impairment.</w:t>
      </w:r>
    </w:p>
    <w:p w14:paraId="02B6951B" w14:textId="77777777" w:rsidR="00552026" w:rsidRPr="00F644FD" w:rsidRDefault="00552026" w:rsidP="00552026">
      <w:pPr>
        <w:pStyle w:val="Heading5"/>
      </w:pPr>
      <w:r w:rsidRPr="00F644FD">
        <w:t>Metformin hydrochloride</w:t>
      </w:r>
    </w:p>
    <w:p w14:paraId="3182E42F" w14:textId="1FF0592F" w:rsidR="00552026" w:rsidRPr="00F644FD" w:rsidRDefault="00552026" w:rsidP="00552026">
      <w:r w:rsidRPr="00F644FD">
        <w:t xml:space="preserve">In patients with decreased renal function (based on measured </w:t>
      </w:r>
      <w:proofErr w:type="spellStart"/>
      <w:r w:rsidRPr="00F644FD">
        <w:t>eGFR</w:t>
      </w:r>
      <w:proofErr w:type="spellEnd"/>
      <w:r w:rsidRPr="00F644FD">
        <w:t>), the plasma and blood half</w:t>
      </w:r>
      <w:r w:rsidRPr="00F644FD">
        <w:noBreakHyphen/>
        <w:t xml:space="preserve">life of metformin is prolonged and the renal clearance is decreased in proportion to the decrease in </w:t>
      </w:r>
      <w:proofErr w:type="spellStart"/>
      <w:r w:rsidRPr="00F644FD">
        <w:t>eGFR</w:t>
      </w:r>
      <w:proofErr w:type="spellEnd"/>
      <w:r w:rsidRPr="00F644FD">
        <w:t xml:space="preserve"> [see </w:t>
      </w:r>
      <w:r w:rsidR="00FE3765" w:rsidRPr="00F644FD">
        <w:t xml:space="preserve">4.3 </w:t>
      </w:r>
      <w:r w:rsidRPr="00F644FD">
        <w:t xml:space="preserve">CONTRAINDICATIONS and </w:t>
      </w:r>
      <w:r w:rsidR="00F82DDA" w:rsidRPr="00F644FD">
        <w:t xml:space="preserve">4.4 SPECIAL WARNINGS AND </w:t>
      </w:r>
      <w:r w:rsidRPr="00F644FD">
        <w:t>PRECAUTIONS</w:t>
      </w:r>
      <w:r w:rsidR="000B50ED">
        <w:t xml:space="preserve"> FOR USE</w:t>
      </w:r>
      <w:r w:rsidRPr="00F644FD">
        <w:t>].</w:t>
      </w:r>
    </w:p>
    <w:p w14:paraId="05789B79" w14:textId="03D9BE94" w:rsidR="00552026" w:rsidRPr="00F644FD" w:rsidRDefault="00552026" w:rsidP="00552026">
      <w:pPr>
        <w:pStyle w:val="Heading4"/>
      </w:pPr>
      <w:r w:rsidRPr="00F644FD">
        <w:t xml:space="preserve">Hepatic </w:t>
      </w:r>
      <w:r w:rsidR="00B1112D" w:rsidRPr="00F644FD">
        <w:t>impairment</w:t>
      </w:r>
    </w:p>
    <w:p w14:paraId="7EF12481" w14:textId="77777777" w:rsidR="00552026" w:rsidRPr="00F644FD" w:rsidRDefault="00552026" w:rsidP="00552026">
      <w:pPr>
        <w:pStyle w:val="Heading5"/>
      </w:pPr>
      <w:proofErr w:type="spellStart"/>
      <w:r w:rsidRPr="00F644FD">
        <w:t>Ertugliflozin</w:t>
      </w:r>
      <w:proofErr w:type="spellEnd"/>
    </w:p>
    <w:p w14:paraId="041267DF" w14:textId="77777777" w:rsidR="00552026" w:rsidRPr="00F644FD" w:rsidRDefault="00552026" w:rsidP="00552026">
      <w:r w:rsidRPr="00F644FD">
        <w:t xml:space="preserve">Moderate hepatic impairment (based on the Child-Pugh classification) did not result in an increase in exposure of </w:t>
      </w:r>
      <w:proofErr w:type="spellStart"/>
      <w:r w:rsidRPr="00F644FD">
        <w:t>ertugliflozin</w:t>
      </w:r>
      <w:proofErr w:type="spellEnd"/>
      <w:r w:rsidRPr="00F644FD">
        <w:t xml:space="preserve">.  </w:t>
      </w:r>
      <w:proofErr w:type="gramStart"/>
      <w:r w:rsidRPr="00F644FD">
        <w:t xml:space="preserve">The AUC of </w:t>
      </w:r>
      <w:proofErr w:type="spellStart"/>
      <w:r w:rsidRPr="00F644FD">
        <w:t>ertugliflozin</w:t>
      </w:r>
      <w:proofErr w:type="spellEnd"/>
      <w:r w:rsidRPr="00F644FD">
        <w:t xml:space="preserve"> decreased by approximately 13%, and </w:t>
      </w:r>
      <w:proofErr w:type="spellStart"/>
      <w:r w:rsidRPr="00F644FD">
        <w:t>C</w:t>
      </w:r>
      <w:r w:rsidRPr="00F644FD">
        <w:rPr>
          <w:vertAlign w:val="subscript"/>
        </w:rPr>
        <w:t>max</w:t>
      </w:r>
      <w:proofErr w:type="spellEnd"/>
      <w:r w:rsidRPr="00F644FD">
        <w:t xml:space="preserve"> decreased by approximately 21% compared to subjects with normal hepatic function.</w:t>
      </w:r>
      <w:proofErr w:type="gramEnd"/>
      <w:r w:rsidRPr="00F644FD">
        <w:t xml:space="preserve">  This decrease in </w:t>
      </w:r>
      <w:proofErr w:type="spellStart"/>
      <w:r w:rsidRPr="00F644FD">
        <w:t>ertugliflozin</w:t>
      </w:r>
      <w:proofErr w:type="spellEnd"/>
      <w:r w:rsidRPr="00F644FD">
        <w:t xml:space="preserve"> exposure is not considered clinically meaningful.  There is no clinical experience in patients with Child-Pugh class C (severe) hepatic impairment.  The plasma protein binding of </w:t>
      </w:r>
      <w:proofErr w:type="spellStart"/>
      <w:r w:rsidRPr="00F644FD">
        <w:t>ertugliflozin</w:t>
      </w:r>
      <w:proofErr w:type="spellEnd"/>
      <w:r w:rsidRPr="00F644FD">
        <w:t xml:space="preserve"> was unaffected in patients with moderate hepatic impairment.</w:t>
      </w:r>
    </w:p>
    <w:p w14:paraId="512784FE" w14:textId="77777777" w:rsidR="00552026" w:rsidRPr="00F644FD" w:rsidRDefault="00552026" w:rsidP="00552026">
      <w:pPr>
        <w:pStyle w:val="Heading5"/>
      </w:pPr>
      <w:r w:rsidRPr="00F644FD">
        <w:t>Metformin hydrochloride</w:t>
      </w:r>
    </w:p>
    <w:p w14:paraId="7425D9D7" w14:textId="77777777" w:rsidR="00552026" w:rsidRPr="00F644FD" w:rsidRDefault="00552026" w:rsidP="00552026">
      <w:r w:rsidRPr="00F644FD">
        <w:t>No pharmacokinetic studies of metformin have been conducted in patients with hepatic insufficiency.</w:t>
      </w:r>
    </w:p>
    <w:p w14:paraId="3780C6F4" w14:textId="77777777" w:rsidR="00552026" w:rsidRPr="00F644FD" w:rsidRDefault="00552026" w:rsidP="00552026">
      <w:pPr>
        <w:pStyle w:val="Heading4"/>
      </w:pPr>
      <w:r w:rsidRPr="00F644FD">
        <w:t>Paediatric</w:t>
      </w:r>
    </w:p>
    <w:p w14:paraId="625D3E8D" w14:textId="653A6614" w:rsidR="00552026" w:rsidRPr="00F644FD" w:rsidRDefault="00552026" w:rsidP="00552026">
      <w:pPr>
        <w:autoSpaceDE w:val="0"/>
        <w:autoSpaceDN w:val="0"/>
        <w:adjustRightInd w:val="0"/>
        <w:rPr>
          <w:rFonts w:cs="Arial"/>
        </w:rPr>
      </w:pPr>
      <w:r w:rsidRPr="00F644FD">
        <w:rPr>
          <w:rFonts w:cs="Arial"/>
        </w:rPr>
        <w:t>No studies with SEGLUROMET have been performed in paediatric patients.</w:t>
      </w:r>
      <w:r w:rsidRPr="00F644FD">
        <w:t xml:space="preserve"> </w:t>
      </w:r>
    </w:p>
    <w:p w14:paraId="2E35A51B" w14:textId="6DE802A4" w:rsidR="00552026" w:rsidRPr="00F644FD" w:rsidRDefault="00552026" w:rsidP="00552026">
      <w:pPr>
        <w:pStyle w:val="Heading4"/>
      </w:pPr>
      <w:r w:rsidRPr="00F644FD">
        <w:t xml:space="preserve">Effects of </w:t>
      </w:r>
      <w:r w:rsidR="00B1112D" w:rsidRPr="00F644FD">
        <w:t>age</w:t>
      </w:r>
      <w:r w:rsidRPr="00F644FD">
        <w:t xml:space="preserve">, </w:t>
      </w:r>
      <w:r w:rsidR="00B1112D" w:rsidRPr="00F644FD">
        <w:t>body weight</w:t>
      </w:r>
      <w:r w:rsidRPr="00F644FD">
        <w:t xml:space="preserve">, </w:t>
      </w:r>
      <w:r w:rsidR="00B1112D" w:rsidRPr="00F644FD">
        <w:t>gender</w:t>
      </w:r>
      <w:r w:rsidRPr="00F644FD">
        <w:t xml:space="preserve">, and </w:t>
      </w:r>
      <w:r w:rsidR="00B1112D" w:rsidRPr="00F644FD">
        <w:t>race</w:t>
      </w:r>
    </w:p>
    <w:p w14:paraId="5B0BB647" w14:textId="77777777" w:rsidR="00552026" w:rsidRPr="00F644FD" w:rsidRDefault="00552026" w:rsidP="00552026">
      <w:pPr>
        <w:pStyle w:val="Heading5"/>
      </w:pPr>
      <w:proofErr w:type="spellStart"/>
      <w:r w:rsidRPr="00F644FD">
        <w:t>Ertugliflozin</w:t>
      </w:r>
      <w:proofErr w:type="spellEnd"/>
    </w:p>
    <w:p w14:paraId="6B5CA7D8" w14:textId="77777777" w:rsidR="00552026" w:rsidRPr="00F644FD" w:rsidRDefault="00552026" w:rsidP="00552026">
      <w:r w:rsidRPr="00F644FD">
        <w:t xml:space="preserve">Based on a population pharmacokinetic analysis, age, body weight, gender, and race do not have a clinically meaningful effect on the pharmacokinetics of </w:t>
      </w:r>
      <w:proofErr w:type="spellStart"/>
      <w:r w:rsidRPr="00F644FD">
        <w:t>ertugliflozin</w:t>
      </w:r>
      <w:proofErr w:type="spellEnd"/>
      <w:r w:rsidRPr="00F644FD">
        <w:t>.</w:t>
      </w:r>
    </w:p>
    <w:p w14:paraId="5C9FF271" w14:textId="77777777" w:rsidR="00552026" w:rsidRPr="00F644FD" w:rsidRDefault="00552026" w:rsidP="00552026">
      <w:pPr>
        <w:pStyle w:val="Heading5"/>
      </w:pPr>
      <w:r w:rsidRPr="00F644FD">
        <w:t>Metformin hydrochloride</w:t>
      </w:r>
    </w:p>
    <w:p w14:paraId="7F24C552" w14:textId="77777777" w:rsidR="00552026" w:rsidRPr="00F644FD" w:rsidRDefault="00552026" w:rsidP="00552026">
      <w:r w:rsidRPr="00F644FD">
        <w:t>Limited data from controlled pharmacokinetic studies of metformin in healthy elderly subjects suggest that total plasma clearance of metformin is decreased, the half</w:t>
      </w:r>
      <w:r w:rsidRPr="00F644FD">
        <w:noBreakHyphen/>
        <w:t xml:space="preserve">life is prolonged, and </w:t>
      </w:r>
      <w:proofErr w:type="spellStart"/>
      <w:r w:rsidRPr="00F644FD">
        <w:t>C</w:t>
      </w:r>
      <w:r w:rsidRPr="00F644FD">
        <w:rPr>
          <w:vertAlign w:val="subscript"/>
        </w:rPr>
        <w:t>max</w:t>
      </w:r>
      <w:proofErr w:type="spellEnd"/>
      <w:r w:rsidRPr="00F644FD">
        <w:t xml:space="preserve"> is increased, compared to healthy young subjects.  From these data, it appears that the change in metformin pharmacokinetics with aging is primarily accounted for by a change in renal function.</w:t>
      </w:r>
    </w:p>
    <w:p w14:paraId="40B2C6B0" w14:textId="77777777" w:rsidR="00552026" w:rsidRPr="00F644FD" w:rsidRDefault="00552026" w:rsidP="00552026"/>
    <w:p w14:paraId="257D16FF" w14:textId="31695E98" w:rsidR="00552026" w:rsidRPr="00F644FD" w:rsidRDefault="00552026" w:rsidP="00552026">
      <w:r w:rsidRPr="00F644FD">
        <w:t xml:space="preserve">Metformin pharmacokinetic parameters did not differ significantly between normal subjects and patients with type 2 diabetes when analysed according to gender.  Similarly, in controlled clinical studies in patients with type 2 diabetes, the </w:t>
      </w:r>
      <w:proofErr w:type="spellStart"/>
      <w:r w:rsidRPr="00F644FD">
        <w:t>antihyperglycaemic</w:t>
      </w:r>
      <w:proofErr w:type="spellEnd"/>
      <w:r w:rsidRPr="00F644FD">
        <w:t xml:space="preserve"> effect of metformin was comparable in males and females.</w:t>
      </w:r>
    </w:p>
    <w:p w14:paraId="4AE7EBEF" w14:textId="77777777" w:rsidR="00552026" w:rsidRPr="00F644FD" w:rsidRDefault="00552026" w:rsidP="00552026"/>
    <w:p w14:paraId="3E530B9D" w14:textId="77777777" w:rsidR="00552026" w:rsidRPr="00F644FD" w:rsidRDefault="00552026" w:rsidP="00552026">
      <w:r w:rsidRPr="00F644FD">
        <w:t xml:space="preserve">No studies of metformin pharmacokinetic parameters according to race have been performed. In controlled clinical studies of metformin in patients with type 2 diabetes, the </w:t>
      </w:r>
      <w:proofErr w:type="spellStart"/>
      <w:r w:rsidRPr="00F644FD">
        <w:t>antihyperglycaemic</w:t>
      </w:r>
      <w:proofErr w:type="spellEnd"/>
      <w:r w:rsidRPr="00F644FD">
        <w:t xml:space="preserve"> effect was comparable in Whites (n=249), Blacks (n=51), and Hispanics (n=24).</w:t>
      </w:r>
    </w:p>
    <w:p w14:paraId="28552272" w14:textId="77777777" w:rsidR="004F202A" w:rsidRPr="00F644FD" w:rsidRDefault="004F202A" w:rsidP="004F202A">
      <w:pPr>
        <w:pStyle w:val="Heading2"/>
        <w:rPr>
          <w:rFonts w:eastAsia="Cambria"/>
        </w:rPr>
      </w:pPr>
      <w:r w:rsidRPr="00F644FD">
        <w:rPr>
          <w:rFonts w:eastAsia="Cambria"/>
        </w:rPr>
        <w:lastRenderedPageBreak/>
        <w:t>5.3</w:t>
      </w:r>
      <w:r w:rsidRPr="00F644FD">
        <w:rPr>
          <w:rFonts w:eastAsia="Cambria"/>
        </w:rPr>
        <w:tab/>
        <w:t>PRECLINICAL SAFETY DATA</w:t>
      </w:r>
    </w:p>
    <w:p w14:paraId="6DDB70BE" w14:textId="77777777" w:rsidR="00FC526A" w:rsidRPr="00F644FD" w:rsidRDefault="00FC526A" w:rsidP="004F202A">
      <w:pPr>
        <w:pStyle w:val="Heading3"/>
      </w:pPr>
      <w:bookmarkStart w:id="18" w:name="_Toc472411365"/>
      <w:r w:rsidRPr="00F644FD">
        <w:t>Genotoxicity</w:t>
      </w:r>
    </w:p>
    <w:p w14:paraId="16810929" w14:textId="77777777" w:rsidR="00FC526A" w:rsidRPr="00F644FD" w:rsidRDefault="00FC526A" w:rsidP="00FC526A">
      <w:pPr>
        <w:pStyle w:val="Heading5"/>
      </w:pPr>
      <w:proofErr w:type="spellStart"/>
      <w:r w:rsidRPr="00F644FD">
        <w:t>Ertugliflozin</w:t>
      </w:r>
      <w:proofErr w:type="spellEnd"/>
    </w:p>
    <w:p w14:paraId="6F491F2A" w14:textId="64541FB6" w:rsidR="00FC526A" w:rsidRPr="00F644FD" w:rsidRDefault="00FC526A" w:rsidP="00FC526A">
      <w:proofErr w:type="spellStart"/>
      <w:r w:rsidRPr="00F644FD">
        <w:t>Ertugliflozin</w:t>
      </w:r>
      <w:proofErr w:type="spellEnd"/>
      <w:r w:rsidRPr="00F644FD">
        <w:t xml:space="preserve"> was not mutagenic in the </w:t>
      </w:r>
      <w:r w:rsidR="00040165">
        <w:t xml:space="preserve">bacterial </w:t>
      </w:r>
      <w:r w:rsidRPr="00F644FD">
        <w:t>reverse mutation</w:t>
      </w:r>
      <w:r w:rsidR="00040165">
        <w:t xml:space="preserve"> assay</w:t>
      </w:r>
      <w:r w:rsidRPr="00F644FD">
        <w:t xml:space="preserve">, </w:t>
      </w:r>
      <w:r w:rsidRPr="00F644FD">
        <w:rPr>
          <w:i/>
        </w:rPr>
        <w:t>in vitro</w:t>
      </w:r>
      <w:r w:rsidRPr="00F644FD">
        <w:t xml:space="preserve"> </w:t>
      </w:r>
      <w:r w:rsidR="00040165">
        <w:t>(</w:t>
      </w:r>
      <w:r w:rsidRPr="00F644FD">
        <w:t>cytogenetic</w:t>
      </w:r>
      <w:r w:rsidR="00040165">
        <w:t xml:space="preserve"> assay in</w:t>
      </w:r>
      <w:r w:rsidRPr="00F644FD">
        <w:t xml:space="preserve"> human lymphocytes), </w:t>
      </w:r>
      <w:r w:rsidR="00040165">
        <w:t xml:space="preserve">or </w:t>
      </w:r>
      <w:r w:rsidRPr="00F644FD">
        <w:rPr>
          <w:i/>
        </w:rPr>
        <w:t>in vivo</w:t>
      </w:r>
      <w:r w:rsidRPr="00F644FD">
        <w:t xml:space="preserve"> </w:t>
      </w:r>
      <w:r w:rsidR="00040165">
        <w:t>(</w:t>
      </w:r>
      <w:r w:rsidRPr="00F644FD">
        <w:t xml:space="preserve">rat </w:t>
      </w:r>
      <w:r w:rsidR="00040165">
        <w:t xml:space="preserve">bone marrow </w:t>
      </w:r>
      <w:r w:rsidRPr="00F644FD">
        <w:t>micronucleus</w:t>
      </w:r>
      <w:r w:rsidR="00702F71">
        <w:t xml:space="preserve"> </w:t>
      </w:r>
      <w:r w:rsidR="00040165">
        <w:t>test)</w:t>
      </w:r>
      <w:r w:rsidRPr="00F644FD">
        <w:t>.</w:t>
      </w:r>
    </w:p>
    <w:p w14:paraId="633D9414" w14:textId="77777777" w:rsidR="00FC526A" w:rsidRPr="00F644FD" w:rsidRDefault="00FC526A" w:rsidP="00FC526A">
      <w:pPr>
        <w:pStyle w:val="Heading5"/>
      </w:pPr>
      <w:r w:rsidRPr="00F644FD">
        <w:t>Metformin hydrochloride</w:t>
      </w:r>
    </w:p>
    <w:p w14:paraId="4C66ACD7" w14:textId="0A517072" w:rsidR="00FC526A" w:rsidRPr="00F644FD" w:rsidRDefault="00FC526A" w:rsidP="00FC526A">
      <w:r w:rsidRPr="00F644FD">
        <w:t xml:space="preserve">There was no evidence of a </w:t>
      </w:r>
      <w:r w:rsidR="00040165">
        <w:t xml:space="preserve">genotoxic </w:t>
      </w:r>
      <w:r w:rsidRPr="00F644FD">
        <w:t xml:space="preserve">potential of metformin in the following </w:t>
      </w:r>
      <w:r w:rsidRPr="00F644FD">
        <w:rPr>
          <w:i/>
        </w:rPr>
        <w:t>in vitro</w:t>
      </w:r>
      <w:r w:rsidRPr="00F644FD">
        <w:t xml:space="preserve"> tests: Ames test (</w:t>
      </w:r>
      <w:r w:rsidRPr="00F644FD">
        <w:rPr>
          <w:i/>
        </w:rPr>
        <w:t>S. typhimurium</w:t>
      </w:r>
      <w:r w:rsidRPr="00F644FD">
        <w:t xml:space="preserve">), gene mutation test (mouse lymphoma cells), or chromosomal aberrations test (human lymphocytes).  Results in the </w:t>
      </w:r>
      <w:r w:rsidRPr="00F644FD">
        <w:rPr>
          <w:i/>
        </w:rPr>
        <w:t>in vivo</w:t>
      </w:r>
      <w:r w:rsidRPr="00F644FD">
        <w:t xml:space="preserve"> mouse micronucleus test were also negative.</w:t>
      </w:r>
    </w:p>
    <w:p w14:paraId="68F83FB6" w14:textId="337FDE12" w:rsidR="00F842F7" w:rsidRDefault="009B5772" w:rsidP="004F202A">
      <w:pPr>
        <w:pStyle w:val="Heading3"/>
      </w:pPr>
      <w:r w:rsidRPr="00F644FD">
        <w:t>Carcinogenicity</w:t>
      </w:r>
      <w:bookmarkEnd w:id="18"/>
    </w:p>
    <w:p w14:paraId="1FDDD9B1" w14:textId="40142457" w:rsidR="007F0449" w:rsidRPr="007F0449" w:rsidRDefault="007F0449" w:rsidP="007F0449">
      <w:r w:rsidRPr="007F0449">
        <w:t xml:space="preserve">No carcinogenicity studies have been conducted with </w:t>
      </w:r>
      <w:proofErr w:type="spellStart"/>
      <w:r w:rsidRPr="007F0449">
        <w:t>ertugliflozin</w:t>
      </w:r>
      <w:proofErr w:type="spellEnd"/>
      <w:r w:rsidRPr="007F0449">
        <w:t xml:space="preserve"> and metformin in combination.</w:t>
      </w:r>
    </w:p>
    <w:p w14:paraId="330E6CB1" w14:textId="6BD4722A" w:rsidR="008736E3" w:rsidRPr="00F644FD" w:rsidRDefault="008736E3" w:rsidP="008736E3">
      <w:pPr>
        <w:pStyle w:val="Heading5"/>
      </w:pPr>
      <w:proofErr w:type="spellStart"/>
      <w:r w:rsidRPr="00F644FD">
        <w:t>Ertugliflozin</w:t>
      </w:r>
      <w:proofErr w:type="spellEnd"/>
    </w:p>
    <w:p w14:paraId="68F83FB7" w14:textId="610245DF" w:rsidR="00C640DF" w:rsidRPr="00F644FD" w:rsidRDefault="007F0449" w:rsidP="00C640DF">
      <w:r w:rsidRPr="007F0449">
        <w:t xml:space="preserve">The carcinogenic potential of </w:t>
      </w:r>
      <w:proofErr w:type="spellStart"/>
      <w:r w:rsidRPr="007F0449">
        <w:t>ertugliflozin</w:t>
      </w:r>
      <w:proofErr w:type="spellEnd"/>
      <w:r w:rsidRPr="007F0449">
        <w:t xml:space="preserve"> was examined in 2-year studies in mice and rats. </w:t>
      </w:r>
      <w:r>
        <w:t xml:space="preserve"> </w:t>
      </w:r>
      <w:r w:rsidRPr="007F0449">
        <w:t>Administration was by oral gavage</w:t>
      </w:r>
      <w:r w:rsidR="0031107E" w:rsidRPr="00F644FD">
        <w:t xml:space="preserve">.  There were no </w:t>
      </w:r>
      <w:proofErr w:type="spellStart"/>
      <w:r w:rsidR="0031107E" w:rsidRPr="00F644FD">
        <w:t>ertugliflozin</w:t>
      </w:r>
      <w:proofErr w:type="spellEnd"/>
      <w:r w:rsidR="0031107E" w:rsidRPr="00F644FD">
        <w:t>-related neoplastic findings</w:t>
      </w:r>
      <w:r>
        <w:t xml:space="preserve"> in mice</w:t>
      </w:r>
      <w:r w:rsidR="0031107E" w:rsidRPr="00F644FD">
        <w:t xml:space="preserve"> at doses up to 40 mg/kg/day (approximately 41 times human exposure at the MRHD of 15 mg/day based on </w:t>
      </w:r>
      <w:r>
        <w:t xml:space="preserve">plasma </w:t>
      </w:r>
      <w:r w:rsidR="0031107E" w:rsidRPr="00F644FD">
        <w:t>AUC</w:t>
      </w:r>
      <w:r>
        <w:t xml:space="preserve"> for unbound </w:t>
      </w:r>
      <w:proofErr w:type="spellStart"/>
      <w:r>
        <w:t>ertugliflozin</w:t>
      </w:r>
      <w:proofErr w:type="spellEnd"/>
      <w:r w:rsidR="0031107E" w:rsidRPr="00F644FD">
        <w:t>)</w:t>
      </w:r>
      <w:r w:rsidRPr="007F0449">
        <w:t xml:space="preserve"> or in female rats at doses up to 15 mg/kg/day (approximately 50 times human exposure), the highest dose levels tested</w:t>
      </w:r>
      <w:r w:rsidR="0031107E" w:rsidRPr="00F644FD">
        <w:t xml:space="preserve">.  </w:t>
      </w:r>
      <w:r w:rsidRPr="007F0449">
        <w:t xml:space="preserve">In male rats, treatment with </w:t>
      </w:r>
      <w:proofErr w:type="spellStart"/>
      <w:r w:rsidRPr="007F0449">
        <w:t>ertugliflozin</w:t>
      </w:r>
      <w:proofErr w:type="spellEnd"/>
      <w:r w:rsidRPr="007F0449">
        <w:t xml:space="preserve"> at 15</w:t>
      </w:r>
      <w:r>
        <w:t> </w:t>
      </w:r>
      <w:r w:rsidRPr="007F0449">
        <w:t>mg/kg/day</w:t>
      </w:r>
      <w:r w:rsidR="0031107E" w:rsidRPr="00F644FD">
        <w:t xml:space="preserve"> increased </w:t>
      </w:r>
      <w:r>
        <w:t xml:space="preserve">the </w:t>
      </w:r>
      <w:r w:rsidR="0031107E" w:rsidRPr="00F644FD">
        <w:t xml:space="preserve">incidence of benign adrenal medullary </w:t>
      </w:r>
      <w:proofErr w:type="spellStart"/>
      <w:r w:rsidR="0031107E" w:rsidRPr="00F644FD">
        <w:t>ph</w:t>
      </w:r>
      <w:r w:rsidR="008736E3" w:rsidRPr="00F644FD">
        <w:t>a</w:t>
      </w:r>
      <w:r w:rsidR="0031107E" w:rsidRPr="00F644FD">
        <w:t>eochromocytoma</w:t>
      </w:r>
      <w:proofErr w:type="spellEnd"/>
      <w:r w:rsidR="0031107E" w:rsidRPr="00F644FD">
        <w:t xml:space="preserve">.  This finding was attributed to carbohydrate malabsorption leading to altered calcium homeostasis and </w:t>
      </w:r>
      <w:r>
        <w:t>is</w:t>
      </w:r>
      <w:r w:rsidRPr="00F644FD">
        <w:t xml:space="preserve"> </w:t>
      </w:r>
      <w:r w:rsidR="0031107E" w:rsidRPr="00F644FD">
        <w:t>not considered relevant to human risk.  The no-observed-effect level (NOEL) for neoplasia</w:t>
      </w:r>
      <w:r>
        <w:t xml:space="preserve"> </w:t>
      </w:r>
      <w:r w:rsidR="00AA10F8">
        <w:t>in male rats</w:t>
      </w:r>
      <w:r w:rsidR="00AA10F8" w:rsidRPr="00EF2CD5">
        <w:t xml:space="preserve"> </w:t>
      </w:r>
      <w:r w:rsidR="0031107E" w:rsidRPr="00F644FD">
        <w:t xml:space="preserve">was 5 mg/kg/day (approximately </w:t>
      </w:r>
      <w:r w:rsidR="00BB0CB6">
        <w:t>13</w:t>
      </w:r>
      <w:r w:rsidR="0031107E" w:rsidRPr="00F644FD">
        <w:t> times human exposure at the MRHD of 15 mg/day)</w:t>
      </w:r>
      <w:r w:rsidR="00AA10F8" w:rsidRPr="00AA10F8">
        <w:t xml:space="preserve"> </w:t>
      </w:r>
      <w:r w:rsidR="00AA10F8" w:rsidRPr="000F3D8E">
        <w:t>and no neoplasia was observed in female rats</w:t>
      </w:r>
      <w:r w:rsidR="0031107E" w:rsidRPr="00F644FD">
        <w:t>.</w:t>
      </w:r>
    </w:p>
    <w:p w14:paraId="0C90B757" w14:textId="47FD287D" w:rsidR="008736E3" w:rsidRPr="00F644FD" w:rsidRDefault="008736E3" w:rsidP="008736E3">
      <w:pPr>
        <w:pStyle w:val="Heading5"/>
      </w:pPr>
      <w:r w:rsidRPr="00F644FD">
        <w:t>Metformin hydrochloride</w:t>
      </w:r>
    </w:p>
    <w:p w14:paraId="5501056C" w14:textId="2A015FCC" w:rsidR="008736E3" w:rsidRPr="00704C82" w:rsidRDefault="008736E3" w:rsidP="008736E3">
      <w:r w:rsidRPr="00F644FD">
        <w:t>Long term carcinogenicity studies have been performed in rats (dosing duration of 104</w:t>
      </w:r>
      <w:r w:rsidR="00B47F8E" w:rsidRPr="00F644FD">
        <w:t> </w:t>
      </w:r>
      <w:r w:rsidRPr="00F644FD">
        <w:t>weeks) and mice (dosing duration of 91 weeks) at doses up to and including 900</w:t>
      </w:r>
      <w:r w:rsidR="00B47F8E" w:rsidRPr="00F644FD">
        <w:t> </w:t>
      </w:r>
      <w:r w:rsidRPr="00F644FD">
        <w:t>mg/kg/day and 1,500 mg/kg/day, respectively.  These doses are both approximately four</w:t>
      </w:r>
      <w:r w:rsidR="00B47F8E" w:rsidRPr="00F644FD">
        <w:t> </w:t>
      </w:r>
      <w:r w:rsidRPr="00F644FD">
        <w:t xml:space="preserve">times the maximum recommended human daily dose of 2,000 mg based on body surface area comparisons.  No evidence of carcinogenicity with metformin was found in either male or female mice.  Similarly, there was no tumorigenic potential observed with metformin in male rats.  There was, however, an increased incidence of benign stromal uterine polyps in </w:t>
      </w:r>
      <w:r w:rsidRPr="00704C82">
        <w:t>female rats treated with 900 mg/kg/day.</w:t>
      </w:r>
    </w:p>
    <w:p w14:paraId="689B0AC6" w14:textId="75D1F294" w:rsidR="004F202A" w:rsidRPr="00F644FD" w:rsidRDefault="004F202A" w:rsidP="004F202A">
      <w:pPr>
        <w:pStyle w:val="Heading1"/>
      </w:pPr>
      <w:r w:rsidRPr="00F644FD">
        <w:t>6</w:t>
      </w:r>
      <w:r w:rsidRPr="00F644FD">
        <w:tab/>
        <w:t>PHARMACEUTICAL PARTICULARS</w:t>
      </w:r>
    </w:p>
    <w:p w14:paraId="1EF94332" w14:textId="77777777" w:rsidR="004F202A" w:rsidRPr="00F644FD" w:rsidRDefault="004F202A" w:rsidP="004F202A">
      <w:pPr>
        <w:pStyle w:val="Heading2"/>
        <w:rPr>
          <w:rFonts w:eastAsia="Cambria"/>
        </w:rPr>
      </w:pPr>
      <w:r w:rsidRPr="00F644FD">
        <w:rPr>
          <w:rFonts w:eastAsia="Cambria"/>
        </w:rPr>
        <w:t>6.1</w:t>
      </w:r>
      <w:r w:rsidRPr="00F644FD">
        <w:rPr>
          <w:rFonts w:eastAsia="Cambria"/>
        </w:rPr>
        <w:tab/>
        <w:t>LIST OF EXCIPIENTS</w:t>
      </w:r>
    </w:p>
    <w:p w14:paraId="7663415E" w14:textId="34B0A86E" w:rsidR="004F202A" w:rsidRPr="00F644FD" w:rsidRDefault="004F202A" w:rsidP="004F202A">
      <w:r w:rsidRPr="00F644FD">
        <w:t xml:space="preserve">Each film-coated tablet of SEGLUROMET contains the following inactive ingredients: povidone, microcrystalline cellulose, </w:t>
      </w:r>
      <w:proofErr w:type="spellStart"/>
      <w:r w:rsidRPr="00F644FD">
        <w:t>crospovidone</w:t>
      </w:r>
      <w:proofErr w:type="spellEnd"/>
      <w:r w:rsidRPr="00F644FD">
        <w:t xml:space="preserve">, sodium lauryl </w:t>
      </w:r>
      <w:proofErr w:type="spellStart"/>
      <w:r w:rsidRPr="00F644FD">
        <w:t>sulfate</w:t>
      </w:r>
      <w:proofErr w:type="spellEnd"/>
      <w:r w:rsidRPr="00F644FD">
        <w:t>, magnesium stearate, and carnauba wax.</w:t>
      </w:r>
    </w:p>
    <w:p w14:paraId="58CF9AD9" w14:textId="77777777" w:rsidR="004F202A" w:rsidRPr="00F644FD" w:rsidRDefault="004F202A" w:rsidP="004F202A"/>
    <w:p w14:paraId="2F745FA8" w14:textId="5EC9B1A4" w:rsidR="004F202A" w:rsidRPr="00F644FD" w:rsidRDefault="004F202A" w:rsidP="004F202A">
      <w:r w:rsidRPr="00F644FD">
        <w:lastRenderedPageBreak/>
        <w:t xml:space="preserve">The film coating contains: </w:t>
      </w:r>
      <w:proofErr w:type="spellStart"/>
      <w:r w:rsidRPr="00F644FD">
        <w:t>hypromellose</w:t>
      </w:r>
      <w:proofErr w:type="spellEnd"/>
      <w:r w:rsidRPr="00F644FD">
        <w:t xml:space="preserve">, </w:t>
      </w:r>
      <w:proofErr w:type="spellStart"/>
      <w:r w:rsidRPr="00F644FD">
        <w:t>hyprolose</w:t>
      </w:r>
      <w:proofErr w:type="spellEnd"/>
      <w:r w:rsidRPr="00F644FD">
        <w:t>, titanium dioxide, and iron oxide red.</w:t>
      </w:r>
    </w:p>
    <w:p w14:paraId="64B5AE7C" w14:textId="77777777" w:rsidR="004F202A" w:rsidRPr="00F644FD" w:rsidRDefault="004F202A" w:rsidP="004F202A">
      <w:pPr>
        <w:pStyle w:val="Heading2"/>
        <w:rPr>
          <w:rFonts w:eastAsia="Cambria"/>
        </w:rPr>
      </w:pPr>
      <w:r w:rsidRPr="00F644FD">
        <w:rPr>
          <w:rFonts w:eastAsia="Cambria"/>
        </w:rPr>
        <w:t>6.2</w:t>
      </w:r>
      <w:r w:rsidRPr="00F644FD">
        <w:rPr>
          <w:rFonts w:eastAsia="Cambria"/>
        </w:rPr>
        <w:tab/>
        <w:t>INCOMPATIBILITIES</w:t>
      </w:r>
    </w:p>
    <w:p w14:paraId="2D66A64D" w14:textId="77777777" w:rsidR="00570151" w:rsidRDefault="00430F3A" w:rsidP="00570151">
      <w:pPr>
        <w:rPr>
          <w:rFonts w:eastAsia="Cambria"/>
        </w:rPr>
      </w:pPr>
      <w:r w:rsidRPr="00430F3A">
        <w:rPr>
          <w:rFonts w:eastAsia="Cambria"/>
        </w:rPr>
        <w:t>Incompatibilities were either not assessed or not identified as part of the registration of this medicine</w:t>
      </w:r>
      <w:r>
        <w:rPr>
          <w:rFonts w:eastAsia="Cambria"/>
        </w:rPr>
        <w:t>.</w:t>
      </w:r>
      <w:r w:rsidRPr="00430F3A">
        <w:rPr>
          <w:rFonts w:eastAsia="Cambria"/>
        </w:rPr>
        <w:t xml:space="preserve"> </w:t>
      </w:r>
    </w:p>
    <w:p w14:paraId="29D7DE4C" w14:textId="5606A8BF" w:rsidR="004F202A" w:rsidRPr="00F644FD" w:rsidRDefault="004F202A" w:rsidP="004F202A">
      <w:pPr>
        <w:pStyle w:val="Heading2"/>
        <w:rPr>
          <w:rFonts w:eastAsia="Cambria"/>
        </w:rPr>
      </w:pPr>
      <w:r w:rsidRPr="00F644FD">
        <w:rPr>
          <w:rFonts w:eastAsia="Cambria"/>
        </w:rPr>
        <w:t>6.3</w:t>
      </w:r>
      <w:r w:rsidRPr="00F644FD">
        <w:rPr>
          <w:rFonts w:eastAsia="Cambria"/>
        </w:rPr>
        <w:tab/>
        <w:t>SHELF LIFE</w:t>
      </w:r>
    </w:p>
    <w:p w14:paraId="6CCF6F95" w14:textId="77777777" w:rsidR="006C0884" w:rsidRDefault="006C0884" w:rsidP="006C0884">
      <w:r>
        <w:t>In</w:t>
      </w:r>
      <w:r w:rsidRPr="00AF05FE">
        <w:t xml:space="preserve"> </w:t>
      </w:r>
      <w:r>
        <w:t>Australia,</w:t>
      </w:r>
      <w:r w:rsidRPr="00AF05FE">
        <w:t xml:space="preserve"> </w:t>
      </w:r>
      <w:r>
        <w:t>information</w:t>
      </w:r>
      <w:r w:rsidRPr="00AF05FE">
        <w:t xml:space="preserve"> </w:t>
      </w:r>
      <w:r>
        <w:t>on</w:t>
      </w:r>
      <w:r w:rsidRPr="00AF05FE">
        <w:t xml:space="preserve"> </w:t>
      </w:r>
      <w:r>
        <w:t>the</w:t>
      </w:r>
      <w:r w:rsidRPr="00AF05FE">
        <w:t xml:space="preserve"> </w:t>
      </w:r>
      <w:r>
        <w:t>shelf</w:t>
      </w:r>
      <w:r w:rsidRPr="00AF05FE">
        <w:t xml:space="preserve"> </w:t>
      </w:r>
      <w:r>
        <w:t>life</w:t>
      </w:r>
      <w:r w:rsidRPr="00AF05FE">
        <w:t xml:space="preserve"> </w:t>
      </w:r>
      <w:r>
        <w:t>can</w:t>
      </w:r>
      <w:r w:rsidRPr="00AF05FE">
        <w:t xml:space="preserve"> </w:t>
      </w:r>
      <w:r>
        <w:t>be</w:t>
      </w:r>
      <w:r w:rsidRPr="00AF05FE">
        <w:t xml:space="preserve"> </w:t>
      </w:r>
      <w:r>
        <w:t>found</w:t>
      </w:r>
      <w:r w:rsidRPr="00AF05FE">
        <w:t xml:space="preserve"> </w:t>
      </w:r>
      <w:r>
        <w:t>on</w:t>
      </w:r>
      <w:r w:rsidRPr="00AF05FE">
        <w:t xml:space="preserve"> </w:t>
      </w:r>
      <w:r>
        <w:t>the</w:t>
      </w:r>
      <w:r w:rsidRPr="00AF05FE">
        <w:t xml:space="preserve"> </w:t>
      </w:r>
      <w:r>
        <w:t>public</w:t>
      </w:r>
      <w:r w:rsidRPr="00AF05FE">
        <w:t xml:space="preserve"> </w:t>
      </w:r>
      <w:r>
        <w:t>summary</w:t>
      </w:r>
      <w:r w:rsidRPr="00AF05FE">
        <w:t xml:space="preserve"> </w:t>
      </w:r>
      <w:r>
        <w:t>of</w:t>
      </w:r>
      <w:r w:rsidRPr="00AF05FE">
        <w:t xml:space="preserve"> </w:t>
      </w:r>
      <w:r>
        <w:t>the</w:t>
      </w:r>
      <w:r>
        <w:rPr>
          <w:spacing w:val="87"/>
          <w:w w:val="99"/>
        </w:rPr>
        <w:t xml:space="preserve"> </w:t>
      </w:r>
      <w:r>
        <w:t>Australian</w:t>
      </w:r>
      <w:r w:rsidRPr="00AF05FE">
        <w:t xml:space="preserve"> </w:t>
      </w:r>
      <w:r>
        <w:t>Register</w:t>
      </w:r>
      <w:r w:rsidRPr="00AF05FE">
        <w:t xml:space="preserve"> </w:t>
      </w:r>
      <w:r>
        <w:t>of</w:t>
      </w:r>
      <w:r w:rsidRPr="00AF05FE">
        <w:t xml:space="preserve"> </w:t>
      </w:r>
      <w:r>
        <w:t>Therapeutic</w:t>
      </w:r>
      <w:r w:rsidRPr="00AF05FE">
        <w:t xml:space="preserve"> </w:t>
      </w:r>
      <w:r>
        <w:t>Goods</w:t>
      </w:r>
      <w:r w:rsidRPr="00AF05FE">
        <w:t xml:space="preserve"> </w:t>
      </w:r>
      <w:r>
        <w:t>(ARTG).</w:t>
      </w:r>
      <w:r w:rsidRPr="00AF05FE">
        <w:t xml:space="preserve"> </w:t>
      </w:r>
      <w:r>
        <w:t>The</w:t>
      </w:r>
      <w:r w:rsidRPr="00AF05FE">
        <w:t xml:space="preserve"> </w:t>
      </w:r>
      <w:r>
        <w:t>expiry</w:t>
      </w:r>
      <w:r w:rsidRPr="00AF05FE">
        <w:t xml:space="preserve"> </w:t>
      </w:r>
      <w:r>
        <w:t>date</w:t>
      </w:r>
      <w:r w:rsidRPr="00AF05FE">
        <w:t xml:space="preserve"> </w:t>
      </w:r>
      <w:r>
        <w:t>can</w:t>
      </w:r>
      <w:r w:rsidRPr="00AF05FE">
        <w:t xml:space="preserve"> </w:t>
      </w:r>
      <w:r>
        <w:t>be</w:t>
      </w:r>
      <w:r w:rsidRPr="00AF05FE">
        <w:t xml:space="preserve"> </w:t>
      </w:r>
      <w:r>
        <w:t>found</w:t>
      </w:r>
      <w:r w:rsidRPr="00AF05FE">
        <w:t xml:space="preserve"> </w:t>
      </w:r>
      <w:r>
        <w:t>on</w:t>
      </w:r>
      <w:r w:rsidRPr="00AF05FE">
        <w:t xml:space="preserve"> </w:t>
      </w:r>
      <w:r>
        <w:t>the</w:t>
      </w:r>
      <w:r w:rsidRPr="00AF05FE">
        <w:t xml:space="preserve"> </w:t>
      </w:r>
      <w:r>
        <w:t>packaging.</w:t>
      </w:r>
    </w:p>
    <w:p w14:paraId="64E800C5" w14:textId="77777777" w:rsidR="004F202A" w:rsidRPr="00F644FD" w:rsidRDefault="004F202A" w:rsidP="004F202A">
      <w:pPr>
        <w:pStyle w:val="Heading2"/>
        <w:rPr>
          <w:rFonts w:eastAsia="Cambria"/>
        </w:rPr>
      </w:pPr>
      <w:r w:rsidRPr="00F644FD">
        <w:rPr>
          <w:rFonts w:eastAsia="Cambria"/>
        </w:rPr>
        <w:t>6.4</w:t>
      </w:r>
      <w:r w:rsidRPr="00F644FD">
        <w:rPr>
          <w:rFonts w:eastAsia="Cambria"/>
        </w:rPr>
        <w:tab/>
        <w:t>SPECIAL PRECAUTIONS FOR STORAGE</w:t>
      </w:r>
    </w:p>
    <w:p w14:paraId="3372731D" w14:textId="77777777" w:rsidR="004F202A" w:rsidRPr="00F644FD" w:rsidRDefault="004F202A" w:rsidP="004F202A">
      <w:r w:rsidRPr="00F644FD">
        <w:t>Store below 30</w:t>
      </w:r>
      <w:r w:rsidRPr="00F644FD">
        <w:rPr>
          <w:rFonts w:ascii="Arial Unicode MS" w:eastAsia="Arial Unicode MS" w:hAnsi="Arial Unicode MS" w:cs="Arial Unicode MS"/>
        </w:rPr>
        <w:t>º</w:t>
      </w:r>
      <w:r w:rsidRPr="00F644FD">
        <w:t xml:space="preserve">C.  </w:t>
      </w:r>
      <w:proofErr w:type="gramStart"/>
      <w:r w:rsidRPr="00F644FD">
        <w:t>Store in original packaging.</w:t>
      </w:r>
      <w:proofErr w:type="gramEnd"/>
    </w:p>
    <w:p w14:paraId="5CBE20CA" w14:textId="77777777" w:rsidR="004F202A" w:rsidRPr="00F644FD" w:rsidRDefault="004F202A" w:rsidP="004F202A">
      <w:pPr>
        <w:pStyle w:val="Heading2"/>
        <w:rPr>
          <w:rFonts w:eastAsia="Cambria"/>
        </w:rPr>
      </w:pPr>
      <w:r w:rsidRPr="00F644FD">
        <w:rPr>
          <w:rFonts w:eastAsia="Cambria"/>
        </w:rPr>
        <w:t>6.5</w:t>
      </w:r>
      <w:r w:rsidRPr="00F644FD">
        <w:rPr>
          <w:rFonts w:eastAsia="Cambria"/>
        </w:rPr>
        <w:tab/>
        <w:t>NATURE AND CONTENTS OF CONTAINER</w:t>
      </w:r>
    </w:p>
    <w:p w14:paraId="7887984A" w14:textId="79E93A71" w:rsidR="002179CB" w:rsidRPr="00F644FD" w:rsidRDefault="00D0211F" w:rsidP="00B81855">
      <w:r w:rsidRPr="00F644FD">
        <w:t xml:space="preserve">Available in </w:t>
      </w:r>
      <w:r w:rsidR="00E905A5" w:rsidRPr="00F644FD">
        <w:t xml:space="preserve">aluminium/ aluminium </w:t>
      </w:r>
      <w:r w:rsidR="00BD0ABA" w:rsidRPr="00F644FD">
        <w:t>blister</w:t>
      </w:r>
      <w:r w:rsidRPr="00F644FD">
        <w:t xml:space="preserve"> packs </w:t>
      </w:r>
      <w:r w:rsidR="00167548" w:rsidRPr="00F644FD">
        <w:t xml:space="preserve">of </w:t>
      </w:r>
      <w:r w:rsidR="00383192" w:rsidRPr="00F644FD">
        <w:t>14</w:t>
      </w:r>
      <w:r w:rsidR="00133335" w:rsidRPr="00F644FD">
        <w:t> </w:t>
      </w:r>
      <w:r w:rsidR="00167548" w:rsidRPr="00F644FD">
        <w:t>tablets</w:t>
      </w:r>
      <w:r w:rsidR="006A716A" w:rsidRPr="00F644FD">
        <w:t xml:space="preserve"> (starter packs)</w:t>
      </w:r>
      <w:r w:rsidR="00167548" w:rsidRPr="00F644FD">
        <w:t xml:space="preserve"> and </w:t>
      </w:r>
      <w:r w:rsidR="00383192" w:rsidRPr="00F644FD">
        <w:t>56</w:t>
      </w:r>
      <w:r w:rsidR="00167548" w:rsidRPr="00F644FD">
        <w:t xml:space="preserve"> tablets</w:t>
      </w:r>
      <w:r w:rsidR="001C6DD7" w:rsidRPr="00F644FD">
        <w:t>.</w:t>
      </w:r>
    </w:p>
    <w:p w14:paraId="50C7D12F" w14:textId="77777777" w:rsidR="00B81855" w:rsidRPr="00F644FD" w:rsidRDefault="00B81855" w:rsidP="00B81855"/>
    <w:p w14:paraId="214FACF4" w14:textId="6D002420" w:rsidR="001C6DD7" w:rsidRPr="00F644FD" w:rsidRDefault="001C6DD7" w:rsidP="00B81855">
      <w:r w:rsidRPr="00F644FD">
        <w:t>Not all packs may be supplied.</w:t>
      </w:r>
    </w:p>
    <w:p w14:paraId="70F803C6" w14:textId="77777777" w:rsidR="00430475" w:rsidRPr="00F644FD" w:rsidRDefault="00430475" w:rsidP="00430475">
      <w:pPr>
        <w:pStyle w:val="Heading2"/>
        <w:rPr>
          <w:rFonts w:eastAsia="Cambria"/>
        </w:rPr>
      </w:pPr>
      <w:r w:rsidRPr="00F644FD">
        <w:rPr>
          <w:rFonts w:eastAsia="Cambria"/>
        </w:rPr>
        <w:t>6.6</w:t>
      </w:r>
      <w:r w:rsidRPr="00F644FD">
        <w:rPr>
          <w:rFonts w:eastAsia="Cambria"/>
        </w:rPr>
        <w:tab/>
        <w:t>SPECIAL PRECAUTIONS FOR DISPOSAL</w:t>
      </w:r>
    </w:p>
    <w:p w14:paraId="75B5C0E2" w14:textId="77777777" w:rsidR="00430475" w:rsidRPr="00F644FD" w:rsidRDefault="00430475" w:rsidP="00430475">
      <w:pPr>
        <w:rPr>
          <w:rFonts w:eastAsia="Cambria"/>
        </w:rPr>
      </w:pPr>
      <w:r w:rsidRPr="00F644FD">
        <w:rPr>
          <w:rFonts w:eastAsia="Cambria"/>
        </w:rPr>
        <w:t>In Australia, any unused medicine or waste material should be disposed of by taking to your local pharmacy.</w:t>
      </w:r>
    </w:p>
    <w:p w14:paraId="58B584FA" w14:textId="77777777" w:rsidR="00430475" w:rsidRPr="00F644FD" w:rsidRDefault="00430475" w:rsidP="00430475">
      <w:pPr>
        <w:pStyle w:val="Heading2"/>
        <w:rPr>
          <w:rFonts w:eastAsia="Cambria"/>
        </w:rPr>
      </w:pPr>
      <w:r w:rsidRPr="00F644FD">
        <w:rPr>
          <w:rFonts w:eastAsia="Cambria"/>
        </w:rPr>
        <w:t>6.7</w:t>
      </w:r>
      <w:r w:rsidRPr="00F644FD">
        <w:rPr>
          <w:rFonts w:eastAsia="Cambria"/>
        </w:rPr>
        <w:tab/>
        <w:t>PHYSICOCHEMICAL PROPERTIES</w:t>
      </w:r>
    </w:p>
    <w:p w14:paraId="430CEAAA" w14:textId="77777777" w:rsidR="00430475" w:rsidRPr="00F644FD" w:rsidRDefault="00430475" w:rsidP="00430475">
      <w:pPr>
        <w:pStyle w:val="Heading3"/>
      </w:pPr>
      <w:r w:rsidRPr="00F644FD">
        <w:t>Chemical structure</w:t>
      </w:r>
    </w:p>
    <w:p w14:paraId="7BA12782" w14:textId="77777777" w:rsidR="00430475" w:rsidRPr="00F644FD" w:rsidRDefault="00430475" w:rsidP="00430475">
      <w:pPr>
        <w:pStyle w:val="Heading5"/>
      </w:pPr>
      <w:proofErr w:type="spellStart"/>
      <w:r w:rsidRPr="00F644FD">
        <w:t>Ertugliflozin</w:t>
      </w:r>
      <w:proofErr w:type="spellEnd"/>
    </w:p>
    <w:p w14:paraId="7075B1F7" w14:textId="1FFA4EE2" w:rsidR="00430475" w:rsidRPr="00F644FD" w:rsidRDefault="00430475" w:rsidP="00430475">
      <w:r w:rsidRPr="00F644FD">
        <w:t xml:space="preserve">SEGLUROMET tablets contain </w:t>
      </w:r>
      <w:proofErr w:type="spellStart"/>
      <w:r w:rsidRPr="00F644FD">
        <w:t>ertugliflozin</w:t>
      </w:r>
      <w:proofErr w:type="spellEnd"/>
      <w:r w:rsidRPr="00F644FD">
        <w:t xml:space="preserve"> </w:t>
      </w:r>
      <w:proofErr w:type="spellStart"/>
      <w:r w:rsidRPr="00F644FD">
        <w:t>pyroglutamic</w:t>
      </w:r>
      <w:proofErr w:type="spellEnd"/>
      <w:r w:rsidRPr="00F644FD">
        <w:t xml:space="preserve"> acid, the isolated form of the active ingredient </w:t>
      </w:r>
      <w:proofErr w:type="spellStart"/>
      <w:r w:rsidRPr="00F644FD">
        <w:t>ertugliflozin</w:t>
      </w:r>
      <w:proofErr w:type="spellEnd"/>
      <w:r w:rsidRPr="00F644FD">
        <w:t xml:space="preserve">.  The chemical name of </w:t>
      </w:r>
      <w:proofErr w:type="spellStart"/>
      <w:r w:rsidRPr="00F644FD">
        <w:t>ertugliflozin</w:t>
      </w:r>
      <w:proofErr w:type="spellEnd"/>
      <w:r w:rsidRPr="00F644FD">
        <w:t xml:space="preserve"> </w:t>
      </w:r>
      <w:proofErr w:type="spellStart"/>
      <w:r w:rsidRPr="00F644FD">
        <w:t>pyroglutamic</w:t>
      </w:r>
      <w:proofErr w:type="spellEnd"/>
      <w:r w:rsidRPr="00F644FD">
        <w:t xml:space="preserve"> acid is (1</w:t>
      </w:r>
      <w:r w:rsidRPr="00F644FD" w:rsidDel="00A6046A">
        <w:rPr>
          <w:i/>
        </w:rPr>
        <w:t>S</w:t>
      </w:r>
      <w:r w:rsidRPr="00F644FD">
        <w:t>,2</w:t>
      </w:r>
      <w:r w:rsidRPr="00F644FD" w:rsidDel="00A6046A">
        <w:rPr>
          <w:i/>
        </w:rPr>
        <w:t>S</w:t>
      </w:r>
      <w:r w:rsidRPr="00F644FD">
        <w:t>,3</w:t>
      </w:r>
      <w:r w:rsidRPr="00F644FD" w:rsidDel="00A6046A">
        <w:t xml:space="preserve"> </w:t>
      </w:r>
      <w:r w:rsidRPr="00F644FD" w:rsidDel="00A6046A">
        <w:rPr>
          <w:i/>
        </w:rPr>
        <w:t>S</w:t>
      </w:r>
      <w:r w:rsidRPr="00F644FD">
        <w:t>,4</w:t>
      </w:r>
      <w:r w:rsidRPr="00F644FD">
        <w:rPr>
          <w:i/>
        </w:rPr>
        <w:t>R</w:t>
      </w:r>
      <w:r w:rsidRPr="00F644FD">
        <w:t>,5</w:t>
      </w:r>
      <w:r w:rsidRPr="00F644FD" w:rsidDel="00A6046A">
        <w:rPr>
          <w:i/>
        </w:rPr>
        <w:t>S</w:t>
      </w:r>
      <w:r w:rsidRPr="00F644FD">
        <w:t>)-5-(4-chloro-3-(4-ethoxybenzyl)phenyl)-1-(hydroxymethyl)-6,8-dioxabicyclo[3.2.1]octane-2,3,4-triol, compound with (2</w:t>
      </w:r>
      <w:r w:rsidRPr="00F644FD" w:rsidDel="00A6046A">
        <w:rPr>
          <w:i/>
        </w:rPr>
        <w:t>S</w:t>
      </w:r>
      <w:r w:rsidRPr="00F644FD">
        <w:t>)-5-oxopyrrolidine-2-carboxylic acid.  The molecular formula is C</w:t>
      </w:r>
      <w:r w:rsidRPr="00F644FD">
        <w:rPr>
          <w:vertAlign w:val="subscript"/>
        </w:rPr>
        <w:t>27</w:t>
      </w:r>
      <w:r w:rsidRPr="00F644FD">
        <w:t>H</w:t>
      </w:r>
      <w:r w:rsidRPr="00F644FD">
        <w:rPr>
          <w:vertAlign w:val="subscript"/>
        </w:rPr>
        <w:t>32</w:t>
      </w:r>
      <w:r w:rsidRPr="00F644FD">
        <w:t>ClNO</w:t>
      </w:r>
      <w:r w:rsidRPr="00F644FD">
        <w:rPr>
          <w:vertAlign w:val="subscript"/>
        </w:rPr>
        <w:t>10</w:t>
      </w:r>
      <w:r w:rsidRPr="00F644FD">
        <w:t xml:space="preserve"> and the molecular weight is 566.00.</w:t>
      </w:r>
    </w:p>
    <w:p w14:paraId="6E3947CA" w14:textId="77777777" w:rsidR="00430475" w:rsidRPr="00F644FD" w:rsidRDefault="00430475" w:rsidP="00430475"/>
    <w:p w14:paraId="2684025A" w14:textId="77777777" w:rsidR="00430475" w:rsidRPr="00F644FD" w:rsidRDefault="00430475" w:rsidP="00430475">
      <w:r w:rsidRPr="00F644FD">
        <w:t>The chemical structure is:</w:t>
      </w:r>
    </w:p>
    <w:p w14:paraId="315AF4D0" w14:textId="77777777" w:rsidR="00430475" w:rsidRPr="00F644FD" w:rsidRDefault="00430475" w:rsidP="00430475">
      <w:pPr>
        <w:autoSpaceDE w:val="0"/>
        <w:autoSpaceDN w:val="0"/>
        <w:adjustRightInd w:val="0"/>
        <w:rPr>
          <w:rFonts w:cs="Arial"/>
        </w:rPr>
      </w:pPr>
      <w:r w:rsidRPr="00F644FD">
        <w:object w:dxaOrig="3590" w:dyaOrig="1617" w14:anchorId="1D3E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81.75pt" o:ole="">
            <v:imagedata r:id="rId20" o:title=""/>
          </v:shape>
          <o:OLEObject Type="Embed" ProgID="ChemDraw.Document.6.0" ShapeID="_x0000_i1025" DrawAspect="Content" ObjectID="_1615120085" r:id="rId21"/>
        </w:object>
      </w:r>
    </w:p>
    <w:p w14:paraId="096E994C" w14:textId="77777777" w:rsidR="00430475" w:rsidRPr="00F644FD" w:rsidRDefault="00430475" w:rsidP="00430475">
      <w:proofErr w:type="spellStart"/>
      <w:r w:rsidRPr="00F644FD">
        <w:t>Ertugliflozin</w:t>
      </w:r>
      <w:proofErr w:type="spellEnd"/>
      <w:r w:rsidRPr="00F644FD">
        <w:t xml:space="preserve"> </w:t>
      </w:r>
      <w:proofErr w:type="spellStart"/>
      <w:r w:rsidRPr="00F644FD">
        <w:t>pyroglutamic</w:t>
      </w:r>
      <w:proofErr w:type="spellEnd"/>
      <w:r w:rsidRPr="00F644FD">
        <w:t xml:space="preserve"> acid is a white to off-white powder that is soluble in ethyl alcohol and acetone, slightly soluble in ethyl acetate and acetonitrile and very slightly soluble in water.</w:t>
      </w:r>
    </w:p>
    <w:p w14:paraId="72FBA1E4" w14:textId="77777777" w:rsidR="00430475" w:rsidRPr="00F644FD" w:rsidRDefault="00430475" w:rsidP="00430475">
      <w:pPr>
        <w:pStyle w:val="Heading5"/>
      </w:pPr>
      <w:r w:rsidRPr="00F644FD">
        <w:lastRenderedPageBreak/>
        <w:t xml:space="preserve">Metformin hydrochloride </w:t>
      </w:r>
    </w:p>
    <w:p w14:paraId="3A7EAB41" w14:textId="28318CE3" w:rsidR="00430475" w:rsidRPr="00F644FD" w:rsidRDefault="00430475" w:rsidP="00430475">
      <w:r w:rsidRPr="00F644FD">
        <w:t>Metformin hydrochloride (</w:t>
      </w:r>
      <w:r w:rsidRPr="00F644FD">
        <w:rPr>
          <w:i/>
          <w:iCs/>
        </w:rPr>
        <w:t>N</w:t>
      </w:r>
      <w:proofErr w:type="gramStart"/>
      <w:r w:rsidRPr="00F644FD">
        <w:t>,</w:t>
      </w:r>
      <w:r w:rsidRPr="00F644FD">
        <w:rPr>
          <w:i/>
          <w:iCs/>
        </w:rPr>
        <w:t>N</w:t>
      </w:r>
      <w:proofErr w:type="gramEnd"/>
      <w:r w:rsidRPr="00F644FD">
        <w:t>-</w:t>
      </w:r>
      <w:proofErr w:type="spellStart"/>
      <w:r w:rsidRPr="00F644FD">
        <w:t>dimethylimidodicarbonimidic</w:t>
      </w:r>
      <w:proofErr w:type="spellEnd"/>
      <w:r w:rsidRPr="00F644FD">
        <w:t xml:space="preserve"> </w:t>
      </w:r>
      <w:proofErr w:type="spellStart"/>
      <w:r w:rsidRPr="00F644FD">
        <w:t>diamide</w:t>
      </w:r>
      <w:proofErr w:type="spellEnd"/>
      <w:r w:rsidRPr="00F644FD">
        <w:t xml:space="preserve"> hydrochloride) is not chemically or pharmacologically related to any other classes of oral </w:t>
      </w:r>
      <w:proofErr w:type="spellStart"/>
      <w:r w:rsidRPr="00F644FD">
        <w:t>antihyperglycaemic</w:t>
      </w:r>
      <w:proofErr w:type="spellEnd"/>
      <w:r w:rsidRPr="00F644FD">
        <w:t xml:space="preserve"> agents.  The structural formula is as shown:</w:t>
      </w:r>
    </w:p>
    <w:p w14:paraId="287CA705" w14:textId="77777777" w:rsidR="00430475" w:rsidRPr="00F644FD" w:rsidRDefault="00430475" w:rsidP="00430475">
      <w:r w:rsidRPr="00F644FD">
        <w:rPr>
          <w:noProof/>
          <w:lang w:eastAsia="en-AU"/>
        </w:rPr>
        <w:drawing>
          <wp:inline distT="0" distB="0" distL="0" distR="0" wp14:anchorId="395AE219" wp14:editId="6EA0A163">
            <wp:extent cx="2255520" cy="914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5520" cy="914400"/>
                    </a:xfrm>
                    <a:prstGeom prst="rect">
                      <a:avLst/>
                    </a:prstGeom>
                    <a:noFill/>
                    <a:ln>
                      <a:noFill/>
                    </a:ln>
                  </pic:spPr>
                </pic:pic>
              </a:graphicData>
            </a:graphic>
          </wp:inline>
        </w:drawing>
      </w:r>
    </w:p>
    <w:p w14:paraId="51202C74" w14:textId="77777777" w:rsidR="00430475" w:rsidRPr="00F644FD" w:rsidRDefault="00430475" w:rsidP="00430475">
      <w:r w:rsidRPr="00F644FD">
        <w:t>Metformin hydrochloride is a white to off-white crystalline compound with a molecular formula of C</w:t>
      </w:r>
      <w:r w:rsidRPr="00F644FD">
        <w:rPr>
          <w:vertAlign w:val="subscript"/>
        </w:rPr>
        <w:t>4</w:t>
      </w:r>
      <w:r w:rsidRPr="00F644FD">
        <w:t>H</w:t>
      </w:r>
      <w:r w:rsidRPr="00F644FD">
        <w:rPr>
          <w:vertAlign w:val="subscript"/>
        </w:rPr>
        <w:t>11</w:t>
      </w:r>
      <w:r w:rsidRPr="00F644FD">
        <w:t>N</w:t>
      </w:r>
      <w:r w:rsidRPr="00F644FD">
        <w:rPr>
          <w:vertAlign w:val="subscript"/>
        </w:rPr>
        <w:t>5</w:t>
      </w:r>
      <w:r w:rsidRPr="00F644FD">
        <w:t xml:space="preserve">•HCl and a molecular weight of 165.63.  Metformin hydrochloride is freely soluble in water and is practically insoluble in acetone, ether and chloroform.  The </w:t>
      </w:r>
      <w:proofErr w:type="spellStart"/>
      <w:r w:rsidRPr="00F644FD">
        <w:t>pK</w:t>
      </w:r>
      <w:r w:rsidRPr="00F644FD">
        <w:rPr>
          <w:vertAlign w:val="subscript"/>
        </w:rPr>
        <w:t>a</w:t>
      </w:r>
      <w:proofErr w:type="spellEnd"/>
      <w:r w:rsidRPr="00F644FD">
        <w:t xml:space="preserve"> of metformin is 12.4.  The pH of a 1% aqueous solution of metformin hydrochloride is 6.68.</w:t>
      </w:r>
    </w:p>
    <w:p w14:paraId="6C5E9F38" w14:textId="77777777" w:rsidR="00430475" w:rsidRPr="00F644FD" w:rsidRDefault="00430475" w:rsidP="00430475">
      <w:pPr>
        <w:pStyle w:val="Heading3"/>
      </w:pPr>
      <w:r w:rsidRPr="00F644FD">
        <w:t>CAS number</w:t>
      </w:r>
    </w:p>
    <w:p w14:paraId="28E782C5" w14:textId="77777777" w:rsidR="00430475" w:rsidRPr="00F644FD" w:rsidRDefault="00430475" w:rsidP="00430475">
      <w:pPr>
        <w:pStyle w:val="Heading5"/>
      </w:pPr>
      <w:proofErr w:type="spellStart"/>
      <w:r w:rsidRPr="00F644FD">
        <w:t>Ertugliflozin</w:t>
      </w:r>
      <w:proofErr w:type="spellEnd"/>
    </w:p>
    <w:p w14:paraId="2A38ED8E" w14:textId="34D8C296" w:rsidR="00430475" w:rsidRPr="00F644FD" w:rsidRDefault="00430475" w:rsidP="00B81855">
      <w:r w:rsidRPr="00F644FD">
        <w:t xml:space="preserve">The CAS Registry Number is </w:t>
      </w:r>
      <w:r w:rsidRPr="00F644FD">
        <w:rPr>
          <w:rFonts w:cs="Arial"/>
          <w:szCs w:val="22"/>
        </w:rPr>
        <w:t>1210344-83-4</w:t>
      </w:r>
      <w:r w:rsidRPr="00F644FD">
        <w:t>.</w:t>
      </w:r>
    </w:p>
    <w:p w14:paraId="7EDB108F" w14:textId="77777777" w:rsidR="00430475" w:rsidRPr="00F644FD" w:rsidRDefault="00430475" w:rsidP="00430475">
      <w:pPr>
        <w:pStyle w:val="Heading5"/>
      </w:pPr>
      <w:r w:rsidRPr="00F644FD">
        <w:t xml:space="preserve">Metformin hydrochloride </w:t>
      </w:r>
    </w:p>
    <w:p w14:paraId="076AA0E7" w14:textId="795C6E68" w:rsidR="00430475" w:rsidRPr="00F644FD" w:rsidRDefault="00430475" w:rsidP="00B81855">
      <w:r w:rsidRPr="00F644FD">
        <w:t>The CAS Registry Number is 1115-70-4.</w:t>
      </w:r>
    </w:p>
    <w:p w14:paraId="3D4CBB60" w14:textId="77777777" w:rsidR="00430475" w:rsidRPr="00F644FD" w:rsidRDefault="00430475" w:rsidP="00430475">
      <w:pPr>
        <w:pStyle w:val="Heading1"/>
      </w:pPr>
      <w:r w:rsidRPr="00F644FD">
        <w:t>7</w:t>
      </w:r>
      <w:r w:rsidRPr="00F644FD">
        <w:tab/>
        <w:t>MEDICINE SCHEDULE (POISONS STANDARD)</w:t>
      </w:r>
    </w:p>
    <w:p w14:paraId="43BD2186" w14:textId="77777777" w:rsidR="00430475" w:rsidRPr="00F644FD" w:rsidRDefault="00430475" w:rsidP="00430475">
      <w:pPr>
        <w:rPr>
          <w:rFonts w:eastAsia="Cambria"/>
        </w:rPr>
      </w:pPr>
      <w:r w:rsidRPr="00F644FD">
        <w:rPr>
          <w:rFonts w:eastAsia="Cambria"/>
        </w:rPr>
        <w:t>Prescription only medicine (S4)</w:t>
      </w:r>
    </w:p>
    <w:p w14:paraId="49BBEEBE" w14:textId="77777777" w:rsidR="00430475" w:rsidRPr="00F644FD" w:rsidRDefault="00430475" w:rsidP="00430475">
      <w:pPr>
        <w:pStyle w:val="Heading1"/>
      </w:pPr>
      <w:r w:rsidRPr="00F644FD">
        <w:t>8</w:t>
      </w:r>
      <w:r w:rsidRPr="00F644FD">
        <w:tab/>
        <w:t>SPONSOR</w:t>
      </w:r>
    </w:p>
    <w:p w14:paraId="49C2B96D" w14:textId="77777777" w:rsidR="00430475" w:rsidRPr="00F644FD" w:rsidRDefault="00430475" w:rsidP="00430475">
      <w:pPr>
        <w:rPr>
          <w:rFonts w:eastAsia="Cambria"/>
        </w:rPr>
      </w:pPr>
      <w:r w:rsidRPr="00F644FD">
        <w:rPr>
          <w:rFonts w:eastAsia="Cambria"/>
        </w:rPr>
        <w:t>Merck Sharp &amp; Dohme (Australia) Pty Limited</w:t>
      </w:r>
    </w:p>
    <w:p w14:paraId="4E507299" w14:textId="77777777" w:rsidR="00430475" w:rsidRPr="00F644FD" w:rsidRDefault="00430475" w:rsidP="00430475">
      <w:pPr>
        <w:rPr>
          <w:rFonts w:eastAsia="Cambria"/>
        </w:rPr>
      </w:pPr>
      <w:r w:rsidRPr="00F644FD">
        <w:rPr>
          <w:rFonts w:eastAsia="Cambria"/>
        </w:rPr>
        <w:t xml:space="preserve">Level 1, Building A, 26 Talavera Rd </w:t>
      </w:r>
    </w:p>
    <w:p w14:paraId="7F4935EA" w14:textId="77777777" w:rsidR="00430475" w:rsidRDefault="00430475" w:rsidP="00430475">
      <w:pPr>
        <w:rPr>
          <w:rFonts w:eastAsia="Cambria"/>
        </w:rPr>
      </w:pPr>
      <w:r w:rsidRPr="00F644FD">
        <w:rPr>
          <w:rFonts w:eastAsia="Cambria"/>
        </w:rPr>
        <w:t>Macquarie Park NSW 2113</w:t>
      </w:r>
    </w:p>
    <w:p w14:paraId="10FD7976" w14:textId="0765AB76" w:rsidR="00430F3A" w:rsidRPr="00F644FD" w:rsidRDefault="00430F3A" w:rsidP="00430475">
      <w:pPr>
        <w:rPr>
          <w:rFonts w:eastAsia="Cambria"/>
        </w:rPr>
      </w:pPr>
      <w:r w:rsidRPr="00430F3A">
        <w:rPr>
          <w:rFonts w:eastAsia="Cambria"/>
        </w:rPr>
        <w:t>www.msd-australia.com.au</w:t>
      </w:r>
    </w:p>
    <w:p w14:paraId="36A64626" w14:textId="77777777" w:rsidR="00430475" w:rsidRPr="00F644FD" w:rsidRDefault="00430475" w:rsidP="00430475">
      <w:pPr>
        <w:pStyle w:val="Heading1"/>
      </w:pPr>
      <w:r w:rsidRPr="00F644FD">
        <w:t>9</w:t>
      </w:r>
      <w:r w:rsidRPr="00F644FD">
        <w:tab/>
        <w:t>DATE OF FIRST APPROVAL</w:t>
      </w:r>
    </w:p>
    <w:p w14:paraId="23DDE81D" w14:textId="4F9EF87A" w:rsidR="00430475" w:rsidRPr="00F644FD" w:rsidRDefault="002A4407" w:rsidP="00430475">
      <w:r>
        <w:t>1</w:t>
      </w:r>
      <w:r w:rsidR="00023837">
        <w:t>5</w:t>
      </w:r>
      <w:r>
        <w:t>-May-2018</w:t>
      </w:r>
    </w:p>
    <w:p w14:paraId="131E5EE1" w14:textId="77777777" w:rsidR="00430475" w:rsidRPr="00F644FD" w:rsidRDefault="00430475" w:rsidP="00430475">
      <w:pPr>
        <w:pStyle w:val="Heading1"/>
      </w:pPr>
      <w:r w:rsidRPr="00F644FD">
        <w:t>10</w:t>
      </w:r>
      <w:r w:rsidRPr="00F644FD">
        <w:tab/>
        <w:t>DATE OF REVISION</w:t>
      </w:r>
    </w:p>
    <w:p w14:paraId="0F2A9603" w14:textId="77777777" w:rsidR="00430475" w:rsidRPr="00F644FD" w:rsidRDefault="00430475" w:rsidP="00430475">
      <w:pPr>
        <w:rPr>
          <w:rFonts w:eastAsia="Cambria"/>
          <w:b/>
          <w:bCs/>
        </w:rPr>
      </w:pPr>
      <w:r w:rsidRPr="00F644FD">
        <w:rPr>
          <w:rFonts w:eastAsia="Cambria"/>
          <w:b/>
          <w:bCs/>
        </w:rPr>
        <w:t>Summary table of changes</w:t>
      </w:r>
    </w:p>
    <w:p w14:paraId="6FC9B45F" w14:textId="77777777" w:rsidR="00430475" w:rsidRPr="00F644FD" w:rsidRDefault="00430475" w:rsidP="00430475">
      <w:pPr>
        <w:rPr>
          <w:rFonts w:eastAsia="Cambria"/>
          <w:b/>
          <w:bCs/>
        </w:rPr>
      </w:pPr>
    </w:p>
    <w:tbl>
      <w:tblPr>
        <w:tblW w:w="9146" w:type="dxa"/>
        <w:jc w:val="center"/>
        <w:tblLayout w:type="fixed"/>
        <w:tblCellMar>
          <w:top w:w="28" w:type="dxa"/>
          <w:left w:w="28" w:type="dxa"/>
          <w:bottom w:w="28" w:type="dxa"/>
          <w:right w:w="28" w:type="dxa"/>
        </w:tblCellMar>
        <w:tblLook w:val="01E0" w:firstRow="1" w:lastRow="1" w:firstColumn="1" w:lastColumn="1" w:noHBand="0" w:noVBand="0"/>
      </w:tblPr>
      <w:tblGrid>
        <w:gridCol w:w="2045"/>
        <w:gridCol w:w="7101"/>
      </w:tblGrid>
      <w:tr w:rsidR="00430475" w:rsidRPr="00F644FD" w14:paraId="351AB516" w14:textId="77777777" w:rsidTr="002A4407">
        <w:trPr>
          <w:cantSplit/>
          <w:jc w:val="center"/>
        </w:trPr>
        <w:tc>
          <w:tcPr>
            <w:tcW w:w="2045" w:type="dxa"/>
            <w:tcBorders>
              <w:top w:val="single" w:sz="5" w:space="0" w:color="002C47"/>
              <w:left w:val="single" w:sz="5" w:space="0" w:color="002C47"/>
              <w:bottom w:val="single" w:sz="13" w:space="0" w:color="002C47"/>
              <w:right w:val="single" w:sz="5" w:space="0" w:color="000000"/>
            </w:tcBorders>
            <w:vAlign w:val="center"/>
          </w:tcPr>
          <w:p w14:paraId="2819A510" w14:textId="77777777" w:rsidR="00430475" w:rsidRPr="00F644FD" w:rsidRDefault="00430475" w:rsidP="004D626B">
            <w:pPr>
              <w:widowControl w:val="0"/>
              <w:rPr>
                <w:rFonts w:eastAsia="Cambria" w:cs="Cambria"/>
                <w:b/>
                <w:bCs/>
                <w:szCs w:val="19"/>
              </w:rPr>
            </w:pPr>
            <w:r w:rsidRPr="00F644FD">
              <w:rPr>
                <w:rFonts w:eastAsia="Cambria"/>
                <w:b/>
                <w:bCs/>
                <w:szCs w:val="19"/>
              </w:rPr>
              <w:t>Section changed</w:t>
            </w:r>
          </w:p>
        </w:tc>
        <w:tc>
          <w:tcPr>
            <w:tcW w:w="7101" w:type="dxa"/>
            <w:tcBorders>
              <w:top w:val="single" w:sz="5" w:space="0" w:color="002C47"/>
              <w:left w:val="single" w:sz="5" w:space="0" w:color="000000"/>
              <w:bottom w:val="single" w:sz="13" w:space="0" w:color="002C47"/>
              <w:right w:val="single" w:sz="5" w:space="0" w:color="002C47"/>
            </w:tcBorders>
            <w:vAlign w:val="center"/>
          </w:tcPr>
          <w:p w14:paraId="7ADE16B9" w14:textId="77777777" w:rsidR="00430475" w:rsidRPr="00F644FD" w:rsidRDefault="00430475" w:rsidP="004D626B">
            <w:pPr>
              <w:widowControl w:val="0"/>
              <w:rPr>
                <w:rFonts w:eastAsia="Cambria" w:cs="Cambria"/>
                <w:b/>
                <w:bCs/>
                <w:szCs w:val="19"/>
              </w:rPr>
            </w:pPr>
            <w:r w:rsidRPr="00F644FD">
              <w:rPr>
                <w:rFonts w:eastAsia="Cambria"/>
                <w:b/>
                <w:bCs/>
                <w:szCs w:val="19"/>
              </w:rPr>
              <w:t>Summary of new information</w:t>
            </w:r>
          </w:p>
        </w:tc>
      </w:tr>
      <w:tr w:rsidR="00430475" w:rsidRPr="00F644FD" w14:paraId="704A225D" w14:textId="77777777" w:rsidTr="002A4407">
        <w:trPr>
          <w:cantSplit/>
          <w:jc w:val="center"/>
        </w:trPr>
        <w:tc>
          <w:tcPr>
            <w:tcW w:w="2045" w:type="dxa"/>
            <w:tcBorders>
              <w:top w:val="single" w:sz="13" w:space="0" w:color="002C47"/>
              <w:left w:val="single" w:sz="5" w:space="0" w:color="002C47"/>
              <w:bottom w:val="single" w:sz="5" w:space="0" w:color="002C47"/>
              <w:right w:val="single" w:sz="5" w:space="0" w:color="002C47"/>
            </w:tcBorders>
            <w:vAlign w:val="center"/>
          </w:tcPr>
          <w:p w14:paraId="5CA1ECD3" w14:textId="5C7EBC27" w:rsidR="00430475" w:rsidRPr="002A4407" w:rsidRDefault="002A4407" w:rsidP="004D626B">
            <w:pPr>
              <w:widowControl w:val="0"/>
              <w:rPr>
                <w:rFonts w:eastAsia="Cambria"/>
                <w:spacing w:val="-1"/>
                <w:szCs w:val="24"/>
              </w:rPr>
            </w:pPr>
            <w:r w:rsidRPr="002A4407">
              <w:rPr>
                <w:rFonts w:eastAsia="Cambria"/>
                <w:spacing w:val="-1"/>
                <w:szCs w:val="24"/>
              </w:rPr>
              <w:t>Not applicable</w:t>
            </w:r>
          </w:p>
        </w:tc>
        <w:tc>
          <w:tcPr>
            <w:tcW w:w="7101" w:type="dxa"/>
            <w:tcBorders>
              <w:top w:val="single" w:sz="13" w:space="0" w:color="002C47"/>
              <w:left w:val="single" w:sz="5" w:space="0" w:color="002C47"/>
              <w:bottom w:val="single" w:sz="5" w:space="0" w:color="002C47"/>
              <w:right w:val="single" w:sz="5" w:space="0" w:color="002C47"/>
            </w:tcBorders>
            <w:vAlign w:val="center"/>
          </w:tcPr>
          <w:p w14:paraId="4B0740B4" w14:textId="799604DD" w:rsidR="00430475" w:rsidRPr="002A4407" w:rsidRDefault="002A4407" w:rsidP="004D626B">
            <w:pPr>
              <w:widowControl w:val="0"/>
              <w:rPr>
                <w:rFonts w:eastAsia="Cambria"/>
                <w:spacing w:val="-1"/>
                <w:szCs w:val="24"/>
              </w:rPr>
            </w:pPr>
            <w:r w:rsidRPr="002A4407">
              <w:rPr>
                <w:rFonts w:eastAsia="Cambria"/>
                <w:spacing w:val="-1"/>
                <w:szCs w:val="24"/>
              </w:rPr>
              <w:t>New PI</w:t>
            </w:r>
          </w:p>
        </w:tc>
      </w:tr>
      <w:tr w:rsidR="00430475" w:rsidRPr="00F644FD" w14:paraId="1E7DFCB7" w14:textId="77777777" w:rsidTr="002A4407">
        <w:trPr>
          <w:cantSplit/>
          <w:jc w:val="center"/>
        </w:trPr>
        <w:tc>
          <w:tcPr>
            <w:tcW w:w="2045" w:type="dxa"/>
            <w:tcBorders>
              <w:top w:val="single" w:sz="5" w:space="0" w:color="002C47"/>
              <w:left w:val="single" w:sz="5" w:space="0" w:color="002C47"/>
              <w:bottom w:val="single" w:sz="5" w:space="0" w:color="002C47"/>
              <w:right w:val="single" w:sz="5" w:space="0" w:color="002C47"/>
            </w:tcBorders>
            <w:vAlign w:val="center"/>
          </w:tcPr>
          <w:p w14:paraId="671535FB" w14:textId="77777777" w:rsidR="00430475" w:rsidRPr="002A4407" w:rsidRDefault="00430475" w:rsidP="004D626B">
            <w:pPr>
              <w:widowControl w:val="0"/>
              <w:rPr>
                <w:rFonts w:eastAsia="Cambria"/>
                <w:spacing w:val="-1"/>
                <w:szCs w:val="24"/>
              </w:rPr>
            </w:pPr>
          </w:p>
        </w:tc>
        <w:tc>
          <w:tcPr>
            <w:tcW w:w="7101" w:type="dxa"/>
            <w:tcBorders>
              <w:top w:val="single" w:sz="5" w:space="0" w:color="002C47"/>
              <w:left w:val="single" w:sz="5" w:space="0" w:color="002C47"/>
              <w:bottom w:val="single" w:sz="5" w:space="0" w:color="002C47"/>
              <w:right w:val="single" w:sz="5" w:space="0" w:color="002C47"/>
            </w:tcBorders>
            <w:vAlign w:val="center"/>
          </w:tcPr>
          <w:p w14:paraId="33C4C31D" w14:textId="77777777" w:rsidR="00430475" w:rsidRPr="002A4407" w:rsidRDefault="00430475" w:rsidP="004D626B">
            <w:pPr>
              <w:widowControl w:val="0"/>
              <w:rPr>
                <w:rFonts w:eastAsia="Cambria"/>
                <w:spacing w:val="-1"/>
                <w:szCs w:val="24"/>
              </w:rPr>
            </w:pPr>
          </w:p>
        </w:tc>
      </w:tr>
      <w:tr w:rsidR="00430475" w:rsidRPr="00F644FD" w14:paraId="72B57834" w14:textId="77777777" w:rsidTr="002A4407">
        <w:trPr>
          <w:cantSplit/>
          <w:jc w:val="center"/>
        </w:trPr>
        <w:tc>
          <w:tcPr>
            <w:tcW w:w="2045" w:type="dxa"/>
            <w:tcBorders>
              <w:top w:val="single" w:sz="5" w:space="0" w:color="002C47"/>
              <w:left w:val="single" w:sz="5" w:space="0" w:color="002C47"/>
              <w:bottom w:val="single" w:sz="5" w:space="0" w:color="002C47"/>
              <w:right w:val="single" w:sz="5" w:space="0" w:color="002C47"/>
            </w:tcBorders>
            <w:vAlign w:val="center"/>
          </w:tcPr>
          <w:p w14:paraId="6254AF67" w14:textId="77777777" w:rsidR="00430475" w:rsidRPr="002A4407" w:rsidRDefault="00430475" w:rsidP="004D626B">
            <w:pPr>
              <w:widowControl w:val="0"/>
              <w:rPr>
                <w:rFonts w:eastAsia="Cambria"/>
                <w:spacing w:val="-1"/>
                <w:szCs w:val="24"/>
              </w:rPr>
            </w:pPr>
          </w:p>
        </w:tc>
        <w:tc>
          <w:tcPr>
            <w:tcW w:w="7101" w:type="dxa"/>
            <w:tcBorders>
              <w:top w:val="single" w:sz="5" w:space="0" w:color="002C47"/>
              <w:left w:val="single" w:sz="5" w:space="0" w:color="002C47"/>
              <w:bottom w:val="single" w:sz="5" w:space="0" w:color="002C47"/>
              <w:right w:val="single" w:sz="5" w:space="0" w:color="002C47"/>
            </w:tcBorders>
            <w:vAlign w:val="center"/>
          </w:tcPr>
          <w:p w14:paraId="65D9E1BA" w14:textId="77777777" w:rsidR="00430475" w:rsidRPr="002A4407" w:rsidRDefault="00430475" w:rsidP="004D626B">
            <w:pPr>
              <w:widowControl w:val="0"/>
              <w:rPr>
                <w:rFonts w:eastAsia="Cambria"/>
                <w:spacing w:val="-1"/>
                <w:szCs w:val="24"/>
              </w:rPr>
            </w:pPr>
          </w:p>
        </w:tc>
      </w:tr>
    </w:tbl>
    <w:p w14:paraId="68F841F4" w14:textId="0A0A086B" w:rsidR="0059045A" w:rsidRPr="00F644FD" w:rsidRDefault="0059045A" w:rsidP="009F0E06"/>
    <w:sectPr w:rsidR="0059045A" w:rsidRPr="00F644FD" w:rsidSect="004F0B76">
      <w:headerReference w:type="default" r:id="rId23"/>
      <w:footerReference w:type="default" r:id="rId24"/>
      <w:pgSz w:w="11907" w:h="16839" w:code="9"/>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D7B4B" w14:textId="77777777" w:rsidR="001B75BD" w:rsidRDefault="001B75BD">
      <w:r>
        <w:separator/>
      </w:r>
    </w:p>
  </w:endnote>
  <w:endnote w:type="continuationSeparator" w:id="0">
    <w:p w14:paraId="18A532FB" w14:textId="77777777" w:rsidR="001B75BD" w:rsidRDefault="001B75BD">
      <w:r>
        <w:continuationSeparator/>
      </w:r>
    </w:p>
  </w:endnote>
  <w:endnote w:type="continuationNotice" w:id="1">
    <w:p w14:paraId="15A00C64" w14:textId="77777777" w:rsidR="001B75BD" w:rsidRDefault="001B7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4223" w14:textId="3D19757D" w:rsidR="002A75E9" w:rsidRPr="006A6806" w:rsidRDefault="00F441DD" w:rsidP="006A6806">
    <w:pPr>
      <w:pStyle w:val="Header"/>
      <w:jc w:val="center"/>
      <w:rPr>
        <w:sz w:val="18"/>
        <w:szCs w:val="18"/>
      </w:rPr>
    </w:pPr>
    <w:sdt>
      <w:sdtPr>
        <w:rPr>
          <w:sz w:val="18"/>
          <w:szCs w:val="18"/>
        </w:rPr>
        <w:id w:val="1827169309"/>
        <w:docPartObj>
          <w:docPartGallery w:val="Page Numbers (Bottom of Page)"/>
          <w:docPartUnique/>
        </w:docPartObj>
      </w:sdtPr>
      <w:sdtEndPr/>
      <w:sdtContent>
        <w:sdt>
          <w:sdtPr>
            <w:rPr>
              <w:sz w:val="18"/>
              <w:szCs w:val="18"/>
            </w:rPr>
            <w:id w:val="98381352"/>
            <w:docPartObj>
              <w:docPartGallery w:val="Page Numbers (Top of Page)"/>
              <w:docPartUnique/>
            </w:docPartObj>
          </w:sdtPr>
          <w:sdtEndPr/>
          <w:sdtContent>
            <w:r w:rsidR="002A75E9" w:rsidRPr="006A6806">
              <w:rPr>
                <w:sz w:val="18"/>
                <w:szCs w:val="18"/>
              </w:rPr>
              <w:t>CCDS-MK8835</w:t>
            </w:r>
            <w:r w:rsidR="002A75E9">
              <w:rPr>
                <w:sz w:val="18"/>
                <w:szCs w:val="18"/>
              </w:rPr>
              <w:t>B</w:t>
            </w:r>
            <w:r w:rsidR="002A75E9" w:rsidRPr="006A6806">
              <w:rPr>
                <w:sz w:val="18"/>
                <w:szCs w:val="18"/>
              </w:rPr>
              <w:t>-T-</w:t>
            </w:r>
            <w:r w:rsidR="002A75E9">
              <w:rPr>
                <w:sz w:val="18"/>
                <w:szCs w:val="18"/>
              </w:rPr>
              <w:t xml:space="preserve">032018 </w:t>
            </w:r>
            <w:r w:rsidR="002A75E9">
              <w:rPr>
                <w:sz w:val="18"/>
                <w:szCs w:val="18"/>
              </w:rPr>
              <w:tab/>
            </w:r>
            <w:r w:rsidR="002A75E9" w:rsidRPr="005619B4">
              <w:rPr>
                <w:sz w:val="18"/>
                <w:szCs w:val="18"/>
              </w:rPr>
              <w:t xml:space="preserve">Page </w:t>
            </w:r>
            <w:r w:rsidR="002A75E9" w:rsidRPr="005619B4">
              <w:rPr>
                <w:sz w:val="18"/>
                <w:szCs w:val="18"/>
              </w:rPr>
              <w:fldChar w:fldCharType="begin"/>
            </w:r>
            <w:r w:rsidR="002A75E9" w:rsidRPr="005619B4">
              <w:rPr>
                <w:sz w:val="18"/>
                <w:szCs w:val="18"/>
              </w:rPr>
              <w:instrText xml:space="preserve"> PAGE </w:instrText>
            </w:r>
            <w:r w:rsidR="002A75E9" w:rsidRPr="005619B4">
              <w:rPr>
                <w:sz w:val="18"/>
                <w:szCs w:val="18"/>
              </w:rPr>
              <w:fldChar w:fldCharType="separate"/>
            </w:r>
            <w:r>
              <w:rPr>
                <w:noProof/>
                <w:sz w:val="18"/>
                <w:szCs w:val="18"/>
              </w:rPr>
              <w:t>1</w:t>
            </w:r>
            <w:r w:rsidR="002A75E9" w:rsidRPr="005619B4">
              <w:rPr>
                <w:sz w:val="18"/>
                <w:szCs w:val="18"/>
              </w:rPr>
              <w:fldChar w:fldCharType="end"/>
            </w:r>
            <w:r w:rsidR="002A75E9" w:rsidRPr="005619B4">
              <w:rPr>
                <w:sz w:val="18"/>
                <w:szCs w:val="18"/>
              </w:rPr>
              <w:t xml:space="preserve"> of </w:t>
            </w:r>
            <w:r w:rsidR="002A75E9" w:rsidRPr="005619B4">
              <w:rPr>
                <w:sz w:val="18"/>
                <w:szCs w:val="18"/>
              </w:rPr>
              <w:fldChar w:fldCharType="begin"/>
            </w:r>
            <w:r w:rsidR="002A75E9" w:rsidRPr="005619B4">
              <w:rPr>
                <w:sz w:val="18"/>
                <w:szCs w:val="18"/>
              </w:rPr>
              <w:instrText xml:space="preserve"> NUMPAGES  </w:instrText>
            </w:r>
            <w:r w:rsidR="002A75E9" w:rsidRPr="005619B4">
              <w:rPr>
                <w:sz w:val="18"/>
                <w:szCs w:val="18"/>
              </w:rPr>
              <w:fldChar w:fldCharType="separate"/>
            </w:r>
            <w:r>
              <w:rPr>
                <w:noProof/>
                <w:sz w:val="18"/>
                <w:szCs w:val="18"/>
              </w:rPr>
              <w:t>36</w:t>
            </w:r>
            <w:r w:rsidR="002A75E9" w:rsidRPr="005619B4">
              <w:rPr>
                <w:sz w:val="18"/>
                <w:szCs w:val="18"/>
              </w:rPr>
              <w:fldChar w:fldCharType="end"/>
            </w:r>
            <w:r w:rsidR="002A75E9">
              <w:rPr>
                <w:sz w:val="18"/>
                <w:szCs w:val="18"/>
              </w:rPr>
              <w:tab/>
              <w:t>segluromet</w:t>
            </w:r>
            <w:r w:rsidR="0065757D">
              <w:rPr>
                <w:sz w:val="18"/>
                <w:szCs w:val="18"/>
              </w:rPr>
              <w:t>_</w:t>
            </w:r>
            <w:r w:rsidR="00C8383C">
              <w:rPr>
                <w:sz w:val="18"/>
                <w:szCs w:val="18"/>
              </w:rPr>
              <w:t>tab</w:t>
            </w:r>
            <w:r w:rsidR="0065757D">
              <w:rPr>
                <w:sz w:val="18"/>
                <w:szCs w:val="18"/>
              </w:rPr>
              <w:t>_</w:t>
            </w:r>
            <w:r w:rsidR="00C8383C">
              <w:rPr>
                <w:sz w:val="18"/>
                <w:szCs w:val="18"/>
              </w:rPr>
              <w:t>pi</w:t>
            </w:r>
            <w:r w:rsidR="0065757D">
              <w:rPr>
                <w:sz w:val="18"/>
                <w:szCs w:val="18"/>
              </w:rPr>
              <w:t>_</w:t>
            </w:r>
            <w:r w:rsidR="00C8383C">
              <w:rPr>
                <w:sz w:val="18"/>
                <w:szCs w:val="18"/>
              </w:rPr>
              <w:t>au</w:t>
            </w:r>
            <w:r w:rsidR="0065757D">
              <w:rPr>
                <w:sz w:val="18"/>
                <w:szCs w:val="18"/>
              </w:rPr>
              <w:t>_</w:t>
            </w:r>
            <w:r w:rsidR="00C8383C">
              <w:rPr>
                <w:sz w:val="18"/>
                <w:szCs w:val="18"/>
              </w:rPr>
              <w:t>A2018051</w:t>
            </w:r>
            <w:r w:rsidR="00023837">
              <w:rPr>
                <w:sz w:val="18"/>
                <w:szCs w:val="18"/>
              </w:rPr>
              <w:t>5</w:t>
            </w:r>
            <w:r w:rsidR="0065757D">
              <w:rPr>
                <w:sz w:val="18"/>
                <w:szCs w:val="18"/>
              </w:rPr>
              <w:t>_</w:t>
            </w:r>
            <w:r w:rsidR="00C8383C">
              <w:rPr>
                <w:sz w:val="18"/>
                <w:szCs w:val="18"/>
              </w:rPr>
              <w:t>v0.0</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DBB24" w14:textId="77777777" w:rsidR="001B75BD" w:rsidRDefault="001B75BD">
      <w:r>
        <w:separator/>
      </w:r>
    </w:p>
  </w:footnote>
  <w:footnote w:type="continuationSeparator" w:id="0">
    <w:p w14:paraId="0B895BBA" w14:textId="77777777" w:rsidR="001B75BD" w:rsidRDefault="001B75BD">
      <w:r>
        <w:continuationSeparator/>
      </w:r>
    </w:p>
  </w:footnote>
  <w:footnote w:type="continuationNotice" w:id="1">
    <w:p w14:paraId="5A0FFEC1" w14:textId="77777777" w:rsidR="001B75BD" w:rsidRDefault="001B75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F441DD" w:rsidRPr="002E7F61" w14:paraId="42CC9E5C" w14:textId="77777777" w:rsidTr="009450A7">
      <w:trPr>
        <w:trHeight w:val="590"/>
      </w:trPr>
      <w:tc>
        <w:tcPr>
          <w:tcW w:w="8720" w:type="dxa"/>
          <w:shd w:val="clear" w:color="auto" w:fill="E4F2E0"/>
        </w:tcPr>
        <w:p w14:paraId="55AC01C4" w14:textId="77777777" w:rsidR="00F441DD" w:rsidRPr="002E7F61" w:rsidRDefault="00F441DD" w:rsidP="009450A7">
          <w:pPr>
            <w:pStyle w:val="Footer"/>
            <w:rPr>
              <w:b/>
              <w:sz w:val="18"/>
              <w:szCs w:val="18"/>
            </w:rPr>
          </w:pPr>
          <w:r w:rsidRPr="002E7F61">
            <w:rPr>
              <w:b/>
              <w:sz w:val="18"/>
              <w:szCs w:val="18"/>
            </w:rPr>
            <w:t xml:space="preserve">Attachment 1: Product information </w:t>
          </w:r>
          <w:r w:rsidRPr="00415D27">
            <w:rPr>
              <w:b/>
              <w:sz w:val="18"/>
              <w:szCs w:val="18"/>
            </w:rPr>
            <w:t xml:space="preserve">AusPAR </w:t>
          </w:r>
          <w:proofErr w:type="spellStart"/>
          <w:r w:rsidRPr="00415D27">
            <w:rPr>
              <w:b/>
              <w:sz w:val="18"/>
              <w:szCs w:val="18"/>
            </w:rPr>
            <w:t>Steglatro</w:t>
          </w:r>
          <w:proofErr w:type="spellEnd"/>
          <w:r w:rsidRPr="00415D27">
            <w:rPr>
              <w:b/>
              <w:sz w:val="18"/>
              <w:szCs w:val="18"/>
            </w:rPr>
            <w:t xml:space="preserve">, </w:t>
          </w:r>
          <w:proofErr w:type="spellStart"/>
          <w:r w:rsidRPr="00415D27">
            <w:rPr>
              <w:b/>
              <w:sz w:val="18"/>
              <w:szCs w:val="18"/>
            </w:rPr>
            <w:t>Steglujan</w:t>
          </w:r>
          <w:proofErr w:type="spellEnd"/>
          <w:r w:rsidRPr="00415D27">
            <w:rPr>
              <w:b/>
              <w:sz w:val="18"/>
              <w:szCs w:val="18"/>
            </w:rPr>
            <w:t xml:space="preserve"> and </w:t>
          </w:r>
          <w:proofErr w:type="spellStart"/>
          <w:r w:rsidRPr="00415D27">
            <w:rPr>
              <w:b/>
              <w:sz w:val="18"/>
              <w:szCs w:val="18"/>
            </w:rPr>
            <w:t>Segluromet</w:t>
          </w:r>
          <w:proofErr w:type="spellEnd"/>
          <w:r w:rsidRPr="00415D27">
            <w:rPr>
              <w:b/>
              <w:sz w:val="18"/>
              <w:szCs w:val="18"/>
            </w:rPr>
            <w:t xml:space="preserve"> - </w:t>
          </w:r>
          <w:proofErr w:type="spellStart"/>
          <w:r w:rsidRPr="00415D27">
            <w:rPr>
              <w:b/>
              <w:sz w:val="18"/>
              <w:szCs w:val="18"/>
            </w:rPr>
            <w:t>Ertugliflozin</w:t>
          </w:r>
          <w:proofErr w:type="spellEnd"/>
          <w:r w:rsidRPr="00415D27">
            <w:rPr>
              <w:b/>
              <w:sz w:val="18"/>
              <w:szCs w:val="18"/>
            </w:rPr>
            <w:t xml:space="preserve"> monotherapy; </w:t>
          </w:r>
          <w:proofErr w:type="spellStart"/>
          <w:r w:rsidRPr="00415D27">
            <w:rPr>
              <w:b/>
              <w:sz w:val="18"/>
              <w:szCs w:val="18"/>
            </w:rPr>
            <w:t>Ertugliflozin</w:t>
          </w:r>
          <w:proofErr w:type="spellEnd"/>
          <w:r w:rsidRPr="00415D27">
            <w:rPr>
              <w:b/>
              <w:sz w:val="18"/>
              <w:szCs w:val="18"/>
            </w:rPr>
            <w:t xml:space="preserve"> </w:t>
          </w:r>
          <w:proofErr w:type="spellStart"/>
          <w:r w:rsidRPr="00415D27">
            <w:rPr>
              <w:b/>
              <w:sz w:val="18"/>
              <w:szCs w:val="18"/>
            </w:rPr>
            <w:t>Sitagliptin</w:t>
          </w:r>
          <w:proofErr w:type="spellEnd"/>
          <w:r w:rsidRPr="00415D27">
            <w:rPr>
              <w:b/>
              <w:sz w:val="18"/>
              <w:szCs w:val="18"/>
            </w:rPr>
            <w:t xml:space="preserve"> FDC; </w:t>
          </w:r>
          <w:proofErr w:type="spellStart"/>
          <w:r w:rsidRPr="00415D27">
            <w:rPr>
              <w:b/>
              <w:sz w:val="18"/>
              <w:szCs w:val="18"/>
            </w:rPr>
            <w:t>Ertugliflozin</w:t>
          </w:r>
          <w:proofErr w:type="spellEnd"/>
          <w:r w:rsidRPr="00415D27">
            <w:rPr>
              <w:b/>
              <w:sz w:val="18"/>
              <w:szCs w:val="18"/>
            </w:rPr>
            <w:t xml:space="preserve"> Metformin FDC - Merck Sharpe and Dohme Pty Ltd PM-2017-01328-1-5</w:t>
          </w:r>
          <w:r>
            <w:rPr>
              <w:b/>
              <w:sz w:val="18"/>
              <w:szCs w:val="18"/>
            </w:rPr>
            <w:t>/</w:t>
          </w:r>
          <w:r w:rsidRPr="00415D27">
            <w:rPr>
              <w:b/>
              <w:sz w:val="18"/>
              <w:szCs w:val="18"/>
            </w:rPr>
            <w:t>PM-2017-01329-1-5</w:t>
          </w:r>
          <w:r>
            <w:rPr>
              <w:b/>
              <w:sz w:val="18"/>
              <w:szCs w:val="18"/>
            </w:rPr>
            <w:t>/</w:t>
          </w:r>
          <w:r w:rsidRPr="00415D27">
            <w:rPr>
              <w:b/>
              <w:sz w:val="18"/>
              <w:szCs w:val="18"/>
            </w:rPr>
            <w:t>PM-2017-01330-1-5 FINAL  5 February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B2ECC61" w14:textId="77777777" w:rsidR="00F441DD" w:rsidRDefault="00F44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17EC"/>
    <w:multiLevelType w:val="multilevel"/>
    <w:tmpl w:val="8C729C48"/>
    <w:styleLink w:val="ListParagraphindent"/>
    <w:lvl w:ilvl="0">
      <w:numFmt w:val="bullet"/>
      <w:lvlText w:val="•"/>
      <w:lvlJc w:val="left"/>
      <w:pPr>
        <w:ind w:left="720" w:hanging="360"/>
      </w:pPr>
      <w:rPr>
        <w:rFonts w:ascii="Arial" w:eastAsia="Times New Roman" w:hAnsi="Arial" w:cs="Arial" w:hint="default"/>
        <w:sz w:val="22"/>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0C1A9B"/>
    <w:multiLevelType w:val="hybridMultilevel"/>
    <w:tmpl w:val="26DC2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5715BF"/>
    <w:multiLevelType w:val="multilevel"/>
    <w:tmpl w:val="52EA434A"/>
    <w:styleLink w:val="StyleListParagraphindentOutlinenumberedCourierNew2"/>
    <w:lvl w:ilvl="0">
      <w:numFmt w:val="bullet"/>
      <w:lvlText w:val="•"/>
      <w:lvlJc w:val="left"/>
      <w:pPr>
        <w:ind w:left="720" w:hanging="360"/>
      </w:pPr>
      <w:rPr>
        <w:rFonts w:ascii="Arial" w:hAnsi="Arial" w:hint="default"/>
        <w:sz w:val="22"/>
      </w:rPr>
    </w:lvl>
    <w:lvl w:ilvl="1">
      <w:start w:val="1"/>
      <w:numFmt w:val="bullet"/>
      <w:lvlText w:val="o"/>
      <w:lvlJc w:val="left"/>
      <w:pPr>
        <w:ind w:left="1440" w:hanging="360"/>
      </w:pPr>
      <w:rPr>
        <w:rFonts w:ascii="Courier New" w:hAnsi="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F84FCE"/>
    <w:multiLevelType w:val="hybridMultilevel"/>
    <w:tmpl w:val="D070D124"/>
    <w:lvl w:ilvl="0" w:tplc="E3082830">
      <w:start w:val="1"/>
      <w:numFmt w:val="bullet"/>
      <w:pStyle w:val="ListParagraph"/>
      <w:lvlText w:val=""/>
      <w:lvlJc w:val="left"/>
      <w:pPr>
        <w:ind w:left="360" w:hanging="360"/>
      </w:pPr>
      <w:rPr>
        <w:rFonts w:ascii="Symbol" w:hAnsi="Symbol" w:hint="default"/>
      </w:rPr>
    </w:lvl>
    <w:lvl w:ilvl="1" w:tplc="5C360D4A">
      <w:start w:val="1"/>
      <w:numFmt w:val="bullet"/>
      <w:lvlText w:val="o"/>
      <w:lvlJc w:val="left"/>
      <w:pPr>
        <w:ind w:left="1440" w:hanging="360"/>
      </w:pPr>
      <w:rPr>
        <w:rFonts w:ascii="Arial" w:hAnsi="Arial" w:cs="Arial" w:hint="default"/>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111FE3"/>
    <w:multiLevelType w:val="multilevel"/>
    <w:tmpl w:val="C9D23498"/>
    <w:styleLink w:val="StyleListParagraphindentOutlinenumberedCourierNew4"/>
    <w:lvl w:ilvl="0">
      <w:numFmt w:val="bullet"/>
      <w:lvlText w:val="o"/>
      <w:lvlJc w:val="left"/>
      <w:pPr>
        <w:ind w:left="720" w:hanging="360"/>
      </w:pPr>
      <w:rPr>
        <w:rFonts w:ascii="Courier New" w:hAnsi="Courier New" w:hint="default"/>
        <w:sz w:val="22"/>
      </w:rPr>
    </w:lvl>
    <w:lvl w:ilvl="1">
      <w:start w:val="1"/>
      <w:numFmt w:val="bullet"/>
      <w:lvlText w:val="o"/>
      <w:lvlJc w:val="left"/>
      <w:pPr>
        <w:ind w:left="1440" w:hanging="360"/>
      </w:pPr>
      <w:rPr>
        <w:rFonts w:ascii="Courier New" w:hAnsi="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1E1E82"/>
    <w:multiLevelType w:val="multilevel"/>
    <w:tmpl w:val="8C729C48"/>
    <w:styleLink w:val="StyleListParagraphindentOutlinenumberedCourierNew"/>
    <w:lvl w:ilvl="0">
      <w:numFmt w:val="bullet"/>
      <w:lvlText w:val="•"/>
      <w:lvlJc w:val="left"/>
      <w:pPr>
        <w:ind w:left="720" w:hanging="360"/>
      </w:pPr>
      <w:rPr>
        <w:rFonts w:ascii="Cambria" w:hAnsi="Cambria" w:cs="Arial"/>
        <w:b w:val="0"/>
        <w:i w:val="0"/>
        <w:color w:val="auto"/>
        <w:sz w:val="21"/>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ECB65B6"/>
    <w:multiLevelType w:val="hybridMultilevel"/>
    <w:tmpl w:val="8B942A3C"/>
    <w:lvl w:ilvl="0" w:tplc="F072051C">
      <w:start w:val="1"/>
      <w:numFmt w:val="decimal"/>
      <w:pStyle w:val="Heading7"/>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4846D9"/>
    <w:multiLevelType w:val="multilevel"/>
    <w:tmpl w:val="8C729C48"/>
    <w:numStyleLink w:val="StyleListParagraphindentOutlinenumberedCourierNew"/>
  </w:abstractNum>
  <w:abstractNum w:abstractNumId="8">
    <w:nsid w:val="44123B7E"/>
    <w:multiLevelType w:val="multilevel"/>
    <w:tmpl w:val="8C729C48"/>
    <w:styleLink w:val="StyleListParagraphindentOutlinenumberedCourierNew1"/>
    <w:lvl w:ilvl="0">
      <w:numFmt w:val="bullet"/>
      <w:lvlText w:val="•"/>
      <w:lvlJc w:val="left"/>
      <w:pPr>
        <w:ind w:left="720" w:hanging="360"/>
      </w:pPr>
      <w:rPr>
        <w:rFonts w:ascii="Cambria" w:eastAsia="Times New Roman" w:hAnsi="Cambria" w:cs="Arial" w:hint="default"/>
        <w:sz w:val="21"/>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66253C5"/>
    <w:multiLevelType w:val="multilevel"/>
    <w:tmpl w:val="8C729C48"/>
    <w:styleLink w:val="StyleListParagraphindentOutlinenumberedCourierNew3"/>
    <w:lvl w:ilvl="0">
      <w:numFmt w:val="bullet"/>
      <w:lvlText w:val="o"/>
      <w:lvlJc w:val="left"/>
      <w:pPr>
        <w:ind w:left="720" w:hanging="360"/>
      </w:pPr>
      <w:rPr>
        <w:rFonts w:ascii="Courier New" w:eastAsia="Times New Roman" w:hAnsi="Courier New" w:hint="default"/>
        <w:sz w:val="22"/>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BB34BD6"/>
    <w:multiLevelType w:val="multilevel"/>
    <w:tmpl w:val="683AEB02"/>
    <w:lvl w:ilvl="0">
      <w:start w:val="1"/>
      <w:numFmt w:val="bullet"/>
      <w:pStyle w:val="ListBullet2"/>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47F770A"/>
    <w:multiLevelType w:val="hybridMultilevel"/>
    <w:tmpl w:val="F324332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nsid w:val="764A3CB5"/>
    <w:multiLevelType w:val="hybridMultilevel"/>
    <w:tmpl w:val="F3FE1298"/>
    <w:lvl w:ilvl="0" w:tplc="5080C804">
      <w:start w:val="1"/>
      <w:numFmt w:val="decimal"/>
      <w:pStyle w:val="Heading6"/>
      <w:lvlText w:val="Table %1."/>
      <w:lvlJc w:val="left"/>
      <w:pPr>
        <w:ind w:left="360" w:hanging="360"/>
      </w:pPr>
      <w:rPr>
        <w:rFonts w:ascii="Times New Roman Bold" w:hAnsi="Times New Roman Bold" w:hint="default"/>
        <w:b/>
        <w:i w:val="0"/>
        <w:caps w:val="0"/>
        <w:strike w:val="0"/>
        <w:dstrike w:val="0"/>
        <w:vanish w:val="0"/>
        <w:color w:val="auto"/>
        <w:sz w:val="24"/>
        <w:szCs w:val="22"/>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7F531DB"/>
    <w:multiLevelType w:val="multilevel"/>
    <w:tmpl w:val="8C729C48"/>
    <w:styleLink w:val="StyleStyleListParagraphindentOutlinenumberedCourierNew"/>
    <w:lvl w:ilvl="0">
      <w:numFmt w:val="bullet"/>
      <w:lvlText w:val="•"/>
      <w:lvlJc w:val="left"/>
      <w:pPr>
        <w:ind w:left="720" w:hanging="360"/>
      </w:pPr>
      <w:rPr>
        <w:rFonts w:ascii="Cambria" w:hAnsi="Cambria" w:cs="Arial" w:hint="default"/>
        <w:b w:val="0"/>
        <w:i w:val="0"/>
        <w:color w:val="auto"/>
        <w:sz w:val="21"/>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5"/>
  </w:num>
  <w:num w:numId="6">
    <w:abstractNumId w:val="8"/>
  </w:num>
  <w:num w:numId="7">
    <w:abstractNumId w:val="13"/>
  </w:num>
  <w:num w:numId="8">
    <w:abstractNumId w:val="2"/>
  </w:num>
  <w:num w:numId="9">
    <w:abstractNumId w:val="7"/>
  </w:num>
  <w:num w:numId="10">
    <w:abstractNumId w:val="9"/>
  </w:num>
  <w:num w:numId="11">
    <w:abstractNumId w:val="4"/>
  </w:num>
  <w:num w:numId="12">
    <w:abstractNumId w:val="10"/>
  </w:num>
  <w:num w:numId="13">
    <w:abstractNumId w:val="1"/>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08"/>
    <w:rsid w:val="0000217E"/>
    <w:rsid w:val="00004F36"/>
    <w:rsid w:val="00010C0D"/>
    <w:rsid w:val="0001686D"/>
    <w:rsid w:val="000208DE"/>
    <w:rsid w:val="00021A45"/>
    <w:rsid w:val="00023837"/>
    <w:rsid w:val="00023E89"/>
    <w:rsid w:val="00025619"/>
    <w:rsid w:val="00025F37"/>
    <w:rsid w:val="000302DC"/>
    <w:rsid w:val="000368F5"/>
    <w:rsid w:val="00040165"/>
    <w:rsid w:val="00045721"/>
    <w:rsid w:val="000465A3"/>
    <w:rsid w:val="000510D4"/>
    <w:rsid w:val="000517CC"/>
    <w:rsid w:val="00052D1F"/>
    <w:rsid w:val="00054501"/>
    <w:rsid w:val="00056D05"/>
    <w:rsid w:val="000601EA"/>
    <w:rsid w:val="0006060C"/>
    <w:rsid w:val="00060DDE"/>
    <w:rsid w:val="00062223"/>
    <w:rsid w:val="00062319"/>
    <w:rsid w:val="00062A75"/>
    <w:rsid w:val="00076486"/>
    <w:rsid w:val="00076AAE"/>
    <w:rsid w:val="00081BEA"/>
    <w:rsid w:val="000839CC"/>
    <w:rsid w:val="00083A7F"/>
    <w:rsid w:val="00084269"/>
    <w:rsid w:val="00087113"/>
    <w:rsid w:val="0008750E"/>
    <w:rsid w:val="00092046"/>
    <w:rsid w:val="000941C3"/>
    <w:rsid w:val="0009440C"/>
    <w:rsid w:val="00094E75"/>
    <w:rsid w:val="00097643"/>
    <w:rsid w:val="000A4122"/>
    <w:rsid w:val="000A6E94"/>
    <w:rsid w:val="000A7924"/>
    <w:rsid w:val="000A7D06"/>
    <w:rsid w:val="000B50ED"/>
    <w:rsid w:val="000B6B6C"/>
    <w:rsid w:val="000C1DA5"/>
    <w:rsid w:val="000C488A"/>
    <w:rsid w:val="000C6134"/>
    <w:rsid w:val="000C65F8"/>
    <w:rsid w:val="000C7C54"/>
    <w:rsid w:val="000D2D0B"/>
    <w:rsid w:val="000D46D6"/>
    <w:rsid w:val="000D4C5A"/>
    <w:rsid w:val="000D54B9"/>
    <w:rsid w:val="000D5CBC"/>
    <w:rsid w:val="000D6B00"/>
    <w:rsid w:val="000D6C81"/>
    <w:rsid w:val="000D7719"/>
    <w:rsid w:val="000E020A"/>
    <w:rsid w:val="000E7370"/>
    <w:rsid w:val="000F03FB"/>
    <w:rsid w:val="000F2BA8"/>
    <w:rsid w:val="000F5923"/>
    <w:rsid w:val="000F76F9"/>
    <w:rsid w:val="001024FE"/>
    <w:rsid w:val="00102F1F"/>
    <w:rsid w:val="00103CC3"/>
    <w:rsid w:val="00107634"/>
    <w:rsid w:val="00111D11"/>
    <w:rsid w:val="00112CBD"/>
    <w:rsid w:val="001157A3"/>
    <w:rsid w:val="00123614"/>
    <w:rsid w:val="0012459F"/>
    <w:rsid w:val="0012469E"/>
    <w:rsid w:val="00126CD0"/>
    <w:rsid w:val="00130990"/>
    <w:rsid w:val="001329C1"/>
    <w:rsid w:val="00133335"/>
    <w:rsid w:val="00133E21"/>
    <w:rsid w:val="00140A81"/>
    <w:rsid w:val="00140B46"/>
    <w:rsid w:val="00141508"/>
    <w:rsid w:val="00145578"/>
    <w:rsid w:val="00146F08"/>
    <w:rsid w:val="00147CBD"/>
    <w:rsid w:val="00151B4D"/>
    <w:rsid w:val="00152D3B"/>
    <w:rsid w:val="00154ADF"/>
    <w:rsid w:val="00154D86"/>
    <w:rsid w:val="0015696B"/>
    <w:rsid w:val="00163102"/>
    <w:rsid w:val="00165916"/>
    <w:rsid w:val="00167548"/>
    <w:rsid w:val="00170477"/>
    <w:rsid w:val="00175E8F"/>
    <w:rsid w:val="00180047"/>
    <w:rsid w:val="00184F5C"/>
    <w:rsid w:val="00187E47"/>
    <w:rsid w:val="00187FE1"/>
    <w:rsid w:val="0019257D"/>
    <w:rsid w:val="00194642"/>
    <w:rsid w:val="00195831"/>
    <w:rsid w:val="001A0168"/>
    <w:rsid w:val="001A0F08"/>
    <w:rsid w:val="001A45F6"/>
    <w:rsid w:val="001A6B4B"/>
    <w:rsid w:val="001B346E"/>
    <w:rsid w:val="001B39DD"/>
    <w:rsid w:val="001B3C28"/>
    <w:rsid w:val="001B70D8"/>
    <w:rsid w:val="001B75BD"/>
    <w:rsid w:val="001C0200"/>
    <w:rsid w:val="001C2CBC"/>
    <w:rsid w:val="001C4875"/>
    <w:rsid w:val="001C6DD7"/>
    <w:rsid w:val="001D2B89"/>
    <w:rsid w:val="001E11E3"/>
    <w:rsid w:val="001E337D"/>
    <w:rsid w:val="001E481B"/>
    <w:rsid w:val="001E725C"/>
    <w:rsid w:val="001F1009"/>
    <w:rsid w:val="0020291B"/>
    <w:rsid w:val="0020317A"/>
    <w:rsid w:val="00203DC7"/>
    <w:rsid w:val="002101C8"/>
    <w:rsid w:val="00210B09"/>
    <w:rsid w:val="00210DCF"/>
    <w:rsid w:val="00213286"/>
    <w:rsid w:val="002179CB"/>
    <w:rsid w:val="0022169D"/>
    <w:rsid w:val="002247BE"/>
    <w:rsid w:val="00224C0C"/>
    <w:rsid w:val="0022596E"/>
    <w:rsid w:val="002330B9"/>
    <w:rsid w:val="0023455A"/>
    <w:rsid w:val="00234887"/>
    <w:rsid w:val="0023543C"/>
    <w:rsid w:val="0023594F"/>
    <w:rsid w:val="00237511"/>
    <w:rsid w:val="00240968"/>
    <w:rsid w:val="002420E0"/>
    <w:rsid w:val="00242190"/>
    <w:rsid w:val="00242D84"/>
    <w:rsid w:val="00243AB1"/>
    <w:rsid w:val="00246ADD"/>
    <w:rsid w:val="00250A70"/>
    <w:rsid w:val="00250B9C"/>
    <w:rsid w:val="00250E45"/>
    <w:rsid w:val="002517D3"/>
    <w:rsid w:val="0025413D"/>
    <w:rsid w:val="00254565"/>
    <w:rsid w:val="00254B3E"/>
    <w:rsid w:val="00255603"/>
    <w:rsid w:val="00255E02"/>
    <w:rsid w:val="002561C2"/>
    <w:rsid w:val="0025671A"/>
    <w:rsid w:val="00261305"/>
    <w:rsid w:val="00263001"/>
    <w:rsid w:val="00263972"/>
    <w:rsid w:val="002645D6"/>
    <w:rsid w:val="00264E55"/>
    <w:rsid w:val="0026514D"/>
    <w:rsid w:val="002654C9"/>
    <w:rsid w:val="0026731F"/>
    <w:rsid w:val="00271ADF"/>
    <w:rsid w:val="002722E4"/>
    <w:rsid w:val="00277B39"/>
    <w:rsid w:val="0028136C"/>
    <w:rsid w:val="00283BF4"/>
    <w:rsid w:val="00286208"/>
    <w:rsid w:val="00286CF5"/>
    <w:rsid w:val="002870DB"/>
    <w:rsid w:val="00287652"/>
    <w:rsid w:val="002903F3"/>
    <w:rsid w:val="00292A13"/>
    <w:rsid w:val="00292EF4"/>
    <w:rsid w:val="002937C4"/>
    <w:rsid w:val="00294A39"/>
    <w:rsid w:val="002966BE"/>
    <w:rsid w:val="00296D29"/>
    <w:rsid w:val="002977E6"/>
    <w:rsid w:val="002A192B"/>
    <w:rsid w:val="002A29DA"/>
    <w:rsid w:val="002A4407"/>
    <w:rsid w:val="002A75E9"/>
    <w:rsid w:val="002A782F"/>
    <w:rsid w:val="002B2558"/>
    <w:rsid w:val="002B34FA"/>
    <w:rsid w:val="002B54BD"/>
    <w:rsid w:val="002B5B10"/>
    <w:rsid w:val="002B71D0"/>
    <w:rsid w:val="002C44B9"/>
    <w:rsid w:val="002C6912"/>
    <w:rsid w:val="002D0FD8"/>
    <w:rsid w:val="002D246B"/>
    <w:rsid w:val="002D28F1"/>
    <w:rsid w:val="002D2AA9"/>
    <w:rsid w:val="002D2F01"/>
    <w:rsid w:val="002D51CE"/>
    <w:rsid w:val="002D7C9A"/>
    <w:rsid w:val="002E0B7F"/>
    <w:rsid w:val="002E1A00"/>
    <w:rsid w:val="002E207B"/>
    <w:rsid w:val="002E3B46"/>
    <w:rsid w:val="002E592A"/>
    <w:rsid w:val="002E5C15"/>
    <w:rsid w:val="002F0EFF"/>
    <w:rsid w:val="002F575F"/>
    <w:rsid w:val="002F6C70"/>
    <w:rsid w:val="002F7869"/>
    <w:rsid w:val="002F7DB3"/>
    <w:rsid w:val="00301136"/>
    <w:rsid w:val="0030242F"/>
    <w:rsid w:val="003024F6"/>
    <w:rsid w:val="00303813"/>
    <w:rsid w:val="00305BCA"/>
    <w:rsid w:val="0031107E"/>
    <w:rsid w:val="00313779"/>
    <w:rsid w:val="003140E0"/>
    <w:rsid w:val="003155E9"/>
    <w:rsid w:val="00315F2B"/>
    <w:rsid w:val="00317984"/>
    <w:rsid w:val="00324C97"/>
    <w:rsid w:val="00326F49"/>
    <w:rsid w:val="00334731"/>
    <w:rsid w:val="00336CA5"/>
    <w:rsid w:val="00344A1B"/>
    <w:rsid w:val="00352159"/>
    <w:rsid w:val="00353A33"/>
    <w:rsid w:val="00353D93"/>
    <w:rsid w:val="00355E25"/>
    <w:rsid w:val="00355EBA"/>
    <w:rsid w:val="00356B0A"/>
    <w:rsid w:val="003603EE"/>
    <w:rsid w:val="00360581"/>
    <w:rsid w:val="00364656"/>
    <w:rsid w:val="00366258"/>
    <w:rsid w:val="003671AD"/>
    <w:rsid w:val="00372CA1"/>
    <w:rsid w:val="00374211"/>
    <w:rsid w:val="00374EDA"/>
    <w:rsid w:val="0037641B"/>
    <w:rsid w:val="00381E3F"/>
    <w:rsid w:val="003821EB"/>
    <w:rsid w:val="00382499"/>
    <w:rsid w:val="00383192"/>
    <w:rsid w:val="003904CC"/>
    <w:rsid w:val="0039376C"/>
    <w:rsid w:val="00394CC7"/>
    <w:rsid w:val="003965C7"/>
    <w:rsid w:val="003A05C4"/>
    <w:rsid w:val="003A1131"/>
    <w:rsid w:val="003A644C"/>
    <w:rsid w:val="003B1D75"/>
    <w:rsid w:val="003B2033"/>
    <w:rsid w:val="003B7432"/>
    <w:rsid w:val="003B7B7F"/>
    <w:rsid w:val="003B7CDF"/>
    <w:rsid w:val="003C0D34"/>
    <w:rsid w:val="003C113F"/>
    <w:rsid w:val="003C66A2"/>
    <w:rsid w:val="003D1143"/>
    <w:rsid w:val="003D255C"/>
    <w:rsid w:val="003D2B7E"/>
    <w:rsid w:val="003D2FCC"/>
    <w:rsid w:val="003D5044"/>
    <w:rsid w:val="003E0D78"/>
    <w:rsid w:val="003E40B4"/>
    <w:rsid w:val="003E4D37"/>
    <w:rsid w:val="003E6516"/>
    <w:rsid w:val="003F03E0"/>
    <w:rsid w:val="003F0B98"/>
    <w:rsid w:val="003F5481"/>
    <w:rsid w:val="003F6771"/>
    <w:rsid w:val="0040038A"/>
    <w:rsid w:val="00413971"/>
    <w:rsid w:val="00415770"/>
    <w:rsid w:val="00423CFC"/>
    <w:rsid w:val="00424680"/>
    <w:rsid w:val="00427D94"/>
    <w:rsid w:val="00430475"/>
    <w:rsid w:val="00430BA5"/>
    <w:rsid w:val="00430F3A"/>
    <w:rsid w:val="00436763"/>
    <w:rsid w:val="00436CFA"/>
    <w:rsid w:val="004400A6"/>
    <w:rsid w:val="004400E2"/>
    <w:rsid w:val="00441AF1"/>
    <w:rsid w:val="00442105"/>
    <w:rsid w:val="00443CB2"/>
    <w:rsid w:val="0044632F"/>
    <w:rsid w:val="0044753A"/>
    <w:rsid w:val="00447BFA"/>
    <w:rsid w:val="00451207"/>
    <w:rsid w:val="004515B1"/>
    <w:rsid w:val="00451D53"/>
    <w:rsid w:val="004534AF"/>
    <w:rsid w:val="00455ADD"/>
    <w:rsid w:val="004569CF"/>
    <w:rsid w:val="00456C23"/>
    <w:rsid w:val="00457B35"/>
    <w:rsid w:val="0046034A"/>
    <w:rsid w:val="004605E0"/>
    <w:rsid w:val="00461677"/>
    <w:rsid w:val="00462469"/>
    <w:rsid w:val="00462C44"/>
    <w:rsid w:val="00465A9D"/>
    <w:rsid w:val="0047197D"/>
    <w:rsid w:val="00472282"/>
    <w:rsid w:val="00474E69"/>
    <w:rsid w:val="00474F08"/>
    <w:rsid w:val="00477AD6"/>
    <w:rsid w:val="00477C25"/>
    <w:rsid w:val="0048454C"/>
    <w:rsid w:val="0049111C"/>
    <w:rsid w:val="00492F6B"/>
    <w:rsid w:val="00492F73"/>
    <w:rsid w:val="0049343A"/>
    <w:rsid w:val="00495840"/>
    <w:rsid w:val="00496946"/>
    <w:rsid w:val="00496D9A"/>
    <w:rsid w:val="004A255A"/>
    <w:rsid w:val="004A377C"/>
    <w:rsid w:val="004A4153"/>
    <w:rsid w:val="004A5B37"/>
    <w:rsid w:val="004A74D4"/>
    <w:rsid w:val="004B08FE"/>
    <w:rsid w:val="004B0CF6"/>
    <w:rsid w:val="004B296F"/>
    <w:rsid w:val="004B2CBD"/>
    <w:rsid w:val="004B2D99"/>
    <w:rsid w:val="004B33B5"/>
    <w:rsid w:val="004B3D39"/>
    <w:rsid w:val="004B6588"/>
    <w:rsid w:val="004C2FE7"/>
    <w:rsid w:val="004C555F"/>
    <w:rsid w:val="004C7154"/>
    <w:rsid w:val="004C7FF6"/>
    <w:rsid w:val="004D0380"/>
    <w:rsid w:val="004D33E3"/>
    <w:rsid w:val="004D554B"/>
    <w:rsid w:val="004D626B"/>
    <w:rsid w:val="004D69E3"/>
    <w:rsid w:val="004E37FC"/>
    <w:rsid w:val="004E4553"/>
    <w:rsid w:val="004F0B76"/>
    <w:rsid w:val="004F13EA"/>
    <w:rsid w:val="004F202A"/>
    <w:rsid w:val="004F21DA"/>
    <w:rsid w:val="004F3992"/>
    <w:rsid w:val="004F542B"/>
    <w:rsid w:val="004F5921"/>
    <w:rsid w:val="004F6413"/>
    <w:rsid w:val="00503E0B"/>
    <w:rsid w:val="00504338"/>
    <w:rsid w:val="00510390"/>
    <w:rsid w:val="00510C5D"/>
    <w:rsid w:val="0051157E"/>
    <w:rsid w:val="00512F9D"/>
    <w:rsid w:val="00513DC6"/>
    <w:rsid w:val="00514B39"/>
    <w:rsid w:val="005177E4"/>
    <w:rsid w:val="00521A7D"/>
    <w:rsid w:val="00524B7D"/>
    <w:rsid w:val="00525FBB"/>
    <w:rsid w:val="0053215D"/>
    <w:rsid w:val="005349C9"/>
    <w:rsid w:val="00537B3B"/>
    <w:rsid w:val="00542329"/>
    <w:rsid w:val="00545A98"/>
    <w:rsid w:val="0054795B"/>
    <w:rsid w:val="00552026"/>
    <w:rsid w:val="0055535D"/>
    <w:rsid w:val="00560A6C"/>
    <w:rsid w:val="005612F5"/>
    <w:rsid w:val="005619B4"/>
    <w:rsid w:val="005633D7"/>
    <w:rsid w:val="00564FF3"/>
    <w:rsid w:val="005652E2"/>
    <w:rsid w:val="00570151"/>
    <w:rsid w:val="00572DE5"/>
    <w:rsid w:val="005731F1"/>
    <w:rsid w:val="0057355B"/>
    <w:rsid w:val="0057373A"/>
    <w:rsid w:val="00573886"/>
    <w:rsid w:val="00574C8C"/>
    <w:rsid w:val="00584AE5"/>
    <w:rsid w:val="0058703F"/>
    <w:rsid w:val="00587427"/>
    <w:rsid w:val="0059045A"/>
    <w:rsid w:val="0059375A"/>
    <w:rsid w:val="00593DEE"/>
    <w:rsid w:val="00595A8F"/>
    <w:rsid w:val="00595EAF"/>
    <w:rsid w:val="005A5B14"/>
    <w:rsid w:val="005A68C6"/>
    <w:rsid w:val="005A6D82"/>
    <w:rsid w:val="005B087F"/>
    <w:rsid w:val="005B0BEE"/>
    <w:rsid w:val="005B128C"/>
    <w:rsid w:val="005B2715"/>
    <w:rsid w:val="005B3BCC"/>
    <w:rsid w:val="005B401D"/>
    <w:rsid w:val="005B6C4C"/>
    <w:rsid w:val="005C0DF4"/>
    <w:rsid w:val="005C75B7"/>
    <w:rsid w:val="005D5102"/>
    <w:rsid w:val="005D66DE"/>
    <w:rsid w:val="005D6CF4"/>
    <w:rsid w:val="005D706B"/>
    <w:rsid w:val="005D72F3"/>
    <w:rsid w:val="005D74CD"/>
    <w:rsid w:val="005E4A22"/>
    <w:rsid w:val="005E5B88"/>
    <w:rsid w:val="005E79D1"/>
    <w:rsid w:val="005E7E32"/>
    <w:rsid w:val="005F0D10"/>
    <w:rsid w:val="005F143F"/>
    <w:rsid w:val="005F16E8"/>
    <w:rsid w:val="005F177F"/>
    <w:rsid w:val="005F23D3"/>
    <w:rsid w:val="005F3109"/>
    <w:rsid w:val="005F3C08"/>
    <w:rsid w:val="005F5677"/>
    <w:rsid w:val="005F6D49"/>
    <w:rsid w:val="00606119"/>
    <w:rsid w:val="0060689E"/>
    <w:rsid w:val="006078C1"/>
    <w:rsid w:val="006107DC"/>
    <w:rsid w:val="00610F1E"/>
    <w:rsid w:val="0061436D"/>
    <w:rsid w:val="00614FB5"/>
    <w:rsid w:val="006158AD"/>
    <w:rsid w:val="006161D8"/>
    <w:rsid w:val="00622AEB"/>
    <w:rsid w:val="0062424B"/>
    <w:rsid w:val="006257A5"/>
    <w:rsid w:val="00626DAE"/>
    <w:rsid w:val="00631CE4"/>
    <w:rsid w:val="00634105"/>
    <w:rsid w:val="006355B3"/>
    <w:rsid w:val="00635A56"/>
    <w:rsid w:val="006400AD"/>
    <w:rsid w:val="006400E1"/>
    <w:rsid w:val="00640729"/>
    <w:rsid w:val="006413C0"/>
    <w:rsid w:val="006472FA"/>
    <w:rsid w:val="0065040B"/>
    <w:rsid w:val="006504C0"/>
    <w:rsid w:val="006527D9"/>
    <w:rsid w:val="00653060"/>
    <w:rsid w:val="006532B1"/>
    <w:rsid w:val="006539ED"/>
    <w:rsid w:val="00653EA7"/>
    <w:rsid w:val="006551BA"/>
    <w:rsid w:val="0065757D"/>
    <w:rsid w:val="00657E34"/>
    <w:rsid w:val="0066050E"/>
    <w:rsid w:val="00661B66"/>
    <w:rsid w:val="0066352D"/>
    <w:rsid w:val="00663B76"/>
    <w:rsid w:val="00671043"/>
    <w:rsid w:val="0067106B"/>
    <w:rsid w:val="0067187C"/>
    <w:rsid w:val="00674085"/>
    <w:rsid w:val="0067441B"/>
    <w:rsid w:val="00682780"/>
    <w:rsid w:val="00683BD4"/>
    <w:rsid w:val="00683DED"/>
    <w:rsid w:val="006870FF"/>
    <w:rsid w:val="00693FCB"/>
    <w:rsid w:val="0069416B"/>
    <w:rsid w:val="006A358F"/>
    <w:rsid w:val="006A3F2A"/>
    <w:rsid w:val="006A40DD"/>
    <w:rsid w:val="006A5189"/>
    <w:rsid w:val="006A6806"/>
    <w:rsid w:val="006A716A"/>
    <w:rsid w:val="006B41DD"/>
    <w:rsid w:val="006C0884"/>
    <w:rsid w:val="006C2208"/>
    <w:rsid w:val="006C32AC"/>
    <w:rsid w:val="006C46F1"/>
    <w:rsid w:val="006C48FC"/>
    <w:rsid w:val="006D571B"/>
    <w:rsid w:val="006D7F54"/>
    <w:rsid w:val="006E502C"/>
    <w:rsid w:val="006E7B44"/>
    <w:rsid w:val="006F16E3"/>
    <w:rsid w:val="006F57F2"/>
    <w:rsid w:val="0070165F"/>
    <w:rsid w:val="00702691"/>
    <w:rsid w:val="00702E7C"/>
    <w:rsid w:val="00702F71"/>
    <w:rsid w:val="00704C82"/>
    <w:rsid w:val="00705014"/>
    <w:rsid w:val="00705701"/>
    <w:rsid w:val="007100DF"/>
    <w:rsid w:val="0071292E"/>
    <w:rsid w:val="00713B17"/>
    <w:rsid w:val="00715525"/>
    <w:rsid w:val="00715683"/>
    <w:rsid w:val="00715889"/>
    <w:rsid w:val="00716FA6"/>
    <w:rsid w:val="00717609"/>
    <w:rsid w:val="00721A58"/>
    <w:rsid w:val="00722BAC"/>
    <w:rsid w:val="007232A0"/>
    <w:rsid w:val="00723EBE"/>
    <w:rsid w:val="0072401F"/>
    <w:rsid w:val="00724A8B"/>
    <w:rsid w:val="00730F31"/>
    <w:rsid w:val="00731CCD"/>
    <w:rsid w:val="0073441A"/>
    <w:rsid w:val="00735BBE"/>
    <w:rsid w:val="00737C63"/>
    <w:rsid w:val="007412A8"/>
    <w:rsid w:val="00741BB7"/>
    <w:rsid w:val="007426EF"/>
    <w:rsid w:val="007442BB"/>
    <w:rsid w:val="007462FB"/>
    <w:rsid w:val="00747F6A"/>
    <w:rsid w:val="00750AF5"/>
    <w:rsid w:val="00750F81"/>
    <w:rsid w:val="007560C3"/>
    <w:rsid w:val="007634C6"/>
    <w:rsid w:val="00764AF7"/>
    <w:rsid w:val="00765535"/>
    <w:rsid w:val="007841F9"/>
    <w:rsid w:val="00784D29"/>
    <w:rsid w:val="0078676F"/>
    <w:rsid w:val="00787181"/>
    <w:rsid w:val="007873B1"/>
    <w:rsid w:val="0078756F"/>
    <w:rsid w:val="007921D8"/>
    <w:rsid w:val="0079285F"/>
    <w:rsid w:val="00793BCF"/>
    <w:rsid w:val="00794A03"/>
    <w:rsid w:val="007971D6"/>
    <w:rsid w:val="007A0211"/>
    <w:rsid w:val="007A03E7"/>
    <w:rsid w:val="007A1A3D"/>
    <w:rsid w:val="007A49A1"/>
    <w:rsid w:val="007B0D5C"/>
    <w:rsid w:val="007B153E"/>
    <w:rsid w:val="007B1BD3"/>
    <w:rsid w:val="007B2C83"/>
    <w:rsid w:val="007B7F16"/>
    <w:rsid w:val="007C07D1"/>
    <w:rsid w:val="007C1698"/>
    <w:rsid w:val="007C579A"/>
    <w:rsid w:val="007C7C8B"/>
    <w:rsid w:val="007D11FC"/>
    <w:rsid w:val="007D18F0"/>
    <w:rsid w:val="007D3AFF"/>
    <w:rsid w:val="007D4AFC"/>
    <w:rsid w:val="007D747C"/>
    <w:rsid w:val="007E0882"/>
    <w:rsid w:val="007E41AE"/>
    <w:rsid w:val="007E6B0B"/>
    <w:rsid w:val="007E6CB3"/>
    <w:rsid w:val="007E70F8"/>
    <w:rsid w:val="007F0449"/>
    <w:rsid w:val="007F1A66"/>
    <w:rsid w:val="007F333F"/>
    <w:rsid w:val="007F56F2"/>
    <w:rsid w:val="007F7D62"/>
    <w:rsid w:val="00801DBF"/>
    <w:rsid w:val="00802EA5"/>
    <w:rsid w:val="00807DC7"/>
    <w:rsid w:val="008107EE"/>
    <w:rsid w:val="00812C23"/>
    <w:rsid w:val="00813851"/>
    <w:rsid w:val="008144EA"/>
    <w:rsid w:val="00816F10"/>
    <w:rsid w:val="00820884"/>
    <w:rsid w:val="00823096"/>
    <w:rsid w:val="00826A9D"/>
    <w:rsid w:val="0082712A"/>
    <w:rsid w:val="00827EE2"/>
    <w:rsid w:val="00831B4E"/>
    <w:rsid w:val="00840ACA"/>
    <w:rsid w:val="00843BC5"/>
    <w:rsid w:val="00853CE7"/>
    <w:rsid w:val="0085451E"/>
    <w:rsid w:val="00855441"/>
    <w:rsid w:val="00856B33"/>
    <w:rsid w:val="0085705E"/>
    <w:rsid w:val="00864834"/>
    <w:rsid w:val="00866D25"/>
    <w:rsid w:val="00870B08"/>
    <w:rsid w:val="00873150"/>
    <w:rsid w:val="008736E3"/>
    <w:rsid w:val="00877FF5"/>
    <w:rsid w:val="00881E16"/>
    <w:rsid w:val="00884986"/>
    <w:rsid w:val="00884D82"/>
    <w:rsid w:val="00890751"/>
    <w:rsid w:val="00891FC1"/>
    <w:rsid w:val="00895194"/>
    <w:rsid w:val="00895BC6"/>
    <w:rsid w:val="00896832"/>
    <w:rsid w:val="00896EC6"/>
    <w:rsid w:val="00896EEA"/>
    <w:rsid w:val="00896F34"/>
    <w:rsid w:val="008A1CB1"/>
    <w:rsid w:val="008A42B9"/>
    <w:rsid w:val="008A6BF4"/>
    <w:rsid w:val="008B3435"/>
    <w:rsid w:val="008B39D5"/>
    <w:rsid w:val="008B5101"/>
    <w:rsid w:val="008C0D53"/>
    <w:rsid w:val="008C5560"/>
    <w:rsid w:val="008C65F6"/>
    <w:rsid w:val="008D18AB"/>
    <w:rsid w:val="008D31C2"/>
    <w:rsid w:val="008D38A3"/>
    <w:rsid w:val="008D461F"/>
    <w:rsid w:val="008D5ADA"/>
    <w:rsid w:val="008E47CE"/>
    <w:rsid w:val="008E5320"/>
    <w:rsid w:val="008E79F6"/>
    <w:rsid w:val="008F1921"/>
    <w:rsid w:val="008F2CE3"/>
    <w:rsid w:val="008F4872"/>
    <w:rsid w:val="008F6916"/>
    <w:rsid w:val="008F784A"/>
    <w:rsid w:val="008F7990"/>
    <w:rsid w:val="00901AF3"/>
    <w:rsid w:val="0090349F"/>
    <w:rsid w:val="0090460C"/>
    <w:rsid w:val="009049DC"/>
    <w:rsid w:val="00905753"/>
    <w:rsid w:val="0090578A"/>
    <w:rsid w:val="009147FB"/>
    <w:rsid w:val="00915809"/>
    <w:rsid w:val="00917206"/>
    <w:rsid w:val="00917254"/>
    <w:rsid w:val="00917B54"/>
    <w:rsid w:val="00920CBF"/>
    <w:rsid w:val="009211AE"/>
    <w:rsid w:val="009265B4"/>
    <w:rsid w:val="00927E4C"/>
    <w:rsid w:val="00930E65"/>
    <w:rsid w:val="00931662"/>
    <w:rsid w:val="009326B9"/>
    <w:rsid w:val="00933BAE"/>
    <w:rsid w:val="00933F74"/>
    <w:rsid w:val="00936405"/>
    <w:rsid w:val="00937EB6"/>
    <w:rsid w:val="00941B6C"/>
    <w:rsid w:val="009449F2"/>
    <w:rsid w:val="00946F0E"/>
    <w:rsid w:val="009571EA"/>
    <w:rsid w:val="0095769E"/>
    <w:rsid w:val="00960A39"/>
    <w:rsid w:val="00961085"/>
    <w:rsid w:val="00961C77"/>
    <w:rsid w:val="009625D2"/>
    <w:rsid w:val="00963FEF"/>
    <w:rsid w:val="00970987"/>
    <w:rsid w:val="00971219"/>
    <w:rsid w:val="00976216"/>
    <w:rsid w:val="0097713A"/>
    <w:rsid w:val="00977AD1"/>
    <w:rsid w:val="00984B14"/>
    <w:rsid w:val="00984B75"/>
    <w:rsid w:val="00984F6B"/>
    <w:rsid w:val="00986ED6"/>
    <w:rsid w:val="009902B3"/>
    <w:rsid w:val="009903D5"/>
    <w:rsid w:val="00994A6F"/>
    <w:rsid w:val="0099682B"/>
    <w:rsid w:val="009A38DB"/>
    <w:rsid w:val="009A4008"/>
    <w:rsid w:val="009A4B7D"/>
    <w:rsid w:val="009A652C"/>
    <w:rsid w:val="009A7E72"/>
    <w:rsid w:val="009B0949"/>
    <w:rsid w:val="009B337F"/>
    <w:rsid w:val="009B4C79"/>
    <w:rsid w:val="009B5772"/>
    <w:rsid w:val="009C11D2"/>
    <w:rsid w:val="009C1E51"/>
    <w:rsid w:val="009C453F"/>
    <w:rsid w:val="009C55EE"/>
    <w:rsid w:val="009C7F59"/>
    <w:rsid w:val="009D0AC7"/>
    <w:rsid w:val="009E106C"/>
    <w:rsid w:val="009E242D"/>
    <w:rsid w:val="009E678D"/>
    <w:rsid w:val="009F0E06"/>
    <w:rsid w:val="009F1104"/>
    <w:rsid w:val="009F191A"/>
    <w:rsid w:val="009F2466"/>
    <w:rsid w:val="009F24F2"/>
    <w:rsid w:val="009F3328"/>
    <w:rsid w:val="00A043AA"/>
    <w:rsid w:val="00A04808"/>
    <w:rsid w:val="00A04DB1"/>
    <w:rsid w:val="00A0718D"/>
    <w:rsid w:val="00A07EE7"/>
    <w:rsid w:val="00A11E58"/>
    <w:rsid w:val="00A13597"/>
    <w:rsid w:val="00A17733"/>
    <w:rsid w:val="00A178D0"/>
    <w:rsid w:val="00A178F1"/>
    <w:rsid w:val="00A214DC"/>
    <w:rsid w:val="00A2385D"/>
    <w:rsid w:val="00A26E9F"/>
    <w:rsid w:val="00A30B5A"/>
    <w:rsid w:val="00A34CA4"/>
    <w:rsid w:val="00A34DBD"/>
    <w:rsid w:val="00A35CC9"/>
    <w:rsid w:val="00A36FF6"/>
    <w:rsid w:val="00A37667"/>
    <w:rsid w:val="00A42620"/>
    <w:rsid w:val="00A438BC"/>
    <w:rsid w:val="00A45CBA"/>
    <w:rsid w:val="00A462C2"/>
    <w:rsid w:val="00A47690"/>
    <w:rsid w:val="00A5015B"/>
    <w:rsid w:val="00A50387"/>
    <w:rsid w:val="00A5061C"/>
    <w:rsid w:val="00A5210E"/>
    <w:rsid w:val="00A545E4"/>
    <w:rsid w:val="00A6046A"/>
    <w:rsid w:val="00A6294F"/>
    <w:rsid w:val="00A62D16"/>
    <w:rsid w:val="00A636D2"/>
    <w:rsid w:val="00A63929"/>
    <w:rsid w:val="00A63D7C"/>
    <w:rsid w:val="00A64BE2"/>
    <w:rsid w:val="00A64F84"/>
    <w:rsid w:val="00A657AE"/>
    <w:rsid w:val="00A703F1"/>
    <w:rsid w:val="00A70BF8"/>
    <w:rsid w:val="00A70DF1"/>
    <w:rsid w:val="00A735A0"/>
    <w:rsid w:val="00A7510C"/>
    <w:rsid w:val="00A81E79"/>
    <w:rsid w:val="00A83C9F"/>
    <w:rsid w:val="00A8438C"/>
    <w:rsid w:val="00A87282"/>
    <w:rsid w:val="00AA10F8"/>
    <w:rsid w:val="00AA13EA"/>
    <w:rsid w:val="00AA1915"/>
    <w:rsid w:val="00AA56ED"/>
    <w:rsid w:val="00AA64A1"/>
    <w:rsid w:val="00AA663F"/>
    <w:rsid w:val="00AA68BE"/>
    <w:rsid w:val="00AB1102"/>
    <w:rsid w:val="00AB26A8"/>
    <w:rsid w:val="00AB5996"/>
    <w:rsid w:val="00AB7A0C"/>
    <w:rsid w:val="00AC3119"/>
    <w:rsid w:val="00AC7179"/>
    <w:rsid w:val="00AD013C"/>
    <w:rsid w:val="00AD03B2"/>
    <w:rsid w:val="00AD12F6"/>
    <w:rsid w:val="00AD29CD"/>
    <w:rsid w:val="00AD37F6"/>
    <w:rsid w:val="00AD42E5"/>
    <w:rsid w:val="00AD7033"/>
    <w:rsid w:val="00AE0E9E"/>
    <w:rsid w:val="00AE19EA"/>
    <w:rsid w:val="00AE38CD"/>
    <w:rsid w:val="00AE3B59"/>
    <w:rsid w:val="00AE71B5"/>
    <w:rsid w:val="00AF05FE"/>
    <w:rsid w:val="00AF0696"/>
    <w:rsid w:val="00AF1B36"/>
    <w:rsid w:val="00AF57AB"/>
    <w:rsid w:val="00AF6D29"/>
    <w:rsid w:val="00B004B9"/>
    <w:rsid w:val="00B00A92"/>
    <w:rsid w:val="00B01CF2"/>
    <w:rsid w:val="00B02AE8"/>
    <w:rsid w:val="00B07CA6"/>
    <w:rsid w:val="00B1112D"/>
    <w:rsid w:val="00B12D05"/>
    <w:rsid w:val="00B136A9"/>
    <w:rsid w:val="00B1426B"/>
    <w:rsid w:val="00B14AC3"/>
    <w:rsid w:val="00B16AB2"/>
    <w:rsid w:val="00B23E38"/>
    <w:rsid w:val="00B279BA"/>
    <w:rsid w:val="00B3082F"/>
    <w:rsid w:val="00B30EA5"/>
    <w:rsid w:val="00B33B32"/>
    <w:rsid w:val="00B33FA6"/>
    <w:rsid w:val="00B34CAC"/>
    <w:rsid w:val="00B40DBF"/>
    <w:rsid w:val="00B42379"/>
    <w:rsid w:val="00B475F0"/>
    <w:rsid w:val="00B47F8E"/>
    <w:rsid w:val="00B5242D"/>
    <w:rsid w:val="00B5456F"/>
    <w:rsid w:val="00B57F64"/>
    <w:rsid w:val="00B606D7"/>
    <w:rsid w:val="00B62FA8"/>
    <w:rsid w:val="00B731C1"/>
    <w:rsid w:val="00B73BB0"/>
    <w:rsid w:val="00B76349"/>
    <w:rsid w:val="00B81855"/>
    <w:rsid w:val="00B82008"/>
    <w:rsid w:val="00B83C66"/>
    <w:rsid w:val="00B85081"/>
    <w:rsid w:val="00B87BCF"/>
    <w:rsid w:val="00B9107B"/>
    <w:rsid w:val="00B93CB1"/>
    <w:rsid w:val="00B95A6B"/>
    <w:rsid w:val="00B975B5"/>
    <w:rsid w:val="00BA1F98"/>
    <w:rsid w:val="00BA49B7"/>
    <w:rsid w:val="00BA51D6"/>
    <w:rsid w:val="00BA7846"/>
    <w:rsid w:val="00BB0CB6"/>
    <w:rsid w:val="00BB30D5"/>
    <w:rsid w:val="00BB512B"/>
    <w:rsid w:val="00BB58D2"/>
    <w:rsid w:val="00BC0344"/>
    <w:rsid w:val="00BC034D"/>
    <w:rsid w:val="00BC2960"/>
    <w:rsid w:val="00BC2E22"/>
    <w:rsid w:val="00BD0A1B"/>
    <w:rsid w:val="00BD0ABA"/>
    <w:rsid w:val="00BD474F"/>
    <w:rsid w:val="00BE12F3"/>
    <w:rsid w:val="00BE3DF7"/>
    <w:rsid w:val="00BE3F5A"/>
    <w:rsid w:val="00BE5110"/>
    <w:rsid w:val="00BE5275"/>
    <w:rsid w:val="00BE64F9"/>
    <w:rsid w:val="00BF749C"/>
    <w:rsid w:val="00C02C6F"/>
    <w:rsid w:val="00C05AF3"/>
    <w:rsid w:val="00C06129"/>
    <w:rsid w:val="00C07E84"/>
    <w:rsid w:val="00C12D17"/>
    <w:rsid w:val="00C14B9D"/>
    <w:rsid w:val="00C16415"/>
    <w:rsid w:val="00C170A8"/>
    <w:rsid w:val="00C22F4A"/>
    <w:rsid w:val="00C27173"/>
    <w:rsid w:val="00C3112B"/>
    <w:rsid w:val="00C42D25"/>
    <w:rsid w:val="00C43A8F"/>
    <w:rsid w:val="00C46E58"/>
    <w:rsid w:val="00C47127"/>
    <w:rsid w:val="00C5199A"/>
    <w:rsid w:val="00C53B32"/>
    <w:rsid w:val="00C56DD0"/>
    <w:rsid w:val="00C60105"/>
    <w:rsid w:val="00C625B5"/>
    <w:rsid w:val="00C63455"/>
    <w:rsid w:val="00C640DF"/>
    <w:rsid w:val="00C6522B"/>
    <w:rsid w:val="00C71226"/>
    <w:rsid w:val="00C71AE4"/>
    <w:rsid w:val="00C71D8B"/>
    <w:rsid w:val="00C730E0"/>
    <w:rsid w:val="00C7684F"/>
    <w:rsid w:val="00C76B7A"/>
    <w:rsid w:val="00C82739"/>
    <w:rsid w:val="00C8383C"/>
    <w:rsid w:val="00C8558B"/>
    <w:rsid w:val="00C90AA9"/>
    <w:rsid w:val="00C936BA"/>
    <w:rsid w:val="00C9517D"/>
    <w:rsid w:val="00C96122"/>
    <w:rsid w:val="00C96988"/>
    <w:rsid w:val="00CA0975"/>
    <w:rsid w:val="00CA12C7"/>
    <w:rsid w:val="00CA1373"/>
    <w:rsid w:val="00CA6E03"/>
    <w:rsid w:val="00CA6FC6"/>
    <w:rsid w:val="00CA7948"/>
    <w:rsid w:val="00CB3560"/>
    <w:rsid w:val="00CC31A0"/>
    <w:rsid w:val="00CC356A"/>
    <w:rsid w:val="00CC70EC"/>
    <w:rsid w:val="00CC791F"/>
    <w:rsid w:val="00CD1875"/>
    <w:rsid w:val="00CD1C6B"/>
    <w:rsid w:val="00CD6266"/>
    <w:rsid w:val="00CE105A"/>
    <w:rsid w:val="00CE41FA"/>
    <w:rsid w:val="00CE523E"/>
    <w:rsid w:val="00CE6374"/>
    <w:rsid w:val="00CF1CC9"/>
    <w:rsid w:val="00CF2456"/>
    <w:rsid w:val="00CF3E79"/>
    <w:rsid w:val="00CF4D26"/>
    <w:rsid w:val="00CF5635"/>
    <w:rsid w:val="00CF6CFC"/>
    <w:rsid w:val="00CF79D2"/>
    <w:rsid w:val="00D0211F"/>
    <w:rsid w:val="00D04C2D"/>
    <w:rsid w:val="00D100D2"/>
    <w:rsid w:val="00D11233"/>
    <w:rsid w:val="00D142E4"/>
    <w:rsid w:val="00D14B4A"/>
    <w:rsid w:val="00D24715"/>
    <w:rsid w:val="00D25268"/>
    <w:rsid w:val="00D254CA"/>
    <w:rsid w:val="00D27137"/>
    <w:rsid w:val="00D27138"/>
    <w:rsid w:val="00D27EF9"/>
    <w:rsid w:val="00D30013"/>
    <w:rsid w:val="00D31595"/>
    <w:rsid w:val="00D423AF"/>
    <w:rsid w:val="00D43E67"/>
    <w:rsid w:val="00D46EAF"/>
    <w:rsid w:val="00D47617"/>
    <w:rsid w:val="00D52DAD"/>
    <w:rsid w:val="00D54CD8"/>
    <w:rsid w:val="00D55A69"/>
    <w:rsid w:val="00D56BD7"/>
    <w:rsid w:val="00D60A73"/>
    <w:rsid w:val="00D63C1B"/>
    <w:rsid w:val="00D63C76"/>
    <w:rsid w:val="00D714EF"/>
    <w:rsid w:val="00D7707C"/>
    <w:rsid w:val="00D77D74"/>
    <w:rsid w:val="00D81AE3"/>
    <w:rsid w:val="00D82D64"/>
    <w:rsid w:val="00D82EB4"/>
    <w:rsid w:val="00D83B45"/>
    <w:rsid w:val="00D84B48"/>
    <w:rsid w:val="00D86EB9"/>
    <w:rsid w:val="00D908EE"/>
    <w:rsid w:val="00D90E95"/>
    <w:rsid w:val="00D925EE"/>
    <w:rsid w:val="00D930AD"/>
    <w:rsid w:val="00D93D23"/>
    <w:rsid w:val="00D96F20"/>
    <w:rsid w:val="00DA0DFA"/>
    <w:rsid w:val="00DA2502"/>
    <w:rsid w:val="00DA5F2D"/>
    <w:rsid w:val="00DA6BC8"/>
    <w:rsid w:val="00DB021C"/>
    <w:rsid w:val="00DB1666"/>
    <w:rsid w:val="00DB1CCD"/>
    <w:rsid w:val="00DB4FF2"/>
    <w:rsid w:val="00DB6BBA"/>
    <w:rsid w:val="00DC23DF"/>
    <w:rsid w:val="00DC2AB7"/>
    <w:rsid w:val="00DC31D8"/>
    <w:rsid w:val="00DC44F5"/>
    <w:rsid w:val="00DC76D8"/>
    <w:rsid w:val="00DD6594"/>
    <w:rsid w:val="00DD6F79"/>
    <w:rsid w:val="00DE036F"/>
    <w:rsid w:val="00DE35C9"/>
    <w:rsid w:val="00DE44AE"/>
    <w:rsid w:val="00DE56EC"/>
    <w:rsid w:val="00DE6184"/>
    <w:rsid w:val="00DF1430"/>
    <w:rsid w:val="00DF7772"/>
    <w:rsid w:val="00E00200"/>
    <w:rsid w:val="00E029D7"/>
    <w:rsid w:val="00E0360E"/>
    <w:rsid w:val="00E03CAB"/>
    <w:rsid w:val="00E05602"/>
    <w:rsid w:val="00E06886"/>
    <w:rsid w:val="00E07D2B"/>
    <w:rsid w:val="00E109B3"/>
    <w:rsid w:val="00E128AB"/>
    <w:rsid w:val="00E130D6"/>
    <w:rsid w:val="00E137F9"/>
    <w:rsid w:val="00E17A4A"/>
    <w:rsid w:val="00E251E0"/>
    <w:rsid w:val="00E27EFF"/>
    <w:rsid w:val="00E3034B"/>
    <w:rsid w:val="00E31B7D"/>
    <w:rsid w:val="00E40C58"/>
    <w:rsid w:val="00E421C3"/>
    <w:rsid w:val="00E43EE2"/>
    <w:rsid w:val="00E47245"/>
    <w:rsid w:val="00E50944"/>
    <w:rsid w:val="00E5250C"/>
    <w:rsid w:val="00E54CE8"/>
    <w:rsid w:val="00E60441"/>
    <w:rsid w:val="00E60A8D"/>
    <w:rsid w:val="00E61661"/>
    <w:rsid w:val="00E675B3"/>
    <w:rsid w:val="00E70FAB"/>
    <w:rsid w:val="00E72885"/>
    <w:rsid w:val="00E72E8A"/>
    <w:rsid w:val="00E772F7"/>
    <w:rsid w:val="00E85828"/>
    <w:rsid w:val="00E86B9F"/>
    <w:rsid w:val="00E871FB"/>
    <w:rsid w:val="00E87B79"/>
    <w:rsid w:val="00E905A5"/>
    <w:rsid w:val="00E91139"/>
    <w:rsid w:val="00E969AE"/>
    <w:rsid w:val="00EA16FC"/>
    <w:rsid w:val="00EA4903"/>
    <w:rsid w:val="00EA54E7"/>
    <w:rsid w:val="00EA6292"/>
    <w:rsid w:val="00EA76B9"/>
    <w:rsid w:val="00EB1AB8"/>
    <w:rsid w:val="00EB3009"/>
    <w:rsid w:val="00EB37D3"/>
    <w:rsid w:val="00EB72F8"/>
    <w:rsid w:val="00EC032D"/>
    <w:rsid w:val="00EC09F4"/>
    <w:rsid w:val="00EC1EB4"/>
    <w:rsid w:val="00EC4BE2"/>
    <w:rsid w:val="00ED4A4C"/>
    <w:rsid w:val="00ED5522"/>
    <w:rsid w:val="00ED6922"/>
    <w:rsid w:val="00EE33A9"/>
    <w:rsid w:val="00EE3550"/>
    <w:rsid w:val="00EE708D"/>
    <w:rsid w:val="00EE72D8"/>
    <w:rsid w:val="00EF0F44"/>
    <w:rsid w:val="00EF1466"/>
    <w:rsid w:val="00EF204A"/>
    <w:rsid w:val="00EF2277"/>
    <w:rsid w:val="00EF6F01"/>
    <w:rsid w:val="00EF6F6C"/>
    <w:rsid w:val="00EF75B9"/>
    <w:rsid w:val="00F014E2"/>
    <w:rsid w:val="00F05E7A"/>
    <w:rsid w:val="00F10772"/>
    <w:rsid w:val="00F1159C"/>
    <w:rsid w:val="00F11ABE"/>
    <w:rsid w:val="00F1307C"/>
    <w:rsid w:val="00F229C5"/>
    <w:rsid w:val="00F22ED2"/>
    <w:rsid w:val="00F256D5"/>
    <w:rsid w:val="00F27E62"/>
    <w:rsid w:val="00F321C9"/>
    <w:rsid w:val="00F321ED"/>
    <w:rsid w:val="00F33DDE"/>
    <w:rsid w:val="00F34E3D"/>
    <w:rsid w:val="00F425CF"/>
    <w:rsid w:val="00F441DD"/>
    <w:rsid w:val="00F47E8B"/>
    <w:rsid w:val="00F502C3"/>
    <w:rsid w:val="00F519D4"/>
    <w:rsid w:val="00F56CE4"/>
    <w:rsid w:val="00F57FFE"/>
    <w:rsid w:val="00F60EFC"/>
    <w:rsid w:val="00F624E4"/>
    <w:rsid w:val="00F62689"/>
    <w:rsid w:val="00F6301D"/>
    <w:rsid w:val="00F63330"/>
    <w:rsid w:val="00F641B6"/>
    <w:rsid w:val="00F644FD"/>
    <w:rsid w:val="00F655CD"/>
    <w:rsid w:val="00F6563F"/>
    <w:rsid w:val="00F70FC8"/>
    <w:rsid w:val="00F715E6"/>
    <w:rsid w:val="00F71C0E"/>
    <w:rsid w:val="00F72DCE"/>
    <w:rsid w:val="00F7357A"/>
    <w:rsid w:val="00F8086F"/>
    <w:rsid w:val="00F82DDA"/>
    <w:rsid w:val="00F842F7"/>
    <w:rsid w:val="00F8519D"/>
    <w:rsid w:val="00F85414"/>
    <w:rsid w:val="00F85539"/>
    <w:rsid w:val="00F8610E"/>
    <w:rsid w:val="00F87C59"/>
    <w:rsid w:val="00F906FD"/>
    <w:rsid w:val="00F9111A"/>
    <w:rsid w:val="00F950A3"/>
    <w:rsid w:val="00F960EA"/>
    <w:rsid w:val="00F966DD"/>
    <w:rsid w:val="00FA3197"/>
    <w:rsid w:val="00FA4CC6"/>
    <w:rsid w:val="00FB0625"/>
    <w:rsid w:val="00FB203B"/>
    <w:rsid w:val="00FB43E0"/>
    <w:rsid w:val="00FB4E87"/>
    <w:rsid w:val="00FC1109"/>
    <w:rsid w:val="00FC1428"/>
    <w:rsid w:val="00FC4023"/>
    <w:rsid w:val="00FC526A"/>
    <w:rsid w:val="00FC6628"/>
    <w:rsid w:val="00FC6AB2"/>
    <w:rsid w:val="00FC7B80"/>
    <w:rsid w:val="00FD1992"/>
    <w:rsid w:val="00FD561E"/>
    <w:rsid w:val="00FD72BB"/>
    <w:rsid w:val="00FE01E8"/>
    <w:rsid w:val="00FE2A84"/>
    <w:rsid w:val="00FE3765"/>
    <w:rsid w:val="00FE4072"/>
    <w:rsid w:val="00FE44AC"/>
    <w:rsid w:val="00FE5109"/>
    <w:rsid w:val="00FE7185"/>
    <w:rsid w:val="00FE73FD"/>
    <w:rsid w:val="00FF5377"/>
    <w:rsid w:val="00FF5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F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BAE"/>
    <w:rPr>
      <w:rFonts w:eastAsia="Times New Roman"/>
      <w:sz w:val="24"/>
      <w:lang w:eastAsia="en-US"/>
    </w:rPr>
  </w:style>
  <w:style w:type="paragraph" w:styleId="Heading1">
    <w:name w:val="heading 1"/>
    <w:basedOn w:val="Normal"/>
    <w:next w:val="Normal"/>
    <w:link w:val="Heading1Char"/>
    <w:qFormat/>
    <w:rsid w:val="002F7869"/>
    <w:pPr>
      <w:keepNext/>
      <w:keepLines/>
      <w:tabs>
        <w:tab w:val="left" w:pos="720"/>
      </w:tabs>
      <w:spacing w:before="240" w:after="240"/>
      <w:outlineLvl w:val="0"/>
    </w:pPr>
    <w:rPr>
      <w:b/>
      <w:caps/>
    </w:rPr>
  </w:style>
  <w:style w:type="paragraph" w:styleId="Heading2">
    <w:name w:val="heading 2"/>
    <w:basedOn w:val="Normal"/>
    <w:next w:val="Normal"/>
    <w:link w:val="Heading2Char"/>
    <w:qFormat/>
    <w:rsid w:val="000941C3"/>
    <w:pPr>
      <w:keepNext/>
      <w:spacing w:before="240" w:after="240"/>
      <w:outlineLvl w:val="1"/>
    </w:pPr>
    <w:rPr>
      <w:b/>
    </w:rPr>
  </w:style>
  <w:style w:type="paragraph" w:styleId="Heading3">
    <w:name w:val="heading 3"/>
    <w:basedOn w:val="Heading2"/>
    <w:next w:val="Normal"/>
    <w:link w:val="Heading3Char"/>
    <w:qFormat/>
    <w:rsid w:val="000941C3"/>
    <w:pPr>
      <w:keepLines/>
      <w:tabs>
        <w:tab w:val="left" w:pos="720"/>
      </w:tabs>
      <w:outlineLvl w:val="2"/>
    </w:pPr>
  </w:style>
  <w:style w:type="paragraph" w:styleId="Heading4">
    <w:name w:val="heading 4"/>
    <w:basedOn w:val="Normal"/>
    <w:next w:val="Normal"/>
    <w:qFormat/>
    <w:rsid w:val="00B81855"/>
    <w:pPr>
      <w:keepNext/>
      <w:spacing w:before="240"/>
      <w:outlineLvl w:val="3"/>
    </w:pPr>
    <w:rPr>
      <w:b/>
      <w:i/>
    </w:rPr>
  </w:style>
  <w:style w:type="paragraph" w:styleId="Heading5">
    <w:name w:val="heading 5"/>
    <w:basedOn w:val="Normal"/>
    <w:next w:val="Normal"/>
    <w:link w:val="Heading5Char"/>
    <w:unhideWhenUsed/>
    <w:qFormat/>
    <w:rsid w:val="00B81855"/>
    <w:pPr>
      <w:keepNext/>
      <w:keepLines/>
      <w:spacing w:before="240"/>
      <w:outlineLvl w:val="4"/>
    </w:pPr>
    <w:rPr>
      <w:rFonts w:eastAsiaTheme="majorEastAsia" w:cstheme="majorBidi"/>
      <w:i/>
    </w:rPr>
  </w:style>
  <w:style w:type="paragraph" w:styleId="Heading6">
    <w:name w:val="heading 6"/>
    <w:basedOn w:val="Normal"/>
    <w:next w:val="Normal"/>
    <w:link w:val="Heading6Char"/>
    <w:unhideWhenUsed/>
    <w:qFormat/>
    <w:rsid w:val="002722E4"/>
    <w:pPr>
      <w:keepNext/>
      <w:keepLines/>
      <w:numPr>
        <w:numId w:val="1"/>
      </w:numPr>
      <w:tabs>
        <w:tab w:val="left" w:pos="720"/>
      </w:tabs>
      <w:spacing w:before="240"/>
      <w:outlineLvl w:val="5"/>
    </w:pPr>
    <w:rPr>
      <w:rFonts w:eastAsiaTheme="majorEastAsia" w:cstheme="majorBidi"/>
      <w:b/>
      <w:iCs/>
    </w:rPr>
  </w:style>
  <w:style w:type="paragraph" w:styleId="Heading7">
    <w:name w:val="heading 7"/>
    <w:basedOn w:val="Normal"/>
    <w:next w:val="Normal"/>
    <w:link w:val="Heading7Char"/>
    <w:qFormat/>
    <w:rsid w:val="000941C3"/>
    <w:pPr>
      <w:keepNext/>
      <w:keepLines/>
      <w:numPr>
        <w:numId w:val="2"/>
      </w:numPr>
      <w:spacing w:before="240"/>
      <w:ind w:left="0" w:firstLine="0"/>
      <w:outlineLvl w:val="6"/>
    </w:pPr>
    <w:rPr>
      <w:rFonts w:eastAsia="MS Mincho"/>
      <w:b/>
      <w:lang w:val="en-US" w:eastAsia="ja-JP"/>
    </w:rPr>
  </w:style>
  <w:style w:type="paragraph" w:styleId="Heading8">
    <w:name w:val="heading 8"/>
    <w:basedOn w:val="Normal"/>
    <w:next w:val="Normal"/>
    <w:link w:val="Heading8Char"/>
    <w:qFormat/>
    <w:rsid w:val="009F2466"/>
    <w:pPr>
      <w:ind w:left="720"/>
      <w:outlineLvl w:val="7"/>
    </w:pPr>
    <w:rPr>
      <w:rFonts w:eastAsia="MS Mincho"/>
      <w:i/>
      <w:sz w:val="20"/>
      <w:lang w:val="en-US" w:eastAsia="ja-JP"/>
    </w:rPr>
  </w:style>
  <w:style w:type="paragraph" w:styleId="Heading9">
    <w:name w:val="heading 9"/>
    <w:basedOn w:val="Normal"/>
    <w:next w:val="Normal"/>
    <w:link w:val="Heading9Char"/>
    <w:qFormat/>
    <w:rsid w:val="009F2466"/>
    <w:pPr>
      <w:ind w:left="720"/>
      <w:outlineLvl w:val="8"/>
    </w:pPr>
    <w:rPr>
      <w:rFonts w:eastAsia="MS Mincho"/>
      <w:i/>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7869"/>
    <w:rPr>
      <w:rFonts w:ascii="Cambria" w:eastAsia="Times New Roman" w:hAnsi="Cambria"/>
      <w:b/>
      <w:caps/>
      <w:sz w:val="21"/>
      <w:lang w:eastAsia="en-US"/>
    </w:rPr>
  </w:style>
  <w:style w:type="character" w:customStyle="1" w:styleId="Heading2Char">
    <w:name w:val="Heading 2 Char"/>
    <w:link w:val="Heading2"/>
    <w:rsid w:val="000941C3"/>
    <w:rPr>
      <w:rFonts w:ascii="Cambria" w:eastAsia="Times New Roman" w:hAnsi="Cambria"/>
      <w:b/>
      <w:sz w:val="21"/>
      <w:lang w:eastAsia="en-US"/>
    </w:rPr>
  </w:style>
  <w:style w:type="character" w:customStyle="1" w:styleId="Heading3Char">
    <w:name w:val="Heading 3 Char"/>
    <w:link w:val="Heading3"/>
    <w:locked/>
    <w:rsid w:val="000941C3"/>
    <w:rPr>
      <w:rFonts w:ascii="Cambria" w:eastAsia="Times New Roman" w:hAnsi="Cambria"/>
      <w:b/>
      <w:sz w:val="21"/>
      <w:lang w:eastAsia="en-US"/>
    </w:rPr>
  </w:style>
  <w:style w:type="paragraph" w:styleId="Header">
    <w:name w:val="header"/>
    <w:basedOn w:val="Normal"/>
    <w:link w:val="HeaderChar"/>
    <w:rsid w:val="001A45F6"/>
    <w:pPr>
      <w:tabs>
        <w:tab w:val="center" w:pos="4320"/>
        <w:tab w:val="right" w:pos="8640"/>
      </w:tabs>
    </w:pPr>
    <w:rPr>
      <w:sz w:val="20"/>
    </w:rPr>
  </w:style>
  <w:style w:type="character" w:customStyle="1" w:styleId="HeaderChar">
    <w:name w:val="Header Char"/>
    <w:link w:val="Header"/>
    <w:locked/>
    <w:rsid w:val="001A45F6"/>
    <w:rPr>
      <w:rFonts w:ascii="Arial" w:eastAsia="Times New Roman" w:hAnsi="Arial"/>
      <w:lang w:eastAsia="en-US"/>
    </w:rPr>
  </w:style>
  <w:style w:type="paragraph" w:styleId="Footer">
    <w:name w:val="footer"/>
    <w:basedOn w:val="Normal"/>
    <w:link w:val="FooterChar"/>
    <w:rsid w:val="00303813"/>
    <w:pPr>
      <w:tabs>
        <w:tab w:val="center" w:pos="4320"/>
        <w:tab w:val="right" w:pos="8640"/>
      </w:tabs>
    </w:pPr>
  </w:style>
  <w:style w:type="character" w:customStyle="1" w:styleId="FooterChar">
    <w:name w:val="Footer Char"/>
    <w:link w:val="Footer"/>
    <w:rsid w:val="00E00200"/>
    <w:rPr>
      <w:rFonts w:eastAsia="Times New Roman"/>
    </w:rPr>
  </w:style>
  <w:style w:type="character" w:styleId="FootnoteReference">
    <w:name w:val="footnote reference"/>
    <w:semiHidden/>
    <w:rsid w:val="00303813"/>
    <w:rPr>
      <w:vertAlign w:val="superscript"/>
    </w:rPr>
  </w:style>
  <w:style w:type="character" w:styleId="CommentReference">
    <w:name w:val="annotation reference"/>
    <w:uiPriority w:val="99"/>
    <w:rsid w:val="00FC1428"/>
    <w:rPr>
      <w:rFonts w:ascii="Arial" w:hAnsi="Arial"/>
      <w:sz w:val="20"/>
      <w:szCs w:val="16"/>
    </w:rPr>
  </w:style>
  <w:style w:type="paragraph" w:customStyle="1" w:styleId="Body">
    <w:name w:val="Body"/>
    <w:basedOn w:val="Normal"/>
    <w:link w:val="BodyChar"/>
    <w:rsid w:val="002F7869"/>
  </w:style>
  <w:style w:type="character" w:customStyle="1" w:styleId="BodyChar">
    <w:name w:val="Body Char"/>
    <w:link w:val="Body"/>
    <w:locked/>
    <w:rsid w:val="002F7869"/>
    <w:rPr>
      <w:rFonts w:ascii="Cambria" w:eastAsia="Times New Roman" w:hAnsi="Cambria"/>
      <w:sz w:val="21"/>
      <w:lang w:eastAsia="en-US"/>
    </w:rPr>
  </w:style>
  <w:style w:type="paragraph" w:customStyle="1" w:styleId="SubSectionHeadings">
    <w:name w:val="Sub Section Headings"/>
    <w:basedOn w:val="Normal"/>
    <w:next w:val="Body"/>
    <w:rsid w:val="00303813"/>
    <w:pPr>
      <w:keepNext/>
      <w:keepLines/>
    </w:pPr>
    <w:rPr>
      <w:i/>
      <w:lang w:val="en-US"/>
    </w:rPr>
  </w:style>
  <w:style w:type="paragraph" w:customStyle="1" w:styleId="SubSubSectionheading">
    <w:name w:val="SubSub Section heading"/>
    <w:basedOn w:val="Normal"/>
    <w:next w:val="Body"/>
    <w:rsid w:val="00303813"/>
    <w:pPr>
      <w:keepNext/>
      <w:keepLines/>
    </w:pPr>
    <w:rPr>
      <w:i/>
      <w:lang w:val="en-US"/>
    </w:rPr>
  </w:style>
  <w:style w:type="paragraph" w:customStyle="1" w:styleId="SectionHeadings">
    <w:name w:val="Section Headings"/>
    <w:basedOn w:val="Normal"/>
    <w:next w:val="Body"/>
    <w:rsid w:val="00303813"/>
    <w:pPr>
      <w:keepNext/>
      <w:keepLines/>
      <w:spacing w:before="240"/>
    </w:pPr>
    <w:rPr>
      <w:b/>
      <w:caps/>
      <w:lang w:val="en-US"/>
    </w:rPr>
  </w:style>
  <w:style w:type="paragraph" w:customStyle="1" w:styleId="SeparationLine">
    <w:name w:val="Separation Line"/>
    <w:basedOn w:val="Normal"/>
    <w:next w:val="Normal"/>
    <w:rsid w:val="00303813"/>
    <w:pPr>
      <w:pBdr>
        <w:top w:val="single" w:sz="6" w:space="1" w:color="auto"/>
      </w:pBdr>
    </w:pPr>
    <w:rPr>
      <w:sz w:val="16"/>
      <w:lang w:val="en-US"/>
    </w:rPr>
  </w:style>
  <w:style w:type="paragraph" w:customStyle="1" w:styleId="ExtraSpace">
    <w:name w:val="Extra Space"/>
    <w:basedOn w:val="Normal"/>
    <w:next w:val="Body"/>
    <w:rsid w:val="00303813"/>
    <w:pPr>
      <w:spacing w:line="120" w:lineRule="exact"/>
    </w:pPr>
    <w:rPr>
      <w:color w:val="00FF00"/>
      <w:lang w:val="en-US"/>
    </w:rPr>
  </w:style>
  <w:style w:type="paragraph" w:customStyle="1" w:styleId="Tablecentered">
    <w:name w:val="Table: centered"/>
    <w:basedOn w:val="Bodycentered"/>
    <w:rsid w:val="00CA12C7"/>
    <w:pPr>
      <w:keepNext/>
      <w:keepLines/>
      <w:contextualSpacing/>
    </w:pPr>
    <w:rPr>
      <w:sz w:val="20"/>
    </w:rPr>
  </w:style>
  <w:style w:type="paragraph" w:customStyle="1" w:styleId="Bodycentered">
    <w:name w:val="Body: centered"/>
    <w:basedOn w:val="Body"/>
    <w:next w:val="Body"/>
    <w:rsid w:val="00303813"/>
    <w:pPr>
      <w:jc w:val="center"/>
    </w:pPr>
  </w:style>
  <w:style w:type="paragraph" w:customStyle="1" w:styleId="Tablenormal0">
    <w:name w:val="Table: normal"/>
    <w:basedOn w:val="Normal"/>
    <w:rsid w:val="000C1DA5"/>
    <w:pPr>
      <w:keepNext/>
      <w:keepLines/>
      <w:contextualSpacing/>
    </w:pPr>
    <w:rPr>
      <w:sz w:val="20"/>
    </w:rPr>
  </w:style>
  <w:style w:type="paragraph" w:styleId="BodyTextIndent">
    <w:name w:val="Body Text Indent"/>
    <w:basedOn w:val="Normal"/>
    <w:link w:val="BodyTextIndentChar"/>
    <w:rsid w:val="00BB30D5"/>
    <w:pPr>
      <w:spacing w:before="120" w:after="120"/>
      <w:ind w:left="113"/>
      <w:contextualSpacing/>
    </w:pPr>
    <w:rPr>
      <w:sz w:val="18"/>
      <w:lang w:val="en-US"/>
    </w:rPr>
  </w:style>
  <w:style w:type="character" w:customStyle="1" w:styleId="BodyTextIndentChar">
    <w:name w:val="Body Text Indent Char"/>
    <w:link w:val="BodyTextIndent"/>
    <w:rsid w:val="00BB30D5"/>
    <w:rPr>
      <w:rFonts w:ascii="Arial" w:eastAsia="Times New Roman" w:hAnsi="Arial"/>
      <w:sz w:val="18"/>
      <w:lang w:val="en-US" w:eastAsia="en-US"/>
    </w:rPr>
  </w:style>
  <w:style w:type="paragraph" w:styleId="BodyText">
    <w:name w:val="Body Text"/>
    <w:basedOn w:val="Normal"/>
    <w:link w:val="BodyTextChar"/>
    <w:qFormat/>
    <w:rsid w:val="00D46EAF"/>
  </w:style>
  <w:style w:type="character" w:customStyle="1" w:styleId="BodyTextChar">
    <w:name w:val="Body Text Char"/>
    <w:link w:val="BodyText"/>
    <w:rsid w:val="00D46EAF"/>
    <w:rPr>
      <w:rFonts w:ascii="Arial" w:eastAsia="Times New Roman" w:hAnsi="Arial"/>
      <w:sz w:val="22"/>
      <w:lang w:eastAsia="en-US"/>
    </w:rPr>
  </w:style>
  <w:style w:type="table" w:styleId="TableGrid">
    <w:name w:val="Table Grid"/>
    <w:basedOn w:val="TableNormal"/>
    <w:uiPriority w:val="59"/>
    <w:rsid w:val="003038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7FF5"/>
    <w:rPr>
      <w:b/>
      <w:bCs/>
    </w:rPr>
  </w:style>
  <w:style w:type="paragraph" w:customStyle="1" w:styleId="Turnedtext">
    <w:name w:val="Turned text"/>
    <w:basedOn w:val="Normal"/>
    <w:next w:val="Body"/>
    <w:rsid w:val="00303813"/>
    <w:pPr>
      <w:keepLines/>
      <w:jc w:val="center"/>
    </w:pPr>
    <w:rPr>
      <w:szCs w:val="24"/>
      <w:lang w:val="en-US"/>
    </w:rPr>
  </w:style>
  <w:style w:type="paragraph" w:customStyle="1" w:styleId="Bodynotab">
    <w:name w:val="Body: no tab"/>
    <w:basedOn w:val="Body"/>
    <w:next w:val="Body"/>
    <w:rsid w:val="00303813"/>
    <w:rPr>
      <w:szCs w:val="24"/>
    </w:rPr>
  </w:style>
  <w:style w:type="paragraph" w:customStyle="1" w:styleId="SynopsisText">
    <w:name w:val="Synopsis Text"/>
    <w:rsid w:val="00303813"/>
    <w:pPr>
      <w:spacing w:before="120"/>
      <w:jc w:val="both"/>
    </w:pPr>
    <w:rPr>
      <w:rFonts w:eastAsia="Times New Roman"/>
      <w:sz w:val="22"/>
      <w:lang w:val="en-US" w:eastAsia="en-US"/>
    </w:rPr>
  </w:style>
  <w:style w:type="paragraph" w:styleId="BodyTextIndent2">
    <w:name w:val="Body Text Indent 2"/>
    <w:basedOn w:val="Normal"/>
    <w:rsid w:val="00303813"/>
    <w:pPr>
      <w:spacing w:line="480" w:lineRule="auto"/>
      <w:ind w:left="283"/>
    </w:pPr>
  </w:style>
  <w:style w:type="paragraph" w:styleId="BalloonText">
    <w:name w:val="Balloon Text"/>
    <w:basedOn w:val="Normal"/>
    <w:link w:val="BalloonTextChar"/>
    <w:semiHidden/>
    <w:rsid w:val="00303813"/>
    <w:rPr>
      <w:rFonts w:ascii="Tahoma" w:hAnsi="Tahoma" w:cs="Tahoma"/>
      <w:sz w:val="16"/>
      <w:szCs w:val="16"/>
    </w:rPr>
  </w:style>
  <w:style w:type="character" w:customStyle="1" w:styleId="BalloonTextChar">
    <w:name w:val="Balloon Text Char"/>
    <w:link w:val="BalloonText"/>
    <w:semiHidden/>
    <w:locked/>
    <w:rsid w:val="00F842F7"/>
    <w:rPr>
      <w:rFonts w:ascii="Tahoma" w:eastAsia="Times New Roman" w:hAnsi="Tahoma" w:cs="Tahoma"/>
      <w:sz w:val="16"/>
      <w:szCs w:val="16"/>
    </w:rPr>
  </w:style>
  <w:style w:type="paragraph" w:styleId="EndnoteText">
    <w:name w:val="endnote text"/>
    <w:basedOn w:val="Normal"/>
    <w:semiHidden/>
    <w:rsid w:val="002E5C15"/>
  </w:style>
  <w:style w:type="character" w:styleId="EndnoteReference">
    <w:name w:val="endnote reference"/>
    <w:semiHidden/>
    <w:rsid w:val="002E5C15"/>
    <w:rPr>
      <w:vertAlign w:val="superscript"/>
    </w:rPr>
  </w:style>
  <w:style w:type="paragraph" w:styleId="CommentText">
    <w:name w:val="annotation text"/>
    <w:basedOn w:val="Normal"/>
    <w:link w:val="CommentTextChar"/>
    <w:rsid w:val="00FC1428"/>
  </w:style>
  <w:style w:type="character" w:customStyle="1" w:styleId="CommentTextChar">
    <w:name w:val="Comment Text Char"/>
    <w:link w:val="CommentText"/>
    <w:rsid w:val="00FC1428"/>
    <w:rPr>
      <w:rFonts w:ascii="Arial" w:eastAsia="Times New Roman" w:hAnsi="Arial"/>
      <w:sz w:val="22"/>
      <w:lang w:eastAsia="en-US"/>
    </w:rPr>
  </w:style>
  <w:style w:type="paragraph" w:styleId="CommentSubject">
    <w:name w:val="annotation subject"/>
    <w:basedOn w:val="CommentText"/>
    <w:next w:val="CommentText"/>
    <w:link w:val="CommentSubjectChar"/>
    <w:rsid w:val="00510390"/>
    <w:rPr>
      <w:b/>
      <w:bCs/>
    </w:rPr>
  </w:style>
  <w:style w:type="paragraph" w:styleId="Revision">
    <w:name w:val="Revision"/>
    <w:hidden/>
    <w:uiPriority w:val="99"/>
    <w:semiHidden/>
    <w:rsid w:val="00C27173"/>
    <w:rPr>
      <w:rFonts w:eastAsia="Times New Roman"/>
    </w:rPr>
  </w:style>
  <w:style w:type="paragraph" w:customStyle="1" w:styleId="TableHeading">
    <w:name w:val="Table Heading"/>
    <w:basedOn w:val="Normal"/>
    <w:link w:val="TableHeadingChar"/>
    <w:qFormat/>
    <w:rsid w:val="00877FF5"/>
    <w:pPr>
      <w:keepNext/>
      <w:jc w:val="center"/>
    </w:pPr>
    <w:rPr>
      <w:rFonts w:cs="Arial"/>
      <w:b/>
    </w:rPr>
  </w:style>
  <w:style w:type="character" w:customStyle="1" w:styleId="TableHeadingChar">
    <w:name w:val="Table Heading Char"/>
    <w:link w:val="TableHeading"/>
    <w:rsid w:val="00877FF5"/>
    <w:rPr>
      <w:rFonts w:ascii="Arial" w:eastAsia="Times New Roman" w:hAnsi="Arial" w:cs="Arial"/>
      <w:b/>
      <w:sz w:val="22"/>
    </w:rPr>
  </w:style>
  <w:style w:type="paragraph" w:styleId="BodyTextFirstIndent2">
    <w:name w:val="Body Text First Indent 2"/>
    <w:basedOn w:val="BodyTextIndent"/>
    <w:link w:val="BodyTextFirstIndent2Char"/>
    <w:rsid w:val="00DE56EC"/>
    <w:pPr>
      <w:ind w:left="283" w:firstLine="210"/>
    </w:pPr>
    <w:rPr>
      <w:sz w:val="22"/>
      <w:lang w:val="en-AU"/>
    </w:rPr>
  </w:style>
  <w:style w:type="character" w:customStyle="1" w:styleId="BodyTextFirstIndent2Char">
    <w:name w:val="Body Text First Indent 2 Char"/>
    <w:link w:val="BodyTextFirstIndent2"/>
    <w:rsid w:val="00DE56EC"/>
    <w:rPr>
      <w:rFonts w:ascii="Arial" w:eastAsia="Times New Roman" w:hAnsi="Arial"/>
      <w:sz w:val="22"/>
      <w:lang w:val="en-US"/>
    </w:rPr>
  </w:style>
  <w:style w:type="paragraph" w:customStyle="1" w:styleId="Footnote">
    <w:name w:val="Footnote"/>
    <w:basedOn w:val="Normal"/>
    <w:link w:val="FootnoteChar"/>
    <w:qFormat/>
    <w:rsid w:val="00877FF5"/>
    <w:rPr>
      <w:sz w:val="18"/>
    </w:rPr>
  </w:style>
  <w:style w:type="character" w:customStyle="1" w:styleId="FootnoteChar">
    <w:name w:val="Footnote Char"/>
    <w:link w:val="Footnote"/>
    <w:rsid w:val="00877FF5"/>
    <w:rPr>
      <w:rFonts w:ascii="Arial" w:eastAsia="Times New Roman" w:hAnsi="Arial"/>
      <w:sz w:val="18"/>
    </w:rPr>
  </w:style>
  <w:style w:type="paragraph" w:styleId="ListParagraph">
    <w:name w:val="List Paragraph"/>
    <w:basedOn w:val="Normal"/>
    <w:uiPriority w:val="34"/>
    <w:qFormat/>
    <w:rsid w:val="00FE4072"/>
    <w:pPr>
      <w:numPr>
        <w:numId w:val="3"/>
      </w:numPr>
      <w:tabs>
        <w:tab w:val="left" w:pos="720"/>
      </w:tabs>
    </w:pPr>
    <w:rPr>
      <w:rFonts w:eastAsia="Calibri"/>
      <w:szCs w:val="22"/>
    </w:rPr>
  </w:style>
  <w:style w:type="paragraph" w:customStyle="1" w:styleId="TableParagraph">
    <w:name w:val="Table Paragraph"/>
    <w:basedOn w:val="Normal"/>
    <w:uiPriority w:val="1"/>
    <w:qFormat/>
    <w:rsid w:val="00F05E7A"/>
    <w:pPr>
      <w:widowControl w:val="0"/>
    </w:pPr>
    <w:rPr>
      <w:rFonts w:ascii="Calibri" w:eastAsia="Calibri" w:hAnsi="Calibri"/>
      <w:szCs w:val="22"/>
      <w:lang w:val="en-US"/>
    </w:rPr>
  </w:style>
  <w:style w:type="paragraph" w:styleId="Title">
    <w:name w:val="Title"/>
    <w:basedOn w:val="Normal"/>
    <w:link w:val="TitleChar"/>
    <w:qFormat/>
    <w:rsid w:val="002F7869"/>
    <w:pPr>
      <w:spacing w:before="240"/>
      <w:jc w:val="center"/>
    </w:pPr>
    <w:rPr>
      <w:b/>
    </w:rPr>
  </w:style>
  <w:style w:type="character" w:customStyle="1" w:styleId="TitleChar">
    <w:name w:val="Title Char"/>
    <w:basedOn w:val="DefaultParagraphFont"/>
    <w:link w:val="Title"/>
    <w:rsid w:val="002F7869"/>
    <w:rPr>
      <w:rFonts w:ascii="Cambria" w:eastAsia="Times New Roman" w:hAnsi="Cambria"/>
      <w:b/>
      <w:sz w:val="21"/>
      <w:lang w:eastAsia="en-US"/>
    </w:rPr>
  </w:style>
  <w:style w:type="paragraph" w:styleId="BodyText3">
    <w:name w:val="Body Text 3"/>
    <w:basedOn w:val="Normal"/>
    <w:link w:val="BodyText3Char"/>
    <w:rsid w:val="00D254CA"/>
    <w:pPr>
      <w:spacing w:before="240"/>
      <w:ind w:left="714" w:right="357" w:hanging="357"/>
      <w:contextualSpacing/>
    </w:pPr>
    <w:rPr>
      <w:sz w:val="18"/>
      <w:lang w:val="en-US"/>
    </w:rPr>
  </w:style>
  <w:style w:type="character" w:customStyle="1" w:styleId="BodyText3Char">
    <w:name w:val="Body Text 3 Char"/>
    <w:basedOn w:val="DefaultParagraphFont"/>
    <w:link w:val="BodyText3"/>
    <w:rsid w:val="00D254CA"/>
    <w:rPr>
      <w:rFonts w:ascii="Cambria" w:eastAsia="Times New Roman" w:hAnsi="Cambria"/>
      <w:sz w:val="18"/>
      <w:lang w:val="en-US" w:eastAsia="en-US"/>
    </w:rPr>
  </w:style>
  <w:style w:type="paragraph" w:styleId="BodyText2">
    <w:name w:val="Body Text 2"/>
    <w:basedOn w:val="Normal"/>
    <w:link w:val="BodyText2Char"/>
    <w:rsid w:val="00084269"/>
    <w:rPr>
      <w:color w:val="000000"/>
      <w:sz w:val="18"/>
    </w:rPr>
  </w:style>
  <w:style w:type="character" w:customStyle="1" w:styleId="BodyText2Char">
    <w:name w:val="Body Text 2 Char"/>
    <w:basedOn w:val="DefaultParagraphFont"/>
    <w:link w:val="BodyText2"/>
    <w:rsid w:val="00084269"/>
    <w:rPr>
      <w:rFonts w:ascii="Arial" w:eastAsia="Times New Roman" w:hAnsi="Arial"/>
      <w:color w:val="000000"/>
      <w:sz w:val="18"/>
      <w:lang w:eastAsia="en-US"/>
    </w:rPr>
  </w:style>
  <w:style w:type="paragraph" w:styleId="DocumentMap">
    <w:name w:val="Document Map"/>
    <w:basedOn w:val="Normal"/>
    <w:link w:val="DocumentMapChar"/>
    <w:rsid w:val="00F842F7"/>
    <w:pPr>
      <w:shd w:val="clear" w:color="auto" w:fill="000080"/>
    </w:pPr>
    <w:rPr>
      <w:rFonts w:ascii="Tahoma" w:hAnsi="Tahoma" w:cs="Tahoma"/>
    </w:rPr>
  </w:style>
  <w:style w:type="character" w:customStyle="1" w:styleId="DocumentMapChar">
    <w:name w:val="Document Map Char"/>
    <w:basedOn w:val="DefaultParagraphFont"/>
    <w:link w:val="DocumentMap"/>
    <w:rsid w:val="00F842F7"/>
    <w:rPr>
      <w:rFonts w:ascii="Tahoma" w:eastAsia="Times New Roman" w:hAnsi="Tahoma" w:cs="Tahoma"/>
      <w:shd w:val="clear" w:color="auto" w:fill="000080"/>
      <w:lang w:eastAsia="en-US"/>
    </w:rPr>
  </w:style>
  <w:style w:type="character" w:customStyle="1" w:styleId="Heading5Char">
    <w:name w:val="Heading 5 Char"/>
    <w:basedOn w:val="DefaultParagraphFont"/>
    <w:link w:val="Heading5"/>
    <w:rsid w:val="00B81855"/>
    <w:rPr>
      <w:rFonts w:ascii="Cambria" w:eastAsiaTheme="majorEastAsia" w:hAnsi="Cambria" w:cstheme="majorBidi"/>
      <w:i/>
      <w:sz w:val="21"/>
      <w:lang w:eastAsia="en-US"/>
    </w:rPr>
  </w:style>
  <w:style w:type="paragraph" w:styleId="ListBullet">
    <w:name w:val="List Bullet"/>
    <w:basedOn w:val="ListParagraph"/>
    <w:rsid w:val="000F03FB"/>
    <w:pPr>
      <w:spacing w:before="120" w:after="120"/>
      <w:ind w:left="357" w:hanging="357"/>
    </w:pPr>
  </w:style>
  <w:style w:type="paragraph" w:customStyle="1" w:styleId="StyleHeading1Superscript">
    <w:name w:val="Style Heading 1 + Superscript"/>
    <w:basedOn w:val="Heading1"/>
    <w:rsid w:val="009B4C79"/>
    <w:rPr>
      <w:bCs/>
      <w:vertAlign w:val="superscript"/>
    </w:rPr>
  </w:style>
  <w:style w:type="character" w:customStyle="1" w:styleId="Heading6Char">
    <w:name w:val="Heading 6 Char"/>
    <w:basedOn w:val="DefaultParagraphFont"/>
    <w:link w:val="Heading6"/>
    <w:rsid w:val="002722E4"/>
    <w:rPr>
      <w:rFonts w:eastAsiaTheme="majorEastAsia" w:cstheme="majorBidi"/>
      <w:b/>
      <w:iCs/>
      <w:sz w:val="24"/>
      <w:lang w:eastAsia="en-US"/>
    </w:rPr>
  </w:style>
  <w:style w:type="paragraph" w:customStyle="1" w:styleId="Default">
    <w:name w:val="Default"/>
    <w:rsid w:val="00146F08"/>
    <w:pPr>
      <w:autoSpaceDE w:val="0"/>
      <w:autoSpaceDN w:val="0"/>
      <w:adjustRightInd w:val="0"/>
    </w:pPr>
    <w:rPr>
      <w:color w:val="000000"/>
      <w:sz w:val="24"/>
      <w:szCs w:val="24"/>
      <w:lang w:val="en-US" w:eastAsia="en-US"/>
    </w:rPr>
  </w:style>
  <w:style w:type="paragraph" w:customStyle="1" w:styleId="CM25">
    <w:name w:val="CM25"/>
    <w:basedOn w:val="Default"/>
    <w:next w:val="Default"/>
    <w:uiPriority w:val="99"/>
    <w:rsid w:val="00146F08"/>
    <w:pPr>
      <w:spacing w:line="276" w:lineRule="atLeast"/>
    </w:pPr>
    <w:rPr>
      <w:color w:val="auto"/>
    </w:rPr>
  </w:style>
  <w:style w:type="character" w:customStyle="1" w:styleId="Heading7Char">
    <w:name w:val="Heading 7 Char"/>
    <w:basedOn w:val="DefaultParagraphFont"/>
    <w:link w:val="Heading7"/>
    <w:rsid w:val="000941C3"/>
    <w:rPr>
      <w:rFonts w:ascii="Cambria" w:hAnsi="Cambria"/>
      <w:b/>
      <w:sz w:val="21"/>
      <w:lang w:val="en-US" w:eastAsia="ja-JP"/>
    </w:rPr>
  </w:style>
  <w:style w:type="character" w:customStyle="1" w:styleId="Heading8Char">
    <w:name w:val="Heading 8 Char"/>
    <w:basedOn w:val="DefaultParagraphFont"/>
    <w:link w:val="Heading8"/>
    <w:rsid w:val="009F2466"/>
    <w:rPr>
      <w:rFonts w:ascii="Arial" w:hAnsi="Arial"/>
      <w:i/>
      <w:lang w:val="en-US" w:eastAsia="ja-JP"/>
    </w:rPr>
  </w:style>
  <w:style w:type="character" w:customStyle="1" w:styleId="Heading9Char">
    <w:name w:val="Heading 9 Char"/>
    <w:basedOn w:val="DefaultParagraphFont"/>
    <w:link w:val="Heading9"/>
    <w:rsid w:val="009F2466"/>
    <w:rPr>
      <w:rFonts w:ascii="Arial" w:hAnsi="Arial"/>
      <w:i/>
      <w:lang w:val="en-US" w:eastAsia="ja-JP"/>
    </w:rPr>
  </w:style>
  <w:style w:type="paragraph" w:customStyle="1" w:styleId="StyleTablenormalCentered">
    <w:name w:val="Style Table: normal + Centered"/>
    <w:basedOn w:val="Tablenormal0"/>
    <w:rsid w:val="0058703F"/>
    <w:pPr>
      <w:jc w:val="center"/>
    </w:pPr>
  </w:style>
  <w:style w:type="paragraph" w:customStyle="1" w:styleId="Body2xhangingindent">
    <w:name w:val="Body: 2x hanging indent"/>
    <w:basedOn w:val="Body"/>
    <w:next w:val="Body"/>
    <w:rsid w:val="009F2466"/>
    <w:pPr>
      <w:ind w:left="576" w:hanging="288"/>
    </w:pPr>
    <w:rPr>
      <w:rFonts w:eastAsia="MS Mincho"/>
      <w:sz w:val="20"/>
      <w:lang w:eastAsia="ja-JP"/>
    </w:rPr>
  </w:style>
  <w:style w:type="paragraph" w:customStyle="1" w:styleId="Body3xhangingindent">
    <w:name w:val="Body: 3x hanging indent"/>
    <w:basedOn w:val="Body"/>
    <w:next w:val="Body"/>
    <w:rsid w:val="009F2466"/>
    <w:pPr>
      <w:ind w:left="864" w:hanging="288"/>
    </w:pPr>
    <w:rPr>
      <w:rFonts w:eastAsia="MS Mincho"/>
      <w:sz w:val="20"/>
      <w:lang w:eastAsia="ja-JP"/>
    </w:rPr>
  </w:style>
  <w:style w:type="paragraph" w:customStyle="1" w:styleId="Bodyhangingindent">
    <w:name w:val="Body: hanging indent"/>
    <w:basedOn w:val="Body"/>
    <w:next w:val="Body"/>
    <w:rsid w:val="009F2466"/>
    <w:pPr>
      <w:ind w:left="288" w:hanging="288"/>
    </w:pPr>
    <w:rPr>
      <w:rFonts w:eastAsia="MS Mincho"/>
      <w:sz w:val="20"/>
      <w:lang w:eastAsia="ja-JP"/>
    </w:rPr>
  </w:style>
  <w:style w:type="paragraph" w:customStyle="1" w:styleId="Bodyindent">
    <w:name w:val="Body: indent"/>
    <w:basedOn w:val="Body"/>
    <w:next w:val="Body"/>
    <w:rsid w:val="009F2466"/>
    <w:pPr>
      <w:ind w:left="288"/>
    </w:pPr>
    <w:rPr>
      <w:rFonts w:eastAsia="MS Mincho"/>
      <w:sz w:val="20"/>
      <w:lang w:eastAsia="ja-JP"/>
    </w:rPr>
  </w:style>
  <w:style w:type="paragraph" w:customStyle="1" w:styleId="Bodynotab2xindent">
    <w:name w:val="Body: no tab. 2x indent"/>
    <w:basedOn w:val="Body"/>
    <w:next w:val="Body"/>
    <w:rsid w:val="009F2466"/>
    <w:pPr>
      <w:ind w:left="576"/>
    </w:pPr>
    <w:rPr>
      <w:rFonts w:eastAsia="MS Mincho"/>
      <w:sz w:val="20"/>
      <w:lang w:eastAsia="ja-JP"/>
    </w:rPr>
  </w:style>
  <w:style w:type="paragraph" w:customStyle="1" w:styleId="Bodynotabindent">
    <w:name w:val="Body: no tab. indent"/>
    <w:basedOn w:val="Body"/>
    <w:next w:val="Body"/>
    <w:rsid w:val="009F2466"/>
    <w:pPr>
      <w:ind w:left="288"/>
    </w:pPr>
    <w:rPr>
      <w:rFonts w:eastAsia="MS Mincho"/>
      <w:sz w:val="20"/>
      <w:lang w:eastAsia="ja-JP"/>
    </w:rPr>
  </w:style>
  <w:style w:type="paragraph" w:customStyle="1" w:styleId="Boxedtextbody">
    <w:name w:val="Boxed text: body"/>
    <w:basedOn w:val="Body"/>
    <w:next w:val="Body"/>
    <w:rsid w:val="009F2466"/>
    <w:pPr>
      <w:keepLines/>
    </w:pPr>
    <w:rPr>
      <w:rFonts w:eastAsia="MS Mincho"/>
      <w:sz w:val="20"/>
      <w:lang w:eastAsia="ja-JP"/>
    </w:rPr>
  </w:style>
  <w:style w:type="paragraph" w:customStyle="1" w:styleId="Boxedtextbodynotab">
    <w:name w:val="Boxed text: body. no tab"/>
    <w:basedOn w:val="Bodynotab"/>
    <w:next w:val="Body"/>
    <w:rsid w:val="009F2466"/>
    <w:pPr>
      <w:keepLines/>
    </w:pPr>
    <w:rPr>
      <w:rFonts w:ascii="Arial" w:eastAsia="MS Mincho" w:hAnsi="Arial"/>
      <w:sz w:val="20"/>
      <w:szCs w:val="20"/>
      <w:lang w:eastAsia="ja-JP"/>
    </w:rPr>
  </w:style>
  <w:style w:type="paragraph" w:customStyle="1" w:styleId="Boxedtextcentered">
    <w:name w:val="Boxed text: centered"/>
    <w:basedOn w:val="Normal"/>
    <w:next w:val="Body"/>
    <w:rsid w:val="009F2466"/>
    <w:pPr>
      <w:keepLines/>
      <w:jc w:val="center"/>
    </w:pPr>
    <w:rPr>
      <w:rFonts w:eastAsia="MS Mincho"/>
      <w:lang w:val="en-US" w:eastAsia="ja-JP"/>
    </w:rPr>
  </w:style>
  <w:style w:type="paragraph" w:customStyle="1" w:styleId="Boxedtextheading">
    <w:name w:val="Boxed text: heading"/>
    <w:basedOn w:val="Normal"/>
    <w:next w:val="Boxedtextbody"/>
    <w:rsid w:val="009F2466"/>
    <w:pPr>
      <w:keepNext/>
      <w:keepLines/>
      <w:spacing w:before="120" w:after="120"/>
    </w:pPr>
    <w:rPr>
      <w:rFonts w:eastAsia="MS Mincho"/>
      <w:b/>
      <w:caps/>
      <w:sz w:val="20"/>
      <w:lang w:val="en-US" w:eastAsia="ja-JP"/>
    </w:rPr>
  </w:style>
  <w:style w:type="paragraph" w:customStyle="1" w:styleId="CPCLH2">
    <w:name w:val="CPCLH2"/>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sz w:val="20"/>
      <w:u w:val="single"/>
      <w:lang w:val="en-US" w:eastAsia="ja-JP"/>
    </w:rPr>
  </w:style>
  <w:style w:type="paragraph" w:customStyle="1" w:styleId="CPCLH3">
    <w:name w:val="CPCLH3"/>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sz w:val="20"/>
      <w:lang w:val="en-US" w:eastAsia="ja-JP"/>
    </w:rPr>
  </w:style>
  <w:style w:type="paragraph" w:customStyle="1" w:styleId="CPCLH4">
    <w:name w:val="CPCLH4"/>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sz w:val="20"/>
      <w:lang w:val="en-US" w:eastAsia="ja-JP"/>
    </w:rPr>
  </w:style>
  <w:style w:type="paragraph" w:customStyle="1" w:styleId="DosageForm">
    <w:name w:val="Dosage Form"/>
    <w:basedOn w:val="Normal"/>
    <w:next w:val="Normal"/>
    <w:rsid w:val="009F2466"/>
    <w:pPr>
      <w:keepNext/>
      <w:keepLines/>
    </w:pPr>
    <w:rPr>
      <w:rFonts w:eastAsia="MS Mincho"/>
      <w:lang w:val="en-US" w:eastAsia="ja-JP"/>
    </w:rPr>
  </w:style>
  <w:style w:type="paragraph" w:customStyle="1" w:styleId="List2xhangingindent">
    <w:name w:val="List: 2x hanging indent"/>
    <w:basedOn w:val="Normal"/>
    <w:next w:val="Body"/>
    <w:rsid w:val="009F2466"/>
    <w:pPr>
      <w:ind w:left="576" w:hanging="288"/>
    </w:pPr>
    <w:rPr>
      <w:rFonts w:eastAsia="MS Mincho"/>
      <w:sz w:val="20"/>
      <w:lang w:val="en-US" w:eastAsia="ja-JP"/>
    </w:rPr>
  </w:style>
  <w:style w:type="paragraph" w:customStyle="1" w:styleId="List3xhangingindent">
    <w:name w:val="List: 3x hanging indent"/>
    <w:basedOn w:val="Normal"/>
    <w:next w:val="Body"/>
    <w:rsid w:val="009F2466"/>
    <w:pPr>
      <w:ind w:left="864" w:hanging="288"/>
    </w:pPr>
    <w:rPr>
      <w:rFonts w:eastAsia="MS Mincho"/>
      <w:sz w:val="20"/>
      <w:lang w:val="en-US" w:eastAsia="ja-JP"/>
    </w:rPr>
  </w:style>
  <w:style w:type="paragraph" w:customStyle="1" w:styleId="Listhangingindent">
    <w:name w:val="List: hanging indent"/>
    <w:basedOn w:val="Normal"/>
    <w:next w:val="Body"/>
    <w:rsid w:val="009F2466"/>
    <w:pPr>
      <w:ind w:left="288" w:hanging="288"/>
    </w:pPr>
    <w:rPr>
      <w:rFonts w:eastAsia="MS Mincho"/>
      <w:sz w:val="20"/>
      <w:lang w:val="en-US" w:eastAsia="ja-JP"/>
    </w:rPr>
  </w:style>
  <w:style w:type="paragraph" w:customStyle="1" w:styleId="Listnotab">
    <w:name w:val="List: no tab"/>
    <w:basedOn w:val="Normal"/>
    <w:next w:val="Body"/>
    <w:rsid w:val="009F2466"/>
    <w:rPr>
      <w:rFonts w:eastAsia="MS Mincho"/>
      <w:sz w:val="20"/>
      <w:lang w:val="en-US" w:eastAsia="ja-JP"/>
    </w:rPr>
  </w:style>
  <w:style w:type="paragraph" w:customStyle="1" w:styleId="Listnotab2xindent">
    <w:name w:val="List: no tab. 2x indent"/>
    <w:basedOn w:val="Normal"/>
    <w:next w:val="Body"/>
    <w:rsid w:val="009F2466"/>
    <w:pPr>
      <w:ind w:left="576"/>
    </w:pPr>
    <w:rPr>
      <w:rFonts w:eastAsia="MS Mincho"/>
      <w:sz w:val="20"/>
      <w:lang w:val="en-US" w:eastAsia="ja-JP"/>
    </w:rPr>
  </w:style>
  <w:style w:type="paragraph" w:customStyle="1" w:styleId="Listnotabindent">
    <w:name w:val="List: no tab. indent"/>
    <w:basedOn w:val="Normal"/>
    <w:next w:val="Body"/>
    <w:rsid w:val="009F2466"/>
    <w:pPr>
      <w:ind w:left="288"/>
    </w:pPr>
    <w:rPr>
      <w:rFonts w:eastAsia="MS Mincho"/>
      <w:sz w:val="20"/>
      <w:lang w:val="en-US" w:eastAsia="ja-JP"/>
    </w:rPr>
  </w:style>
  <w:style w:type="paragraph" w:customStyle="1" w:styleId="ReferenceText">
    <w:name w:val="Reference Text"/>
    <w:basedOn w:val="Normal"/>
    <w:rsid w:val="009F2466"/>
    <w:pPr>
      <w:tabs>
        <w:tab w:val="right" w:pos="230"/>
        <w:tab w:val="left" w:pos="288"/>
      </w:tabs>
      <w:spacing w:after="120"/>
      <w:ind w:left="288" w:hanging="288"/>
      <w:jc w:val="both"/>
    </w:pPr>
    <w:rPr>
      <w:rFonts w:eastAsia="MS Mincho"/>
      <w:sz w:val="16"/>
      <w:lang w:val="en-US" w:eastAsia="ja-JP"/>
    </w:rPr>
  </w:style>
  <w:style w:type="paragraph" w:customStyle="1" w:styleId="Tablebody">
    <w:name w:val="Table: body"/>
    <w:basedOn w:val="Body"/>
    <w:rsid w:val="00436763"/>
    <w:pPr>
      <w:keepNext/>
      <w:keepLines/>
      <w:ind w:firstLine="289"/>
    </w:pPr>
    <w:rPr>
      <w:rFonts w:eastAsia="MS Mincho"/>
      <w:sz w:val="20"/>
      <w:lang w:eastAsia="ja-JP"/>
    </w:rPr>
  </w:style>
  <w:style w:type="paragraph" w:customStyle="1" w:styleId="Tablebodynotab">
    <w:name w:val="Table: body. no tab"/>
    <w:basedOn w:val="Bodynotab"/>
    <w:rsid w:val="009F2466"/>
    <w:pPr>
      <w:keepNext/>
      <w:keepLines/>
      <w:jc w:val="both"/>
    </w:pPr>
    <w:rPr>
      <w:rFonts w:ascii="Arial" w:eastAsia="MS Mincho" w:hAnsi="Arial"/>
      <w:sz w:val="14"/>
      <w:szCs w:val="20"/>
      <w:lang w:eastAsia="ja-JP"/>
    </w:rPr>
  </w:style>
  <w:style w:type="paragraph" w:customStyle="1" w:styleId="Tablelist2xhanging">
    <w:name w:val="Table: list. 2x hanging"/>
    <w:basedOn w:val="Listnotab2xindent"/>
    <w:rsid w:val="009F2466"/>
    <w:pPr>
      <w:keepNext/>
      <w:keepLines/>
      <w:ind w:hanging="288"/>
    </w:pPr>
    <w:rPr>
      <w:sz w:val="14"/>
    </w:rPr>
  </w:style>
  <w:style w:type="paragraph" w:customStyle="1" w:styleId="Tablelist3xhanging">
    <w:name w:val="Table: list. 3x hanging"/>
    <w:basedOn w:val="List3xhangingindent"/>
    <w:rsid w:val="009F2466"/>
    <w:pPr>
      <w:keepNext/>
      <w:keepLines/>
    </w:pPr>
    <w:rPr>
      <w:sz w:val="14"/>
    </w:rPr>
  </w:style>
  <w:style w:type="paragraph" w:customStyle="1" w:styleId="Tablelisthangingind">
    <w:name w:val="Table: list. hanging ind"/>
    <w:basedOn w:val="Listhangingindent"/>
    <w:rsid w:val="009F2466"/>
    <w:pPr>
      <w:keepNext/>
      <w:keepLines/>
    </w:pPr>
    <w:rPr>
      <w:sz w:val="14"/>
    </w:rPr>
  </w:style>
  <w:style w:type="paragraph" w:customStyle="1" w:styleId="Tablenormalindent">
    <w:name w:val="Table: normal. indent"/>
    <w:basedOn w:val="Bodyindent"/>
    <w:rsid w:val="00D254CA"/>
    <w:pPr>
      <w:keepNext/>
      <w:keepLines/>
      <w:ind w:left="170"/>
      <w:contextualSpacing/>
    </w:pPr>
  </w:style>
  <w:style w:type="paragraph" w:customStyle="1" w:styleId="Tablebodyhanginginden">
    <w:name w:val="Table:body.hanging inden"/>
    <w:basedOn w:val="Bodyhangingindent"/>
    <w:rsid w:val="009F2466"/>
    <w:pPr>
      <w:keepNext/>
      <w:keepLines/>
      <w:jc w:val="both"/>
    </w:pPr>
    <w:rPr>
      <w:sz w:val="14"/>
    </w:rPr>
  </w:style>
  <w:style w:type="paragraph" w:styleId="TOC1">
    <w:name w:val="toc 1"/>
    <w:basedOn w:val="Normal"/>
    <w:next w:val="Normal"/>
    <w:autoRedefine/>
    <w:uiPriority w:val="39"/>
    <w:rsid w:val="009F2466"/>
    <w:pPr>
      <w:tabs>
        <w:tab w:val="right" w:pos="630"/>
        <w:tab w:val="right" w:leader="dot" w:pos="9072"/>
      </w:tabs>
      <w:spacing w:before="240" w:after="120"/>
      <w:ind w:left="900" w:hanging="904"/>
    </w:pPr>
    <w:rPr>
      <w:rFonts w:eastAsia="MS Mincho"/>
      <w:caps/>
      <w:sz w:val="20"/>
      <w:lang w:val="en-US" w:eastAsia="ja-JP"/>
    </w:rPr>
  </w:style>
  <w:style w:type="paragraph" w:styleId="TOC2">
    <w:name w:val="toc 2"/>
    <w:basedOn w:val="Normal"/>
    <w:next w:val="Normal"/>
    <w:autoRedefine/>
    <w:uiPriority w:val="39"/>
    <w:rsid w:val="009F2466"/>
    <w:pPr>
      <w:tabs>
        <w:tab w:val="left" w:pos="1710"/>
        <w:tab w:val="right" w:leader="dot" w:pos="9072"/>
      </w:tabs>
      <w:spacing w:after="120"/>
      <w:ind w:left="1260" w:hanging="360"/>
    </w:pPr>
    <w:rPr>
      <w:rFonts w:eastAsia="MS Mincho"/>
      <w:sz w:val="20"/>
      <w:lang w:val="en-US" w:eastAsia="ja-JP"/>
    </w:rPr>
  </w:style>
  <w:style w:type="paragraph" w:styleId="TOC3">
    <w:name w:val="toc 3"/>
    <w:basedOn w:val="Normal"/>
    <w:next w:val="Normal"/>
    <w:autoRedefine/>
    <w:uiPriority w:val="39"/>
    <w:rsid w:val="009F2466"/>
    <w:pPr>
      <w:tabs>
        <w:tab w:val="right" w:leader="dot" w:pos="9072"/>
      </w:tabs>
      <w:ind w:left="1800" w:hanging="360"/>
    </w:pPr>
    <w:rPr>
      <w:rFonts w:eastAsia="MS Mincho"/>
      <w:sz w:val="20"/>
      <w:lang w:val="en-US" w:eastAsia="ja-JP"/>
    </w:rPr>
  </w:style>
  <w:style w:type="paragraph" w:styleId="TOC4">
    <w:name w:val="toc 4"/>
    <w:basedOn w:val="Normal"/>
    <w:next w:val="Normal"/>
    <w:autoRedefine/>
    <w:rsid w:val="009F2466"/>
    <w:pPr>
      <w:tabs>
        <w:tab w:val="right" w:leader="dot" w:pos="9090"/>
      </w:tabs>
      <w:ind w:left="2160" w:hanging="360"/>
    </w:pPr>
    <w:rPr>
      <w:rFonts w:eastAsia="MS Mincho"/>
      <w:sz w:val="20"/>
      <w:lang w:val="en-US" w:eastAsia="ja-JP"/>
    </w:rPr>
  </w:style>
  <w:style w:type="paragraph" w:styleId="TOC5">
    <w:name w:val="toc 5"/>
    <w:basedOn w:val="TOC4"/>
    <w:autoRedefine/>
    <w:rsid w:val="009F2466"/>
    <w:pPr>
      <w:ind w:left="2520" w:hanging="720"/>
    </w:pPr>
  </w:style>
  <w:style w:type="paragraph" w:customStyle="1" w:styleId="TradeName">
    <w:name w:val="Trade Name"/>
    <w:basedOn w:val="Normal"/>
    <w:next w:val="Normal"/>
    <w:rsid w:val="009F2466"/>
    <w:pPr>
      <w:keepNext/>
      <w:keepLines/>
    </w:pPr>
    <w:rPr>
      <w:rFonts w:eastAsia="MS Mincho"/>
      <w:b/>
      <w:caps/>
      <w:sz w:val="30"/>
      <w:lang w:val="en-US" w:eastAsia="ja-JP"/>
    </w:rPr>
  </w:style>
  <w:style w:type="paragraph" w:customStyle="1" w:styleId="rpth2">
    <w:name w:val="rpt:h2"/>
    <w:basedOn w:val="Normal"/>
    <w:next w:val="Normal"/>
    <w:rsid w:val="009F2466"/>
    <w:pPr>
      <w:keepNext/>
      <w:keepLines/>
      <w:tabs>
        <w:tab w:val="left" w:pos="0"/>
        <w:tab w:val="left" w:pos="720"/>
      </w:tabs>
      <w:spacing w:after="720"/>
      <w:ind w:left="720" w:hanging="720"/>
    </w:pPr>
    <w:rPr>
      <w:b/>
      <w:lang w:val="en-US"/>
    </w:rPr>
  </w:style>
  <w:style w:type="paragraph" w:customStyle="1" w:styleId="cellcent">
    <w:name w:val="cell:cent"/>
    <w:basedOn w:val="Normal"/>
    <w:next w:val="Normal"/>
    <w:rsid w:val="009F2466"/>
    <w:pPr>
      <w:spacing w:after="43"/>
      <w:jc w:val="center"/>
    </w:pPr>
    <w:rPr>
      <w:lang w:val="en-US"/>
    </w:rPr>
  </w:style>
  <w:style w:type="paragraph" w:customStyle="1" w:styleId="centeredb">
    <w:name w:val="centered:b"/>
    <w:basedOn w:val="Normal"/>
    <w:next w:val="Normal"/>
    <w:rsid w:val="009F2466"/>
    <w:pPr>
      <w:spacing w:after="331"/>
      <w:jc w:val="center"/>
    </w:pPr>
    <w:rPr>
      <w:b/>
      <w:lang w:val="en-US"/>
    </w:rPr>
  </w:style>
  <w:style w:type="paragraph" w:customStyle="1" w:styleId="CM27">
    <w:name w:val="CM27"/>
    <w:basedOn w:val="Default"/>
    <w:next w:val="Default"/>
    <w:uiPriority w:val="99"/>
    <w:rsid w:val="009F2466"/>
    <w:rPr>
      <w:color w:val="auto"/>
    </w:rPr>
  </w:style>
  <w:style w:type="paragraph" w:customStyle="1" w:styleId="CM10">
    <w:name w:val="CM10"/>
    <w:basedOn w:val="Default"/>
    <w:next w:val="Default"/>
    <w:uiPriority w:val="99"/>
    <w:rsid w:val="009F2466"/>
    <w:pPr>
      <w:spacing w:line="346" w:lineRule="atLeast"/>
    </w:pPr>
    <w:rPr>
      <w:color w:val="auto"/>
    </w:rPr>
  </w:style>
  <w:style w:type="paragraph" w:customStyle="1" w:styleId="CM29">
    <w:name w:val="CM29"/>
    <w:basedOn w:val="Default"/>
    <w:next w:val="Default"/>
    <w:uiPriority w:val="99"/>
    <w:rsid w:val="009F2466"/>
    <w:rPr>
      <w:color w:val="auto"/>
    </w:rPr>
  </w:style>
  <w:style w:type="paragraph" w:customStyle="1" w:styleId="CM40">
    <w:name w:val="CM40"/>
    <w:basedOn w:val="Default"/>
    <w:next w:val="Default"/>
    <w:uiPriority w:val="99"/>
    <w:rsid w:val="009F2466"/>
    <w:rPr>
      <w:color w:val="auto"/>
    </w:rPr>
  </w:style>
  <w:style w:type="paragraph" w:customStyle="1" w:styleId="CM15">
    <w:name w:val="CM15"/>
    <w:basedOn w:val="Default"/>
    <w:next w:val="Default"/>
    <w:uiPriority w:val="99"/>
    <w:rsid w:val="009F2466"/>
    <w:pPr>
      <w:spacing w:line="276" w:lineRule="atLeast"/>
    </w:pPr>
    <w:rPr>
      <w:color w:val="auto"/>
    </w:rPr>
  </w:style>
  <w:style w:type="paragraph" w:customStyle="1" w:styleId="CM34">
    <w:name w:val="CM34"/>
    <w:basedOn w:val="Default"/>
    <w:next w:val="Default"/>
    <w:uiPriority w:val="99"/>
    <w:rsid w:val="009F2466"/>
    <w:rPr>
      <w:color w:val="auto"/>
    </w:rPr>
  </w:style>
  <w:style w:type="paragraph" w:customStyle="1" w:styleId="CM31">
    <w:name w:val="CM31"/>
    <w:basedOn w:val="Default"/>
    <w:next w:val="Default"/>
    <w:uiPriority w:val="99"/>
    <w:rsid w:val="009F2466"/>
    <w:rPr>
      <w:color w:val="auto"/>
    </w:rPr>
  </w:style>
  <w:style w:type="paragraph" w:customStyle="1" w:styleId="CM12">
    <w:name w:val="CM12"/>
    <w:basedOn w:val="Default"/>
    <w:next w:val="Default"/>
    <w:uiPriority w:val="99"/>
    <w:rsid w:val="009F2466"/>
    <w:pPr>
      <w:spacing w:line="348" w:lineRule="atLeast"/>
    </w:pPr>
    <w:rPr>
      <w:rFonts w:ascii="Arial" w:hAnsi="Arial" w:cs="Arial"/>
      <w:color w:val="auto"/>
    </w:rPr>
  </w:style>
  <w:style w:type="character" w:customStyle="1" w:styleId="CommentSubjectChar">
    <w:name w:val="Comment Subject Char"/>
    <w:basedOn w:val="CommentTextChar"/>
    <w:link w:val="CommentSubject"/>
    <w:rsid w:val="009F2466"/>
    <w:rPr>
      <w:rFonts w:ascii="Arial" w:eastAsia="Times New Roman" w:hAnsi="Arial"/>
      <w:b/>
      <w:bCs/>
      <w:sz w:val="22"/>
      <w:lang w:eastAsia="en-US"/>
    </w:rPr>
  </w:style>
  <w:style w:type="paragraph" w:customStyle="1" w:styleId="BodyText1">
    <w:name w:val="BodyText1"/>
    <w:basedOn w:val="Normal"/>
    <w:rsid w:val="009F2466"/>
    <w:pPr>
      <w:spacing w:before="4"/>
      <w:ind w:firstLine="317"/>
    </w:pPr>
    <w:rPr>
      <w:rFonts w:ascii="Helvetica" w:hAnsi="Helvetica"/>
      <w:sz w:val="16"/>
      <w:szCs w:val="24"/>
      <w:lang w:val="en-US"/>
    </w:rPr>
  </w:style>
  <w:style w:type="character" w:styleId="Hyperlink">
    <w:name w:val="Hyperlink"/>
    <w:basedOn w:val="DefaultParagraphFont"/>
    <w:uiPriority w:val="99"/>
    <w:unhideWhenUsed/>
    <w:rsid w:val="00AD37F6"/>
    <w:rPr>
      <w:color w:val="0000FF" w:themeColor="hyperlink"/>
      <w:u w:val="single"/>
    </w:rPr>
  </w:style>
  <w:style w:type="paragraph" w:customStyle="1" w:styleId="StyleBodyTextIndent29pt">
    <w:name w:val="Style Body Text Indent 2 + 9 pt"/>
    <w:basedOn w:val="BodyTextIndent2"/>
    <w:rsid w:val="00BB30D5"/>
    <w:pPr>
      <w:ind w:left="113"/>
    </w:pPr>
    <w:rPr>
      <w:sz w:val="18"/>
    </w:rPr>
  </w:style>
  <w:style w:type="paragraph" w:styleId="FootnoteText">
    <w:name w:val="footnote text"/>
    <w:basedOn w:val="Normal"/>
    <w:link w:val="FootnoteTextChar"/>
    <w:rsid w:val="00292A13"/>
    <w:rPr>
      <w:sz w:val="20"/>
    </w:rPr>
  </w:style>
  <w:style w:type="character" w:customStyle="1" w:styleId="FootnoteTextChar">
    <w:name w:val="Footnote Text Char"/>
    <w:basedOn w:val="DefaultParagraphFont"/>
    <w:link w:val="FootnoteText"/>
    <w:rsid w:val="00292A13"/>
    <w:rPr>
      <w:rFonts w:ascii="Arial" w:eastAsia="Times New Roman" w:hAnsi="Arial"/>
      <w:lang w:eastAsia="en-US"/>
    </w:rPr>
  </w:style>
  <w:style w:type="numbering" w:customStyle="1" w:styleId="ListParagraphindent">
    <w:name w:val="List Paragraph indent"/>
    <w:basedOn w:val="NoList"/>
    <w:rsid w:val="00CA12C7"/>
    <w:pPr>
      <w:numPr>
        <w:numId w:val="4"/>
      </w:numPr>
    </w:pPr>
  </w:style>
  <w:style w:type="paragraph" w:customStyle="1" w:styleId="StyleTablecenteredBlack">
    <w:name w:val="Style Table: centered + Black"/>
    <w:basedOn w:val="Tablecentered"/>
    <w:rsid w:val="00CA12C7"/>
    <w:rPr>
      <w:color w:val="000000"/>
    </w:rPr>
  </w:style>
  <w:style w:type="paragraph" w:customStyle="1" w:styleId="StyleTablecenteredLeftLeft03cmBefore0ptAfter">
    <w:name w:val="Style Table: centered + Left Left:  0.3 cm Before:  0 pt After: ..."/>
    <w:basedOn w:val="Tablecentered"/>
    <w:rsid w:val="00CA12C7"/>
    <w:pPr>
      <w:ind w:left="170"/>
      <w:jc w:val="left"/>
    </w:pPr>
  </w:style>
  <w:style w:type="paragraph" w:customStyle="1" w:styleId="StyleTablenormalBoldCentered">
    <w:name w:val="Style Table: normal + Bold Centered"/>
    <w:basedOn w:val="Tablenormal0"/>
    <w:rsid w:val="000C1DA5"/>
    <w:pPr>
      <w:jc w:val="center"/>
    </w:pPr>
    <w:rPr>
      <w:b/>
      <w:bCs/>
      <w:color w:val="FF0000"/>
    </w:rPr>
  </w:style>
  <w:style w:type="paragraph" w:customStyle="1" w:styleId="StyleTablenormalBoldCentered1">
    <w:name w:val="Style Table: normal + Bold Centered1"/>
    <w:basedOn w:val="Tablenormal0"/>
    <w:rsid w:val="000C1DA5"/>
    <w:pPr>
      <w:jc w:val="center"/>
    </w:pPr>
    <w:rPr>
      <w:b/>
      <w:bCs/>
      <w:color w:val="FF0000"/>
    </w:rPr>
  </w:style>
  <w:style w:type="numbering" w:customStyle="1" w:styleId="StyleListParagraphindentOutlinenumberedCourierNew">
    <w:name w:val="Style List Paragraph indent + Outline numbered Courier New"/>
    <w:basedOn w:val="NoList"/>
    <w:rsid w:val="00FE4072"/>
    <w:pPr>
      <w:numPr>
        <w:numId w:val="5"/>
      </w:numPr>
    </w:pPr>
  </w:style>
  <w:style w:type="numbering" w:customStyle="1" w:styleId="StyleListParagraphindentOutlinenumberedCourierNew1">
    <w:name w:val="Style List Paragraph indent + Outline numbered Courier New1"/>
    <w:basedOn w:val="NoList"/>
    <w:rsid w:val="00FE4072"/>
    <w:pPr>
      <w:numPr>
        <w:numId w:val="6"/>
      </w:numPr>
    </w:pPr>
  </w:style>
  <w:style w:type="numbering" w:customStyle="1" w:styleId="StyleStyleListParagraphindentOutlinenumberedCourierNew">
    <w:name w:val="Style Style List Paragraph indent + Outline numbered Courier New + ..."/>
    <w:basedOn w:val="NoList"/>
    <w:rsid w:val="00FE4072"/>
    <w:pPr>
      <w:numPr>
        <w:numId w:val="7"/>
      </w:numPr>
    </w:pPr>
  </w:style>
  <w:style w:type="numbering" w:customStyle="1" w:styleId="StyleListParagraphindentOutlinenumberedCourierNew2">
    <w:name w:val="Style List Paragraph indent + Outline numbered Courier New2"/>
    <w:basedOn w:val="NoList"/>
    <w:rsid w:val="00FE4072"/>
    <w:pPr>
      <w:numPr>
        <w:numId w:val="8"/>
      </w:numPr>
    </w:pPr>
  </w:style>
  <w:style w:type="numbering" w:customStyle="1" w:styleId="StyleListParagraphindentOutlinenumberedCourierNew3">
    <w:name w:val="Style List Paragraph indent + Outline numbered Courier New3"/>
    <w:basedOn w:val="NoList"/>
    <w:rsid w:val="004B296F"/>
    <w:pPr>
      <w:numPr>
        <w:numId w:val="10"/>
      </w:numPr>
    </w:pPr>
  </w:style>
  <w:style w:type="numbering" w:customStyle="1" w:styleId="StyleListParagraphindentOutlinenumberedCourierNew4">
    <w:name w:val="Style List Paragraph indent + Outline numbered Courier New4"/>
    <w:basedOn w:val="NoList"/>
    <w:rsid w:val="004B296F"/>
    <w:pPr>
      <w:numPr>
        <w:numId w:val="11"/>
      </w:numPr>
    </w:pPr>
  </w:style>
  <w:style w:type="paragraph" w:styleId="ListBullet2">
    <w:name w:val="List Bullet 2"/>
    <w:basedOn w:val="ListParagraph"/>
    <w:rsid w:val="000F03FB"/>
    <w:pPr>
      <w:numPr>
        <w:numId w:val="12"/>
      </w:numPr>
      <w:spacing w:before="120" w:after="120"/>
      <w:ind w:left="714" w:hanging="357"/>
    </w:pPr>
    <w:rPr>
      <w:rFonts w:eastAsia="MS Mincho" w:cs="Arial"/>
      <w:lang w:val="en-US" w:eastAsia="en-AU"/>
    </w:rPr>
  </w:style>
  <w:style w:type="paragraph" w:customStyle="1" w:styleId="StyleTablecentered95pt">
    <w:name w:val="Style Table: centered + 9.5 pt"/>
    <w:basedOn w:val="Tablecentered"/>
    <w:rsid w:val="00C625B5"/>
    <w:rPr>
      <w:sz w:val="19"/>
    </w:rPr>
  </w:style>
  <w:style w:type="paragraph" w:customStyle="1" w:styleId="StyleTablenormalindent95pt">
    <w:name w:val="Style Table: normal. indent + 9.5 pt"/>
    <w:basedOn w:val="Tablenormalindent"/>
    <w:rsid w:val="00D254CA"/>
    <w:rPr>
      <w:sz w:val="19"/>
    </w:rPr>
  </w:style>
  <w:style w:type="paragraph" w:customStyle="1" w:styleId="StyleTablenormalBoldCentered2">
    <w:name w:val="Style Table: normal + Bold Centered2"/>
    <w:basedOn w:val="Tablenormal0"/>
    <w:rsid w:val="00D254CA"/>
    <w:pPr>
      <w:jc w:val="center"/>
    </w:pPr>
    <w:rPr>
      <w:b/>
      <w:bCs/>
      <w:color w:val="FF0000"/>
    </w:rPr>
  </w:style>
  <w:style w:type="character" w:customStyle="1" w:styleId="StyleSimSun20ptCondensedby01pt">
    <w:name w:val="Style SimSun 20 pt Condensed by  0.1 pt"/>
    <w:basedOn w:val="DefaultParagraphFont"/>
    <w:rsid w:val="00704C82"/>
    <w:rPr>
      <w:rFonts w:ascii="SimSun" w:eastAsia="SimSun" w:hAnsi="SimSun"/>
      <w:spacing w:val="0"/>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BAE"/>
    <w:rPr>
      <w:rFonts w:eastAsia="Times New Roman"/>
      <w:sz w:val="24"/>
      <w:lang w:eastAsia="en-US"/>
    </w:rPr>
  </w:style>
  <w:style w:type="paragraph" w:styleId="Heading1">
    <w:name w:val="heading 1"/>
    <w:basedOn w:val="Normal"/>
    <w:next w:val="Normal"/>
    <w:link w:val="Heading1Char"/>
    <w:qFormat/>
    <w:rsid w:val="002F7869"/>
    <w:pPr>
      <w:keepNext/>
      <w:keepLines/>
      <w:tabs>
        <w:tab w:val="left" w:pos="720"/>
      </w:tabs>
      <w:spacing w:before="240" w:after="240"/>
      <w:outlineLvl w:val="0"/>
    </w:pPr>
    <w:rPr>
      <w:b/>
      <w:caps/>
    </w:rPr>
  </w:style>
  <w:style w:type="paragraph" w:styleId="Heading2">
    <w:name w:val="heading 2"/>
    <w:basedOn w:val="Normal"/>
    <w:next w:val="Normal"/>
    <w:link w:val="Heading2Char"/>
    <w:qFormat/>
    <w:rsid w:val="000941C3"/>
    <w:pPr>
      <w:keepNext/>
      <w:spacing w:before="240" w:after="240"/>
      <w:outlineLvl w:val="1"/>
    </w:pPr>
    <w:rPr>
      <w:b/>
    </w:rPr>
  </w:style>
  <w:style w:type="paragraph" w:styleId="Heading3">
    <w:name w:val="heading 3"/>
    <w:basedOn w:val="Heading2"/>
    <w:next w:val="Normal"/>
    <w:link w:val="Heading3Char"/>
    <w:qFormat/>
    <w:rsid w:val="000941C3"/>
    <w:pPr>
      <w:keepLines/>
      <w:tabs>
        <w:tab w:val="left" w:pos="720"/>
      </w:tabs>
      <w:outlineLvl w:val="2"/>
    </w:pPr>
  </w:style>
  <w:style w:type="paragraph" w:styleId="Heading4">
    <w:name w:val="heading 4"/>
    <w:basedOn w:val="Normal"/>
    <w:next w:val="Normal"/>
    <w:qFormat/>
    <w:rsid w:val="00B81855"/>
    <w:pPr>
      <w:keepNext/>
      <w:spacing w:before="240"/>
      <w:outlineLvl w:val="3"/>
    </w:pPr>
    <w:rPr>
      <w:b/>
      <w:i/>
    </w:rPr>
  </w:style>
  <w:style w:type="paragraph" w:styleId="Heading5">
    <w:name w:val="heading 5"/>
    <w:basedOn w:val="Normal"/>
    <w:next w:val="Normal"/>
    <w:link w:val="Heading5Char"/>
    <w:unhideWhenUsed/>
    <w:qFormat/>
    <w:rsid w:val="00B81855"/>
    <w:pPr>
      <w:keepNext/>
      <w:keepLines/>
      <w:spacing w:before="240"/>
      <w:outlineLvl w:val="4"/>
    </w:pPr>
    <w:rPr>
      <w:rFonts w:eastAsiaTheme="majorEastAsia" w:cstheme="majorBidi"/>
      <w:i/>
    </w:rPr>
  </w:style>
  <w:style w:type="paragraph" w:styleId="Heading6">
    <w:name w:val="heading 6"/>
    <w:basedOn w:val="Normal"/>
    <w:next w:val="Normal"/>
    <w:link w:val="Heading6Char"/>
    <w:unhideWhenUsed/>
    <w:qFormat/>
    <w:rsid w:val="002722E4"/>
    <w:pPr>
      <w:keepNext/>
      <w:keepLines/>
      <w:numPr>
        <w:numId w:val="1"/>
      </w:numPr>
      <w:tabs>
        <w:tab w:val="left" w:pos="720"/>
      </w:tabs>
      <w:spacing w:before="240"/>
      <w:outlineLvl w:val="5"/>
    </w:pPr>
    <w:rPr>
      <w:rFonts w:eastAsiaTheme="majorEastAsia" w:cstheme="majorBidi"/>
      <w:b/>
      <w:iCs/>
    </w:rPr>
  </w:style>
  <w:style w:type="paragraph" w:styleId="Heading7">
    <w:name w:val="heading 7"/>
    <w:basedOn w:val="Normal"/>
    <w:next w:val="Normal"/>
    <w:link w:val="Heading7Char"/>
    <w:qFormat/>
    <w:rsid w:val="000941C3"/>
    <w:pPr>
      <w:keepNext/>
      <w:keepLines/>
      <w:numPr>
        <w:numId w:val="2"/>
      </w:numPr>
      <w:spacing w:before="240"/>
      <w:ind w:left="0" w:firstLine="0"/>
      <w:outlineLvl w:val="6"/>
    </w:pPr>
    <w:rPr>
      <w:rFonts w:eastAsia="MS Mincho"/>
      <w:b/>
      <w:lang w:val="en-US" w:eastAsia="ja-JP"/>
    </w:rPr>
  </w:style>
  <w:style w:type="paragraph" w:styleId="Heading8">
    <w:name w:val="heading 8"/>
    <w:basedOn w:val="Normal"/>
    <w:next w:val="Normal"/>
    <w:link w:val="Heading8Char"/>
    <w:qFormat/>
    <w:rsid w:val="009F2466"/>
    <w:pPr>
      <w:ind w:left="720"/>
      <w:outlineLvl w:val="7"/>
    </w:pPr>
    <w:rPr>
      <w:rFonts w:eastAsia="MS Mincho"/>
      <w:i/>
      <w:sz w:val="20"/>
      <w:lang w:val="en-US" w:eastAsia="ja-JP"/>
    </w:rPr>
  </w:style>
  <w:style w:type="paragraph" w:styleId="Heading9">
    <w:name w:val="heading 9"/>
    <w:basedOn w:val="Normal"/>
    <w:next w:val="Normal"/>
    <w:link w:val="Heading9Char"/>
    <w:qFormat/>
    <w:rsid w:val="009F2466"/>
    <w:pPr>
      <w:ind w:left="720"/>
      <w:outlineLvl w:val="8"/>
    </w:pPr>
    <w:rPr>
      <w:rFonts w:eastAsia="MS Mincho"/>
      <w:i/>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7869"/>
    <w:rPr>
      <w:rFonts w:ascii="Cambria" w:eastAsia="Times New Roman" w:hAnsi="Cambria"/>
      <w:b/>
      <w:caps/>
      <w:sz w:val="21"/>
      <w:lang w:eastAsia="en-US"/>
    </w:rPr>
  </w:style>
  <w:style w:type="character" w:customStyle="1" w:styleId="Heading2Char">
    <w:name w:val="Heading 2 Char"/>
    <w:link w:val="Heading2"/>
    <w:rsid w:val="000941C3"/>
    <w:rPr>
      <w:rFonts w:ascii="Cambria" w:eastAsia="Times New Roman" w:hAnsi="Cambria"/>
      <w:b/>
      <w:sz w:val="21"/>
      <w:lang w:eastAsia="en-US"/>
    </w:rPr>
  </w:style>
  <w:style w:type="character" w:customStyle="1" w:styleId="Heading3Char">
    <w:name w:val="Heading 3 Char"/>
    <w:link w:val="Heading3"/>
    <w:locked/>
    <w:rsid w:val="000941C3"/>
    <w:rPr>
      <w:rFonts w:ascii="Cambria" w:eastAsia="Times New Roman" w:hAnsi="Cambria"/>
      <w:b/>
      <w:sz w:val="21"/>
      <w:lang w:eastAsia="en-US"/>
    </w:rPr>
  </w:style>
  <w:style w:type="paragraph" w:styleId="Header">
    <w:name w:val="header"/>
    <w:basedOn w:val="Normal"/>
    <w:link w:val="HeaderChar"/>
    <w:rsid w:val="001A45F6"/>
    <w:pPr>
      <w:tabs>
        <w:tab w:val="center" w:pos="4320"/>
        <w:tab w:val="right" w:pos="8640"/>
      </w:tabs>
    </w:pPr>
    <w:rPr>
      <w:sz w:val="20"/>
    </w:rPr>
  </w:style>
  <w:style w:type="character" w:customStyle="1" w:styleId="HeaderChar">
    <w:name w:val="Header Char"/>
    <w:link w:val="Header"/>
    <w:locked/>
    <w:rsid w:val="001A45F6"/>
    <w:rPr>
      <w:rFonts w:ascii="Arial" w:eastAsia="Times New Roman" w:hAnsi="Arial"/>
      <w:lang w:eastAsia="en-US"/>
    </w:rPr>
  </w:style>
  <w:style w:type="paragraph" w:styleId="Footer">
    <w:name w:val="footer"/>
    <w:basedOn w:val="Normal"/>
    <w:link w:val="FooterChar"/>
    <w:rsid w:val="00303813"/>
    <w:pPr>
      <w:tabs>
        <w:tab w:val="center" w:pos="4320"/>
        <w:tab w:val="right" w:pos="8640"/>
      </w:tabs>
    </w:pPr>
  </w:style>
  <w:style w:type="character" w:customStyle="1" w:styleId="FooterChar">
    <w:name w:val="Footer Char"/>
    <w:link w:val="Footer"/>
    <w:rsid w:val="00E00200"/>
    <w:rPr>
      <w:rFonts w:eastAsia="Times New Roman"/>
    </w:rPr>
  </w:style>
  <w:style w:type="character" w:styleId="FootnoteReference">
    <w:name w:val="footnote reference"/>
    <w:semiHidden/>
    <w:rsid w:val="00303813"/>
    <w:rPr>
      <w:vertAlign w:val="superscript"/>
    </w:rPr>
  </w:style>
  <w:style w:type="character" w:styleId="CommentReference">
    <w:name w:val="annotation reference"/>
    <w:uiPriority w:val="99"/>
    <w:rsid w:val="00FC1428"/>
    <w:rPr>
      <w:rFonts w:ascii="Arial" w:hAnsi="Arial"/>
      <w:sz w:val="20"/>
      <w:szCs w:val="16"/>
    </w:rPr>
  </w:style>
  <w:style w:type="paragraph" w:customStyle="1" w:styleId="Body">
    <w:name w:val="Body"/>
    <w:basedOn w:val="Normal"/>
    <w:link w:val="BodyChar"/>
    <w:rsid w:val="002F7869"/>
  </w:style>
  <w:style w:type="character" w:customStyle="1" w:styleId="BodyChar">
    <w:name w:val="Body Char"/>
    <w:link w:val="Body"/>
    <w:locked/>
    <w:rsid w:val="002F7869"/>
    <w:rPr>
      <w:rFonts w:ascii="Cambria" w:eastAsia="Times New Roman" w:hAnsi="Cambria"/>
      <w:sz w:val="21"/>
      <w:lang w:eastAsia="en-US"/>
    </w:rPr>
  </w:style>
  <w:style w:type="paragraph" w:customStyle="1" w:styleId="SubSectionHeadings">
    <w:name w:val="Sub Section Headings"/>
    <w:basedOn w:val="Normal"/>
    <w:next w:val="Body"/>
    <w:rsid w:val="00303813"/>
    <w:pPr>
      <w:keepNext/>
      <w:keepLines/>
    </w:pPr>
    <w:rPr>
      <w:i/>
      <w:lang w:val="en-US"/>
    </w:rPr>
  </w:style>
  <w:style w:type="paragraph" w:customStyle="1" w:styleId="SubSubSectionheading">
    <w:name w:val="SubSub Section heading"/>
    <w:basedOn w:val="Normal"/>
    <w:next w:val="Body"/>
    <w:rsid w:val="00303813"/>
    <w:pPr>
      <w:keepNext/>
      <w:keepLines/>
    </w:pPr>
    <w:rPr>
      <w:i/>
      <w:lang w:val="en-US"/>
    </w:rPr>
  </w:style>
  <w:style w:type="paragraph" w:customStyle="1" w:styleId="SectionHeadings">
    <w:name w:val="Section Headings"/>
    <w:basedOn w:val="Normal"/>
    <w:next w:val="Body"/>
    <w:rsid w:val="00303813"/>
    <w:pPr>
      <w:keepNext/>
      <w:keepLines/>
      <w:spacing w:before="240"/>
    </w:pPr>
    <w:rPr>
      <w:b/>
      <w:caps/>
      <w:lang w:val="en-US"/>
    </w:rPr>
  </w:style>
  <w:style w:type="paragraph" w:customStyle="1" w:styleId="SeparationLine">
    <w:name w:val="Separation Line"/>
    <w:basedOn w:val="Normal"/>
    <w:next w:val="Normal"/>
    <w:rsid w:val="00303813"/>
    <w:pPr>
      <w:pBdr>
        <w:top w:val="single" w:sz="6" w:space="1" w:color="auto"/>
      </w:pBdr>
    </w:pPr>
    <w:rPr>
      <w:sz w:val="16"/>
      <w:lang w:val="en-US"/>
    </w:rPr>
  </w:style>
  <w:style w:type="paragraph" w:customStyle="1" w:styleId="ExtraSpace">
    <w:name w:val="Extra Space"/>
    <w:basedOn w:val="Normal"/>
    <w:next w:val="Body"/>
    <w:rsid w:val="00303813"/>
    <w:pPr>
      <w:spacing w:line="120" w:lineRule="exact"/>
    </w:pPr>
    <w:rPr>
      <w:color w:val="00FF00"/>
      <w:lang w:val="en-US"/>
    </w:rPr>
  </w:style>
  <w:style w:type="paragraph" w:customStyle="1" w:styleId="Tablecentered">
    <w:name w:val="Table: centered"/>
    <w:basedOn w:val="Bodycentered"/>
    <w:rsid w:val="00CA12C7"/>
    <w:pPr>
      <w:keepNext/>
      <w:keepLines/>
      <w:contextualSpacing/>
    </w:pPr>
    <w:rPr>
      <w:sz w:val="20"/>
    </w:rPr>
  </w:style>
  <w:style w:type="paragraph" w:customStyle="1" w:styleId="Bodycentered">
    <w:name w:val="Body: centered"/>
    <w:basedOn w:val="Body"/>
    <w:next w:val="Body"/>
    <w:rsid w:val="00303813"/>
    <w:pPr>
      <w:jc w:val="center"/>
    </w:pPr>
  </w:style>
  <w:style w:type="paragraph" w:customStyle="1" w:styleId="Tablenormal0">
    <w:name w:val="Table: normal"/>
    <w:basedOn w:val="Normal"/>
    <w:rsid w:val="000C1DA5"/>
    <w:pPr>
      <w:keepNext/>
      <w:keepLines/>
      <w:contextualSpacing/>
    </w:pPr>
    <w:rPr>
      <w:sz w:val="20"/>
    </w:rPr>
  </w:style>
  <w:style w:type="paragraph" w:styleId="BodyTextIndent">
    <w:name w:val="Body Text Indent"/>
    <w:basedOn w:val="Normal"/>
    <w:link w:val="BodyTextIndentChar"/>
    <w:rsid w:val="00BB30D5"/>
    <w:pPr>
      <w:spacing w:before="120" w:after="120"/>
      <w:ind w:left="113"/>
      <w:contextualSpacing/>
    </w:pPr>
    <w:rPr>
      <w:sz w:val="18"/>
      <w:lang w:val="en-US"/>
    </w:rPr>
  </w:style>
  <w:style w:type="character" w:customStyle="1" w:styleId="BodyTextIndentChar">
    <w:name w:val="Body Text Indent Char"/>
    <w:link w:val="BodyTextIndent"/>
    <w:rsid w:val="00BB30D5"/>
    <w:rPr>
      <w:rFonts w:ascii="Arial" w:eastAsia="Times New Roman" w:hAnsi="Arial"/>
      <w:sz w:val="18"/>
      <w:lang w:val="en-US" w:eastAsia="en-US"/>
    </w:rPr>
  </w:style>
  <w:style w:type="paragraph" w:styleId="BodyText">
    <w:name w:val="Body Text"/>
    <w:basedOn w:val="Normal"/>
    <w:link w:val="BodyTextChar"/>
    <w:qFormat/>
    <w:rsid w:val="00D46EAF"/>
  </w:style>
  <w:style w:type="character" w:customStyle="1" w:styleId="BodyTextChar">
    <w:name w:val="Body Text Char"/>
    <w:link w:val="BodyText"/>
    <w:rsid w:val="00D46EAF"/>
    <w:rPr>
      <w:rFonts w:ascii="Arial" w:eastAsia="Times New Roman" w:hAnsi="Arial"/>
      <w:sz w:val="22"/>
      <w:lang w:eastAsia="en-US"/>
    </w:rPr>
  </w:style>
  <w:style w:type="table" w:styleId="TableGrid">
    <w:name w:val="Table Grid"/>
    <w:basedOn w:val="TableNormal"/>
    <w:uiPriority w:val="59"/>
    <w:rsid w:val="0030381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77FF5"/>
    <w:rPr>
      <w:b/>
      <w:bCs/>
    </w:rPr>
  </w:style>
  <w:style w:type="paragraph" w:customStyle="1" w:styleId="Turnedtext">
    <w:name w:val="Turned text"/>
    <w:basedOn w:val="Normal"/>
    <w:next w:val="Body"/>
    <w:rsid w:val="00303813"/>
    <w:pPr>
      <w:keepLines/>
      <w:jc w:val="center"/>
    </w:pPr>
    <w:rPr>
      <w:szCs w:val="24"/>
      <w:lang w:val="en-US"/>
    </w:rPr>
  </w:style>
  <w:style w:type="paragraph" w:customStyle="1" w:styleId="Bodynotab">
    <w:name w:val="Body: no tab"/>
    <w:basedOn w:val="Body"/>
    <w:next w:val="Body"/>
    <w:rsid w:val="00303813"/>
    <w:rPr>
      <w:szCs w:val="24"/>
    </w:rPr>
  </w:style>
  <w:style w:type="paragraph" w:customStyle="1" w:styleId="SynopsisText">
    <w:name w:val="Synopsis Text"/>
    <w:rsid w:val="00303813"/>
    <w:pPr>
      <w:spacing w:before="120"/>
      <w:jc w:val="both"/>
    </w:pPr>
    <w:rPr>
      <w:rFonts w:eastAsia="Times New Roman"/>
      <w:sz w:val="22"/>
      <w:lang w:val="en-US" w:eastAsia="en-US"/>
    </w:rPr>
  </w:style>
  <w:style w:type="paragraph" w:styleId="BodyTextIndent2">
    <w:name w:val="Body Text Indent 2"/>
    <w:basedOn w:val="Normal"/>
    <w:rsid w:val="00303813"/>
    <w:pPr>
      <w:spacing w:line="480" w:lineRule="auto"/>
      <w:ind w:left="283"/>
    </w:pPr>
  </w:style>
  <w:style w:type="paragraph" w:styleId="BalloonText">
    <w:name w:val="Balloon Text"/>
    <w:basedOn w:val="Normal"/>
    <w:link w:val="BalloonTextChar"/>
    <w:semiHidden/>
    <w:rsid w:val="00303813"/>
    <w:rPr>
      <w:rFonts w:ascii="Tahoma" w:hAnsi="Tahoma" w:cs="Tahoma"/>
      <w:sz w:val="16"/>
      <w:szCs w:val="16"/>
    </w:rPr>
  </w:style>
  <w:style w:type="character" w:customStyle="1" w:styleId="BalloonTextChar">
    <w:name w:val="Balloon Text Char"/>
    <w:link w:val="BalloonText"/>
    <w:semiHidden/>
    <w:locked/>
    <w:rsid w:val="00F842F7"/>
    <w:rPr>
      <w:rFonts w:ascii="Tahoma" w:eastAsia="Times New Roman" w:hAnsi="Tahoma" w:cs="Tahoma"/>
      <w:sz w:val="16"/>
      <w:szCs w:val="16"/>
    </w:rPr>
  </w:style>
  <w:style w:type="paragraph" w:styleId="EndnoteText">
    <w:name w:val="endnote text"/>
    <w:basedOn w:val="Normal"/>
    <w:semiHidden/>
    <w:rsid w:val="002E5C15"/>
  </w:style>
  <w:style w:type="character" w:styleId="EndnoteReference">
    <w:name w:val="endnote reference"/>
    <w:semiHidden/>
    <w:rsid w:val="002E5C15"/>
    <w:rPr>
      <w:vertAlign w:val="superscript"/>
    </w:rPr>
  </w:style>
  <w:style w:type="paragraph" w:styleId="CommentText">
    <w:name w:val="annotation text"/>
    <w:basedOn w:val="Normal"/>
    <w:link w:val="CommentTextChar"/>
    <w:rsid w:val="00FC1428"/>
  </w:style>
  <w:style w:type="character" w:customStyle="1" w:styleId="CommentTextChar">
    <w:name w:val="Comment Text Char"/>
    <w:link w:val="CommentText"/>
    <w:rsid w:val="00FC1428"/>
    <w:rPr>
      <w:rFonts w:ascii="Arial" w:eastAsia="Times New Roman" w:hAnsi="Arial"/>
      <w:sz w:val="22"/>
      <w:lang w:eastAsia="en-US"/>
    </w:rPr>
  </w:style>
  <w:style w:type="paragraph" w:styleId="CommentSubject">
    <w:name w:val="annotation subject"/>
    <w:basedOn w:val="CommentText"/>
    <w:next w:val="CommentText"/>
    <w:link w:val="CommentSubjectChar"/>
    <w:rsid w:val="00510390"/>
    <w:rPr>
      <w:b/>
      <w:bCs/>
    </w:rPr>
  </w:style>
  <w:style w:type="paragraph" w:styleId="Revision">
    <w:name w:val="Revision"/>
    <w:hidden/>
    <w:uiPriority w:val="99"/>
    <w:semiHidden/>
    <w:rsid w:val="00C27173"/>
    <w:rPr>
      <w:rFonts w:eastAsia="Times New Roman"/>
    </w:rPr>
  </w:style>
  <w:style w:type="paragraph" w:customStyle="1" w:styleId="TableHeading">
    <w:name w:val="Table Heading"/>
    <w:basedOn w:val="Normal"/>
    <w:link w:val="TableHeadingChar"/>
    <w:qFormat/>
    <w:rsid w:val="00877FF5"/>
    <w:pPr>
      <w:keepNext/>
      <w:jc w:val="center"/>
    </w:pPr>
    <w:rPr>
      <w:rFonts w:cs="Arial"/>
      <w:b/>
    </w:rPr>
  </w:style>
  <w:style w:type="character" w:customStyle="1" w:styleId="TableHeadingChar">
    <w:name w:val="Table Heading Char"/>
    <w:link w:val="TableHeading"/>
    <w:rsid w:val="00877FF5"/>
    <w:rPr>
      <w:rFonts w:ascii="Arial" w:eastAsia="Times New Roman" w:hAnsi="Arial" w:cs="Arial"/>
      <w:b/>
      <w:sz w:val="22"/>
    </w:rPr>
  </w:style>
  <w:style w:type="paragraph" w:styleId="BodyTextFirstIndent2">
    <w:name w:val="Body Text First Indent 2"/>
    <w:basedOn w:val="BodyTextIndent"/>
    <w:link w:val="BodyTextFirstIndent2Char"/>
    <w:rsid w:val="00DE56EC"/>
    <w:pPr>
      <w:ind w:left="283" w:firstLine="210"/>
    </w:pPr>
    <w:rPr>
      <w:sz w:val="22"/>
      <w:lang w:val="en-AU"/>
    </w:rPr>
  </w:style>
  <w:style w:type="character" w:customStyle="1" w:styleId="BodyTextFirstIndent2Char">
    <w:name w:val="Body Text First Indent 2 Char"/>
    <w:link w:val="BodyTextFirstIndent2"/>
    <w:rsid w:val="00DE56EC"/>
    <w:rPr>
      <w:rFonts w:ascii="Arial" w:eastAsia="Times New Roman" w:hAnsi="Arial"/>
      <w:sz w:val="22"/>
      <w:lang w:val="en-US"/>
    </w:rPr>
  </w:style>
  <w:style w:type="paragraph" w:customStyle="1" w:styleId="Footnote">
    <w:name w:val="Footnote"/>
    <w:basedOn w:val="Normal"/>
    <w:link w:val="FootnoteChar"/>
    <w:qFormat/>
    <w:rsid w:val="00877FF5"/>
    <w:rPr>
      <w:sz w:val="18"/>
    </w:rPr>
  </w:style>
  <w:style w:type="character" w:customStyle="1" w:styleId="FootnoteChar">
    <w:name w:val="Footnote Char"/>
    <w:link w:val="Footnote"/>
    <w:rsid w:val="00877FF5"/>
    <w:rPr>
      <w:rFonts w:ascii="Arial" w:eastAsia="Times New Roman" w:hAnsi="Arial"/>
      <w:sz w:val="18"/>
    </w:rPr>
  </w:style>
  <w:style w:type="paragraph" w:styleId="ListParagraph">
    <w:name w:val="List Paragraph"/>
    <w:basedOn w:val="Normal"/>
    <w:uiPriority w:val="34"/>
    <w:qFormat/>
    <w:rsid w:val="00FE4072"/>
    <w:pPr>
      <w:numPr>
        <w:numId w:val="3"/>
      </w:numPr>
      <w:tabs>
        <w:tab w:val="left" w:pos="720"/>
      </w:tabs>
    </w:pPr>
    <w:rPr>
      <w:rFonts w:eastAsia="Calibri"/>
      <w:szCs w:val="22"/>
    </w:rPr>
  </w:style>
  <w:style w:type="paragraph" w:customStyle="1" w:styleId="TableParagraph">
    <w:name w:val="Table Paragraph"/>
    <w:basedOn w:val="Normal"/>
    <w:uiPriority w:val="1"/>
    <w:qFormat/>
    <w:rsid w:val="00F05E7A"/>
    <w:pPr>
      <w:widowControl w:val="0"/>
    </w:pPr>
    <w:rPr>
      <w:rFonts w:ascii="Calibri" w:eastAsia="Calibri" w:hAnsi="Calibri"/>
      <w:szCs w:val="22"/>
      <w:lang w:val="en-US"/>
    </w:rPr>
  </w:style>
  <w:style w:type="paragraph" w:styleId="Title">
    <w:name w:val="Title"/>
    <w:basedOn w:val="Normal"/>
    <w:link w:val="TitleChar"/>
    <w:qFormat/>
    <w:rsid w:val="002F7869"/>
    <w:pPr>
      <w:spacing w:before="240"/>
      <w:jc w:val="center"/>
    </w:pPr>
    <w:rPr>
      <w:b/>
    </w:rPr>
  </w:style>
  <w:style w:type="character" w:customStyle="1" w:styleId="TitleChar">
    <w:name w:val="Title Char"/>
    <w:basedOn w:val="DefaultParagraphFont"/>
    <w:link w:val="Title"/>
    <w:rsid w:val="002F7869"/>
    <w:rPr>
      <w:rFonts w:ascii="Cambria" w:eastAsia="Times New Roman" w:hAnsi="Cambria"/>
      <w:b/>
      <w:sz w:val="21"/>
      <w:lang w:eastAsia="en-US"/>
    </w:rPr>
  </w:style>
  <w:style w:type="paragraph" w:styleId="BodyText3">
    <w:name w:val="Body Text 3"/>
    <w:basedOn w:val="Normal"/>
    <w:link w:val="BodyText3Char"/>
    <w:rsid w:val="00D254CA"/>
    <w:pPr>
      <w:spacing w:before="240"/>
      <w:ind w:left="714" w:right="357" w:hanging="357"/>
      <w:contextualSpacing/>
    </w:pPr>
    <w:rPr>
      <w:sz w:val="18"/>
      <w:lang w:val="en-US"/>
    </w:rPr>
  </w:style>
  <w:style w:type="character" w:customStyle="1" w:styleId="BodyText3Char">
    <w:name w:val="Body Text 3 Char"/>
    <w:basedOn w:val="DefaultParagraphFont"/>
    <w:link w:val="BodyText3"/>
    <w:rsid w:val="00D254CA"/>
    <w:rPr>
      <w:rFonts w:ascii="Cambria" w:eastAsia="Times New Roman" w:hAnsi="Cambria"/>
      <w:sz w:val="18"/>
      <w:lang w:val="en-US" w:eastAsia="en-US"/>
    </w:rPr>
  </w:style>
  <w:style w:type="paragraph" w:styleId="BodyText2">
    <w:name w:val="Body Text 2"/>
    <w:basedOn w:val="Normal"/>
    <w:link w:val="BodyText2Char"/>
    <w:rsid w:val="00084269"/>
    <w:rPr>
      <w:color w:val="000000"/>
      <w:sz w:val="18"/>
    </w:rPr>
  </w:style>
  <w:style w:type="character" w:customStyle="1" w:styleId="BodyText2Char">
    <w:name w:val="Body Text 2 Char"/>
    <w:basedOn w:val="DefaultParagraphFont"/>
    <w:link w:val="BodyText2"/>
    <w:rsid w:val="00084269"/>
    <w:rPr>
      <w:rFonts w:ascii="Arial" w:eastAsia="Times New Roman" w:hAnsi="Arial"/>
      <w:color w:val="000000"/>
      <w:sz w:val="18"/>
      <w:lang w:eastAsia="en-US"/>
    </w:rPr>
  </w:style>
  <w:style w:type="paragraph" w:styleId="DocumentMap">
    <w:name w:val="Document Map"/>
    <w:basedOn w:val="Normal"/>
    <w:link w:val="DocumentMapChar"/>
    <w:rsid w:val="00F842F7"/>
    <w:pPr>
      <w:shd w:val="clear" w:color="auto" w:fill="000080"/>
    </w:pPr>
    <w:rPr>
      <w:rFonts w:ascii="Tahoma" w:hAnsi="Tahoma" w:cs="Tahoma"/>
    </w:rPr>
  </w:style>
  <w:style w:type="character" w:customStyle="1" w:styleId="DocumentMapChar">
    <w:name w:val="Document Map Char"/>
    <w:basedOn w:val="DefaultParagraphFont"/>
    <w:link w:val="DocumentMap"/>
    <w:rsid w:val="00F842F7"/>
    <w:rPr>
      <w:rFonts w:ascii="Tahoma" w:eastAsia="Times New Roman" w:hAnsi="Tahoma" w:cs="Tahoma"/>
      <w:shd w:val="clear" w:color="auto" w:fill="000080"/>
      <w:lang w:eastAsia="en-US"/>
    </w:rPr>
  </w:style>
  <w:style w:type="character" w:customStyle="1" w:styleId="Heading5Char">
    <w:name w:val="Heading 5 Char"/>
    <w:basedOn w:val="DefaultParagraphFont"/>
    <w:link w:val="Heading5"/>
    <w:rsid w:val="00B81855"/>
    <w:rPr>
      <w:rFonts w:ascii="Cambria" w:eastAsiaTheme="majorEastAsia" w:hAnsi="Cambria" w:cstheme="majorBidi"/>
      <w:i/>
      <w:sz w:val="21"/>
      <w:lang w:eastAsia="en-US"/>
    </w:rPr>
  </w:style>
  <w:style w:type="paragraph" w:styleId="ListBullet">
    <w:name w:val="List Bullet"/>
    <w:basedOn w:val="ListParagraph"/>
    <w:rsid w:val="000F03FB"/>
    <w:pPr>
      <w:spacing w:before="120" w:after="120"/>
      <w:ind w:left="357" w:hanging="357"/>
    </w:pPr>
  </w:style>
  <w:style w:type="paragraph" w:customStyle="1" w:styleId="StyleHeading1Superscript">
    <w:name w:val="Style Heading 1 + Superscript"/>
    <w:basedOn w:val="Heading1"/>
    <w:rsid w:val="009B4C79"/>
    <w:rPr>
      <w:bCs/>
      <w:vertAlign w:val="superscript"/>
    </w:rPr>
  </w:style>
  <w:style w:type="character" w:customStyle="1" w:styleId="Heading6Char">
    <w:name w:val="Heading 6 Char"/>
    <w:basedOn w:val="DefaultParagraphFont"/>
    <w:link w:val="Heading6"/>
    <w:rsid w:val="002722E4"/>
    <w:rPr>
      <w:rFonts w:eastAsiaTheme="majorEastAsia" w:cstheme="majorBidi"/>
      <w:b/>
      <w:iCs/>
      <w:sz w:val="24"/>
      <w:lang w:eastAsia="en-US"/>
    </w:rPr>
  </w:style>
  <w:style w:type="paragraph" w:customStyle="1" w:styleId="Default">
    <w:name w:val="Default"/>
    <w:rsid w:val="00146F08"/>
    <w:pPr>
      <w:autoSpaceDE w:val="0"/>
      <w:autoSpaceDN w:val="0"/>
      <w:adjustRightInd w:val="0"/>
    </w:pPr>
    <w:rPr>
      <w:color w:val="000000"/>
      <w:sz w:val="24"/>
      <w:szCs w:val="24"/>
      <w:lang w:val="en-US" w:eastAsia="en-US"/>
    </w:rPr>
  </w:style>
  <w:style w:type="paragraph" w:customStyle="1" w:styleId="CM25">
    <w:name w:val="CM25"/>
    <w:basedOn w:val="Default"/>
    <w:next w:val="Default"/>
    <w:uiPriority w:val="99"/>
    <w:rsid w:val="00146F08"/>
    <w:pPr>
      <w:spacing w:line="276" w:lineRule="atLeast"/>
    </w:pPr>
    <w:rPr>
      <w:color w:val="auto"/>
    </w:rPr>
  </w:style>
  <w:style w:type="character" w:customStyle="1" w:styleId="Heading7Char">
    <w:name w:val="Heading 7 Char"/>
    <w:basedOn w:val="DefaultParagraphFont"/>
    <w:link w:val="Heading7"/>
    <w:rsid w:val="000941C3"/>
    <w:rPr>
      <w:rFonts w:ascii="Cambria" w:hAnsi="Cambria"/>
      <w:b/>
      <w:sz w:val="21"/>
      <w:lang w:val="en-US" w:eastAsia="ja-JP"/>
    </w:rPr>
  </w:style>
  <w:style w:type="character" w:customStyle="1" w:styleId="Heading8Char">
    <w:name w:val="Heading 8 Char"/>
    <w:basedOn w:val="DefaultParagraphFont"/>
    <w:link w:val="Heading8"/>
    <w:rsid w:val="009F2466"/>
    <w:rPr>
      <w:rFonts w:ascii="Arial" w:hAnsi="Arial"/>
      <w:i/>
      <w:lang w:val="en-US" w:eastAsia="ja-JP"/>
    </w:rPr>
  </w:style>
  <w:style w:type="character" w:customStyle="1" w:styleId="Heading9Char">
    <w:name w:val="Heading 9 Char"/>
    <w:basedOn w:val="DefaultParagraphFont"/>
    <w:link w:val="Heading9"/>
    <w:rsid w:val="009F2466"/>
    <w:rPr>
      <w:rFonts w:ascii="Arial" w:hAnsi="Arial"/>
      <w:i/>
      <w:lang w:val="en-US" w:eastAsia="ja-JP"/>
    </w:rPr>
  </w:style>
  <w:style w:type="paragraph" w:customStyle="1" w:styleId="StyleTablenormalCentered">
    <w:name w:val="Style Table: normal + Centered"/>
    <w:basedOn w:val="Tablenormal0"/>
    <w:rsid w:val="0058703F"/>
    <w:pPr>
      <w:jc w:val="center"/>
    </w:pPr>
  </w:style>
  <w:style w:type="paragraph" w:customStyle="1" w:styleId="Body2xhangingindent">
    <w:name w:val="Body: 2x hanging indent"/>
    <w:basedOn w:val="Body"/>
    <w:next w:val="Body"/>
    <w:rsid w:val="009F2466"/>
    <w:pPr>
      <w:ind w:left="576" w:hanging="288"/>
    </w:pPr>
    <w:rPr>
      <w:rFonts w:eastAsia="MS Mincho"/>
      <w:sz w:val="20"/>
      <w:lang w:eastAsia="ja-JP"/>
    </w:rPr>
  </w:style>
  <w:style w:type="paragraph" w:customStyle="1" w:styleId="Body3xhangingindent">
    <w:name w:val="Body: 3x hanging indent"/>
    <w:basedOn w:val="Body"/>
    <w:next w:val="Body"/>
    <w:rsid w:val="009F2466"/>
    <w:pPr>
      <w:ind w:left="864" w:hanging="288"/>
    </w:pPr>
    <w:rPr>
      <w:rFonts w:eastAsia="MS Mincho"/>
      <w:sz w:val="20"/>
      <w:lang w:eastAsia="ja-JP"/>
    </w:rPr>
  </w:style>
  <w:style w:type="paragraph" w:customStyle="1" w:styleId="Bodyhangingindent">
    <w:name w:val="Body: hanging indent"/>
    <w:basedOn w:val="Body"/>
    <w:next w:val="Body"/>
    <w:rsid w:val="009F2466"/>
    <w:pPr>
      <w:ind w:left="288" w:hanging="288"/>
    </w:pPr>
    <w:rPr>
      <w:rFonts w:eastAsia="MS Mincho"/>
      <w:sz w:val="20"/>
      <w:lang w:eastAsia="ja-JP"/>
    </w:rPr>
  </w:style>
  <w:style w:type="paragraph" w:customStyle="1" w:styleId="Bodyindent">
    <w:name w:val="Body: indent"/>
    <w:basedOn w:val="Body"/>
    <w:next w:val="Body"/>
    <w:rsid w:val="009F2466"/>
    <w:pPr>
      <w:ind w:left="288"/>
    </w:pPr>
    <w:rPr>
      <w:rFonts w:eastAsia="MS Mincho"/>
      <w:sz w:val="20"/>
      <w:lang w:eastAsia="ja-JP"/>
    </w:rPr>
  </w:style>
  <w:style w:type="paragraph" w:customStyle="1" w:styleId="Bodynotab2xindent">
    <w:name w:val="Body: no tab. 2x indent"/>
    <w:basedOn w:val="Body"/>
    <w:next w:val="Body"/>
    <w:rsid w:val="009F2466"/>
    <w:pPr>
      <w:ind w:left="576"/>
    </w:pPr>
    <w:rPr>
      <w:rFonts w:eastAsia="MS Mincho"/>
      <w:sz w:val="20"/>
      <w:lang w:eastAsia="ja-JP"/>
    </w:rPr>
  </w:style>
  <w:style w:type="paragraph" w:customStyle="1" w:styleId="Bodynotabindent">
    <w:name w:val="Body: no tab. indent"/>
    <w:basedOn w:val="Body"/>
    <w:next w:val="Body"/>
    <w:rsid w:val="009F2466"/>
    <w:pPr>
      <w:ind w:left="288"/>
    </w:pPr>
    <w:rPr>
      <w:rFonts w:eastAsia="MS Mincho"/>
      <w:sz w:val="20"/>
      <w:lang w:eastAsia="ja-JP"/>
    </w:rPr>
  </w:style>
  <w:style w:type="paragraph" w:customStyle="1" w:styleId="Boxedtextbody">
    <w:name w:val="Boxed text: body"/>
    <w:basedOn w:val="Body"/>
    <w:next w:val="Body"/>
    <w:rsid w:val="009F2466"/>
    <w:pPr>
      <w:keepLines/>
    </w:pPr>
    <w:rPr>
      <w:rFonts w:eastAsia="MS Mincho"/>
      <w:sz w:val="20"/>
      <w:lang w:eastAsia="ja-JP"/>
    </w:rPr>
  </w:style>
  <w:style w:type="paragraph" w:customStyle="1" w:styleId="Boxedtextbodynotab">
    <w:name w:val="Boxed text: body. no tab"/>
    <w:basedOn w:val="Bodynotab"/>
    <w:next w:val="Body"/>
    <w:rsid w:val="009F2466"/>
    <w:pPr>
      <w:keepLines/>
    </w:pPr>
    <w:rPr>
      <w:rFonts w:ascii="Arial" w:eastAsia="MS Mincho" w:hAnsi="Arial"/>
      <w:sz w:val="20"/>
      <w:szCs w:val="20"/>
      <w:lang w:eastAsia="ja-JP"/>
    </w:rPr>
  </w:style>
  <w:style w:type="paragraph" w:customStyle="1" w:styleId="Boxedtextcentered">
    <w:name w:val="Boxed text: centered"/>
    <w:basedOn w:val="Normal"/>
    <w:next w:val="Body"/>
    <w:rsid w:val="009F2466"/>
    <w:pPr>
      <w:keepLines/>
      <w:jc w:val="center"/>
    </w:pPr>
    <w:rPr>
      <w:rFonts w:eastAsia="MS Mincho"/>
      <w:lang w:val="en-US" w:eastAsia="ja-JP"/>
    </w:rPr>
  </w:style>
  <w:style w:type="paragraph" w:customStyle="1" w:styleId="Boxedtextheading">
    <w:name w:val="Boxed text: heading"/>
    <w:basedOn w:val="Normal"/>
    <w:next w:val="Boxedtextbody"/>
    <w:rsid w:val="009F2466"/>
    <w:pPr>
      <w:keepNext/>
      <w:keepLines/>
      <w:spacing w:before="120" w:after="120"/>
    </w:pPr>
    <w:rPr>
      <w:rFonts w:eastAsia="MS Mincho"/>
      <w:b/>
      <w:caps/>
      <w:sz w:val="20"/>
      <w:lang w:val="en-US" w:eastAsia="ja-JP"/>
    </w:rPr>
  </w:style>
  <w:style w:type="paragraph" w:customStyle="1" w:styleId="CPCLH2">
    <w:name w:val="CPCLH2"/>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eastAsia="MS Mincho" w:hAnsi="Univers (W1)"/>
      <w:sz w:val="20"/>
      <w:u w:val="single"/>
      <w:lang w:val="en-US" w:eastAsia="ja-JP"/>
    </w:rPr>
  </w:style>
  <w:style w:type="paragraph" w:customStyle="1" w:styleId="CPCLH3">
    <w:name w:val="CPCLH3"/>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Univers (W1)" w:eastAsia="MS Mincho" w:hAnsi="Univers (W1)"/>
      <w:sz w:val="20"/>
      <w:lang w:val="en-US" w:eastAsia="ja-JP"/>
    </w:rPr>
  </w:style>
  <w:style w:type="paragraph" w:customStyle="1" w:styleId="CPCLH4">
    <w:name w:val="CPCLH4"/>
    <w:basedOn w:val="Normal"/>
    <w:rsid w:val="009F2466"/>
    <w:pPr>
      <w:tabs>
        <w:tab w:val="left" w:pos="600"/>
        <w:tab w:val="left" w:pos="1200"/>
        <w:tab w:val="left" w:pos="1800"/>
        <w:tab w:val="left" w:pos="2400"/>
        <w:tab w:val="left" w:pos="3000"/>
        <w:tab w:val="left" w:pos="3600"/>
        <w:tab w:val="left" w:pos="4200"/>
        <w:tab w:val="left" w:pos="4800"/>
        <w:tab w:val="left" w:pos="5400"/>
        <w:tab w:val="left" w:pos="6000"/>
        <w:tab w:val="left" w:pos="6600"/>
      </w:tabs>
      <w:jc w:val="both"/>
    </w:pPr>
    <w:rPr>
      <w:rFonts w:ascii="Courier New" w:eastAsia="MS Mincho" w:hAnsi="Courier New"/>
      <w:sz w:val="20"/>
      <w:lang w:val="en-US" w:eastAsia="ja-JP"/>
    </w:rPr>
  </w:style>
  <w:style w:type="paragraph" w:customStyle="1" w:styleId="DosageForm">
    <w:name w:val="Dosage Form"/>
    <w:basedOn w:val="Normal"/>
    <w:next w:val="Normal"/>
    <w:rsid w:val="009F2466"/>
    <w:pPr>
      <w:keepNext/>
      <w:keepLines/>
    </w:pPr>
    <w:rPr>
      <w:rFonts w:eastAsia="MS Mincho"/>
      <w:lang w:val="en-US" w:eastAsia="ja-JP"/>
    </w:rPr>
  </w:style>
  <w:style w:type="paragraph" w:customStyle="1" w:styleId="List2xhangingindent">
    <w:name w:val="List: 2x hanging indent"/>
    <w:basedOn w:val="Normal"/>
    <w:next w:val="Body"/>
    <w:rsid w:val="009F2466"/>
    <w:pPr>
      <w:ind w:left="576" w:hanging="288"/>
    </w:pPr>
    <w:rPr>
      <w:rFonts w:eastAsia="MS Mincho"/>
      <w:sz w:val="20"/>
      <w:lang w:val="en-US" w:eastAsia="ja-JP"/>
    </w:rPr>
  </w:style>
  <w:style w:type="paragraph" w:customStyle="1" w:styleId="List3xhangingindent">
    <w:name w:val="List: 3x hanging indent"/>
    <w:basedOn w:val="Normal"/>
    <w:next w:val="Body"/>
    <w:rsid w:val="009F2466"/>
    <w:pPr>
      <w:ind w:left="864" w:hanging="288"/>
    </w:pPr>
    <w:rPr>
      <w:rFonts w:eastAsia="MS Mincho"/>
      <w:sz w:val="20"/>
      <w:lang w:val="en-US" w:eastAsia="ja-JP"/>
    </w:rPr>
  </w:style>
  <w:style w:type="paragraph" w:customStyle="1" w:styleId="Listhangingindent">
    <w:name w:val="List: hanging indent"/>
    <w:basedOn w:val="Normal"/>
    <w:next w:val="Body"/>
    <w:rsid w:val="009F2466"/>
    <w:pPr>
      <w:ind w:left="288" w:hanging="288"/>
    </w:pPr>
    <w:rPr>
      <w:rFonts w:eastAsia="MS Mincho"/>
      <w:sz w:val="20"/>
      <w:lang w:val="en-US" w:eastAsia="ja-JP"/>
    </w:rPr>
  </w:style>
  <w:style w:type="paragraph" w:customStyle="1" w:styleId="Listnotab">
    <w:name w:val="List: no tab"/>
    <w:basedOn w:val="Normal"/>
    <w:next w:val="Body"/>
    <w:rsid w:val="009F2466"/>
    <w:rPr>
      <w:rFonts w:eastAsia="MS Mincho"/>
      <w:sz w:val="20"/>
      <w:lang w:val="en-US" w:eastAsia="ja-JP"/>
    </w:rPr>
  </w:style>
  <w:style w:type="paragraph" w:customStyle="1" w:styleId="Listnotab2xindent">
    <w:name w:val="List: no tab. 2x indent"/>
    <w:basedOn w:val="Normal"/>
    <w:next w:val="Body"/>
    <w:rsid w:val="009F2466"/>
    <w:pPr>
      <w:ind w:left="576"/>
    </w:pPr>
    <w:rPr>
      <w:rFonts w:eastAsia="MS Mincho"/>
      <w:sz w:val="20"/>
      <w:lang w:val="en-US" w:eastAsia="ja-JP"/>
    </w:rPr>
  </w:style>
  <w:style w:type="paragraph" w:customStyle="1" w:styleId="Listnotabindent">
    <w:name w:val="List: no tab. indent"/>
    <w:basedOn w:val="Normal"/>
    <w:next w:val="Body"/>
    <w:rsid w:val="009F2466"/>
    <w:pPr>
      <w:ind w:left="288"/>
    </w:pPr>
    <w:rPr>
      <w:rFonts w:eastAsia="MS Mincho"/>
      <w:sz w:val="20"/>
      <w:lang w:val="en-US" w:eastAsia="ja-JP"/>
    </w:rPr>
  </w:style>
  <w:style w:type="paragraph" w:customStyle="1" w:styleId="ReferenceText">
    <w:name w:val="Reference Text"/>
    <w:basedOn w:val="Normal"/>
    <w:rsid w:val="009F2466"/>
    <w:pPr>
      <w:tabs>
        <w:tab w:val="right" w:pos="230"/>
        <w:tab w:val="left" w:pos="288"/>
      </w:tabs>
      <w:spacing w:after="120"/>
      <w:ind w:left="288" w:hanging="288"/>
      <w:jc w:val="both"/>
    </w:pPr>
    <w:rPr>
      <w:rFonts w:eastAsia="MS Mincho"/>
      <w:sz w:val="16"/>
      <w:lang w:val="en-US" w:eastAsia="ja-JP"/>
    </w:rPr>
  </w:style>
  <w:style w:type="paragraph" w:customStyle="1" w:styleId="Tablebody">
    <w:name w:val="Table: body"/>
    <w:basedOn w:val="Body"/>
    <w:rsid w:val="00436763"/>
    <w:pPr>
      <w:keepNext/>
      <w:keepLines/>
      <w:ind w:firstLine="289"/>
    </w:pPr>
    <w:rPr>
      <w:rFonts w:eastAsia="MS Mincho"/>
      <w:sz w:val="20"/>
      <w:lang w:eastAsia="ja-JP"/>
    </w:rPr>
  </w:style>
  <w:style w:type="paragraph" w:customStyle="1" w:styleId="Tablebodynotab">
    <w:name w:val="Table: body. no tab"/>
    <w:basedOn w:val="Bodynotab"/>
    <w:rsid w:val="009F2466"/>
    <w:pPr>
      <w:keepNext/>
      <w:keepLines/>
      <w:jc w:val="both"/>
    </w:pPr>
    <w:rPr>
      <w:rFonts w:ascii="Arial" w:eastAsia="MS Mincho" w:hAnsi="Arial"/>
      <w:sz w:val="14"/>
      <w:szCs w:val="20"/>
      <w:lang w:eastAsia="ja-JP"/>
    </w:rPr>
  </w:style>
  <w:style w:type="paragraph" w:customStyle="1" w:styleId="Tablelist2xhanging">
    <w:name w:val="Table: list. 2x hanging"/>
    <w:basedOn w:val="Listnotab2xindent"/>
    <w:rsid w:val="009F2466"/>
    <w:pPr>
      <w:keepNext/>
      <w:keepLines/>
      <w:ind w:hanging="288"/>
    </w:pPr>
    <w:rPr>
      <w:sz w:val="14"/>
    </w:rPr>
  </w:style>
  <w:style w:type="paragraph" w:customStyle="1" w:styleId="Tablelist3xhanging">
    <w:name w:val="Table: list. 3x hanging"/>
    <w:basedOn w:val="List3xhangingindent"/>
    <w:rsid w:val="009F2466"/>
    <w:pPr>
      <w:keepNext/>
      <w:keepLines/>
    </w:pPr>
    <w:rPr>
      <w:sz w:val="14"/>
    </w:rPr>
  </w:style>
  <w:style w:type="paragraph" w:customStyle="1" w:styleId="Tablelisthangingind">
    <w:name w:val="Table: list. hanging ind"/>
    <w:basedOn w:val="Listhangingindent"/>
    <w:rsid w:val="009F2466"/>
    <w:pPr>
      <w:keepNext/>
      <w:keepLines/>
    </w:pPr>
    <w:rPr>
      <w:sz w:val="14"/>
    </w:rPr>
  </w:style>
  <w:style w:type="paragraph" w:customStyle="1" w:styleId="Tablenormalindent">
    <w:name w:val="Table: normal. indent"/>
    <w:basedOn w:val="Bodyindent"/>
    <w:rsid w:val="00D254CA"/>
    <w:pPr>
      <w:keepNext/>
      <w:keepLines/>
      <w:ind w:left="170"/>
      <w:contextualSpacing/>
    </w:pPr>
  </w:style>
  <w:style w:type="paragraph" w:customStyle="1" w:styleId="Tablebodyhanginginden">
    <w:name w:val="Table:body.hanging inden"/>
    <w:basedOn w:val="Bodyhangingindent"/>
    <w:rsid w:val="009F2466"/>
    <w:pPr>
      <w:keepNext/>
      <w:keepLines/>
      <w:jc w:val="both"/>
    </w:pPr>
    <w:rPr>
      <w:sz w:val="14"/>
    </w:rPr>
  </w:style>
  <w:style w:type="paragraph" w:styleId="TOC1">
    <w:name w:val="toc 1"/>
    <w:basedOn w:val="Normal"/>
    <w:next w:val="Normal"/>
    <w:autoRedefine/>
    <w:uiPriority w:val="39"/>
    <w:rsid w:val="009F2466"/>
    <w:pPr>
      <w:tabs>
        <w:tab w:val="right" w:pos="630"/>
        <w:tab w:val="right" w:leader="dot" w:pos="9072"/>
      </w:tabs>
      <w:spacing w:before="240" w:after="120"/>
      <w:ind w:left="900" w:hanging="904"/>
    </w:pPr>
    <w:rPr>
      <w:rFonts w:eastAsia="MS Mincho"/>
      <w:caps/>
      <w:sz w:val="20"/>
      <w:lang w:val="en-US" w:eastAsia="ja-JP"/>
    </w:rPr>
  </w:style>
  <w:style w:type="paragraph" w:styleId="TOC2">
    <w:name w:val="toc 2"/>
    <w:basedOn w:val="Normal"/>
    <w:next w:val="Normal"/>
    <w:autoRedefine/>
    <w:uiPriority w:val="39"/>
    <w:rsid w:val="009F2466"/>
    <w:pPr>
      <w:tabs>
        <w:tab w:val="left" w:pos="1710"/>
        <w:tab w:val="right" w:leader="dot" w:pos="9072"/>
      </w:tabs>
      <w:spacing w:after="120"/>
      <w:ind w:left="1260" w:hanging="360"/>
    </w:pPr>
    <w:rPr>
      <w:rFonts w:eastAsia="MS Mincho"/>
      <w:sz w:val="20"/>
      <w:lang w:val="en-US" w:eastAsia="ja-JP"/>
    </w:rPr>
  </w:style>
  <w:style w:type="paragraph" w:styleId="TOC3">
    <w:name w:val="toc 3"/>
    <w:basedOn w:val="Normal"/>
    <w:next w:val="Normal"/>
    <w:autoRedefine/>
    <w:uiPriority w:val="39"/>
    <w:rsid w:val="009F2466"/>
    <w:pPr>
      <w:tabs>
        <w:tab w:val="right" w:leader="dot" w:pos="9072"/>
      </w:tabs>
      <w:ind w:left="1800" w:hanging="360"/>
    </w:pPr>
    <w:rPr>
      <w:rFonts w:eastAsia="MS Mincho"/>
      <w:sz w:val="20"/>
      <w:lang w:val="en-US" w:eastAsia="ja-JP"/>
    </w:rPr>
  </w:style>
  <w:style w:type="paragraph" w:styleId="TOC4">
    <w:name w:val="toc 4"/>
    <w:basedOn w:val="Normal"/>
    <w:next w:val="Normal"/>
    <w:autoRedefine/>
    <w:rsid w:val="009F2466"/>
    <w:pPr>
      <w:tabs>
        <w:tab w:val="right" w:leader="dot" w:pos="9090"/>
      </w:tabs>
      <w:ind w:left="2160" w:hanging="360"/>
    </w:pPr>
    <w:rPr>
      <w:rFonts w:eastAsia="MS Mincho"/>
      <w:sz w:val="20"/>
      <w:lang w:val="en-US" w:eastAsia="ja-JP"/>
    </w:rPr>
  </w:style>
  <w:style w:type="paragraph" w:styleId="TOC5">
    <w:name w:val="toc 5"/>
    <w:basedOn w:val="TOC4"/>
    <w:autoRedefine/>
    <w:rsid w:val="009F2466"/>
    <w:pPr>
      <w:ind w:left="2520" w:hanging="720"/>
    </w:pPr>
  </w:style>
  <w:style w:type="paragraph" w:customStyle="1" w:styleId="TradeName">
    <w:name w:val="Trade Name"/>
    <w:basedOn w:val="Normal"/>
    <w:next w:val="Normal"/>
    <w:rsid w:val="009F2466"/>
    <w:pPr>
      <w:keepNext/>
      <w:keepLines/>
    </w:pPr>
    <w:rPr>
      <w:rFonts w:eastAsia="MS Mincho"/>
      <w:b/>
      <w:caps/>
      <w:sz w:val="30"/>
      <w:lang w:val="en-US" w:eastAsia="ja-JP"/>
    </w:rPr>
  </w:style>
  <w:style w:type="paragraph" w:customStyle="1" w:styleId="rpth2">
    <w:name w:val="rpt:h2"/>
    <w:basedOn w:val="Normal"/>
    <w:next w:val="Normal"/>
    <w:rsid w:val="009F2466"/>
    <w:pPr>
      <w:keepNext/>
      <w:keepLines/>
      <w:tabs>
        <w:tab w:val="left" w:pos="0"/>
        <w:tab w:val="left" w:pos="720"/>
      </w:tabs>
      <w:spacing w:after="720"/>
      <w:ind w:left="720" w:hanging="720"/>
    </w:pPr>
    <w:rPr>
      <w:b/>
      <w:lang w:val="en-US"/>
    </w:rPr>
  </w:style>
  <w:style w:type="paragraph" w:customStyle="1" w:styleId="cellcent">
    <w:name w:val="cell:cent"/>
    <w:basedOn w:val="Normal"/>
    <w:next w:val="Normal"/>
    <w:rsid w:val="009F2466"/>
    <w:pPr>
      <w:spacing w:after="43"/>
      <w:jc w:val="center"/>
    </w:pPr>
    <w:rPr>
      <w:lang w:val="en-US"/>
    </w:rPr>
  </w:style>
  <w:style w:type="paragraph" w:customStyle="1" w:styleId="centeredb">
    <w:name w:val="centered:b"/>
    <w:basedOn w:val="Normal"/>
    <w:next w:val="Normal"/>
    <w:rsid w:val="009F2466"/>
    <w:pPr>
      <w:spacing w:after="331"/>
      <w:jc w:val="center"/>
    </w:pPr>
    <w:rPr>
      <w:b/>
      <w:lang w:val="en-US"/>
    </w:rPr>
  </w:style>
  <w:style w:type="paragraph" w:customStyle="1" w:styleId="CM27">
    <w:name w:val="CM27"/>
    <w:basedOn w:val="Default"/>
    <w:next w:val="Default"/>
    <w:uiPriority w:val="99"/>
    <w:rsid w:val="009F2466"/>
    <w:rPr>
      <w:color w:val="auto"/>
    </w:rPr>
  </w:style>
  <w:style w:type="paragraph" w:customStyle="1" w:styleId="CM10">
    <w:name w:val="CM10"/>
    <w:basedOn w:val="Default"/>
    <w:next w:val="Default"/>
    <w:uiPriority w:val="99"/>
    <w:rsid w:val="009F2466"/>
    <w:pPr>
      <w:spacing w:line="346" w:lineRule="atLeast"/>
    </w:pPr>
    <w:rPr>
      <w:color w:val="auto"/>
    </w:rPr>
  </w:style>
  <w:style w:type="paragraph" w:customStyle="1" w:styleId="CM29">
    <w:name w:val="CM29"/>
    <w:basedOn w:val="Default"/>
    <w:next w:val="Default"/>
    <w:uiPriority w:val="99"/>
    <w:rsid w:val="009F2466"/>
    <w:rPr>
      <w:color w:val="auto"/>
    </w:rPr>
  </w:style>
  <w:style w:type="paragraph" w:customStyle="1" w:styleId="CM40">
    <w:name w:val="CM40"/>
    <w:basedOn w:val="Default"/>
    <w:next w:val="Default"/>
    <w:uiPriority w:val="99"/>
    <w:rsid w:val="009F2466"/>
    <w:rPr>
      <w:color w:val="auto"/>
    </w:rPr>
  </w:style>
  <w:style w:type="paragraph" w:customStyle="1" w:styleId="CM15">
    <w:name w:val="CM15"/>
    <w:basedOn w:val="Default"/>
    <w:next w:val="Default"/>
    <w:uiPriority w:val="99"/>
    <w:rsid w:val="009F2466"/>
    <w:pPr>
      <w:spacing w:line="276" w:lineRule="atLeast"/>
    </w:pPr>
    <w:rPr>
      <w:color w:val="auto"/>
    </w:rPr>
  </w:style>
  <w:style w:type="paragraph" w:customStyle="1" w:styleId="CM34">
    <w:name w:val="CM34"/>
    <w:basedOn w:val="Default"/>
    <w:next w:val="Default"/>
    <w:uiPriority w:val="99"/>
    <w:rsid w:val="009F2466"/>
    <w:rPr>
      <w:color w:val="auto"/>
    </w:rPr>
  </w:style>
  <w:style w:type="paragraph" w:customStyle="1" w:styleId="CM31">
    <w:name w:val="CM31"/>
    <w:basedOn w:val="Default"/>
    <w:next w:val="Default"/>
    <w:uiPriority w:val="99"/>
    <w:rsid w:val="009F2466"/>
    <w:rPr>
      <w:color w:val="auto"/>
    </w:rPr>
  </w:style>
  <w:style w:type="paragraph" w:customStyle="1" w:styleId="CM12">
    <w:name w:val="CM12"/>
    <w:basedOn w:val="Default"/>
    <w:next w:val="Default"/>
    <w:uiPriority w:val="99"/>
    <w:rsid w:val="009F2466"/>
    <w:pPr>
      <w:spacing w:line="348" w:lineRule="atLeast"/>
    </w:pPr>
    <w:rPr>
      <w:rFonts w:ascii="Arial" w:hAnsi="Arial" w:cs="Arial"/>
      <w:color w:val="auto"/>
    </w:rPr>
  </w:style>
  <w:style w:type="character" w:customStyle="1" w:styleId="CommentSubjectChar">
    <w:name w:val="Comment Subject Char"/>
    <w:basedOn w:val="CommentTextChar"/>
    <w:link w:val="CommentSubject"/>
    <w:rsid w:val="009F2466"/>
    <w:rPr>
      <w:rFonts w:ascii="Arial" w:eastAsia="Times New Roman" w:hAnsi="Arial"/>
      <w:b/>
      <w:bCs/>
      <w:sz w:val="22"/>
      <w:lang w:eastAsia="en-US"/>
    </w:rPr>
  </w:style>
  <w:style w:type="paragraph" w:customStyle="1" w:styleId="BodyText1">
    <w:name w:val="BodyText1"/>
    <w:basedOn w:val="Normal"/>
    <w:rsid w:val="009F2466"/>
    <w:pPr>
      <w:spacing w:before="4"/>
      <w:ind w:firstLine="317"/>
    </w:pPr>
    <w:rPr>
      <w:rFonts w:ascii="Helvetica" w:hAnsi="Helvetica"/>
      <w:sz w:val="16"/>
      <w:szCs w:val="24"/>
      <w:lang w:val="en-US"/>
    </w:rPr>
  </w:style>
  <w:style w:type="character" w:styleId="Hyperlink">
    <w:name w:val="Hyperlink"/>
    <w:basedOn w:val="DefaultParagraphFont"/>
    <w:uiPriority w:val="99"/>
    <w:unhideWhenUsed/>
    <w:rsid w:val="00AD37F6"/>
    <w:rPr>
      <w:color w:val="0000FF" w:themeColor="hyperlink"/>
      <w:u w:val="single"/>
    </w:rPr>
  </w:style>
  <w:style w:type="paragraph" w:customStyle="1" w:styleId="StyleBodyTextIndent29pt">
    <w:name w:val="Style Body Text Indent 2 + 9 pt"/>
    <w:basedOn w:val="BodyTextIndent2"/>
    <w:rsid w:val="00BB30D5"/>
    <w:pPr>
      <w:ind w:left="113"/>
    </w:pPr>
    <w:rPr>
      <w:sz w:val="18"/>
    </w:rPr>
  </w:style>
  <w:style w:type="paragraph" w:styleId="FootnoteText">
    <w:name w:val="footnote text"/>
    <w:basedOn w:val="Normal"/>
    <w:link w:val="FootnoteTextChar"/>
    <w:rsid w:val="00292A13"/>
    <w:rPr>
      <w:sz w:val="20"/>
    </w:rPr>
  </w:style>
  <w:style w:type="character" w:customStyle="1" w:styleId="FootnoteTextChar">
    <w:name w:val="Footnote Text Char"/>
    <w:basedOn w:val="DefaultParagraphFont"/>
    <w:link w:val="FootnoteText"/>
    <w:rsid w:val="00292A13"/>
    <w:rPr>
      <w:rFonts w:ascii="Arial" w:eastAsia="Times New Roman" w:hAnsi="Arial"/>
      <w:lang w:eastAsia="en-US"/>
    </w:rPr>
  </w:style>
  <w:style w:type="numbering" w:customStyle="1" w:styleId="ListParagraphindent">
    <w:name w:val="List Paragraph indent"/>
    <w:basedOn w:val="NoList"/>
    <w:rsid w:val="00CA12C7"/>
    <w:pPr>
      <w:numPr>
        <w:numId w:val="4"/>
      </w:numPr>
    </w:pPr>
  </w:style>
  <w:style w:type="paragraph" w:customStyle="1" w:styleId="StyleTablecenteredBlack">
    <w:name w:val="Style Table: centered + Black"/>
    <w:basedOn w:val="Tablecentered"/>
    <w:rsid w:val="00CA12C7"/>
    <w:rPr>
      <w:color w:val="000000"/>
    </w:rPr>
  </w:style>
  <w:style w:type="paragraph" w:customStyle="1" w:styleId="StyleTablecenteredLeftLeft03cmBefore0ptAfter">
    <w:name w:val="Style Table: centered + Left Left:  0.3 cm Before:  0 pt After: ..."/>
    <w:basedOn w:val="Tablecentered"/>
    <w:rsid w:val="00CA12C7"/>
    <w:pPr>
      <w:ind w:left="170"/>
      <w:jc w:val="left"/>
    </w:pPr>
  </w:style>
  <w:style w:type="paragraph" w:customStyle="1" w:styleId="StyleTablenormalBoldCentered">
    <w:name w:val="Style Table: normal + Bold Centered"/>
    <w:basedOn w:val="Tablenormal0"/>
    <w:rsid w:val="000C1DA5"/>
    <w:pPr>
      <w:jc w:val="center"/>
    </w:pPr>
    <w:rPr>
      <w:b/>
      <w:bCs/>
      <w:color w:val="FF0000"/>
    </w:rPr>
  </w:style>
  <w:style w:type="paragraph" w:customStyle="1" w:styleId="StyleTablenormalBoldCentered1">
    <w:name w:val="Style Table: normal + Bold Centered1"/>
    <w:basedOn w:val="Tablenormal0"/>
    <w:rsid w:val="000C1DA5"/>
    <w:pPr>
      <w:jc w:val="center"/>
    </w:pPr>
    <w:rPr>
      <w:b/>
      <w:bCs/>
      <w:color w:val="FF0000"/>
    </w:rPr>
  </w:style>
  <w:style w:type="numbering" w:customStyle="1" w:styleId="StyleListParagraphindentOutlinenumberedCourierNew">
    <w:name w:val="Style List Paragraph indent + Outline numbered Courier New"/>
    <w:basedOn w:val="NoList"/>
    <w:rsid w:val="00FE4072"/>
    <w:pPr>
      <w:numPr>
        <w:numId w:val="5"/>
      </w:numPr>
    </w:pPr>
  </w:style>
  <w:style w:type="numbering" w:customStyle="1" w:styleId="StyleListParagraphindentOutlinenumberedCourierNew1">
    <w:name w:val="Style List Paragraph indent + Outline numbered Courier New1"/>
    <w:basedOn w:val="NoList"/>
    <w:rsid w:val="00FE4072"/>
    <w:pPr>
      <w:numPr>
        <w:numId w:val="6"/>
      </w:numPr>
    </w:pPr>
  </w:style>
  <w:style w:type="numbering" w:customStyle="1" w:styleId="StyleStyleListParagraphindentOutlinenumberedCourierNew">
    <w:name w:val="Style Style List Paragraph indent + Outline numbered Courier New + ..."/>
    <w:basedOn w:val="NoList"/>
    <w:rsid w:val="00FE4072"/>
    <w:pPr>
      <w:numPr>
        <w:numId w:val="7"/>
      </w:numPr>
    </w:pPr>
  </w:style>
  <w:style w:type="numbering" w:customStyle="1" w:styleId="StyleListParagraphindentOutlinenumberedCourierNew2">
    <w:name w:val="Style List Paragraph indent + Outline numbered Courier New2"/>
    <w:basedOn w:val="NoList"/>
    <w:rsid w:val="00FE4072"/>
    <w:pPr>
      <w:numPr>
        <w:numId w:val="8"/>
      </w:numPr>
    </w:pPr>
  </w:style>
  <w:style w:type="numbering" w:customStyle="1" w:styleId="StyleListParagraphindentOutlinenumberedCourierNew3">
    <w:name w:val="Style List Paragraph indent + Outline numbered Courier New3"/>
    <w:basedOn w:val="NoList"/>
    <w:rsid w:val="004B296F"/>
    <w:pPr>
      <w:numPr>
        <w:numId w:val="10"/>
      </w:numPr>
    </w:pPr>
  </w:style>
  <w:style w:type="numbering" w:customStyle="1" w:styleId="StyleListParagraphindentOutlinenumberedCourierNew4">
    <w:name w:val="Style List Paragraph indent + Outline numbered Courier New4"/>
    <w:basedOn w:val="NoList"/>
    <w:rsid w:val="004B296F"/>
    <w:pPr>
      <w:numPr>
        <w:numId w:val="11"/>
      </w:numPr>
    </w:pPr>
  </w:style>
  <w:style w:type="paragraph" w:styleId="ListBullet2">
    <w:name w:val="List Bullet 2"/>
    <w:basedOn w:val="ListParagraph"/>
    <w:rsid w:val="000F03FB"/>
    <w:pPr>
      <w:numPr>
        <w:numId w:val="12"/>
      </w:numPr>
      <w:spacing w:before="120" w:after="120"/>
      <w:ind w:left="714" w:hanging="357"/>
    </w:pPr>
    <w:rPr>
      <w:rFonts w:eastAsia="MS Mincho" w:cs="Arial"/>
      <w:lang w:val="en-US" w:eastAsia="en-AU"/>
    </w:rPr>
  </w:style>
  <w:style w:type="paragraph" w:customStyle="1" w:styleId="StyleTablecentered95pt">
    <w:name w:val="Style Table: centered + 9.5 pt"/>
    <w:basedOn w:val="Tablecentered"/>
    <w:rsid w:val="00C625B5"/>
    <w:rPr>
      <w:sz w:val="19"/>
    </w:rPr>
  </w:style>
  <w:style w:type="paragraph" w:customStyle="1" w:styleId="StyleTablenormalindent95pt">
    <w:name w:val="Style Table: normal. indent + 9.5 pt"/>
    <w:basedOn w:val="Tablenormalindent"/>
    <w:rsid w:val="00D254CA"/>
    <w:rPr>
      <w:sz w:val="19"/>
    </w:rPr>
  </w:style>
  <w:style w:type="paragraph" w:customStyle="1" w:styleId="StyleTablenormalBoldCentered2">
    <w:name w:val="Style Table: normal + Bold Centered2"/>
    <w:basedOn w:val="Tablenormal0"/>
    <w:rsid w:val="00D254CA"/>
    <w:pPr>
      <w:jc w:val="center"/>
    </w:pPr>
    <w:rPr>
      <w:b/>
      <w:bCs/>
      <w:color w:val="FF0000"/>
    </w:rPr>
  </w:style>
  <w:style w:type="character" w:customStyle="1" w:styleId="StyleSimSun20ptCondensedby01pt">
    <w:name w:val="Style SimSun 20 pt Condensed by  0.1 pt"/>
    <w:basedOn w:val="DefaultParagraphFont"/>
    <w:rsid w:val="00704C82"/>
    <w:rPr>
      <w:rFonts w:ascii="SimSun" w:eastAsia="SimSun" w:hAnsi="SimSun"/>
      <w:spacing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4382">
      <w:bodyDiv w:val="1"/>
      <w:marLeft w:val="0"/>
      <w:marRight w:val="0"/>
      <w:marTop w:val="0"/>
      <w:marBottom w:val="0"/>
      <w:divBdr>
        <w:top w:val="none" w:sz="0" w:space="0" w:color="auto"/>
        <w:left w:val="none" w:sz="0" w:space="0" w:color="auto"/>
        <w:bottom w:val="none" w:sz="0" w:space="0" w:color="auto"/>
        <w:right w:val="none" w:sz="0" w:space="0" w:color="auto"/>
      </w:divBdr>
    </w:div>
    <w:div w:id="221336691">
      <w:bodyDiv w:val="1"/>
      <w:marLeft w:val="0"/>
      <w:marRight w:val="0"/>
      <w:marTop w:val="0"/>
      <w:marBottom w:val="0"/>
      <w:divBdr>
        <w:top w:val="none" w:sz="0" w:space="0" w:color="auto"/>
        <w:left w:val="none" w:sz="0" w:space="0" w:color="auto"/>
        <w:bottom w:val="none" w:sz="0" w:space="0" w:color="auto"/>
        <w:right w:val="none" w:sz="0" w:space="0" w:color="auto"/>
      </w:divBdr>
    </w:div>
    <w:div w:id="404035760">
      <w:bodyDiv w:val="1"/>
      <w:marLeft w:val="0"/>
      <w:marRight w:val="0"/>
      <w:marTop w:val="0"/>
      <w:marBottom w:val="0"/>
      <w:divBdr>
        <w:top w:val="none" w:sz="0" w:space="0" w:color="auto"/>
        <w:left w:val="none" w:sz="0" w:space="0" w:color="auto"/>
        <w:bottom w:val="none" w:sz="0" w:space="0" w:color="auto"/>
        <w:right w:val="none" w:sz="0" w:space="0" w:color="auto"/>
      </w:divBdr>
    </w:div>
    <w:div w:id="522524381">
      <w:bodyDiv w:val="1"/>
      <w:marLeft w:val="0"/>
      <w:marRight w:val="0"/>
      <w:marTop w:val="0"/>
      <w:marBottom w:val="0"/>
      <w:divBdr>
        <w:top w:val="none" w:sz="0" w:space="0" w:color="auto"/>
        <w:left w:val="none" w:sz="0" w:space="0" w:color="auto"/>
        <w:bottom w:val="none" w:sz="0" w:space="0" w:color="auto"/>
        <w:right w:val="none" w:sz="0" w:space="0" w:color="auto"/>
      </w:divBdr>
    </w:div>
    <w:div w:id="892892151">
      <w:bodyDiv w:val="1"/>
      <w:marLeft w:val="0"/>
      <w:marRight w:val="0"/>
      <w:marTop w:val="0"/>
      <w:marBottom w:val="0"/>
      <w:divBdr>
        <w:top w:val="none" w:sz="0" w:space="0" w:color="auto"/>
        <w:left w:val="none" w:sz="0" w:space="0" w:color="auto"/>
        <w:bottom w:val="none" w:sz="0" w:space="0" w:color="auto"/>
        <w:right w:val="none" w:sz="0" w:space="0" w:color="auto"/>
      </w:divBdr>
    </w:div>
    <w:div w:id="1335498729">
      <w:bodyDiv w:val="1"/>
      <w:marLeft w:val="0"/>
      <w:marRight w:val="0"/>
      <w:marTop w:val="0"/>
      <w:marBottom w:val="0"/>
      <w:divBdr>
        <w:top w:val="none" w:sz="0" w:space="0" w:color="auto"/>
        <w:left w:val="none" w:sz="0" w:space="0" w:color="auto"/>
        <w:bottom w:val="none" w:sz="0" w:space="0" w:color="auto"/>
        <w:right w:val="none" w:sz="0" w:space="0" w:color="auto"/>
      </w:divBdr>
    </w:div>
    <w:div w:id="1523931933">
      <w:bodyDiv w:val="1"/>
      <w:marLeft w:val="0"/>
      <w:marRight w:val="0"/>
      <w:marTop w:val="0"/>
      <w:marBottom w:val="0"/>
      <w:divBdr>
        <w:top w:val="none" w:sz="0" w:space="0" w:color="auto"/>
        <w:left w:val="none" w:sz="0" w:space="0" w:color="auto"/>
        <w:bottom w:val="none" w:sz="0" w:space="0" w:color="auto"/>
        <w:right w:val="none" w:sz="0" w:space="0" w:color="auto"/>
      </w:divBdr>
    </w:div>
    <w:div w:id="1726827554">
      <w:bodyDiv w:val="1"/>
      <w:marLeft w:val="0"/>
      <w:marRight w:val="0"/>
      <w:marTop w:val="0"/>
      <w:marBottom w:val="0"/>
      <w:divBdr>
        <w:top w:val="none" w:sz="0" w:space="0" w:color="auto"/>
        <w:left w:val="none" w:sz="0" w:space="0" w:color="auto"/>
        <w:bottom w:val="none" w:sz="0" w:space="0" w:color="auto"/>
        <w:right w:val="none" w:sz="0" w:space="0" w:color="auto"/>
      </w:divBdr>
    </w:div>
    <w:div w:id="1826974041">
      <w:bodyDiv w:val="1"/>
      <w:marLeft w:val="0"/>
      <w:marRight w:val="0"/>
      <w:marTop w:val="0"/>
      <w:marBottom w:val="0"/>
      <w:divBdr>
        <w:top w:val="none" w:sz="0" w:space="0" w:color="auto"/>
        <w:left w:val="none" w:sz="0" w:space="0" w:color="auto"/>
        <w:bottom w:val="none" w:sz="0" w:space="0" w:color="auto"/>
        <w:right w:val="none" w:sz="0" w:space="0" w:color="auto"/>
      </w:divBdr>
    </w:div>
    <w:div w:id="21434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ga.gov.au/reporting-proble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ga.gov.au/reporting-problems" TargetMode="Externa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ipps\Documents\000-ertu\PI-Ertugliflozin-new-forma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rgbClr val="FFFF00"/>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_dlc_DocId xmlns="d353fcf7-205b-40c5-a3af-4cf3a5e9c355">EFYCX3CDVRKR-1794191079-149738</_dlc_DocId>
    <_dlc_DocIdUrl xmlns="d353fcf7-205b-40c5-a3af-4cf3a5e9c355">
      <Url>http://spapp.merck.com/sites/ANZMarket/REGAFF/_layouts/DocIdRedir.aspx?ID=EFYCX3CDVRKR-1794191079-149738</Url>
      <Description>EFYCX3CDVRKR-1794191079-149738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C5DD-6499-4C66-A2D1-97D3FFF4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52A59-0BE2-4B9D-92EF-45A9598921B8}">
  <ds:schemaRefs>
    <ds:schemaRef ds:uri="http://purl.org/dc/elements/1.1/"/>
    <ds:schemaRef ds:uri="9db20a44-376d-4c97-8d2b-88532430f6d7"/>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d353fcf7-205b-40c5-a3af-4cf3a5e9c35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5E9F4CC-E9CC-410D-8219-000D3D5C5F67}">
  <ds:schemaRefs>
    <ds:schemaRef ds:uri="http://schemas.microsoft.com/sharepoint/v3/contenttype/forms"/>
  </ds:schemaRefs>
</ds:datastoreItem>
</file>

<file path=customXml/itemProps4.xml><?xml version="1.0" encoding="utf-8"?>
<ds:datastoreItem xmlns:ds="http://schemas.openxmlformats.org/officeDocument/2006/customXml" ds:itemID="{0C089DB6-A4C0-4DF8-8F21-E0C001D283B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114E20C-079F-49A3-B933-6EFB8543DE94}">
  <ds:schemaRefs>
    <ds:schemaRef ds:uri="http://schemas.microsoft.com/sharepoint/events"/>
  </ds:schemaRefs>
</ds:datastoreItem>
</file>

<file path=customXml/itemProps6.xml><?xml version="1.0" encoding="utf-8"?>
<ds:datastoreItem xmlns:ds="http://schemas.openxmlformats.org/officeDocument/2006/customXml" ds:itemID="{4574BEC2-680D-4DDC-B3B0-49D876FB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PI-Ertugliflozin-new-format (2).dotx</Template>
  <TotalTime>1</TotalTime>
  <Pages>36</Pages>
  <Words>12402</Words>
  <Characters>74341</Characters>
  <Application>Microsoft Office Word</Application>
  <DocSecurity>0</DocSecurity>
  <Lines>2252</Lines>
  <Paragraphs>1470</Paragraphs>
  <ScaleCrop>false</ScaleCrop>
  <HeadingPairs>
    <vt:vector size="2" baseType="variant">
      <vt:variant>
        <vt:lpstr>Title</vt:lpstr>
      </vt:variant>
      <vt:variant>
        <vt:i4>1</vt:i4>
      </vt:variant>
    </vt:vector>
  </HeadingPairs>
  <TitlesOfParts>
    <vt:vector size="1" baseType="lpstr">
      <vt:lpstr/>
    </vt:vector>
  </TitlesOfParts>
  <Company>Merck &amp; Co., Inc.</Company>
  <LinksUpToDate>false</LinksUpToDate>
  <CharactersWithSpaces>85273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Ertugliflozin  Metformin</dc:title>
  <dc:subject>prescription medicines</dc:subject>
  <dc:creator>MSD</dc:creator>
  <cp:lastPrinted>2018-05-11T02:25:00Z</cp:lastPrinted>
  <dcterms:created xsi:type="dcterms:W3CDTF">2019-03-24T23:13:00Z</dcterms:created>
  <dcterms:modified xsi:type="dcterms:W3CDTF">2019-03-26T04:41:00Z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Saver">
    <vt:lpwstr>tdvWC9tDcZghQcOnpupG2Hu1JrprkROP</vt:lpwstr>
  </property>
  <property fmtid="{D5CDD505-2E9C-101B-9397-08002B2CF9AE}" pid="3" name="ContentTypeId">
    <vt:lpwstr>0x01010052E7E68ACC01DE46BAB8D5F65BAC05EC</vt:lpwstr>
  </property>
  <property fmtid="{D5CDD505-2E9C-101B-9397-08002B2CF9AE}" pid="4" name="_dlc_DocIdItemGuid">
    <vt:lpwstr>5db45e49-a7af-4e8a-930c-8cee403231f9</vt:lpwstr>
  </property>
  <property fmtid="{D5CDD505-2E9C-101B-9397-08002B2CF9AE}" pid="5" name="docIndexRef">
    <vt:lpwstr>5539341f-581a-408f-a063-e8ed5eaafd44</vt:lpwstr>
  </property>
  <property fmtid="{D5CDD505-2E9C-101B-9397-08002B2CF9AE}" pid="6"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7" name="bjDocumentLabelXML-0">
    <vt:lpwstr>nternal/label"&gt;&lt;element uid="9920fcc9-9f43-4d43-9e3e-b98a219cfd55" value="" /&gt;&lt;/sisl&gt;</vt:lpwstr>
  </property>
  <property fmtid="{D5CDD505-2E9C-101B-9397-08002B2CF9AE}" pid="8" name="bjDocumentSecurityLabel">
    <vt:lpwstr>Not Classified</vt:lpwstr>
  </property>
</Properties>
</file>