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5"/>
      </w:tblGrid>
      <w:tr w:rsidR="008E7846" w:rsidRPr="00487162" w:rsidTr="004C620F">
        <w:trPr>
          <w:trHeight w:val="1725"/>
        </w:trPr>
        <w:tc>
          <w:tcPr>
            <w:tcW w:w="8525" w:type="dxa"/>
            <w:tcBorders>
              <w:top w:val="nil"/>
              <w:left w:val="nil"/>
              <w:bottom w:val="nil"/>
              <w:right w:val="nil"/>
            </w:tcBorders>
          </w:tcPr>
          <w:p w:rsidR="008E7846" w:rsidRDefault="004C620F" w:rsidP="0017078F">
            <w:pPr>
              <w:rPr>
                <w:rFonts w:ascii="Arial" w:hAnsi="Arial" w:cs="Arial"/>
                <w:b/>
                <w:color w:val="002C47"/>
                <w:sz w:val="36"/>
                <w:szCs w:val="36"/>
              </w:rPr>
            </w:pPr>
            <w:r w:rsidRPr="004C620F">
              <w:rPr>
                <w:rFonts w:ascii="Arial" w:hAnsi="Arial" w:cs="Arial"/>
                <w:b/>
                <w:color w:val="002C47"/>
                <w:sz w:val="36"/>
                <w:szCs w:val="36"/>
              </w:rPr>
              <w:t>Date of first round report:</w:t>
            </w:r>
            <w:r>
              <w:rPr>
                <w:rFonts w:ascii="Arial" w:hAnsi="Arial" w:cs="Arial"/>
                <w:b/>
                <w:color w:val="002C47"/>
                <w:sz w:val="36"/>
                <w:szCs w:val="36"/>
              </w:rPr>
              <w:t xml:space="preserve"> </w:t>
            </w:r>
            <w:r w:rsidRPr="004C620F">
              <w:rPr>
                <w:rFonts w:ascii="Arial" w:hAnsi="Arial" w:cs="Arial"/>
                <w:b/>
                <w:color w:val="002C47"/>
                <w:sz w:val="36"/>
                <w:szCs w:val="36"/>
              </w:rPr>
              <w:t>19 October 2017</w:t>
            </w:r>
          </w:p>
          <w:p w:rsidR="004C620F" w:rsidRPr="0017078F" w:rsidRDefault="004C620F" w:rsidP="004C620F">
            <w:pPr>
              <w:rPr>
                <w:rFonts w:ascii="Arial" w:hAnsi="Arial" w:cs="Arial"/>
                <w:b/>
                <w:color w:val="002C47"/>
                <w:sz w:val="36"/>
                <w:szCs w:val="36"/>
              </w:rPr>
            </w:pPr>
            <w:r w:rsidRPr="004C620F">
              <w:rPr>
                <w:rFonts w:ascii="Arial" w:hAnsi="Arial" w:cs="Arial"/>
                <w:b/>
                <w:color w:val="002C47"/>
                <w:sz w:val="36"/>
                <w:szCs w:val="36"/>
              </w:rPr>
              <w:t>Date of second round report: 18 January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4C620F">
            <w:pPr>
              <w:pStyle w:val="Title"/>
              <w:rPr>
                <w:color w:val="FFFFFF" w:themeColor="background1"/>
              </w:rPr>
            </w:pPr>
            <w:r>
              <w:rPr>
                <w:color w:val="FFFFFF" w:themeColor="background1"/>
              </w:rPr>
              <w:t xml:space="preserve">AusPAR Attachment </w:t>
            </w:r>
            <w:r w:rsidR="004C620F">
              <w:rPr>
                <w:color w:val="FFFFFF" w:themeColor="background1"/>
              </w:rPr>
              <w:t>4</w:t>
            </w:r>
          </w:p>
        </w:tc>
      </w:tr>
      <w:tr w:rsidR="00E07F15" w:rsidRPr="00A964D1" w:rsidTr="00E07F15">
        <w:trPr>
          <w:trHeight w:val="868"/>
        </w:trPr>
        <w:tc>
          <w:tcPr>
            <w:tcW w:w="9079" w:type="dxa"/>
          </w:tcPr>
          <w:p w:rsidR="00E07F15" w:rsidRPr="00A964D1" w:rsidRDefault="00E07F15" w:rsidP="004C620F">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4C620F" w:rsidRPr="004C620F">
              <w:rPr>
                <w:color w:val="FFFFFF" w:themeColor="background1"/>
              </w:rPr>
              <w:t xml:space="preserve"> </w:t>
            </w:r>
            <w:r w:rsidR="004C620F">
              <w:rPr>
                <w:color w:val="FFFFFF" w:themeColor="background1"/>
              </w:rPr>
              <w:t>Ertugliflozin/ metformin</w:t>
            </w:r>
          </w:p>
        </w:tc>
      </w:tr>
      <w:tr w:rsidR="00E07F15" w:rsidRPr="00B64760" w:rsidTr="00E07F15">
        <w:tc>
          <w:tcPr>
            <w:tcW w:w="9079" w:type="dxa"/>
          </w:tcPr>
          <w:p w:rsidR="00E07F15" w:rsidRPr="008E7846" w:rsidRDefault="00E07F15" w:rsidP="004C620F">
            <w:pPr>
              <w:pStyle w:val="Subtitle"/>
              <w:rPr>
                <w:color w:val="FFFFFF" w:themeColor="background1"/>
              </w:rPr>
            </w:pPr>
            <w:r w:rsidRPr="008E7846">
              <w:rPr>
                <w:color w:val="FFFFFF" w:themeColor="background1"/>
              </w:rPr>
              <w:t>Proprietary Product Name:</w:t>
            </w:r>
            <w:r w:rsidR="004C620F">
              <w:rPr>
                <w:color w:val="FFFFFF" w:themeColor="background1"/>
              </w:rPr>
              <w:t xml:space="preserve"> Segluromet</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4C620F" w:rsidRPr="004C620F">
              <w:rPr>
                <w:color w:val="FFFFFF" w:themeColor="background1"/>
              </w:rPr>
              <w:t>Merck Sharpe and Dohme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w:t>
      </w:r>
      <w:r w:rsidR="00094198">
        <w:t xml:space="preserve">&lt; </w:t>
      </w:r>
      <w:hyperlink r:id="rId9" w:history="1">
        <w:r w:rsidR="00E979F4" w:rsidRPr="00FE02B1">
          <w:rPr>
            <w:rStyle w:val="Hyperlink"/>
          </w:rPr>
          <w:t>https://www.tga.gov.au</w:t>
        </w:r>
      </w:hyperlink>
      <w:r w:rsidR="00094198">
        <w:t xml:space="preserve">&gt; </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CE07A4">
        <w:t>(</w:t>
      </w:r>
      <w:r w:rsidRPr="003D0A3B">
        <w:t>Information redacted</w:t>
      </w:r>
      <w:r w:rsidR="00CE07A4">
        <w:t>)</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094198">
        <w:t xml:space="preserve">&lt; </w:t>
      </w:r>
      <w:hyperlink r:id="rId10" w:history="1">
        <w:r w:rsidR="0010193C">
          <w:rPr>
            <w:rStyle w:val="Hyperlink"/>
          </w:rPr>
          <w:t>https://www.tga.gov.au/product-information-pi</w:t>
        </w:r>
      </w:hyperlink>
      <w:r w:rsidR="00094198">
        <w:t xml:space="preserve">&gt; </w:t>
      </w:r>
      <w:r w:rsidR="0017078F">
        <w:t>.</w:t>
      </w:r>
    </w:p>
    <w:p w:rsidR="00924482" w:rsidRPr="00DF1D7F" w:rsidRDefault="00924482" w:rsidP="0058709C">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8709C">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094198">
        <w:rPr>
          <w:rFonts w:cs="Arial"/>
          <w:lang w:val="en-GB"/>
        </w:rPr>
        <w:t xml:space="preserve">&lt; </w:t>
      </w:r>
      <w:hyperlink r:id="rId11" w:history="1">
        <w:r w:rsidRPr="00191B3B">
          <w:rPr>
            <w:rStyle w:val="Hyperlink"/>
            <w:rFonts w:cs="Arial"/>
            <w:lang w:val="en-GB"/>
          </w:rPr>
          <w:t>tga.copyright@tga.gov.au</w:t>
        </w:r>
      </w:hyperlink>
      <w:r w:rsidR="00094198">
        <w:rPr>
          <w:rFonts w:cs="Arial"/>
        </w:rPr>
        <w:t xml:space="preserve">&gt; </w:t>
      </w:r>
      <w:r w:rsidRPr="00191B3B">
        <w:rPr>
          <w:rFonts w:cs="Arial"/>
        </w:rPr>
        <w: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943D71">
          <w:pPr>
            <w:pStyle w:val="Contents"/>
          </w:pPr>
          <w:r w:rsidRPr="0010788A">
            <w:t>Con</w:t>
          </w:r>
          <w:bookmarkStart w:id="2" w:name="_GoBack"/>
          <w:bookmarkEnd w:id="2"/>
          <w:r w:rsidRPr="0010788A">
            <w:t>tents</w:t>
          </w:r>
        </w:p>
        <w:p w:rsidR="00B81389" w:rsidRDefault="004F4AF5">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71170" w:history="1">
            <w:r w:rsidR="00B81389" w:rsidRPr="005E0045">
              <w:rPr>
                <w:rStyle w:val="Hyperlink"/>
                <w:noProof/>
                <w14:scene3d>
                  <w14:camera w14:prst="orthographicFront"/>
                  <w14:lightRig w14:rig="threePt" w14:dir="t">
                    <w14:rot w14:lat="0" w14:lon="0" w14:rev="0"/>
                  </w14:lightRig>
                </w14:scene3d>
              </w:rPr>
              <w:t>1.</w:t>
            </w:r>
            <w:r w:rsidR="00B81389">
              <w:rPr>
                <w:rFonts w:asciiTheme="minorHAnsi" w:eastAsiaTheme="minorEastAsia" w:hAnsiTheme="minorHAnsi" w:cstheme="minorBidi"/>
                <w:b w:val="0"/>
                <w:noProof/>
                <w:sz w:val="22"/>
                <w:lang w:eastAsia="en-AU"/>
              </w:rPr>
              <w:tab/>
            </w:r>
            <w:r w:rsidR="00B81389" w:rsidRPr="005E0045">
              <w:rPr>
                <w:rStyle w:val="Hyperlink"/>
                <w:noProof/>
              </w:rPr>
              <w:t>Submission details</w:t>
            </w:r>
            <w:r w:rsidR="00B81389">
              <w:rPr>
                <w:noProof/>
                <w:webHidden/>
              </w:rPr>
              <w:tab/>
            </w:r>
            <w:r w:rsidR="00B81389">
              <w:rPr>
                <w:noProof/>
                <w:webHidden/>
              </w:rPr>
              <w:fldChar w:fldCharType="begin"/>
            </w:r>
            <w:r w:rsidR="00B81389">
              <w:rPr>
                <w:noProof/>
                <w:webHidden/>
              </w:rPr>
              <w:instrText xml:space="preserve"> PAGEREF _Toc4571170 \h </w:instrText>
            </w:r>
            <w:r w:rsidR="00B81389">
              <w:rPr>
                <w:noProof/>
                <w:webHidden/>
              </w:rPr>
            </w:r>
            <w:r w:rsidR="00B81389">
              <w:rPr>
                <w:noProof/>
                <w:webHidden/>
              </w:rPr>
              <w:fldChar w:fldCharType="separate"/>
            </w:r>
            <w:r w:rsidR="00B81389">
              <w:rPr>
                <w:noProof/>
                <w:webHidden/>
              </w:rPr>
              <w:t>12</w:t>
            </w:r>
            <w:r w:rsidR="00B81389">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71" w:history="1">
            <w:r w:rsidRPr="005E0045">
              <w:rPr>
                <w:rStyle w:val="Hyperlink"/>
                <w:noProof/>
              </w:rPr>
              <w:t>1.1.</w:t>
            </w:r>
            <w:r>
              <w:rPr>
                <w:rFonts w:asciiTheme="minorHAnsi" w:eastAsiaTheme="minorEastAsia" w:hAnsiTheme="minorHAnsi" w:cstheme="minorBidi"/>
                <w:noProof/>
                <w:lang w:eastAsia="en-AU"/>
              </w:rPr>
              <w:tab/>
            </w:r>
            <w:r w:rsidRPr="005E0045">
              <w:rPr>
                <w:rStyle w:val="Hyperlink"/>
                <w:noProof/>
              </w:rPr>
              <w:t>Identifying information</w:t>
            </w:r>
            <w:r>
              <w:rPr>
                <w:noProof/>
                <w:webHidden/>
              </w:rPr>
              <w:tab/>
            </w:r>
            <w:r>
              <w:rPr>
                <w:noProof/>
                <w:webHidden/>
              </w:rPr>
              <w:fldChar w:fldCharType="begin"/>
            </w:r>
            <w:r>
              <w:rPr>
                <w:noProof/>
                <w:webHidden/>
              </w:rPr>
              <w:instrText xml:space="preserve"> PAGEREF _Toc4571171 \h </w:instrText>
            </w:r>
            <w:r>
              <w:rPr>
                <w:noProof/>
                <w:webHidden/>
              </w:rPr>
            </w:r>
            <w:r>
              <w:rPr>
                <w:noProof/>
                <w:webHidden/>
              </w:rPr>
              <w:fldChar w:fldCharType="separate"/>
            </w:r>
            <w:r>
              <w:rPr>
                <w:noProof/>
                <w:webHidden/>
              </w:rPr>
              <w:t>12</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72" w:history="1">
            <w:r w:rsidRPr="005E0045">
              <w:rPr>
                <w:rStyle w:val="Hyperlink"/>
                <w:noProof/>
              </w:rPr>
              <w:t>1.2.</w:t>
            </w:r>
            <w:r>
              <w:rPr>
                <w:rFonts w:asciiTheme="minorHAnsi" w:eastAsiaTheme="minorEastAsia" w:hAnsiTheme="minorHAnsi" w:cstheme="minorBidi"/>
                <w:noProof/>
                <w:lang w:eastAsia="en-AU"/>
              </w:rPr>
              <w:tab/>
            </w:r>
            <w:r w:rsidRPr="005E0045">
              <w:rPr>
                <w:rStyle w:val="Hyperlink"/>
                <w:noProof/>
              </w:rPr>
              <w:t>Submission Type</w:t>
            </w:r>
            <w:r>
              <w:rPr>
                <w:noProof/>
                <w:webHidden/>
              </w:rPr>
              <w:tab/>
            </w:r>
            <w:r>
              <w:rPr>
                <w:noProof/>
                <w:webHidden/>
              </w:rPr>
              <w:fldChar w:fldCharType="begin"/>
            </w:r>
            <w:r>
              <w:rPr>
                <w:noProof/>
                <w:webHidden/>
              </w:rPr>
              <w:instrText xml:space="preserve"> PAGEREF _Toc4571172 \h </w:instrText>
            </w:r>
            <w:r>
              <w:rPr>
                <w:noProof/>
                <w:webHidden/>
              </w:rPr>
            </w:r>
            <w:r>
              <w:rPr>
                <w:noProof/>
                <w:webHidden/>
              </w:rPr>
              <w:fldChar w:fldCharType="separate"/>
            </w:r>
            <w:r>
              <w:rPr>
                <w:noProof/>
                <w:webHidden/>
              </w:rPr>
              <w:t>12</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73" w:history="1">
            <w:r w:rsidRPr="005E0045">
              <w:rPr>
                <w:rStyle w:val="Hyperlink"/>
                <w:noProof/>
              </w:rPr>
              <w:t>1.3.</w:t>
            </w:r>
            <w:r>
              <w:rPr>
                <w:rFonts w:asciiTheme="minorHAnsi" w:eastAsiaTheme="minorEastAsia" w:hAnsiTheme="minorHAnsi" w:cstheme="minorBidi"/>
                <w:noProof/>
                <w:lang w:eastAsia="en-AU"/>
              </w:rPr>
              <w:tab/>
            </w:r>
            <w:r w:rsidRPr="005E0045">
              <w:rPr>
                <w:rStyle w:val="Hyperlink"/>
                <w:noProof/>
              </w:rPr>
              <w:t>Drug class and therapeutic indication</w:t>
            </w:r>
            <w:r>
              <w:rPr>
                <w:noProof/>
                <w:webHidden/>
              </w:rPr>
              <w:tab/>
            </w:r>
            <w:r>
              <w:rPr>
                <w:noProof/>
                <w:webHidden/>
              </w:rPr>
              <w:fldChar w:fldCharType="begin"/>
            </w:r>
            <w:r>
              <w:rPr>
                <w:noProof/>
                <w:webHidden/>
              </w:rPr>
              <w:instrText xml:space="preserve"> PAGEREF _Toc4571173 \h </w:instrText>
            </w:r>
            <w:r>
              <w:rPr>
                <w:noProof/>
                <w:webHidden/>
              </w:rPr>
            </w:r>
            <w:r>
              <w:rPr>
                <w:noProof/>
                <w:webHidden/>
              </w:rPr>
              <w:fldChar w:fldCharType="separate"/>
            </w:r>
            <w:r>
              <w:rPr>
                <w:noProof/>
                <w:webHidden/>
              </w:rPr>
              <w:t>12</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74" w:history="1">
            <w:r w:rsidRPr="005E0045">
              <w:rPr>
                <w:rStyle w:val="Hyperlink"/>
                <w:noProof/>
              </w:rPr>
              <w:t>1.4.</w:t>
            </w:r>
            <w:r>
              <w:rPr>
                <w:rFonts w:asciiTheme="minorHAnsi" w:eastAsiaTheme="minorEastAsia" w:hAnsiTheme="minorHAnsi" w:cstheme="minorBidi"/>
                <w:noProof/>
                <w:lang w:eastAsia="en-AU"/>
              </w:rPr>
              <w:tab/>
            </w:r>
            <w:r w:rsidRPr="005E0045">
              <w:rPr>
                <w:rStyle w:val="Hyperlink"/>
                <w:noProof/>
              </w:rPr>
              <w:t>Dosage forms and strengths</w:t>
            </w:r>
            <w:r>
              <w:rPr>
                <w:noProof/>
                <w:webHidden/>
              </w:rPr>
              <w:tab/>
            </w:r>
            <w:r>
              <w:rPr>
                <w:noProof/>
                <w:webHidden/>
              </w:rPr>
              <w:fldChar w:fldCharType="begin"/>
            </w:r>
            <w:r>
              <w:rPr>
                <w:noProof/>
                <w:webHidden/>
              </w:rPr>
              <w:instrText xml:space="preserve"> PAGEREF _Toc4571174 \h </w:instrText>
            </w:r>
            <w:r>
              <w:rPr>
                <w:noProof/>
                <w:webHidden/>
              </w:rPr>
            </w:r>
            <w:r>
              <w:rPr>
                <w:noProof/>
                <w:webHidden/>
              </w:rPr>
              <w:fldChar w:fldCharType="separate"/>
            </w:r>
            <w:r>
              <w:rPr>
                <w:noProof/>
                <w:webHidden/>
              </w:rPr>
              <w:t>12</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75" w:history="1">
            <w:r w:rsidRPr="005E0045">
              <w:rPr>
                <w:rStyle w:val="Hyperlink"/>
                <w:noProof/>
              </w:rPr>
              <w:t>1.5.</w:t>
            </w:r>
            <w:r>
              <w:rPr>
                <w:rFonts w:asciiTheme="minorHAnsi" w:eastAsiaTheme="minorEastAsia" w:hAnsiTheme="minorHAnsi" w:cstheme="minorBidi"/>
                <w:noProof/>
                <w:lang w:eastAsia="en-AU"/>
              </w:rPr>
              <w:tab/>
            </w:r>
            <w:r w:rsidRPr="005E0045">
              <w:rPr>
                <w:rStyle w:val="Hyperlink"/>
                <w:noProof/>
              </w:rPr>
              <w:t>Dosage and administration</w:t>
            </w:r>
            <w:r>
              <w:rPr>
                <w:noProof/>
                <w:webHidden/>
              </w:rPr>
              <w:tab/>
            </w:r>
            <w:r>
              <w:rPr>
                <w:noProof/>
                <w:webHidden/>
              </w:rPr>
              <w:fldChar w:fldCharType="begin"/>
            </w:r>
            <w:r>
              <w:rPr>
                <w:noProof/>
                <w:webHidden/>
              </w:rPr>
              <w:instrText xml:space="preserve"> PAGEREF _Toc4571175 \h </w:instrText>
            </w:r>
            <w:r>
              <w:rPr>
                <w:noProof/>
                <w:webHidden/>
              </w:rPr>
            </w:r>
            <w:r>
              <w:rPr>
                <w:noProof/>
                <w:webHidden/>
              </w:rPr>
              <w:fldChar w:fldCharType="separate"/>
            </w:r>
            <w:r>
              <w:rPr>
                <w:noProof/>
                <w:webHidden/>
              </w:rPr>
              <w:t>12</w:t>
            </w:r>
            <w:r>
              <w:rPr>
                <w:noProof/>
                <w:webHidden/>
              </w:rPr>
              <w:fldChar w:fldCharType="end"/>
            </w:r>
          </w:hyperlink>
        </w:p>
        <w:p w:rsidR="00B81389" w:rsidRDefault="00B81389">
          <w:pPr>
            <w:pStyle w:val="TOC2"/>
            <w:tabs>
              <w:tab w:val="left" w:pos="1100"/>
            </w:tabs>
            <w:rPr>
              <w:rFonts w:asciiTheme="minorHAnsi" w:eastAsiaTheme="minorEastAsia" w:hAnsiTheme="minorHAnsi" w:cstheme="minorBidi"/>
              <w:b w:val="0"/>
              <w:noProof/>
              <w:sz w:val="22"/>
              <w:lang w:eastAsia="en-AU"/>
            </w:rPr>
          </w:pPr>
          <w:hyperlink w:anchor="_Toc4571176" w:history="1">
            <w:r w:rsidRPr="005E0045">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sz w:val="22"/>
                <w:lang w:eastAsia="en-AU"/>
              </w:rPr>
              <w:tab/>
            </w:r>
            <w:r w:rsidRPr="005E0045">
              <w:rPr>
                <w:rStyle w:val="Hyperlink"/>
                <w:noProof/>
              </w:rPr>
              <w:t>Background</w:t>
            </w:r>
            <w:r>
              <w:rPr>
                <w:noProof/>
                <w:webHidden/>
              </w:rPr>
              <w:tab/>
            </w:r>
            <w:r>
              <w:rPr>
                <w:noProof/>
                <w:webHidden/>
              </w:rPr>
              <w:fldChar w:fldCharType="begin"/>
            </w:r>
            <w:r>
              <w:rPr>
                <w:noProof/>
                <w:webHidden/>
              </w:rPr>
              <w:instrText xml:space="preserve"> PAGEREF _Toc4571176 \h </w:instrText>
            </w:r>
            <w:r>
              <w:rPr>
                <w:noProof/>
                <w:webHidden/>
              </w:rPr>
            </w:r>
            <w:r>
              <w:rPr>
                <w:noProof/>
                <w:webHidden/>
              </w:rPr>
              <w:fldChar w:fldCharType="separate"/>
            </w:r>
            <w:r>
              <w:rPr>
                <w:noProof/>
                <w:webHidden/>
              </w:rPr>
              <w:t>13</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77" w:history="1">
            <w:r w:rsidRPr="005E0045">
              <w:rPr>
                <w:rStyle w:val="Hyperlink"/>
                <w:noProof/>
              </w:rPr>
              <w:t>2.1.</w:t>
            </w:r>
            <w:r>
              <w:rPr>
                <w:rFonts w:asciiTheme="minorHAnsi" w:eastAsiaTheme="minorEastAsia" w:hAnsiTheme="minorHAnsi" w:cstheme="minorBidi"/>
                <w:noProof/>
                <w:lang w:eastAsia="en-AU"/>
              </w:rPr>
              <w:tab/>
            </w:r>
            <w:r w:rsidRPr="005E0045">
              <w:rPr>
                <w:rStyle w:val="Hyperlink"/>
                <w:noProof/>
              </w:rPr>
              <w:t>Information on the condition being treated</w:t>
            </w:r>
            <w:r>
              <w:rPr>
                <w:noProof/>
                <w:webHidden/>
              </w:rPr>
              <w:tab/>
            </w:r>
            <w:r>
              <w:rPr>
                <w:noProof/>
                <w:webHidden/>
              </w:rPr>
              <w:fldChar w:fldCharType="begin"/>
            </w:r>
            <w:r>
              <w:rPr>
                <w:noProof/>
                <w:webHidden/>
              </w:rPr>
              <w:instrText xml:space="preserve"> PAGEREF _Toc4571177 \h </w:instrText>
            </w:r>
            <w:r>
              <w:rPr>
                <w:noProof/>
                <w:webHidden/>
              </w:rPr>
            </w:r>
            <w:r>
              <w:rPr>
                <w:noProof/>
                <w:webHidden/>
              </w:rPr>
              <w:fldChar w:fldCharType="separate"/>
            </w:r>
            <w:r>
              <w:rPr>
                <w:noProof/>
                <w:webHidden/>
              </w:rPr>
              <w:t>13</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78" w:history="1">
            <w:r w:rsidRPr="005E0045">
              <w:rPr>
                <w:rStyle w:val="Hyperlink"/>
                <w:noProof/>
              </w:rPr>
              <w:t>2.2.</w:t>
            </w:r>
            <w:r>
              <w:rPr>
                <w:rFonts w:asciiTheme="minorHAnsi" w:eastAsiaTheme="minorEastAsia" w:hAnsiTheme="minorHAnsi" w:cstheme="minorBidi"/>
                <w:noProof/>
                <w:lang w:eastAsia="en-AU"/>
              </w:rPr>
              <w:tab/>
            </w:r>
            <w:r w:rsidRPr="005E0045">
              <w:rPr>
                <w:rStyle w:val="Hyperlink"/>
                <w:noProof/>
              </w:rPr>
              <w:t>Current treatment options</w:t>
            </w:r>
            <w:r>
              <w:rPr>
                <w:noProof/>
                <w:webHidden/>
              </w:rPr>
              <w:tab/>
            </w:r>
            <w:r>
              <w:rPr>
                <w:noProof/>
                <w:webHidden/>
              </w:rPr>
              <w:fldChar w:fldCharType="begin"/>
            </w:r>
            <w:r>
              <w:rPr>
                <w:noProof/>
                <w:webHidden/>
              </w:rPr>
              <w:instrText xml:space="preserve"> PAGEREF _Toc4571178 \h </w:instrText>
            </w:r>
            <w:r>
              <w:rPr>
                <w:noProof/>
                <w:webHidden/>
              </w:rPr>
            </w:r>
            <w:r>
              <w:rPr>
                <w:noProof/>
                <w:webHidden/>
              </w:rPr>
              <w:fldChar w:fldCharType="separate"/>
            </w:r>
            <w:r>
              <w:rPr>
                <w:noProof/>
                <w:webHidden/>
              </w:rPr>
              <w:t>14</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79" w:history="1">
            <w:r w:rsidRPr="005E0045">
              <w:rPr>
                <w:rStyle w:val="Hyperlink"/>
                <w:noProof/>
              </w:rPr>
              <w:t>2.3.</w:t>
            </w:r>
            <w:r>
              <w:rPr>
                <w:rFonts w:asciiTheme="minorHAnsi" w:eastAsiaTheme="minorEastAsia" w:hAnsiTheme="minorHAnsi" w:cstheme="minorBidi"/>
                <w:noProof/>
                <w:lang w:eastAsia="en-AU"/>
              </w:rPr>
              <w:tab/>
            </w:r>
            <w:r w:rsidRPr="005E0045">
              <w:rPr>
                <w:rStyle w:val="Hyperlink"/>
                <w:noProof/>
              </w:rPr>
              <w:t>Clinical rationale</w:t>
            </w:r>
            <w:r>
              <w:rPr>
                <w:noProof/>
                <w:webHidden/>
              </w:rPr>
              <w:tab/>
            </w:r>
            <w:r>
              <w:rPr>
                <w:noProof/>
                <w:webHidden/>
              </w:rPr>
              <w:fldChar w:fldCharType="begin"/>
            </w:r>
            <w:r>
              <w:rPr>
                <w:noProof/>
                <w:webHidden/>
              </w:rPr>
              <w:instrText xml:space="preserve"> PAGEREF _Toc4571179 \h </w:instrText>
            </w:r>
            <w:r>
              <w:rPr>
                <w:noProof/>
                <w:webHidden/>
              </w:rPr>
            </w:r>
            <w:r>
              <w:rPr>
                <w:noProof/>
                <w:webHidden/>
              </w:rPr>
              <w:fldChar w:fldCharType="separate"/>
            </w:r>
            <w:r>
              <w:rPr>
                <w:noProof/>
                <w:webHidden/>
              </w:rPr>
              <w:t>14</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80" w:history="1">
            <w:r w:rsidRPr="005E0045">
              <w:rPr>
                <w:rStyle w:val="Hyperlink"/>
                <w:noProof/>
              </w:rPr>
              <w:t>2.4.</w:t>
            </w:r>
            <w:r>
              <w:rPr>
                <w:rFonts w:asciiTheme="minorHAnsi" w:eastAsiaTheme="minorEastAsia" w:hAnsiTheme="minorHAnsi" w:cstheme="minorBidi"/>
                <w:noProof/>
                <w:lang w:eastAsia="en-AU"/>
              </w:rPr>
              <w:tab/>
            </w:r>
            <w:r w:rsidRPr="005E0045">
              <w:rPr>
                <w:rStyle w:val="Hyperlink"/>
                <w:noProof/>
              </w:rPr>
              <w:t>Formulation development</w:t>
            </w:r>
            <w:r>
              <w:rPr>
                <w:noProof/>
                <w:webHidden/>
              </w:rPr>
              <w:tab/>
            </w:r>
            <w:r>
              <w:rPr>
                <w:noProof/>
                <w:webHidden/>
              </w:rPr>
              <w:fldChar w:fldCharType="begin"/>
            </w:r>
            <w:r>
              <w:rPr>
                <w:noProof/>
                <w:webHidden/>
              </w:rPr>
              <w:instrText xml:space="preserve"> PAGEREF _Toc4571180 \h </w:instrText>
            </w:r>
            <w:r>
              <w:rPr>
                <w:noProof/>
                <w:webHidden/>
              </w:rPr>
            </w:r>
            <w:r>
              <w:rPr>
                <w:noProof/>
                <w:webHidden/>
              </w:rPr>
              <w:fldChar w:fldCharType="separate"/>
            </w:r>
            <w:r>
              <w:rPr>
                <w:noProof/>
                <w:webHidden/>
              </w:rPr>
              <w:t>15</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81" w:history="1">
            <w:r w:rsidRPr="005E0045">
              <w:rPr>
                <w:rStyle w:val="Hyperlink"/>
                <w:noProof/>
              </w:rPr>
              <w:t>2.5.</w:t>
            </w:r>
            <w:r>
              <w:rPr>
                <w:rFonts w:asciiTheme="minorHAnsi" w:eastAsiaTheme="minorEastAsia" w:hAnsiTheme="minorHAnsi" w:cstheme="minorBidi"/>
                <w:noProof/>
                <w:lang w:eastAsia="en-AU"/>
              </w:rPr>
              <w:tab/>
            </w:r>
            <w:r w:rsidRPr="005E0045">
              <w:rPr>
                <w:rStyle w:val="Hyperlink"/>
                <w:noProof/>
              </w:rPr>
              <w:t>Related submissions</w:t>
            </w:r>
            <w:r>
              <w:rPr>
                <w:noProof/>
                <w:webHidden/>
              </w:rPr>
              <w:tab/>
            </w:r>
            <w:r>
              <w:rPr>
                <w:noProof/>
                <w:webHidden/>
              </w:rPr>
              <w:fldChar w:fldCharType="begin"/>
            </w:r>
            <w:r>
              <w:rPr>
                <w:noProof/>
                <w:webHidden/>
              </w:rPr>
              <w:instrText xml:space="preserve"> PAGEREF _Toc4571181 \h </w:instrText>
            </w:r>
            <w:r>
              <w:rPr>
                <w:noProof/>
                <w:webHidden/>
              </w:rPr>
            </w:r>
            <w:r>
              <w:rPr>
                <w:noProof/>
                <w:webHidden/>
              </w:rPr>
              <w:fldChar w:fldCharType="separate"/>
            </w:r>
            <w:r>
              <w:rPr>
                <w:noProof/>
                <w:webHidden/>
              </w:rPr>
              <w:t>15</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82" w:history="1">
            <w:r w:rsidRPr="005E0045">
              <w:rPr>
                <w:rStyle w:val="Hyperlink"/>
                <w:noProof/>
              </w:rPr>
              <w:t>2.6.</w:t>
            </w:r>
            <w:r>
              <w:rPr>
                <w:rFonts w:asciiTheme="minorHAnsi" w:eastAsiaTheme="minorEastAsia" w:hAnsiTheme="minorHAnsi" w:cstheme="minorBidi"/>
                <w:noProof/>
                <w:lang w:eastAsia="en-AU"/>
              </w:rPr>
              <w:tab/>
            </w:r>
            <w:r w:rsidRPr="005E0045">
              <w:rPr>
                <w:rStyle w:val="Hyperlink"/>
                <w:noProof/>
              </w:rPr>
              <w:t>Guidance</w:t>
            </w:r>
            <w:r>
              <w:rPr>
                <w:noProof/>
                <w:webHidden/>
              </w:rPr>
              <w:tab/>
            </w:r>
            <w:r>
              <w:rPr>
                <w:noProof/>
                <w:webHidden/>
              </w:rPr>
              <w:fldChar w:fldCharType="begin"/>
            </w:r>
            <w:r>
              <w:rPr>
                <w:noProof/>
                <w:webHidden/>
              </w:rPr>
              <w:instrText xml:space="preserve"> PAGEREF _Toc4571182 \h </w:instrText>
            </w:r>
            <w:r>
              <w:rPr>
                <w:noProof/>
                <w:webHidden/>
              </w:rPr>
            </w:r>
            <w:r>
              <w:rPr>
                <w:noProof/>
                <w:webHidden/>
              </w:rPr>
              <w:fldChar w:fldCharType="separate"/>
            </w:r>
            <w:r>
              <w:rPr>
                <w:noProof/>
                <w:webHidden/>
              </w:rPr>
              <w:t>16</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83" w:history="1">
            <w:r w:rsidRPr="005E0045">
              <w:rPr>
                <w:rStyle w:val="Hyperlink"/>
                <w:noProof/>
              </w:rPr>
              <w:t>2.7.</w:t>
            </w:r>
            <w:r>
              <w:rPr>
                <w:rFonts w:asciiTheme="minorHAnsi" w:eastAsiaTheme="minorEastAsia" w:hAnsiTheme="minorHAnsi" w:cstheme="minorBidi"/>
                <w:noProof/>
                <w:lang w:eastAsia="en-AU"/>
              </w:rPr>
              <w:tab/>
            </w:r>
            <w:r w:rsidRPr="005E0045">
              <w:rPr>
                <w:rStyle w:val="Hyperlink"/>
                <w:noProof/>
              </w:rPr>
              <w:t>Evaluator’s commentary on the background information</w:t>
            </w:r>
            <w:r>
              <w:rPr>
                <w:noProof/>
                <w:webHidden/>
              </w:rPr>
              <w:tab/>
            </w:r>
            <w:r>
              <w:rPr>
                <w:noProof/>
                <w:webHidden/>
              </w:rPr>
              <w:fldChar w:fldCharType="begin"/>
            </w:r>
            <w:r>
              <w:rPr>
                <w:noProof/>
                <w:webHidden/>
              </w:rPr>
              <w:instrText xml:space="preserve"> PAGEREF _Toc4571183 \h </w:instrText>
            </w:r>
            <w:r>
              <w:rPr>
                <w:noProof/>
                <w:webHidden/>
              </w:rPr>
            </w:r>
            <w:r>
              <w:rPr>
                <w:noProof/>
                <w:webHidden/>
              </w:rPr>
              <w:fldChar w:fldCharType="separate"/>
            </w:r>
            <w:r>
              <w:rPr>
                <w:noProof/>
                <w:webHidden/>
              </w:rPr>
              <w:t>16</w:t>
            </w:r>
            <w:r>
              <w:rPr>
                <w:noProof/>
                <w:webHidden/>
              </w:rPr>
              <w:fldChar w:fldCharType="end"/>
            </w:r>
          </w:hyperlink>
        </w:p>
        <w:p w:rsidR="00B81389" w:rsidRDefault="00B81389">
          <w:pPr>
            <w:pStyle w:val="TOC2"/>
            <w:tabs>
              <w:tab w:val="left" w:pos="1100"/>
            </w:tabs>
            <w:rPr>
              <w:rFonts w:asciiTheme="minorHAnsi" w:eastAsiaTheme="minorEastAsia" w:hAnsiTheme="minorHAnsi" w:cstheme="minorBidi"/>
              <w:b w:val="0"/>
              <w:noProof/>
              <w:sz w:val="22"/>
              <w:lang w:eastAsia="en-AU"/>
            </w:rPr>
          </w:pPr>
          <w:hyperlink w:anchor="_Toc4571184" w:history="1">
            <w:r w:rsidRPr="005E0045">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sz w:val="22"/>
                <w:lang w:eastAsia="en-AU"/>
              </w:rPr>
              <w:tab/>
            </w:r>
            <w:r w:rsidRPr="005E0045">
              <w:rPr>
                <w:rStyle w:val="Hyperlink"/>
                <w:noProof/>
              </w:rPr>
              <w:t>Contents of the clinical dossier</w:t>
            </w:r>
            <w:r>
              <w:rPr>
                <w:noProof/>
                <w:webHidden/>
              </w:rPr>
              <w:tab/>
            </w:r>
            <w:r>
              <w:rPr>
                <w:noProof/>
                <w:webHidden/>
              </w:rPr>
              <w:fldChar w:fldCharType="begin"/>
            </w:r>
            <w:r>
              <w:rPr>
                <w:noProof/>
                <w:webHidden/>
              </w:rPr>
              <w:instrText xml:space="preserve"> PAGEREF _Toc4571184 \h </w:instrText>
            </w:r>
            <w:r>
              <w:rPr>
                <w:noProof/>
                <w:webHidden/>
              </w:rPr>
            </w:r>
            <w:r>
              <w:rPr>
                <w:noProof/>
                <w:webHidden/>
              </w:rPr>
              <w:fldChar w:fldCharType="separate"/>
            </w:r>
            <w:r>
              <w:rPr>
                <w:noProof/>
                <w:webHidden/>
              </w:rPr>
              <w:t>16</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85" w:history="1">
            <w:r w:rsidRPr="005E0045">
              <w:rPr>
                <w:rStyle w:val="Hyperlink"/>
                <w:noProof/>
              </w:rPr>
              <w:t>3.1.</w:t>
            </w:r>
            <w:r>
              <w:rPr>
                <w:rFonts w:asciiTheme="minorHAnsi" w:eastAsiaTheme="minorEastAsia" w:hAnsiTheme="minorHAnsi" w:cstheme="minorBidi"/>
                <w:noProof/>
                <w:lang w:eastAsia="en-AU"/>
              </w:rPr>
              <w:tab/>
            </w:r>
            <w:r w:rsidRPr="005E0045">
              <w:rPr>
                <w:rStyle w:val="Hyperlink"/>
                <w:noProof/>
              </w:rPr>
              <w:t>Scope of the clinical dossier</w:t>
            </w:r>
            <w:r>
              <w:rPr>
                <w:noProof/>
                <w:webHidden/>
              </w:rPr>
              <w:tab/>
            </w:r>
            <w:r>
              <w:rPr>
                <w:noProof/>
                <w:webHidden/>
              </w:rPr>
              <w:fldChar w:fldCharType="begin"/>
            </w:r>
            <w:r>
              <w:rPr>
                <w:noProof/>
                <w:webHidden/>
              </w:rPr>
              <w:instrText xml:space="preserve"> PAGEREF _Toc4571185 \h </w:instrText>
            </w:r>
            <w:r>
              <w:rPr>
                <w:noProof/>
                <w:webHidden/>
              </w:rPr>
            </w:r>
            <w:r>
              <w:rPr>
                <w:noProof/>
                <w:webHidden/>
              </w:rPr>
              <w:fldChar w:fldCharType="separate"/>
            </w:r>
            <w:r>
              <w:rPr>
                <w:noProof/>
                <w:webHidden/>
              </w:rPr>
              <w:t>16</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86" w:history="1">
            <w:r w:rsidRPr="005E0045">
              <w:rPr>
                <w:rStyle w:val="Hyperlink"/>
                <w:noProof/>
              </w:rPr>
              <w:t>3.2.</w:t>
            </w:r>
            <w:r>
              <w:rPr>
                <w:rFonts w:asciiTheme="minorHAnsi" w:eastAsiaTheme="minorEastAsia" w:hAnsiTheme="minorHAnsi" w:cstheme="minorBidi"/>
                <w:noProof/>
                <w:lang w:eastAsia="en-AU"/>
              </w:rPr>
              <w:tab/>
            </w:r>
            <w:r w:rsidRPr="005E0045">
              <w:rPr>
                <w:rStyle w:val="Hyperlink"/>
                <w:noProof/>
              </w:rPr>
              <w:t>Paediatric data</w:t>
            </w:r>
            <w:r>
              <w:rPr>
                <w:noProof/>
                <w:webHidden/>
              </w:rPr>
              <w:tab/>
            </w:r>
            <w:r>
              <w:rPr>
                <w:noProof/>
                <w:webHidden/>
              </w:rPr>
              <w:fldChar w:fldCharType="begin"/>
            </w:r>
            <w:r>
              <w:rPr>
                <w:noProof/>
                <w:webHidden/>
              </w:rPr>
              <w:instrText xml:space="preserve"> PAGEREF _Toc4571186 \h </w:instrText>
            </w:r>
            <w:r>
              <w:rPr>
                <w:noProof/>
                <w:webHidden/>
              </w:rPr>
            </w:r>
            <w:r>
              <w:rPr>
                <w:noProof/>
                <w:webHidden/>
              </w:rPr>
              <w:fldChar w:fldCharType="separate"/>
            </w:r>
            <w:r>
              <w:rPr>
                <w:noProof/>
                <w:webHidden/>
              </w:rPr>
              <w:t>17</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87" w:history="1">
            <w:r w:rsidRPr="005E0045">
              <w:rPr>
                <w:rStyle w:val="Hyperlink"/>
                <w:noProof/>
              </w:rPr>
              <w:t>3.3.</w:t>
            </w:r>
            <w:r>
              <w:rPr>
                <w:rFonts w:asciiTheme="minorHAnsi" w:eastAsiaTheme="minorEastAsia" w:hAnsiTheme="minorHAnsi" w:cstheme="minorBidi"/>
                <w:noProof/>
                <w:lang w:eastAsia="en-AU"/>
              </w:rPr>
              <w:tab/>
            </w:r>
            <w:r w:rsidRPr="005E0045">
              <w:rPr>
                <w:rStyle w:val="Hyperlink"/>
                <w:noProof/>
              </w:rPr>
              <w:t>Good clinical practice</w:t>
            </w:r>
            <w:r>
              <w:rPr>
                <w:noProof/>
                <w:webHidden/>
              </w:rPr>
              <w:tab/>
            </w:r>
            <w:r>
              <w:rPr>
                <w:noProof/>
                <w:webHidden/>
              </w:rPr>
              <w:fldChar w:fldCharType="begin"/>
            </w:r>
            <w:r>
              <w:rPr>
                <w:noProof/>
                <w:webHidden/>
              </w:rPr>
              <w:instrText xml:space="preserve"> PAGEREF _Toc4571187 \h </w:instrText>
            </w:r>
            <w:r>
              <w:rPr>
                <w:noProof/>
                <w:webHidden/>
              </w:rPr>
            </w:r>
            <w:r>
              <w:rPr>
                <w:noProof/>
                <w:webHidden/>
              </w:rPr>
              <w:fldChar w:fldCharType="separate"/>
            </w:r>
            <w:r>
              <w:rPr>
                <w:noProof/>
                <w:webHidden/>
              </w:rPr>
              <w:t>17</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88" w:history="1">
            <w:r w:rsidRPr="005E0045">
              <w:rPr>
                <w:rStyle w:val="Hyperlink"/>
                <w:noProof/>
              </w:rPr>
              <w:t>3.4.</w:t>
            </w:r>
            <w:r>
              <w:rPr>
                <w:rFonts w:asciiTheme="minorHAnsi" w:eastAsiaTheme="minorEastAsia" w:hAnsiTheme="minorHAnsi" w:cstheme="minorBidi"/>
                <w:noProof/>
                <w:lang w:eastAsia="en-AU"/>
              </w:rPr>
              <w:tab/>
            </w:r>
            <w:r w:rsidRPr="005E0045">
              <w:rPr>
                <w:rStyle w:val="Hyperlink"/>
                <w:noProof/>
              </w:rPr>
              <w:t>Evaluator’s commentary on the clinical dossier</w:t>
            </w:r>
            <w:r>
              <w:rPr>
                <w:noProof/>
                <w:webHidden/>
              </w:rPr>
              <w:tab/>
            </w:r>
            <w:r>
              <w:rPr>
                <w:noProof/>
                <w:webHidden/>
              </w:rPr>
              <w:fldChar w:fldCharType="begin"/>
            </w:r>
            <w:r>
              <w:rPr>
                <w:noProof/>
                <w:webHidden/>
              </w:rPr>
              <w:instrText xml:space="preserve"> PAGEREF _Toc4571188 \h </w:instrText>
            </w:r>
            <w:r>
              <w:rPr>
                <w:noProof/>
                <w:webHidden/>
              </w:rPr>
            </w:r>
            <w:r>
              <w:rPr>
                <w:noProof/>
                <w:webHidden/>
              </w:rPr>
              <w:fldChar w:fldCharType="separate"/>
            </w:r>
            <w:r>
              <w:rPr>
                <w:noProof/>
                <w:webHidden/>
              </w:rPr>
              <w:t>17</w:t>
            </w:r>
            <w:r>
              <w:rPr>
                <w:noProof/>
                <w:webHidden/>
              </w:rPr>
              <w:fldChar w:fldCharType="end"/>
            </w:r>
          </w:hyperlink>
        </w:p>
        <w:p w:rsidR="00B81389" w:rsidRDefault="00B81389">
          <w:pPr>
            <w:pStyle w:val="TOC2"/>
            <w:tabs>
              <w:tab w:val="left" w:pos="1100"/>
            </w:tabs>
            <w:rPr>
              <w:rFonts w:asciiTheme="minorHAnsi" w:eastAsiaTheme="minorEastAsia" w:hAnsiTheme="minorHAnsi" w:cstheme="minorBidi"/>
              <w:b w:val="0"/>
              <w:noProof/>
              <w:sz w:val="22"/>
              <w:lang w:eastAsia="en-AU"/>
            </w:rPr>
          </w:pPr>
          <w:hyperlink w:anchor="_Toc4571189" w:history="1">
            <w:r w:rsidRPr="005E0045">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sz w:val="22"/>
                <w:lang w:eastAsia="en-AU"/>
              </w:rPr>
              <w:tab/>
            </w:r>
            <w:r w:rsidRPr="005E0045">
              <w:rPr>
                <w:rStyle w:val="Hyperlink"/>
                <w:noProof/>
              </w:rPr>
              <w:t>Pharmacokinetics</w:t>
            </w:r>
            <w:r>
              <w:rPr>
                <w:noProof/>
                <w:webHidden/>
              </w:rPr>
              <w:tab/>
            </w:r>
            <w:r>
              <w:rPr>
                <w:noProof/>
                <w:webHidden/>
              </w:rPr>
              <w:fldChar w:fldCharType="begin"/>
            </w:r>
            <w:r>
              <w:rPr>
                <w:noProof/>
                <w:webHidden/>
              </w:rPr>
              <w:instrText xml:space="preserve"> PAGEREF _Toc4571189 \h </w:instrText>
            </w:r>
            <w:r>
              <w:rPr>
                <w:noProof/>
                <w:webHidden/>
              </w:rPr>
            </w:r>
            <w:r>
              <w:rPr>
                <w:noProof/>
                <w:webHidden/>
              </w:rPr>
              <w:fldChar w:fldCharType="separate"/>
            </w:r>
            <w:r>
              <w:rPr>
                <w:noProof/>
                <w:webHidden/>
              </w:rPr>
              <w:t>17</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90" w:history="1">
            <w:r w:rsidRPr="005E0045">
              <w:rPr>
                <w:rStyle w:val="Hyperlink"/>
                <w:noProof/>
              </w:rPr>
              <w:t>4.1.</w:t>
            </w:r>
            <w:r>
              <w:rPr>
                <w:rFonts w:asciiTheme="minorHAnsi" w:eastAsiaTheme="minorEastAsia" w:hAnsiTheme="minorHAnsi" w:cstheme="minorBidi"/>
                <w:noProof/>
                <w:lang w:eastAsia="en-AU"/>
              </w:rPr>
              <w:tab/>
            </w:r>
            <w:r w:rsidRPr="005E0045">
              <w:rPr>
                <w:rStyle w:val="Hyperlink"/>
                <w:noProof/>
              </w:rPr>
              <w:t>Studies providing pharmacokinetic information</w:t>
            </w:r>
            <w:r>
              <w:rPr>
                <w:noProof/>
                <w:webHidden/>
              </w:rPr>
              <w:tab/>
            </w:r>
            <w:r>
              <w:rPr>
                <w:noProof/>
                <w:webHidden/>
              </w:rPr>
              <w:fldChar w:fldCharType="begin"/>
            </w:r>
            <w:r>
              <w:rPr>
                <w:noProof/>
                <w:webHidden/>
              </w:rPr>
              <w:instrText xml:space="preserve"> PAGEREF _Toc4571190 \h </w:instrText>
            </w:r>
            <w:r>
              <w:rPr>
                <w:noProof/>
                <w:webHidden/>
              </w:rPr>
            </w:r>
            <w:r>
              <w:rPr>
                <w:noProof/>
                <w:webHidden/>
              </w:rPr>
              <w:fldChar w:fldCharType="separate"/>
            </w:r>
            <w:r>
              <w:rPr>
                <w:noProof/>
                <w:webHidden/>
              </w:rPr>
              <w:t>17</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91" w:history="1">
            <w:r w:rsidRPr="005E0045">
              <w:rPr>
                <w:rStyle w:val="Hyperlink"/>
                <w:noProof/>
              </w:rPr>
              <w:t>4.2.</w:t>
            </w:r>
            <w:r>
              <w:rPr>
                <w:rFonts w:asciiTheme="minorHAnsi" w:eastAsiaTheme="minorEastAsia" w:hAnsiTheme="minorHAnsi" w:cstheme="minorBidi"/>
                <w:noProof/>
                <w:lang w:eastAsia="en-AU"/>
              </w:rPr>
              <w:tab/>
            </w:r>
            <w:r w:rsidRPr="005E0045">
              <w:rPr>
                <w:rStyle w:val="Hyperlink"/>
                <w:noProof/>
              </w:rPr>
              <w:t>Summary of pharmacokinetics</w:t>
            </w:r>
            <w:r>
              <w:rPr>
                <w:noProof/>
                <w:webHidden/>
              </w:rPr>
              <w:tab/>
            </w:r>
            <w:r>
              <w:rPr>
                <w:noProof/>
                <w:webHidden/>
              </w:rPr>
              <w:fldChar w:fldCharType="begin"/>
            </w:r>
            <w:r>
              <w:rPr>
                <w:noProof/>
                <w:webHidden/>
              </w:rPr>
              <w:instrText xml:space="preserve"> PAGEREF _Toc4571191 \h </w:instrText>
            </w:r>
            <w:r>
              <w:rPr>
                <w:noProof/>
                <w:webHidden/>
              </w:rPr>
            </w:r>
            <w:r>
              <w:rPr>
                <w:noProof/>
                <w:webHidden/>
              </w:rPr>
              <w:fldChar w:fldCharType="separate"/>
            </w:r>
            <w:r>
              <w:rPr>
                <w:noProof/>
                <w:webHidden/>
              </w:rPr>
              <w:t>18</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92" w:history="1">
            <w:r w:rsidRPr="005E0045">
              <w:rPr>
                <w:rStyle w:val="Hyperlink"/>
                <w:noProof/>
              </w:rPr>
              <w:t>4.3.</w:t>
            </w:r>
            <w:r>
              <w:rPr>
                <w:rFonts w:asciiTheme="minorHAnsi" w:eastAsiaTheme="minorEastAsia" w:hAnsiTheme="minorHAnsi" w:cstheme="minorBidi"/>
                <w:noProof/>
                <w:lang w:eastAsia="en-AU"/>
              </w:rPr>
              <w:tab/>
            </w:r>
            <w:r w:rsidRPr="005E0045">
              <w:rPr>
                <w:rStyle w:val="Hyperlink"/>
                <w:noProof/>
              </w:rPr>
              <w:t>Evaluator’s overall conclusions on pharmacokinetics</w:t>
            </w:r>
            <w:r>
              <w:rPr>
                <w:noProof/>
                <w:webHidden/>
              </w:rPr>
              <w:tab/>
            </w:r>
            <w:r>
              <w:rPr>
                <w:noProof/>
                <w:webHidden/>
              </w:rPr>
              <w:fldChar w:fldCharType="begin"/>
            </w:r>
            <w:r>
              <w:rPr>
                <w:noProof/>
                <w:webHidden/>
              </w:rPr>
              <w:instrText xml:space="preserve"> PAGEREF _Toc4571192 \h </w:instrText>
            </w:r>
            <w:r>
              <w:rPr>
                <w:noProof/>
                <w:webHidden/>
              </w:rPr>
            </w:r>
            <w:r>
              <w:rPr>
                <w:noProof/>
                <w:webHidden/>
              </w:rPr>
              <w:fldChar w:fldCharType="separate"/>
            </w:r>
            <w:r>
              <w:rPr>
                <w:noProof/>
                <w:webHidden/>
              </w:rPr>
              <w:t>23</w:t>
            </w:r>
            <w:r>
              <w:rPr>
                <w:noProof/>
                <w:webHidden/>
              </w:rPr>
              <w:fldChar w:fldCharType="end"/>
            </w:r>
          </w:hyperlink>
        </w:p>
        <w:p w:rsidR="00B81389" w:rsidRDefault="00B81389">
          <w:pPr>
            <w:pStyle w:val="TOC2"/>
            <w:tabs>
              <w:tab w:val="left" w:pos="1100"/>
            </w:tabs>
            <w:rPr>
              <w:rFonts w:asciiTheme="minorHAnsi" w:eastAsiaTheme="minorEastAsia" w:hAnsiTheme="minorHAnsi" w:cstheme="minorBidi"/>
              <w:b w:val="0"/>
              <w:noProof/>
              <w:sz w:val="22"/>
              <w:lang w:eastAsia="en-AU"/>
            </w:rPr>
          </w:pPr>
          <w:hyperlink w:anchor="_Toc4571193" w:history="1">
            <w:r w:rsidRPr="005E0045">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sz w:val="22"/>
                <w:lang w:eastAsia="en-AU"/>
              </w:rPr>
              <w:tab/>
            </w:r>
            <w:r w:rsidRPr="005E0045">
              <w:rPr>
                <w:rStyle w:val="Hyperlink"/>
                <w:noProof/>
              </w:rPr>
              <w:t>Pharmacodynamics</w:t>
            </w:r>
            <w:r>
              <w:rPr>
                <w:noProof/>
                <w:webHidden/>
              </w:rPr>
              <w:tab/>
            </w:r>
            <w:r>
              <w:rPr>
                <w:noProof/>
                <w:webHidden/>
              </w:rPr>
              <w:fldChar w:fldCharType="begin"/>
            </w:r>
            <w:r>
              <w:rPr>
                <w:noProof/>
                <w:webHidden/>
              </w:rPr>
              <w:instrText xml:space="preserve"> PAGEREF _Toc4571193 \h </w:instrText>
            </w:r>
            <w:r>
              <w:rPr>
                <w:noProof/>
                <w:webHidden/>
              </w:rPr>
            </w:r>
            <w:r>
              <w:rPr>
                <w:noProof/>
                <w:webHidden/>
              </w:rPr>
              <w:fldChar w:fldCharType="separate"/>
            </w:r>
            <w:r>
              <w:rPr>
                <w:noProof/>
                <w:webHidden/>
              </w:rPr>
              <w:t>24</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94" w:history="1">
            <w:r w:rsidRPr="005E0045">
              <w:rPr>
                <w:rStyle w:val="Hyperlink"/>
                <w:noProof/>
              </w:rPr>
              <w:t>5.1.</w:t>
            </w:r>
            <w:r>
              <w:rPr>
                <w:rFonts w:asciiTheme="minorHAnsi" w:eastAsiaTheme="minorEastAsia" w:hAnsiTheme="minorHAnsi" w:cstheme="minorBidi"/>
                <w:noProof/>
                <w:lang w:eastAsia="en-AU"/>
              </w:rPr>
              <w:tab/>
            </w:r>
            <w:r w:rsidRPr="005E0045">
              <w:rPr>
                <w:rStyle w:val="Hyperlink"/>
                <w:noProof/>
              </w:rPr>
              <w:t>Studies providing pharmacodynamic information</w:t>
            </w:r>
            <w:r>
              <w:rPr>
                <w:noProof/>
                <w:webHidden/>
              </w:rPr>
              <w:tab/>
            </w:r>
            <w:r>
              <w:rPr>
                <w:noProof/>
                <w:webHidden/>
              </w:rPr>
              <w:fldChar w:fldCharType="begin"/>
            </w:r>
            <w:r>
              <w:rPr>
                <w:noProof/>
                <w:webHidden/>
              </w:rPr>
              <w:instrText xml:space="preserve"> PAGEREF _Toc4571194 \h </w:instrText>
            </w:r>
            <w:r>
              <w:rPr>
                <w:noProof/>
                <w:webHidden/>
              </w:rPr>
            </w:r>
            <w:r>
              <w:rPr>
                <w:noProof/>
                <w:webHidden/>
              </w:rPr>
              <w:fldChar w:fldCharType="separate"/>
            </w:r>
            <w:r>
              <w:rPr>
                <w:noProof/>
                <w:webHidden/>
              </w:rPr>
              <w:t>24</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95" w:history="1">
            <w:r w:rsidRPr="005E0045">
              <w:rPr>
                <w:rStyle w:val="Hyperlink"/>
                <w:noProof/>
              </w:rPr>
              <w:t>5.2.</w:t>
            </w:r>
            <w:r>
              <w:rPr>
                <w:rFonts w:asciiTheme="minorHAnsi" w:eastAsiaTheme="minorEastAsia" w:hAnsiTheme="minorHAnsi" w:cstheme="minorBidi"/>
                <w:noProof/>
                <w:lang w:eastAsia="en-AU"/>
              </w:rPr>
              <w:tab/>
            </w:r>
            <w:r w:rsidRPr="005E0045">
              <w:rPr>
                <w:rStyle w:val="Hyperlink"/>
                <w:noProof/>
              </w:rPr>
              <w:t>Summary of pharmacodynamics</w:t>
            </w:r>
            <w:r>
              <w:rPr>
                <w:noProof/>
                <w:webHidden/>
              </w:rPr>
              <w:tab/>
            </w:r>
            <w:r>
              <w:rPr>
                <w:noProof/>
                <w:webHidden/>
              </w:rPr>
              <w:fldChar w:fldCharType="begin"/>
            </w:r>
            <w:r>
              <w:rPr>
                <w:noProof/>
                <w:webHidden/>
              </w:rPr>
              <w:instrText xml:space="preserve"> PAGEREF _Toc4571195 \h </w:instrText>
            </w:r>
            <w:r>
              <w:rPr>
                <w:noProof/>
                <w:webHidden/>
              </w:rPr>
            </w:r>
            <w:r>
              <w:rPr>
                <w:noProof/>
                <w:webHidden/>
              </w:rPr>
              <w:fldChar w:fldCharType="separate"/>
            </w:r>
            <w:r>
              <w:rPr>
                <w:noProof/>
                <w:webHidden/>
              </w:rPr>
              <w:t>24</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96" w:history="1">
            <w:r w:rsidRPr="005E0045">
              <w:rPr>
                <w:rStyle w:val="Hyperlink"/>
                <w:noProof/>
              </w:rPr>
              <w:t>5.3.</w:t>
            </w:r>
            <w:r>
              <w:rPr>
                <w:rFonts w:asciiTheme="minorHAnsi" w:eastAsiaTheme="minorEastAsia" w:hAnsiTheme="minorHAnsi" w:cstheme="minorBidi"/>
                <w:noProof/>
                <w:lang w:eastAsia="en-AU"/>
              </w:rPr>
              <w:tab/>
            </w:r>
            <w:r w:rsidRPr="005E0045">
              <w:rPr>
                <w:rStyle w:val="Hyperlink"/>
                <w:noProof/>
              </w:rPr>
              <w:t>Pharmacodynamic effects</w:t>
            </w:r>
            <w:r>
              <w:rPr>
                <w:noProof/>
                <w:webHidden/>
              </w:rPr>
              <w:tab/>
            </w:r>
            <w:r>
              <w:rPr>
                <w:noProof/>
                <w:webHidden/>
              </w:rPr>
              <w:fldChar w:fldCharType="begin"/>
            </w:r>
            <w:r>
              <w:rPr>
                <w:noProof/>
                <w:webHidden/>
              </w:rPr>
              <w:instrText xml:space="preserve"> PAGEREF _Toc4571196 \h </w:instrText>
            </w:r>
            <w:r>
              <w:rPr>
                <w:noProof/>
                <w:webHidden/>
              </w:rPr>
            </w:r>
            <w:r>
              <w:rPr>
                <w:noProof/>
                <w:webHidden/>
              </w:rPr>
              <w:fldChar w:fldCharType="separate"/>
            </w:r>
            <w:r>
              <w:rPr>
                <w:noProof/>
                <w:webHidden/>
              </w:rPr>
              <w:t>25</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97" w:history="1">
            <w:r w:rsidRPr="005E0045">
              <w:rPr>
                <w:rStyle w:val="Hyperlink"/>
                <w:noProof/>
              </w:rPr>
              <w:t>5.4.</w:t>
            </w:r>
            <w:r>
              <w:rPr>
                <w:rFonts w:asciiTheme="minorHAnsi" w:eastAsiaTheme="minorEastAsia" w:hAnsiTheme="minorHAnsi" w:cstheme="minorBidi"/>
                <w:noProof/>
                <w:lang w:eastAsia="en-AU"/>
              </w:rPr>
              <w:tab/>
            </w:r>
            <w:r w:rsidRPr="005E0045">
              <w:rPr>
                <w:rStyle w:val="Hyperlink"/>
                <w:noProof/>
              </w:rPr>
              <w:t>Evaluator’s overall conclusions on pharmacodynamics</w:t>
            </w:r>
            <w:r>
              <w:rPr>
                <w:noProof/>
                <w:webHidden/>
              </w:rPr>
              <w:tab/>
            </w:r>
            <w:r>
              <w:rPr>
                <w:noProof/>
                <w:webHidden/>
              </w:rPr>
              <w:fldChar w:fldCharType="begin"/>
            </w:r>
            <w:r>
              <w:rPr>
                <w:noProof/>
                <w:webHidden/>
              </w:rPr>
              <w:instrText xml:space="preserve"> PAGEREF _Toc4571197 \h </w:instrText>
            </w:r>
            <w:r>
              <w:rPr>
                <w:noProof/>
                <w:webHidden/>
              </w:rPr>
            </w:r>
            <w:r>
              <w:rPr>
                <w:noProof/>
                <w:webHidden/>
              </w:rPr>
              <w:fldChar w:fldCharType="separate"/>
            </w:r>
            <w:r>
              <w:rPr>
                <w:noProof/>
                <w:webHidden/>
              </w:rPr>
              <w:t>26</w:t>
            </w:r>
            <w:r>
              <w:rPr>
                <w:noProof/>
                <w:webHidden/>
              </w:rPr>
              <w:fldChar w:fldCharType="end"/>
            </w:r>
          </w:hyperlink>
        </w:p>
        <w:p w:rsidR="00B81389" w:rsidRDefault="00B81389">
          <w:pPr>
            <w:pStyle w:val="TOC2"/>
            <w:tabs>
              <w:tab w:val="left" w:pos="1100"/>
            </w:tabs>
            <w:rPr>
              <w:rFonts w:asciiTheme="minorHAnsi" w:eastAsiaTheme="minorEastAsia" w:hAnsiTheme="minorHAnsi" w:cstheme="minorBidi"/>
              <w:b w:val="0"/>
              <w:noProof/>
              <w:sz w:val="22"/>
              <w:lang w:eastAsia="en-AU"/>
            </w:rPr>
          </w:pPr>
          <w:hyperlink w:anchor="_Toc4571198" w:history="1">
            <w:r w:rsidRPr="005E0045">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sz w:val="22"/>
                <w:lang w:eastAsia="en-AU"/>
              </w:rPr>
              <w:tab/>
            </w:r>
            <w:r w:rsidRPr="005E0045">
              <w:rPr>
                <w:rStyle w:val="Hyperlink"/>
                <w:noProof/>
              </w:rPr>
              <w:t>Dosage selection for the pivotal studies</w:t>
            </w:r>
            <w:r>
              <w:rPr>
                <w:noProof/>
                <w:webHidden/>
              </w:rPr>
              <w:tab/>
            </w:r>
            <w:r>
              <w:rPr>
                <w:noProof/>
                <w:webHidden/>
              </w:rPr>
              <w:fldChar w:fldCharType="begin"/>
            </w:r>
            <w:r>
              <w:rPr>
                <w:noProof/>
                <w:webHidden/>
              </w:rPr>
              <w:instrText xml:space="preserve"> PAGEREF _Toc4571198 \h </w:instrText>
            </w:r>
            <w:r>
              <w:rPr>
                <w:noProof/>
                <w:webHidden/>
              </w:rPr>
            </w:r>
            <w:r>
              <w:rPr>
                <w:noProof/>
                <w:webHidden/>
              </w:rPr>
              <w:fldChar w:fldCharType="separate"/>
            </w:r>
            <w:r>
              <w:rPr>
                <w:noProof/>
                <w:webHidden/>
              </w:rPr>
              <w:t>26</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199" w:history="1">
            <w:r w:rsidRPr="005E0045">
              <w:rPr>
                <w:rStyle w:val="Hyperlink"/>
                <w:noProof/>
              </w:rPr>
              <w:t>6.1.</w:t>
            </w:r>
            <w:r>
              <w:rPr>
                <w:rFonts w:asciiTheme="minorHAnsi" w:eastAsiaTheme="minorEastAsia" w:hAnsiTheme="minorHAnsi" w:cstheme="minorBidi"/>
                <w:noProof/>
                <w:lang w:eastAsia="en-AU"/>
              </w:rPr>
              <w:tab/>
            </w:r>
            <w:r w:rsidRPr="005E0045">
              <w:rPr>
                <w:rStyle w:val="Hyperlink"/>
                <w:noProof/>
              </w:rPr>
              <w:t>Pharmacokinetic and pharmacodynamic dose finding studies</w:t>
            </w:r>
            <w:r>
              <w:rPr>
                <w:noProof/>
                <w:webHidden/>
              </w:rPr>
              <w:tab/>
            </w:r>
            <w:r>
              <w:rPr>
                <w:noProof/>
                <w:webHidden/>
              </w:rPr>
              <w:fldChar w:fldCharType="begin"/>
            </w:r>
            <w:r>
              <w:rPr>
                <w:noProof/>
                <w:webHidden/>
              </w:rPr>
              <w:instrText xml:space="preserve"> PAGEREF _Toc4571199 \h </w:instrText>
            </w:r>
            <w:r>
              <w:rPr>
                <w:noProof/>
                <w:webHidden/>
              </w:rPr>
            </w:r>
            <w:r>
              <w:rPr>
                <w:noProof/>
                <w:webHidden/>
              </w:rPr>
              <w:fldChar w:fldCharType="separate"/>
            </w:r>
            <w:r>
              <w:rPr>
                <w:noProof/>
                <w:webHidden/>
              </w:rPr>
              <w:t>26</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00" w:history="1">
            <w:r w:rsidRPr="005E0045">
              <w:rPr>
                <w:rStyle w:val="Hyperlink"/>
                <w:noProof/>
              </w:rPr>
              <w:t>6.2.</w:t>
            </w:r>
            <w:r>
              <w:rPr>
                <w:rFonts w:asciiTheme="minorHAnsi" w:eastAsiaTheme="minorEastAsia" w:hAnsiTheme="minorHAnsi" w:cstheme="minorBidi"/>
                <w:noProof/>
                <w:lang w:eastAsia="en-AU"/>
              </w:rPr>
              <w:tab/>
            </w:r>
            <w:r w:rsidRPr="005E0045">
              <w:rPr>
                <w:rStyle w:val="Hyperlink"/>
                <w:noProof/>
              </w:rPr>
              <w:t>Phase II dose finding studies</w:t>
            </w:r>
            <w:r>
              <w:rPr>
                <w:noProof/>
                <w:webHidden/>
              </w:rPr>
              <w:tab/>
            </w:r>
            <w:r>
              <w:rPr>
                <w:noProof/>
                <w:webHidden/>
              </w:rPr>
              <w:fldChar w:fldCharType="begin"/>
            </w:r>
            <w:r>
              <w:rPr>
                <w:noProof/>
                <w:webHidden/>
              </w:rPr>
              <w:instrText xml:space="preserve"> PAGEREF _Toc4571200 \h </w:instrText>
            </w:r>
            <w:r>
              <w:rPr>
                <w:noProof/>
                <w:webHidden/>
              </w:rPr>
            </w:r>
            <w:r>
              <w:rPr>
                <w:noProof/>
                <w:webHidden/>
              </w:rPr>
              <w:fldChar w:fldCharType="separate"/>
            </w:r>
            <w:r>
              <w:rPr>
                <w:noProof/>
                <w:webHidden/>
              </w:rPr>
              <w:t>26</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01" w:history="1">
            <w:r w:rsidRPr="005E0045">
              <w:rPr>
                <w:rStyle w:val="Hyperlink"/>
                <w:noProof/>
              </w:rPr>
              <w:t>6.3.</w:t>
            </w:r>
            <w:r>
              <w:rPr>
                <w:rFonts w:asciiTheme="minorHAnsi" w:eastAsiaTheme="minorEastAsia" w:hAnsiTheme="minorHAnsi" w:cstheme="minorBidi"/>
                <w:noProof/>
                <w:lang w:eastAsia="en-AU"/>
              </w:rPr>
              <w:tab/>
            </w:r>
            <w:r w:rsidRPr="005E0045">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_Toc4571201 \h </w:instrText>
            </w:r>
            <w:r>
              <w:rPr>
                <w:noProof/>
                <w:webHidden/>
              </w:rPr>
            </w:r>
            <w:r>
              <w:rPr>
                <w:noProof/>
                <w:webHidden/>
              </w:rPr>
              <w:fldChar w:fldCharType="separate"/>
            </w:r>
            <w:r>
              <w:rPr>
                <w:noProof/>
                <w:webHidden/>
              </w:rPr>
              <w:t>27</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02" w:history="1">
            <w:r w:rsidRPr="005E0045">
              <w:rPr>
                <w:rStyle w:val="Hyperlink"/>
                <w:noProof/>
              </w:rPr>
              <w:t>6.4.</w:t>
            </w:r>
            <w:r>
              <w:rPr>
                <w:rFonts w:asciiTheme="minorHAnsi" w:eastAsiaTheme="minorEastAsia" w:hAnsiTheme="minorHAnsi" w:cstheme="minorBidi"/>
                <w:noProof/>
                <w:lang w:eastAsia="en-AU"/>
              </w:rPr>
              <w:tab/>
            </w:r>
            <w:r w:rsidRPr="005E0045">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_Toc4571202 \h </w:instrText>
            </w:r>
            <w:r>
              <w:rPr>
                <w:noProof/>
                <w:webHidden/>
              </w:rPr>
            </w:r>
            <w:r>
              <w:rPr>
                <w:noProof/>
                <w:webHidden/>
              </w:rPr>
              <w:fldChar w:fldCharType="separate"/>
            </w:r>
            <w:r>
              <w:rPr>
                <w:noProof/>
                <w:webHidden/>
              </w:rPr>
              <w:t>27</w:t>
            </w:r>
            <w:r>
              <w:rPr>
                <w:noProof/>
                <w:webHidden/>
              </w:rPr>
              <w:fldChar w:fldCharType="end"/>
            </w:r>
          </w:hyperlink>
        </w:p>
        <w:p w:rsidR="00B81389" w:rsidRDefault="00B81389">
          <w:pPr>
            <w:pStyle w:val="TOC2"/>
            <w:tabs>
              <w:tab w:val="left" w:pos="1100"/>
            </w:tabs>
            <w:rPr>
              <w:rFonts w:asciiTheme="minorHAnsi" w:eastAsiaTheme="minorEastAsia" w:hAnsiTheme="minorHAnsi" w:cstheme="minorBidi"/>
              <w:b w:val="0"/>
              <w:noProof/>
              <w:sz w:val="22"/>
              <w:lang w:eastAsia="en-AU"/>
            </w:rPr>
          </w:pPr>
          <w:hyperlink w:anchor="_Toc4571203" w:history="1">
            <w:r w:rsidRPr="005E0045">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sz w:val="22"/>
                <w:lang w:eastAsia="en-AU"/>
              </w:rPr>
              <w:tab/>
            </w:r>
            <w:r w:rsidRPr="005E0045">
              <w:rPr>
                <w:rStyle w:val="Hyperlink"/>
                <w:noProof/>
              </w:rPr>
              <w:t>Clinical efficacy</w:t>
            </w:r>
            <w:r>
              <w:rPr>
                <w:noProof/>
                <w:webHidden/>
              </w:rPr>
              <w:tab/>
            </w:r>
            <w:r>
              <w:rPr>
                <w:noProof/>
                <w:webHidden/>
              </w:rPr>
              <w:fldChar w:fldCharType="begin"/>
            </w:r>
            <w:r>
              <w:rPr>
                <w:noProof/>
                <w:webHidden/>
              </w:rPr>
              <w:instrText xml:space="preserve"> PAGEREF _Toc4571203 \h </w:instrText>
            </w:r>
            <w:r>
              <w:rPr>
                <w:noProof/>
                <w:webHidden/>
              </w:rPr>
            </w:r>
            <w:r>
              <w:rPr>
                <w:noProof/>
                <w:webHidden/>
              </w:rPr>
              <w:fldChar w:fldCharType="separate"/>
            </w:r>
            <w:r>
              <w:rPr>
                <w:noProof/>
                <w:webHidden/>
              </w:rPr>
              <w:t>27</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04" w:history="1">
            <w:r w:rsidRPr="005E0045">
              <w:rPr>
                <w:rStyle w:val="Hyperlink"/>
                <w:noProof/>
              </w:rPr>
              <w:t>7.1.</w:t>
            </w:r>
            <w:r>
              <w:rPr>
                <w:rFonts w:asciiTheme="minorHAnsi" w:eastAsiaTheme="minorEastAsia" w:hAnsiTheme="minorHAnsi" w:cstheme="minorBidi"/>
                <w:noProof/>
                <w:lang w:eastAsia="en-AU"/>
              </w:rPr>
              <w:tab/>
            </w:r>
            <w:r w:rsidRPr="005E0045">
              <w:rPr>
                <w:rStyle w:val="Hyperlink"/>
                <w:noProof/>
              </w:rPr>
              <w:t>Studies providing evaluable efficacy data</w:t>
            </w:r>
            <w:r>
              <w:rPr>
                <w:noProof/>
                <w:webHidden/>
              </w:rPr>
              <w:tab/>
            </w:r>
            <w:r>
              <w:rPr>
                <w:noProof/>
                <w:webHidden/>
              </w:rPr>
              <w:fldChar w:fldCharType="begin"/>
            </w:r>
            <w:r>
              <w:rPr>
                <w:noProof/>
                <w:webHidden/>
              </w:rPr>
              <w:instrText xml:space="preserve"> PAGEREF _Toc4571204 \h </w:instrText>
            </w:r>
            <w:r>
              <w:rPr>
                <w:noProof/>
                <w:webHidden/>
              </w:rPr>
            </w:r>
            <w:r>
              <w:rPr>
                <w:noProof/>
                <w:webHidden/>
              </w:rPr>
              <w:fldChar w:fldCharType="separate"/>
            </w:r>
            <w:r>
              <w:rPr>
                <w:noProof/>
                <w:webHidden/>
              </w:rPr>
              <w:t>27</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05" w:history="1">
            <w:r w:rsidRPr="005E0045">
              <w:rPr>
                <w:rStyle w:val="Hyperlink"/>
                <w:noProof/>
              </w:rPr>
              <w:t>7.2.</w:t>
            </w:r>
            <w:r>
              <w:rPr>
                <w:rFonts w:asciiTheme="minorHAnsi" w:eastAsiaTheme="minorEastAsia" w:hAnsiTheme="minorHAnsi" w:cstheme="minorBidi"/>
                <w:noProof/>
                <w:lang w:eastAsia="en-AU"/>
              </w:rPr>
              <w:tab/>
            </w:r>
            <w:r w:rsidRPr="005E0045">
              <w:rPr>
                <w:rStyle w:val="Hyperlink"/>
                <w:noProof/>
              </w:rPr>
              <w:t>Pivotal or main efficacy studies</w:t>
            </w:r>
            <w:r>
              <w:rPr>
                <w:noProof/>
                <w:webHidden/>
              </w:rPr>
              <w:tab/>
            </w:r>
            <w:r>
              <w:rPr>
                <w:noProof/>
                <w:webHidden/>
              </w:rPr>
              <w:fldChar w:fldCharType="begin"/>
            </w:r>
            <w:r>
              <w:rPr>
                <w:noProof/>
                <w:webHidden/>
              </w:rPr>
              <w:instrText xml:space="preserve"> PAGEREF _Toc4571205 \h </w:instrText>
            </w:r>
            <w:r>
              <w:rPr>
                <w:noProof/>
                <w:webHidden/>
              </w:rPr>
            </w:r>
            <w:r>
              <w:rPr>
                <w:noProof/>
                <w:webHidden/>
              </w:rPr>
              <w:fldChar w:fldCharType="separate"/>
            </w:r>
            <w:r>
              <w:rPr>
                <w:noProof/>
                <w:webHidden/>
              </w:rPr>
              <w:t>28</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06" w:history="1">
            <w:r w:rsidRPr="005E0045">
              <w:rPr>
                <w:rStyle w:val="Hyperlink"/>
                <w:noProof/>
              </w:rPr>
              <w:t>7.3.</w:t>
            </w:r>
            <w:r>
              <w:rPr>
                <w:rFonts w:asciiTheme="minorHAnsi" w:eastAsiaTheme="minorEastAsia" w:hAnsiTheme="minorHAnsi" w:cstheme="minorBidi"/>
                <w:noProof/>
                <w:lang w:eastAsia="en-AU"/>
              </w:rPr>
              <w:tab/>
            </w:r>
            <w:r w:rsidRPr="005E0045">
              <w:rPr>
                <w:rStyle w:val="Hyperlink"/>
                <w:noProof/>
              </w:rPr>
              <w:t>Other efficacy studies</w:t>
            </w:r>
            <w:r>
              <w:rPr>
                <w:noProof/>
                <w:webHidden/>
              </w:rPr>
              <w:tab/>
            </w:r>
            <w:r>
              <w:rPr>
                <w:noProof/>
                <w:webHidden/>
              </w:rPr>
              <w:fldChar w:fldCharType="begin"/>
            </w:r>
            <w:r>
              <w:rPr>
                <w:noProof/>
                <w:webHidden/>
              </w:rPr>
              <w:instrText xml:space="preserve"> PAGEREF _Toc4571206 \h </w:instrText>
            </w:r>
            <w:r>
              <w:rPr>
                <w:noProof/>
                <w:webHidden/>
              </w:rPr>
            </w:r>
            <w:r>
              <w:rPr>
                <w:noProof/>
                <w:webHidden/>
              </w:rPr>
              <w:fldChar w:fldCharType="separate"/>
            </w:r>
            <w:r>
              <w:rPr>
                <w:noProof/>
                <w:webHidden/>
              </w:rPr>
              <w:t>35</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07" w:history="1">
            <w:r w:rsidRPr="005E0045">
              <w:rPr>
                <w:rStyle w:val="Hyperlink"/>
                <w:noProof/>
              </w:rPr>
              <w:t>7.4.</w:t>
            </w:r>
            <w:r>
              <w:rPr>
                <w:rFonts w:asciiTheme="minorHAnsi" w:eastAsiaTheme="minorEastAsia" w:hAnsiTheme="minorHAnsi" w:cstheme="minorBidi"/>
                <w:noProof/>
                <w:lang w:eastAsia="en-AU"/>
              </w:rPr>
              <w:tab/>
            </w:r>
            <w:r w:rsidRPr="005E0045">
              <w:rPr>
                <w:rStyle w:val="Hyperlink"/>
                <w:noProof/>
              </w:rPr>
              <w:t>Analyses performed across trials: pooled and meta-analyses</w:t>
            </w:r>
            <w:r>
              <w:rPr>
                <w:noProof/>
                <w:webHidden/>
              </w:rPr>
              <w:tab/>
            </w:r>
            <w:r>
              <w:rPr>
                <w:noProof/>
                <w:webHidden/>
              </w:rPr>
              <w:fldChar w:fldCharType="begin"/>
            </w:r>
            <w:r>
              <w:rPr>
                <w:noProof/>
                <w:webHidden/>
              </w:rPr>
              <w:instrText xml:space="preserve"> PAGEREF _Toc4571207 \h </w:instrText>
            </w:r>
            <w:r>
              <w:rPr>
                <w:noProof/>
                <w:webHidden/>
              </w:rPr>
            </w:r>
            <w:r>
              <w:rPr>
                <w:noProof/>
                <w:webHidden/>
              </w:rPr>
              <w:fldChar w:fldCharType="separate"/>
            </w:r>
            <w:r>
              <w:rPr>
                <w:noProof/>
                <w:webHidden/>
              </w:rPr>
              <w:t>35</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08" w:history="1">
            <w:r w:rsidRPr="005E0045">
              <w:rPr>
                <w:rStyle w:val="Hyperlink"/>
                <w:noProof/>
              </w:rPr>
              <w:t>7.5.</w:t>
            </w:r>
            <w:r>
              <w:rPr>
                <w:rFonts w:asciiTheme="minorHAnsi" w:eastAsiaTheme="minorEastAsia" w:hAnsiTheme="minorHAnsi" w:cstheme="minorBidi"/>
                <w:noProof/>
                <w:lang w:eastAsia="en-AU"/>
              </w:rPr>
              <w:tab/>
            </w:r>
            <w:r w:rsidRPr="005E0045">
              <w:rPr>
                <w:rStyle w:val="Hyperlink"/>
                <w:noProof/>
              </w:rPr>
              <w:t>Evaluator’s conclusions on clinical efficacy</w:t>
            </w:r>
            <w:r>
              <w:rPr>
                <w:noProof/>
                <w:webHidden/>
              </w:rPr>
              <w:tab/>
            </w:r>
            <w:r>
              <w:rPr>
                <w:noProof/>
                <w:webHidden/>
              </w:rPr>
              <w:fldChar w:fldCharType="begin"/>
            </w:r>
            <w:r>
              <w:rPr>
                <w:noProof/>
                <w:webHidden/>
              </w:rPr>
              <w:instrText xml:space="preserve"> PAGEREF _Toc4571208 \h </w:instrText>
            </w:r>
            <w:r>
              <w:rPr>
                <w:noProof/>
                <w:webHidden/>
              </w:rPr>
            </w:r>
            <w:r>
              <w:rPr>
                <w:noProof/>
                <w:webHidden/>
              </w:rPr>
              <w:fldChar w:fldCharType="separate"/>
            </w:r>
            <w:r>
              <w:rPr>
                <w:noProof/>
                <w:webHidden/>
              </w:rPr>
              <w:t>38</w:t>
            </w:r>
            <w:r>
              <w:rPr>
                <w:noProof/>
                <w:webHidden/>
              </w:rPr>
              <w:fldChar w:fldCharType="end"/>
            </w:r>
          </w:hyperlink>
        </w:p>
        <w:p w:rsidR="00B81389" w:rsidRDefault="00B81389">
          <w:pPr>
            <w:pStyle w:val="TOC2"/>
            <w:tabs>
              <w:tab w:val="left" w:pos="1100"/>
            </w:tabs>
            <w:rPr>
              <w:rFonts w:asciiTheme="minorHAnsi" w:eastAsiaTheme="minorEastAsia" w:hAnsiTheme="minorHAnsi" w:cstheme="minorBidi"/>
              <w:b w:val="0"/>
              <w:noProof/>
              <w:sz w:val="22"/>
              <w:lang w:eastAsia="en-AU"/>
            </w:rPr>
          </w:pPr>
          <w:hyperlink w:anchor="_Toc4571209" w:history="1">
            <w:r w:rsidRPr="005E0045">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b w:val="0"/>
                <w:noProof/>
                <w:sz w:val="22"/>
                <w:lang w:eastAsia="en-AU"/>
              </w:rPr>
              <w:tab/>
            </w:r>
            <w:r w:rsidRPr="005E0045">
              <w:rPr>
                <w:rStyle w:val="Hyperlink"/>
                <w:noProof/>
              </w:rPr>
              <w:t>Clinical safety</w:t>
            </w:r>
            <w:r>
              <w:rPr>
                <w:noProof/>
                <w:webHidden/>
              </w:rPr>
              <w:tab/>
            </w:r>
            <w:r>
              <w:rPr>
                <w:noProof/>
                <w:webHidden/>
              </w:rPr>
              <w:fldChar w:fldCharType="begin"/>
            </w:r>
            <w:r>
              <w:rPr>
                <w:noProof/>
                <w:webHidden/>
              </w:rPr>
              <w:instrText xml:space="preserve"> PAGEREF _Toc4571209 \h </w:instrText>
            </w:r>
            <w:r>
              <w:rPr>
                <w:noProof/>
                <w:webHidden/>
              </w:rPr>
            </w:r>
            <w:r>
              <w:rPr>
                <w:noProof/>
                <w:webHidden/>
              </w:rPr>
              <w:fldChar w:fldCharType="separate"/>
            </w:r>
            <w:r>
              <w:rPr>
                <w:noProof/>
                <w:webHidden/>
              </w:rPr>
              <w:t>40</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0" w:history="1">
            <w:r w:rsidRPr="005E0045">
              <w:rPr>
                <w:rStyle w:val="Hyperlink"/>
                <w:noProof/>
              </w:rPr>
              <w:t>8.1.</w:t>
            </w:r>
            <w:r>
              <w:rPr>
                <w:rFonts w:asciiTheme="minorHAnsi" w:eastAsiaTheme="minorEastAsia" w:hAnsiTheme="minorHAnsi" w:cstheme="minorBidi"/>
                <w:noProof/>
                <w:lang w:eastAsia="en-AU"/>
              </w:rPr>
              <w:tab/>
            </w:r>
            <w:r w:rsidRPr="005E0045">
              <w:rPr>
                <w:rStyle w:val="Hyperlink"/>
                <w:noProof/>
              </w:rPr>
              <w:t>Studies providing evaluable safety data</w:t>
            </w:r>
            <w:r>
              <w:rPr>
                <w:noProof/>
                <w:webHidden/>
              </w:rPr>
              <w:tab/>
            </w:r>
            <w:r>
              <w:rPr>
                <w:noProof/>
                <w:webHidden/>
              </w:rPr>
              <w:fldChar w:fldCharType="begin"/>
            </w:r>
            <w:r>
              <w:rPr>
                <w:noProof/>
                <w:webHidden/>
              </w:rPr>
              <w:instrText xml:space="preserve"> PAGEREF _Toc4571210 \h </w:instrText>
            </w:r>
            <w:r>
              <w:rPr>
                <w:noProof/>
                <w:webHidden/>
              </w:rPr>
            </w:r>
            <w:r>
              <w:rPr>
                <w:noProof/>
                <w:webHidden/>
              </w:rPr>
              <w:fldChar w:fldCharType="separate"/>
            </w:r>
            <w:r>
              <w:rPr>
                <w:noProof/>
                <w:webHidden/>
              </w:rPr>
              <w:t>40</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1" w:history="1">
            <w:r w:rsidRPr="005E0045">
              <w:rPr>
                <w:rStyle w:val="Hyperlink"/>
                <w:noProof/>
              </w:rPr>
              <w:t>8.2.</w:t>
            </w:r>
            <w:r>
              <w:rPr>
                <w:rFonts w:asciiTheme="minorHAnsi" w:eastAsiaTheme="minorEastAsia" w:hAnsiTheme="minorHAnsi" w:cstheme="minorBidi"/>
                <w:noProof/>
                <w:lang w:eastAsia="en-AU"/>
              </w:rPr>
              <w:tab/>
            </w:r>
            <w:r w:rsidRPr="005E0045">
              <w:rPr>
                <w:rStyle w:val="Hyperlink"/>
                <w:noProof/>
              </w:rPr>
              <w:t>Patient exposure</w:t>
            </w:r>
            <w:r>
              <w:rPr>
                <w:noProof/>
                <w:webHidden/>
              </w:rPr>
              <w:tab/>
            </w:r>
            <w:r>
              <w:rPr>
                <w:noProof/>
                <w:webHidden/>
              </w:rPr>
              <w:fldChar w:fldCharType="begin"/>
            </w:r>
            <w:r>
              <w:rPr>
                <w:noProof/>
                <w:webHidden/>
              </w:rPr>
              <w:instrText xml:space="preserve"> PAGEREF _Toc4571211 \h </w:instrText>
            </w:r>
            <w:r>
              <w:rPr>
                <w:noProof/>
                <w:webHidden/>
              </w:rPr>
            </w:r>
            <w:r>
              <w:rPr>
                <w:noProof/>
                <w:webHidden/>
              </w:rPr>
              <w:fldChar w:fldCharType="separate"/>
            </w:r>
            <w:r>
              <w:rPr>
                <w:noProof/>
                <w:webHidden/>
              </w:rPr>
              <w:t>41</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2" w:history="1">
            <w:r w:rsidRPr="005E0045">
              <w:rPr>
                <w:rStyle w:val="Hyperlink"/>
                <w:noProof/>
              </w:rPr>
              <w:t>8.3.</w:t>
            </w:r>
            <w:r>
              <w:rPr>
                <w:rFonts w:asciiTheme="minorHAnsi" w:eastAsiaTheme="minorEastAsia" w:hAnsiTheme="minorHAnsi" w:cstheme="minorBidi"/>
                <w:noProof/>
                <w:lang w:eastAsia="en-AU"/>
              </w:rPr>
              <w:tab/>
            </w:r>
            <w:r w:rsidRPr="005E0045">
              <w:rPr>
                <w:rStyle w:val="Hyperlink"/>
                <w:noProof/>
              </w:rPr>
              <w:t>Adverse events</w:t>
            </w:r>
            <w:r>
              <w:rPr>
                <w:noProof/>
                <w:webHidden/>
              </w:rPr>
              <w:tab/>
            </w:r>
            <w:r>
              <w:rPr>
                <w:noProof/>
                <w:webHidden/>
              </w:rPr>
              <w:fldChar w:fldCharType="begin"/>
            </w:r>
            <w:r>
              <w:rPr>
                <w:noProof/>
                <w:webHidden/>
              </w:rPr>
              <w:instrText xml:space="preserve"> PAGEREF _Toc4571212 \h </w:instrText>
            </w:r>
            <w:r>
              <w:rPr>
                <w:noProof/>
                <w:webHidden/>
              </w:rPr>
            </w:r>
            <w:r>
              <w:rPr>
                <w:noProof/>
                <w:webHidden/>
              </w:rPr>
              <w:fldChar w:fldCharType="separate"/>
            </w:r>
            <w:r>
              <w:rPr>
                <w:noProof/>
                <w:webHidden/>
              </w:rPr>
              <w:t>42</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3" w:history="1">
            <w:r w:rsidRPr="005E0045">
              <w:rPr>
                <w:rStyle w:val="Hyperlink"/>
                <w:noProof/>
              </w:rPr>
              <w:t>8.4.</w:t>
            </w:r>
            <w:r>
              <w:rPr>
                <w:rFonts w:asciiTheme="minorHAnsi" w:eastAsiaTheme="minorEastAsia" w:hAnsiTheme="minorHAnsi" w:cstheme="minorBidi"/>
                <w:noProof/>
                <w:lang w:eastAsia="en-AU"/>
              </w:rPr>
              <w:tab/>
            </w:r>
            <w:r w:rsidRPr="005E0045">
              <w:rPr>
                <w:rStyle w:val="Hyperlink"/>
                <w:noProof/>
              </w:rPr>
              <w:t>Evaluation of issues with possible regulatory impact</w:t>
            </w:r>
            <w:r>
              <w:rPr>
                <w:noProof/>
                <w:webHidden/>
              </w:rPr>
              <w:tab/>
            </w:r>
            <w:r>
              <w:rPr>
                <w:noProof/>
                <w:webHidden/>
              </w:rPr>
              <w:fldChar w:fldCharType="begin"/>
            </w:r>
            <w:r>
              <w:rPr>
                <w:noProof/>
                <w:webHidden/>
              </w:rPr>
              <w:instrText xml:space="preserve"> PAGEREF _Toc4571213 \h </w:instrText>
            </w:r>
            <w:r>
              <w:rPr>
                <w:noProof/>
                <w:webHidden/>
              </w:rPr>
            </w:r>
            <w:r>
              <w:rPr>
                <w:noProof/>
                <w:webHidden/>
              </w:rPr>
              <w:fldChar w:fldCharType="separate"/>
            </w:r>
            <w:r>
              <w:rPr>
                <w:noProof/>
                <w:webHidden/>
              </w:rPr>
              <w:t>49</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4" w:history="1">
            <w:r w:rsidRPr="005E0045">
              <w:rPr>
                <w:rStyle w:val="Hyperlink"/>
                <w:noProof/>
              </w:rPr>
              <w:t>8.5.</w:t>
            </w:r>
            <w:r>
              <w:rPr>
                <w:rFonts w:asciiTheme="minorHAnsi" w:eastAsiaTheme="minorEastAsia" w:hAnsiTheme="minorHAnsi" w:cstheme="minorBidi"/>
                <w:noProof/>
                <w:lang w:eastAsia="en-AU"/>
              </w:rPr>
              <w:tab/>
            </w:r>
            <w:r w:rsidRPr="005E0045">
              <w:rPr>
                <w:rStyle w:val="Hyperlink"/>
                <w:noProof/>
              </w:rPr>
              <w:t>Other safety issues</w:t>
            </w:r>
            <w:r>
              <w:rPr>
                <w:noProof/>
                <w:webHidden/>
              </w:rPr>
              <w:tab/>
            </w:r>
            <w:r>
              <w:rPr>
                <w:noProof/>
                <w:webHidden/>
              </w:rPr>
              <w:fldChar w:fldCharType="begin"/>
            </w:r>
            <w:r>
              <w:rPr>
                <w:noProof/>
                <w:webHidden/>
              </w:rPr>
              <w:instrText xml:space="preserve"> PAGEREF _Toc4571214 \h </w:instrText>
            </w:r>
            <w:r>
              <w:rPr>
                <w:noProof/>
                <w:webHidden/>
              </w:rPr>
            </w:r>
            <w:r>
              <w:rPr>
                <w:noProof/>
                <w:webHidden/>
              </w:rPr>
              <w:fldChar w:fldCharType="separate"/>
            </w:r>
            <w:r>
              <w:rPr>
                <w:noProof/>
                <w:webHidden/>
              </w:rPr>
              <w:t>62</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5" w:history="1">
            <w:r w:rsidRPr="005E0045">
              <w:rPr>
                <w:rStyle w:val="Hyperlink"/>
                <w:noProof/>
              </w:rPr>
              <w:t>8.6.</w:t>
            </w:r>
            <w:r>
              <w:rPr>
                <w:rFonts w:asciiTheme="minorHAnsi" w:eastAsiaTheme="minorEastAsia" w:hAnsiTheme="minorHAnsi" w:cstheme="minorBidi"/>
                <w:noProof/>
                <w:lang w:eastAsia="en-AU"/>
              </w:rPr>
              <w:tab/>
            </w:r>
            <w:r w:rsidRPr="005E0045">
              <w:rPr>
                <w:rStyle w:val="Hyperlink"/>
                <w:noProof/>
              </w:rPr>
              <w:t>Post marketing experience</w:t>
            </w:r>
            <w:r>
              <w:rPr>
                <w:noProof/>
                <w:webHidden/>
              </w:rPr>
              <w:tab/>
            </w:r>
            <w:r>
              <w:rPr>
                <w:noProof/>
                <w:webHidden/>
              </w:rPr>
              <w:fldChar w:fldCharType="begin"/>
            </w:r>
            <w:r>
              <w:rPr>
                <w:noProof/>
                <w:webHidden/>
              </w:rPr>
              <w:instrText xml:space="preserve"> PAGEREF _Toc4571215 \h </w:instrText>
            </w:r>
            <w:r>
              <w:rPr>
                <w:noProof/>
                <w:webHidden/>
              </w:rPr>
            </w:r>
            <w:r>
              <w:rPr>
                <w:noProof/>
                <w:webHidden/>
              </w:rPr>
              <w:fldChar w:fldCharType="separate"/>
            </w:r>
            <w:r>
              <w:rPr>
                <w:noProof/>
                <w:webHidden/>
              </w:rPr>
              <w:t>63</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6" w:history="1">
            <w:r w:rsidRPr="005E0045">
              <w:rPr>
                <w:rStyle w:val="Hyperlink"/>
                <w:noProof/>
              </w:rPr>
              <w:t>8.7.</w:t>
            </w:r>
            <w:r>
              <w:rPr>
                <w:rFonts w:asciiTheme="minorHAnsi" w:eastAsiaTheme="minorEastAsia" w:hAnsiTheme="minorHAnsi" w:cstheme="minorBidi"/>
                <w:noProof/>
                <w:lang w:eastAsia="en-AU"/>
              </w:rPr>
              <w:tab/>
            </w:r>
            <w:r w:rsidRPr="005E0045">
              <w:rPr>
                <w:rStyle w:val="Hyperlink"/>
                <w:noProof/>
              </w:rPr>
              <w:t>Evaluator’s overall conclusions on clinical safety</w:t>
            </w:r>
            <w:r>
              <w:rPr>
                <w:noProof/>
                <w:webHidden/>
              </w:rPr>
              <w:tab/>
            </w:r>
            <w:r>
              <w:rPr>
                <w:noProof/>
                <w:webHidden/>
              </w:rPr>
              <w:fldChar w:fldCharType="begin"/>
            </w:r>
            <w:r>
              <w:rPr>
                <w:noProof/>
                <w:webHidden/>
              </w:rPr>
              <w:instrText xml:space="preserve"> PAGEREF _Toc4571216 \h </w:instrText>
            </w:r>
            <w:r>
              <w:rPr>
                <w:noProof/>
                <w:webHidden/>
              </w:rPr>
            </w:r>
            <w:r>
              <w:rPr>
                <w:noProof/>
                <w:webHidden/>
              </w:rPr>
              <w:fldChar w:fldCharType="separate"/>
            </w:r>
            <w:r>
              <w:rPr>
                <w:noProof/>
                <w:webHidden/>
              </w:rPr>
              <w:t>63</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7" w:history="1">
            <w:r w:rsidRPr="005E0045">
              <w:rPr>
                <w:rStyle w:val="Hyperlink"/>
                <w:noProof/>
              </w:rPr>
              <w:t>8.8.</w:t>
            </w:r>
            <w:r>
              <w:rPr>
                <w:rFonts w:asciiTheme="minorHAnsi" w:eastAsiaTheme="minorEastAsia" w:hAnsiTheme="minorHAnsi" w:cstheme="minorBidi"/>
                <w:noProof/>
                <w:lang w:eastAsia="en-AU"/>
              </w:rPr>
              <w:tab/>
            </w:r>
            <w:r w:rsidRPr="005E0045">
              <w:rPr>
                <w:rStyle w:val="Hyperlink"/>
                <w:noProof/>
              </w:rPr>
              <w:t>First round benefit-risk assessment</w:t>
            </w:r>
            <w:r>
              <w:rPr>
                <w:noProof/>
                <w:webHidden/>
              </w:rPr>
              <w:tab/>
            </w:r>
            <w:r>
              <w:rPr>
                <w:noProof/>
                <w:webHidden/>
              </w:rPr>
              <w:fldChar w:fldCharType="begin"/>
            </w:r>
            <w:r>
              <w:rPr>
                <w:noProof/>
                <w:webHidden/>
              </w:rPr>
              <w:instrText xml:space="preserve"> PAGEREF _Toc4571217 \h </w:instrText>
            </w:r>
            <w:r>
              <w:rPr>
                <w:noProof/>
                <w:webHidden/>
              </w:rPr>
            </w:r>
            <w:r>
              <w:rPr>
                <w:noProof/>
                <w:webHidden/>
              </w:rPr>
              <w:fldChar w:fldCharType="separate"/>
            </w:r>
            <w:r>
              <w:rPr>
                <w:noProof/>
                <w:webHidden/>
              </w:rPr>
              <w:t>65</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8" w:history="1">
            <w:r w:rsidRPr="005E0045">
              <w:rPr>
                <w:rStyle w:val="Hyperlink"/>
                <w:noProof/>
              </w:rPr>
              <w:t>8.9.</w:t>
            </w:r>
            <w:r>
              <w:rPr>
                <w:rFonts w:asciiTheme="minorHAnsi" w:eastAsiaTheme="minorEastAsia" w:hAnsiTheme="minorHAnsi" w:cstheme="minorBidi"/>
                <w:noProof/>
                <w:lang w:eastAsia="en-AU"/>
              </w:rPr>
              <w:tab/>
            </w:r>
            <w:r w:rsidRPr="005E0045">
              <w:rPr>
                <w:rStyle w:val="Hyperlink"/>
                <w:noProof/>
              </w:rPr>
              <w:t>First round assessment of risks</w:t>
            </w:r>
            <w:r>
              <w:rPr>
                <w:noProof/>
                <w:webHidden/>
              </w:rPr>
              <w:tab/>
            </w:r>
            <w:r>
              <w:rPr>
                <w:noProof/>
                <w:webHidden/>
              </w:rPr>
              <w:fldChar w:fldCharType="begin"/>
            </w:r>
            <w:r>
              <w:rPr>
                <w:noProof/>
                <w:webHidden/>
              </w:rPr>
              <w:instrText xml:space="preserve"> PAGEREF _Toc4571218 \h </w:instrText>
            </w:r>
            <w:r>
              <w:rPr>
                <w:noProof/>
                <w:webHidden/>
              </w:rPr>
            </w:r>
            <w:r>
              <w:rPr>
                <w:noProof/>
                <w:webHidden/>
              </w:rPr>
              <w:fldChar w:fldCharType="separate"/>
            </w:r>
            <w:r>
              <w:rPr>
                <w:noProof/>
                <w:webHidden/>
              </w:rPr>
              <w:t>65</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19" w:history="1">
            <w:r w:rsidRPr="005E0045">
              <w:rPr>
                <w:rStyle w:val="Hyperlink"/>
                <w:noProof/>
              </w:rPr>
              <w:t>8.10.</w:t>
            </w:r>
            <w:r>
              <w:rPr>
                <w:rFonts w:asciiTheme="minorHAnsi" w:eastAsiaTheme="minorEastAsia" w:hAnsiTheme="minorHAnsi" w:cstheme="minorBidi"/>
                <w:noProof/>
                <w:lang w:eastAsia="en-AU"/>
              </w:rPr>
              <w:tab/>
            </w:r>
            <w:r w:rsidRPr="005E0045">
              <w:rPr>
                <w:rStyle w:val="Hyperlink"/>
                <w:noProof/>
              </w:rPr>
              <w:t>First round recommendation regarding authorisation</w:t>
            </w:r>
            <w:r>
              <w:rPr>
                <w:noProof/>
                <w:webHidden/>
              </w:rPr>
              <w:tab/>
            </w:r>
            <w:r>
              <w:rPr>
                <w:noProof/>
                <w:webHidden/>
              </w:rPr>
              <w:fldChar w:fldCharType="begin"/>
            </w:r>
            <w:r>
              <w:rPr>
                <w:noProof/>
                <w:webHidden/>
              </w:rPr>
              <w:instrText xml:space="preserve"> PAGEREF _Toc4571219 \h </w:instrText>
            </w:r>
            <w:r>
              <w:rPr>
                <w:noProof/>
                <w:webHidden/>
              </w:rPr>
            </w:r>
            <w:r>
              <w:rPr>
                <w:noProof/>
                <w:webHidden/>
              </w:rPr>
              <w:fldChar w:fldCharType="separate"/>
            </w:r>
            <w:r>
              <w:rPr>
                <w:noProof/>
                <w:webHidden/>
              </w:rPr>
              <w:t>67</w:t>
            </w:r>
            <w:r>
              <w:rPr>
                <w:noProof/>
                <w:webHidden/>
              </w:rPr>
              <w:fldChar w:fldCharType="end"/>
            </w:r>
          </w:hyperlink>
        </w:p>
        <w:p w:rsidR="00B81389" w:rsidRDefault="00B81389">
          <w:pPr>
            <w:pStyle w:val="TOC2"/>
            <w:tabs>
              <w:tab w:val="left" w:pos="1100"/>
            </w:tabs>
            <w:rPr>
              <w:rFonts w:asciiTheme="minorHAnsi" w:eastAsiaTheme="minorEastAsia" w:hAnsiTheme="minorHAnsi" w:cstheme="minorBidi"/>
              <w:b w:val="0"/>
              <w:noProof/>
              <w:sz w:val="22"/>
              <w:lang w:eastAsia="en-AU"/>
            </w:rPr>
          </w:pPr>
          <w:hyperlink w:anchor="_Toc4571220" w:history="1">
            <w:r w:rsidRPr="005E0045">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b w:val="0"/>
                <w:noProof/>
                <w:sz w:val="22"/>
                <w:lang w:eastAsia="en-AU"/>
              </w:rPr>
              <w:tab/>
            </w:r>
            <w:r w:rsidRPr="005E0045">
              <w:rPr>
                <w:rStyle w:val="Hyperlink"/>
                <w:noProof/>
              </w:rPr>
              <w:t>Clinical questions</w:t>
            </w:r>
            <w:r>
              <w:rPr>
                <w:noProof/>
                <w:webHidden/>
              </w:rPr>
              <w:tab/>
            </w:r>
            <w:r>
              <w:rPr>
                <w:noProof/>
                <w:webHidden/>
              </w:rPr>
              <w:fldChar w:fldCharType="begin"/>
            </w:r>
            <w:r>
              <w:rPr>
                <w:noProof/>
                <w:webHidden/>
              </w:rPr>
              <w:instrText xml:space="preserve"> PAGEREF _Toc4571220 \h </w:instrText>
            </w:r>
            <w:r>
              <w:rPr>
                <w:noProof/>
                <w:webHidden/>
              </w:rPr>
            </w:r>
            <w:r>
              <w:rPr>
                <w:noProof/>
                <w:webHidden/>
              </w:rPr>
              <w:fldChar w:fldCharType="separate"/>
            </w:r>
            <w:r>
              <w:rPr>
                <w:noProof/>
                <w:webHidden/>
              </w:rPr>
              <w:t>68</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21" w:history="1">
            <w:r w:rsidRPr="005E0045">
              <w:rPr>
                <w:rStyle w:val="Hyperlink"/>
                <w:noProof/>
              </w:rPr>
              <w:t>9.1.</w:t>
            </w:r>
            <w:r>
              <w:rPr>
                <w:rFonts w:asciiTheme="minorHAnsi" w:eastAsiaTheme="minorEastAsia" w:hAnsiTheme="minorHAnsi" w:cstheme="minorBidi"/>
                <w:noProof/>
                <w:lang w:eastAsia="en-AU"/>
              </w:rPr>
              <w:tab/>
            </w:r>
            <w:r w:rsidRPr="005E0045">
              <w:rPr>
                <w:rStyle w:val="Hyperlink"/>
                <w:noProof/>
              </w:rPr>
              <w:t>Pharmacokinetics</w:t>
            </w:r>
            <w:r>
              <w:rPr>
                <w:noProof/>
                <w:webHidden/>
              </w:rPr>
              <w:tab/>
            </w:r>
            <w:r>
              <w:rPr>
                <w:noProof/>
                <w:webHidden/>
              </w:rPr>
              <w:fldChar w:fldCharType="begin"/>
            </w:r>
            <w:r>
              <w:rPr>
                <w:noProof/>
                <w:webHidden/>
              </w:rPr>
              <w:instrText xml:space="preserve"> PAGEREF _Toc4571221 \h </w:instrText>
            </w:r>
            <w:r>
              <w:rPr>
                <w:noProof/>
                <w:webHidden/>
              </w:rPr>
            </w:r>
            <w:r>
              <w:rPr>
                <w:noProof/>
                <w:webHidden/>
              </w:rPr>
              <w:fldChar w:fldCharType="separate"/>
            </w:r>
            <w:r>
              <w:rPr>
                <w:noProof/>
                <w:webHidden/>
              </w:rPr>
              <w:t>68</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22" w:history="1">
            <w:r w:rsidRPr="005E0045">
              <w:rPr>
                <w:rStyle w:val="Hyperlink"/>
                <w:noProof/>
              </w:rPr>
              <w:t>9.2.</w:t>
            </w:r>
            <w:r>
              <w:rPr>
                <w:rFonts w:asciiTheme="minorHAnsi" w:eastAsiaTheme="minorEastAsia" w:hAnsiTheme="minorHAnsi" w:cstheme="minorBidi"/>
                <w:noProof/>
                <w:lang w:eastAsia="en-AU"/>
              </w:rPr>
              <w:tab/>
            </w:r>
            <w:r w:rsidRPr="005E0045">
              <w:rPr>
                <w:rStyle w:val="Hyperlink"/>
                <w:noProof/>
              </w:rPr>
              <w:t>Pharmacodynamics</w:t>
            </w:r>
            <w:r>
              <w:rPr>
                <w:noProof/>
                <w:webHidden/>
              </w:rPr>
              <w:tab/>
            </w:r>
            <w:r>
              <w:rPr>
                <w:noProof/>
                <w:webHidden/>
              </w:rPr>
              <w:fldChar w:fldCharType="begin"/>
            </w:r>
            <w:r>
              <w:rPr>
                <w:noProof/>
                <w:webHidden/>
              </w:rPr>
              <w:instrText xml:space="preserve"> PAGEREF _Toc4571222 \h </w:instrText>
            </w:r>
            <w:r>
              <w:rPr>
                <w:noProof/>
                <w:webHidden/>
              </w:rPr>
            </w:r>
            <w:r>
              <w:rPr>
                <w:noProof/>
                <w:webHidden/>
              </w:rPr>
              <w:fldChar w:fldCharType="separate"/>
            </w:r>
            <w:r>
              <w:rPr>
                <w:noProof/>
                <w:webHidden/>
              </w:rPr>
              <w:t>68</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23" w:history="1">
            <w:r w:rsidRPr="005E0045">
              <w:rPr>
                <w:rStyle w:val="Hyperlink"/>
                <w:noProof/>
              </w:rPr>
              <w:t>9.3.</w:t>
            </w:r>
            <w:r>
              <w:rPr>
                <w:rFonts w:asciiTheme="minorHAnsi" w:eastAsiaTheme="minorEastAsia" w:hAnsiTheme="minorHAnsi" w:cstheme="minorBidi"/>
                <w:noProof/>
                <w:lang w:eastAsia="en-AU"/>
              </w:rPr>
              <w:tab/>
            </w:r>
            <w:r w:rsidRPr="005E0045">
              <w:rPr>
                <w:rStyle w:val="Hyperlink"/>
                <w:noProof/>
              </w:rPr>
              <w:t>Efficacy</w:t>
            </w:r>
            <w:r>
              <w:rPr>
                <w:noProof/>
                <w:webHidden/>
              </w:rPr>
              <w:tab/>
            </w:r>
            <w:r>
              <w:rPr>
                <w:noProof/>
                <w:webHidden/>
              </w:rPr>
              <w:fldChar w:fldCharType="begin"/>
            </w:r>
            <w:r>
              <w:rPr>
                <w:noProof/>
                <w:webHidden/>
              </w:rPr>
              <w:instrText xml:space="preserve"> PAGEREF _Toc4571223 \h </w:instrText>
            </w:r>
            <w:r>
              <w:rPr>
                <w:noProof/>
                <w:webHidden/>
              </w:rPr>
            </w:r>
            <w:r>
              <w:rPr>
                <w:noProof/>
                <w:webHidden/>
              </w:rPr>
              <w:fldChar w:fldCharType="separate"/>
            </w:r>
            <w:r>
              <w:rPr>
                <w:noProof/>
                <w:webHidden/>
              </w:rPr>
              <w:t>68</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24" w:history="1">
            <w:r w:rsidRPr="005E0045">
              <w:rPr>
                <w:rStyle w:val="Hyperlink"/>
                <w:noProof/>
              </w:rPr>
              <w:t>9.4.</w:t>
            </w:r>
            <w:r>
              <w:rPr>
                <w:rFonts w:asciiTheme="minorHAnsi" w:eastAsiaTheme="minorEastAsia" w:hAnsiTheme="minorHAnsi" w:cstheme="minorBidi"/>
                <w:noProof/>
                <w:lang w:eastAsia="en-AU"/>
              </w:rPr>
              <w:tab/>
            </w:r>
            <w:r w:rsidRPr="005E0045">
              <w:rPr>
                <w:rStyle w:val="Hyperlink"/>
                <w:noProof/>
              </w:rPr>
              <w:t>Safety</w:t>
            </w:r>
            <w:r>
              <w:rPr>
                <w:noProof/>
                <w:webHidden/>
              </w:rPr>
              <w:tab/>
            </w:r>
            <w:r>
              <w:rPr>
                <w:noProof/>
                <w:webHidden/>
              </w:rPr>
              <w:fldChar w:fldCharType="begin"/>
            </w:r>
            <w:r>
              <w:rPr>
                <w:noProof/>
                <w:webHidden/>
              </w:rPr>
              <w:instrText xml:space="preserve"> PAGEREF _Toc4571224 \h </w:instrText>
            </w:r>
            <w:r>
              <w:rPr>
                <w:noProof/>
                <w:webHidden/>
              </w:rPr>
            </w:r>
            <w:r>
              <w:rPr>
                <w:noProof/>
                <w:webHidden/>
              </w:rPr>
              <w:fldChar w:fldCharType="separate"/>
            </w:r>
            <w:r>
              <w:rPr>
                <w:noProof/>
                <w:webHidden/>
              </w:rPr>
              <w:t>68</w:t>
            </w:r>
            <w:r>
              <w:rPr>
                <w:noProof/>
                <w:webHidden/>
              </w:rPr>
              <w:fldChar w:fldCharType="end"/>
            </w:r>
          </w:hyperlink>
        </w:p>
        <w:p w:rsidR="00B81389" w:rsidRDefault="00B81389">
          <w:pPr>
            <w:pStyle w:val="TOC2"/>
            <w:tabs>
              <w:tab w:val="left" w:pos="1320"/>
            </w:tabs>
            <w:rPr>
              <w:rFonts w:asciiTheme="minorHAnsi" w:eastAsiaTheme="minorEastAsia" w:hAnsiTheme="minorHAnsi" w:cstheme="minorBidi"/>
              <w:b w:val="0"/>
              <w:noProof/>
              <w:sz w:val="22"/>
              <w:lang w:eastAsia="en-AU"/>
            </w:rPr>
          </w:pPr>
          <w:hyperlink w:anchor="_Toc4571225" w:history="1">
            <w:r w:rsidRPr="005E0045">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b w:val="0"/>
                <w:noProof/>
                <w:sz w:val="22"/>
                <w:lang w:eastAsia="en-AU"/>
              </w:rPr>
              <w:tab/>
            </w:r>
            <w:r w:rsidRPr="005E0045">
              <w:rPr>
                <w:rStyle w:val="Hyperlink"/>
                <w:noProof/>
              </w:rPr>
              <w:t>Second round evaluation</w:t>
            </w:r>
            <w:r>
              <w:rPr>
                <w:noProof/>
                <w:webHidden/>
              </w:rPr>
              <w:tab/>
            </w:r>
            <w:r>
              <w:rPr>
                <w:noProof/>
                <w:webHidden/>
              </w:rPr>
              <w:fldChar w:fldCharType="begin"/>
            </w:r>
            <w:r>
              <w:rPr>
                <w:noProof/>
                <w:webHidden/>
              </w:rPr>
              <w:instrText xml:space="preserve"> PAGEREF _Toc4571225 \h </w:instrText>
            </w:r>
            <w:r>
              <w:rPr>
                <w:noProof/>
                <w:webHidden/>
              </w:rPr>
            </w:r>
            <w:r>
              <w:rPr>
                <w:noProof/>
                <w:webHidden/>
              </w:rPr>
              <w:fldChar w:fldCharType="separate"/>
            </w:r>
            <w:r>
              <w:rPr>
                <w:noProof/>
                <w:webHidden/>
              </w:rPr>
              <w:t>69</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26" w:history="1">
            <w:r w:rsidRPr="005E0045">
              <w:rPr>
                <w:rStyle w:val="Hyperlink"/>
                <w:noProof/>
              </w:rPr>
              <w:t>10.1.</w:t>
            </w:r>
            <w:r>
              <w:rPr>
                <w:rFonts w:asciiTheme="minorHAnsi" w:eastAsiaTheme="minorEastAsia" w:hAnsiTheme="minorHAnsi" w:cstheme="minorBidi"/>
                <w:noProof/>
                <w:lang w:eastAsia="en-AU"/>
              </w:rPr>
              <w:tab/>
            </w:r>
            <w:r w:rsidRPr="005E0045">
              <w:rPr>
                <w:rStyle w:val="Hyperlink"/>
                <w:noProof/>
              </w:rPr>
              <w:t>Clinical Questions</w:t>
            </w:r>
            <w:r>
              <w:rPr>
                <w:noProof/>
                <w:webHidden/>
              </w:rPr>
              <w:tab/>
            </w:r>
            <w:r>
              <w:rPr>
                <w:noProof/>
                <w:webHidden/>
              </w:rPr>
              <w:fldChar w:fldCharType="begin"/>
            </w:r>
            <w:r>
              <w:rPr>
                <w:noProof/>
                <w:webHidden/>
              </w:rPr>
              <w:instrText xml:space="preserve"> PAGEREF _Toc4571226 \h </w:instrText>
            </w:r>
            <w:r>
              <w:rPr>
                <w:noProof/>
                <w:webHidden/>
              </w:rPr>
            </w:r>
            <w:r>
              <w:rPr>
                <w:noProof/>
                <w:webHidden/>
              </w:rPr>
              <w:fldChar w:fldCharType="separate"/>
            </w:r>
            <w:r>
              <w:rPr>
                <w:noProof/>
                <w:webHidden/>
              </w:rPr>
              <w:t>69</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27" w:history="1">
            <w:r w:rsidRPr="005E0045">
              <w:rPr>
                <w:rStyle w:val="Hyperlink"/>
                <w:noProof/>
              </w:rPr>
              <w:t>10.2.</w:t>
            </w:r>
            <w:r>
              <w:rPr>
                <w:rFonts w:asciiTheme="minorHAnsi" w:eastAsiaTheme="minorEastAsia" w:hAnsiTheme="minorHAnsi" w:cstheme="minorBidi"/>
                <w:noProof/>
                <w:lang w:eastAsia="en-AU"/>
              </w:rPr>
              <w:tab/>
            </w:r>
            <w:r w:rsidRPr="005E0045">
              <w:rPr>
                <w:rStyle w:val="Hyperlink"/>
                <w:noProof/>
              </w:rPr>
              <w:t>Second round benefit-risk assessment</w:t>
            </w:r>
            <w:r>
              <w:rPr>
                <w:noProof/>
                <w:webHidden/>
              </w:rPr>
              <w:tab/>
            </w:r>
            <w:r>
              <w:rPr>
                <w:noProof/>
                <w:webHidden/>
              </w:rPr>
              <w:fldChar w:fldCharType="begin"/>
            </w:r>
            <w:r>
              <w:rPr>
                <w:noProof/>
                <w:webHidden/>
              </w:rPr>
              <w:instrText xml:space="preserve"> PAGEREF _Toc4571227 \h </w:instrText>
            </w:r>
            <w:r>
              <w:rPr>
                <w:noProof/>
                <w:webHidden/>
              </w:rPr>
            </w:r>
            <w:r>
              <w:rPr>
                <w:noProof/>
                <w:webHidden/>
              </w:rPr>
              <w:fldChar w:fldCharType="separate"/>
            </w:r>
            <w:r>
              <w:rPr>
                <w:noProof/>
                <w:webHidden/>
              </w:rPr>
              <w:t>70</w:t>
            </w:r>
            <w:r>
              <w:rPr>
                <w:noProof/>
                <w:webHidden/>
              </w:rPr>
              <w:fldChar w:fldCharType="end"/>
            </w:r>
          </w:hyperlink>
        </w:p>
        <w:p w:rsidR="00B81389" w:rsidRDefault="00B81389">
          <w:pPr>
            <w:pStyle w:val="TOC3"/>
            <w:tabs>
              <w:tab w:val="left" w:pos="1760"/>
            </w:tabs>
            <w:rPr>
              <w:rFonts w:asciiTheme="minorHAnsi" w:eastAsiaTheme="minorEastAsia" w:hAnsiTheme="minorHAnsi" w:cstheme="minorBidi"/>
              <w:noProof/>
              <w:lang w:eastAsia="en-AU"/>
            </w:rPr>
          </w:pPr>
          <w:hyperlink w:anchor="_Toc4571228" w:history="1">
            <w:r w:rsidRPr="005E0045">
              <w:rPr>
                <w:rStyle w:val="Hyperlink"/>
                <w:noProof/>
              </w:rPr>
              <w:t>10.3.</w:t>
            </w:r>
            <w:r>
              <w:rPr>
                <w:rFonts w:asciiTheme="minorHAnsi" w:eastAsiaTheme="minorEastAsia" w:hAnsiTheme="minorHAnsi" w:cstheme="minorBidi"/>
                <w:noProof/>
                <w:lang w:eastAsia="en-AU"/>
              </w:rPr>
              <w:tab/>
            </w:r>
            <w:r w:rsidRPr="005E0045">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_Toc4571228 \h </w:instrText>
            </w:r>
            <w:r>
              <w:rPr>
                <w:noProof/>
                <w:webHidden/>
              </w:rPr>
            </w:r>
            <w:r>
              <w:rPr>
                <w:noProof/>
                <w:webHidden/>
              </w:rPr>
              <w:fldChar w:fldCharType="separate"/>
            </w:r>
            <w:r>
              <w:rPr>
                <w:noProof/>
                <w:webHidden/>
              </w:rPr>
              <w:t>70</w:t>
            </w:r>
            <w:r>
              <w:rPr>
                <w:noProof/>
                <w:webHidden/>
              </w:rPr>
              <w:fldChar w:fldCharType="end"/>
            </w:r>
          </w:hyperlink>
        </w:p>
        <w:p w:rsidR="004C620F" w:rsidRDefault="004F4AF5" w:rsidP="004C620F">
          <w:r>
            <w:fldChar w:fldCharType="end"/>
          </w:r>
        </w:p>
      </w:sdtContent>
    </w:sdt>
    <w:bookmarkStart w:id="3" w:name="_Toc314842482" w:displacedByCustomXml="prev"/>
    <w:p w:rsidR="004C620F" w:rsidRDefault="004C620F">
      <w:pPr>
        <w:spacing w:before="0" w:after="200" w:line="0" w:lineRule="auto"/>
      </w:pPr>
      <w:r>
        <w:br w:type="page"/>
      </w:r>
    </w:p>
    <w:tbl>
      <w:tblPr>
        <w:tblStyle w:val="TableTGAblue"/>
        <w:tblW w:w="0" w:type="auto"/>
        <w:tblLook w:val="04A0" w:firstRow="1" w:lastRow="0" w:firstColumn="1" w:lastColumn="0" w:noHBand="0" w:noVBand="1"/>
      </w:tblPr>
      <w:tblGrid>
        <w:gridCol w:w="1951"/>
        <w:gridCol w:w="6850"/>
      </w:tblGrid>
      <w:tr w:rsidR="004C620F" w:rsidTr="004C62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r w:rsidRPr="00EC0EEE">
              <w:lastRenderedPageBreak/>
              <w:t>Abbreviation</w:t>
            </w:r>
          </w:p>
        </w:tc>
        <w:tc>
          <w:tcPr>
            <w:tcW w:w="6850" w:type="dxa"/>
          </w:tcPr>
          <w:p w:rsidR="004C620F" w:rsidRPr="00EC0EEE" w:rsidRDefault="004C620F" w:rsidP="004C620F">
            <w:pPr>
              <w:cnfStyle w:val="100000000000" w:firstRow="1" w:lastRow="0" w:firstColumn="0" w:lastColumn="0" w:oddVBand="0" w:evenVBand="0" w:oddHBand="0" w:evenHBand="0" w:firstRowFirstColumn="0" w:firstRowLastColumn="0" w:lastRowFirstColumn="0" w:lastRowLastColumn="0"/>
            </w:pPr>
            <w:r w:rsidRPr="00EC0EEE">
              <w:t>Meaning</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vertAlign w:val="superscript"/>
              </w:rPr>
              <w:t>14</w:t>
            </w:r>
            <w:r w:rsidRPr="00EC0EEE">
              <w:rPr>
                <w:rFonts w:cstheme="minorHAnsi"/>
              </w:rPr>
              <w:t>C</w:t>
            </w:r>
            <w:r>
              <w:rPr>
                <w:rFonts w:cstheme="minorHAnsi"/>
              </w:rPr>
              <w:t>-</w:t>
            </w:r>
            <w:r w:rsidRPr="00EC0EEE">
              <w:rPr>
                <w:rFonts w:cstheme="minorHAnsi"/>
              </w:rPr>
              <w:t>Total</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Pr>
                <w:rFonts w:eastAsia="TimesNewRoman" w:cstheme="minorHAnsi"/>
                <w:color w:val="000000"/>
              </w:rPr>
              <w:t>T</w:t>
            </w:r>
            <w:r w:rsidRPr="00EC0EEE">
              <w:rPr>
                <w:rFonts w:eastAsia="TimesNewRoman" w:cstheme="minorHAnsi"/>
                <w:color w:val="000000"/>
              </w:rPr>
              <w:t xml:space="preserve">otal amount of </w:t>
            </w:r>
            <w:r w:rsidRPr="00EC0EEE">
              <w:rPr>
                <w:rFonts w:eastAsia="TimesNewRoman" w:cstheme="minorHAnsi"/>
                <w:color w:val="000000"/>
                <w:vertAlign w:val="superscript"/>
              </w:rPr>
              <w:t>14</w:t>
            </w:r>
            <w:r w:rsidRPr="00EC0EEE">
              <w:rPr>
                <w:rFonts w:eastAsia="TimesNewRoman" w:cstheme="minorHAnsi"/>
                <w:color w:val="000000"/>
              </w:rPr>
              <w:t>C radioactivity recovered in urine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25-OH</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25-hydroxy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C86E15" w:rsidP="004C620F">
            <w:pPr>
              <w:rPr>
                <w:rFonts w:eastAsia="TimesNewRoman" w:cs="TimesNewRoman"/>
              </w:rPr>
            </w:pPr>
            <w:r>
              <w:rPr>
                <w:rFonts w:eastAsia="TimesNewRoman" w:cs="TimesNewRoman"/>
              </w:rPr>
              <w:t>A1c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Glycosylated haemoglobin (haemoglobin A1c)</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AACE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American Association of Clinical Endocrinologists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ADA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American Diabetes Association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ADME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Absorption, distribution, metabolism and elimination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cstheme="minorHAnsi"/>
              </w:rPr>
            </w:pPr>
            <w:r>
              <w:rPr>
                <w:rFonts w:cstheme="minorHAnsi"/>
              </w:rPr>
              <w:t>AE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Adverse event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Ae72%</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Percent of dose recovered unchanged in urine from 0 to 72 hours post-dose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Ae96%</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Percent of dose recovered unchanged in urine from 0 to 96 hours post-dose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AHA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Anti-hyperglycaemic agent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ALAG1</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cstheme="minorHAnsi"/>
              </w:rPr>
              <w:t>Absorption lag time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ALP</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Alkaline phosphate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ALT</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color w:val="000000"/>
              </w:rPr>
            </w:pPr>
            <w:r w:rsidRPr="00EC0EEE">
              <w:rPr>
                <w:rFonts w:eastAsia="TimesNewRoman" w:cstheme="minorHAnsi"/>
              </w:rPr>
              <w:t>Alanine aminotransferase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ALT (SGPT)</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Alanine aminotransferase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ANOVA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color w:val="000000"/>
              </w:rPr>
              <w:t>Analysis of variance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AST (SGOT)</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Aspartate aminotransferase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AUC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Area under the concentration-time curve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3E2983" w:rsidP="004C620F">
            <w:pPr>
              <w:rPr>
                <w:rFonts w:eastAsia="TimesNewRoman" w:cs="TimesNewRoman"/>
              </w:rPr>
            </w:pPr>
            <w:r>
              <w:t>AUC</w:t>
            </w:r>
            <w:r w:rsidRPr="003E2983">
              <w:rPr>
                <w:vertAlign w:val="subscript"/>
              </w:rPr>
              <w:t>0-24</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Area under the concentration time curve during 24 hours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B3596" w:rsidP="004C620F">
            <w:pPr>
              <w:rPr>
                <w:rFonts w:cstheme="minorHAnsi"/>
              </w:rPr>
            </w:pPr>
            <w:r>
              <w:t>AUC</w:t>
            </w:r>
            <w:r w:rsidRPr="004B3596">
              <w:rPr>
                <w:vertAlign w:val="subscript"/>
              </w:rPr>
              <w:t>inf</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Area under the plasma concentration-time profile from time 0 extrapolated to infinite time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B3596" w:rsidP="004C620F">
            <w:pPr>
              <w:rPr>
                <w:rFonts w:eastAsia="TimesNewRoman" w:cstheme="minorHAnsi"/>
              </w:rPr>
            </w:pPr>
            <w:r>
              <w:t>AUC</w:t>
            </w:r>
            <w:r w:rsidRPr="004B3596">
              <w:rPr>
                <w:vertAlign w:val="subscript"/>
              </w:rPr>
              <w:t>inf</w:t>
            </w:r>
            <w:r w:rsidR="004C620F" w:rsidRPr="00EC0EEE">
              <w:rPr>
                <w:rFonts w:eastAsia="TimesNewRoman" w:cstheme="minorHAnsi"/>
                <w:vertAlign w:val="subscript"/>
              </w:rPr>
              <w:t>(dn)</w:t>
            </w:r>
          </w:p>
        </w:tc>
        <w:tc>
          <w:tcPr>
            <w:tcW w:w="6850" w:type="dxa"/>
          </w:tcPr>
          <w:p w:rsidR="004C620F" w:rsidRPr="00EC0EEE" w:rsidRDefault="004C620F" w:rsidP="00EF7D1E">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 xml:space="preserve">Dose normalized (to 1 mg) </w:t>
            </w:r>
            <w:r w:rsidR="00EF7D1E">
              <w:rPr>
                <w:rFonts w:eastAsia="TimesNewRoman" w:cstheme="minorHAnsi"/>
              </w:rPr>
              <w:t>AUC</w:t>
            </w:r>
            <w:r w:rsidRPr="00EC0EEE">
              <w:rPr>
                <w:rFonts w:eastAsia="TimesNewRoman" w:cstheme="minorHAnsi"/>
                <w:vertAlign w:val="subscript"/>
              </w:rPr>
              <w:t>inf</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B3596" w:rsidP="004C620F">
            <w:pPr>
              <w:rPr>
                <w:rFonts w:cstheme="minorHAnsi"/>
              </w:rPr>
            </w:pPr>
            <w:r>
              <w:t>AUC</w:t>
            </w:r>
            <w:r w:rsidRPr="004B3596">
              <w:rPr>
                <w:vertAlign w:val="subscript"/>
              </w:rPr>
              <w:t>last</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Area under the plasma concentration-time profile from time 0 to the time of the last quantifiable concentration (C</w:t>
            </w:r>
            <w:r w:rsidRPr="00C86E15">
              <w:rPr>
                <w:rFonts w:eastAsia="TimesNewRoman" w:cstheme="minorHAnsi"/>
                <w:vertAlign w:val="subscript"/>
              </w:rPr>
              <w:t>last</w:t>
            </w:r>
            <w:r w:rsidRPr="00EC0EEE">
              <w:rPr>
                <w:rFonts w:eastAsia="TimesNewRoman" w:cstheme="minorHAnsi"/>
              </w:rPr>
              <w: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AV</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Atrioventricular</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BA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Bioavailability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lastRenderedPageBreak/>
              <w:t>BE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Bioequivalence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B3476E" w:rsidP="004C620F">
            <w:pPr>
              <w:rPr>
                <w:rFonts w:cstheme="minorHAnsi"/>
              </w:rPr>
            </w:pPr>
            <w:r>
              <w:rPr>
                <w:rFonts w:cstheme="minorHAnsi"/>
              </w:rPr>
              <w:t>BD</w:t>
            </w:r>
          </w:p>
        </w:tc>
        <w:tc>
          <w:tcPr>
            <w:tcW w:w="6850" w:type="dxa"/>
          </w:tcPr>
          <w:p w:rsidR="004C620F" w:rsidRPr="00EC0EEE" w:rsidRDefault="00C86E15" w:rsidP="004C620F">
            <w:pPr>
              <w:cnfStyle w:val="000000000000" w:firstRow="0" w:lastRow="0" w:firstColumn="0" w:lastColumn="0" w:oddVBand="0" w:evenVBand="0" w:oddHBand="0" w:evenHBand="0" w:firstRowFirstColumn="0" w:firstRowLastColumn="0" w:lastRowFirstColumn="0" w:lastRowLastColumn="0"/>
              <w:rPr>
                <w:rFonts w:cstheme="minorHAnsi"/>
              </w:rPr>
            </w:pPr>
            <w:r>
              <w:rPr>
                <w:rFonts w:eastAsia="TimesNewRoman" w:cstheme="minorHAnsi"/>
              </w:rPr>
              <w:t xml:space="preserve">Twice </w:t>
            </w:r>
            <w:r w:rsidR="004C620F" w:rsidRPr="00EC0EEE">
              <w:rPr>
                <w:rFonts w:eastAsia="TimesNewRoman" w:cstheme="minorHAnsi"/>
              </w:rPr>
              <w:t>daily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imesNewRoman"/>
              </w:rPr>
            </w:pPr>
            <w:r w:rsidRPr="00EC0EEE">
              <w:rPr>
                <w:rFonts w:eastAsia="TimesNewRoman" w:cs="TimesNewRoman"/>
              </w:rPr>
              <w:t xml:space="preserve">BMI </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Body mass index</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BP</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Blood pressure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BSAP</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Bone-specific alkaline phosphatase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CA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Canadian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eastAsia="TimesNewRoman" w:cstheme="minorHAnsi"/>
              </w:rPr>
              <w:t>Cav</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Average concentration</w:t>
            </w:r>
          </w:p>
        </w:tc>
      </w:tr>
      <w:tr w:rsidR="004C620F"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CFB</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Change from baseline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CI</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Confidence interval</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CKD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Chronic kidney disease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eastAsia="TimesNewRoman" w:cstheme="minorHAnsi"/>
              </w:rPr>
              <w:t>CL (IV)</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CL; systemic clearance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eastAsia="TimesNewRoman" w:cstheme="minorHAnsi"/>
              </w:rPr>
              <w:t>CL/F (oral)</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Apparent Clearance; CL/F</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cLDA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Constrained Longitudinal Data Analysis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CLr</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color w:val="000000"/>
              </w:rPr>
              <w:t>Renal Clearance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B3596" w:rsidP="004C620F">
            <w:pPr>
              <w:rPr>
                <w:rFonts w:eastAsia="TimesNewRoman" w:cs="TimesNewRoman"/>
              </w:rPr>
            </w:pPr>
            <w:r>
              <w:t>C</w:t>
            </w:r>
            <w:r w:rsidRPr="004B3596">
              <w:rPr>
                <w:vertAlign w:val="subscript"/>
              </w:rPr>
              <w:t>max</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Maximum Observed Plasma Concentration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B3596" w:rsidP="004C620F">
            <w:pPr>
              <w:rPr>
                <w:rFonts w:cstheme="minorHAnsi"/>
              </w:rPr>
            </w:pPr>
            <w:r>
              <w:t>C</w:t>
            </w:r>
            <w:r w:rsidRPr="004B3596">
              <w:rPr>
                <w:vertAlign w:val="subscript"/>
              </w:rPr>
              <w:t>max</w:t>
            </w:r>
            <w:r w:rsidR="004C620F" w:rsidRPr="00EC0EEE">
              <w:rPr>
                <w:rFonts w:eastAsia="TimesNewRoman" w:cstheme="minorHAnsi"/>
              </w:rPr>
              <w:t>(dn)</w:t>
            </w:r>
          </w:p>
        </w:tc>
        <w:tc>
          <w:tcPr>
            <w:tcW w:w="6850" w:type="dxa"/>
          </w:tcPr>
          <w:p w:rsidR="004C620F" w:rsidRPr="00EC0EEE" w:rsidRDefault="004C620F" w:rsidP="00C86E15">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 xml:space="preserve">Dose </w:t>
            </w:r>
            <w:r w:rsidR="00C86E15">
              <w:rPr>
                <w:rFonts w:eastAsia="TimesNewRoman" w:cstheme="minorHAnsi"/>
              </w:rPr>
              <w:t>n</w:t>
            </w:r>
            <w:r w:rsidR="00C86E15" w:rsidRPr="00EC0EEE">
              <w:rPr>
                <w:rFonts w:eastAsia="TimesNewRoman" w:cstheme="minorHAnsi"/>
              </w:rPr>
              <w:t>ormali</w:t>
            </w:r>
            <w:r w:rsidR="00C86E15">
              <w:rPr>
                <w:rFonts w:eastAsia="TimesNewRoman" w:cstheme="minorHAnsi"/>
              </w:rPr>
              <w:t>s</w:t>
            </w:r>
            <w:r w:rsidR="00C86E15" w:rsidRPr="00EC0EEE">
              <w:rPr>
                <w:rFonts w:eastAsia="TimesNewRoman" w:cstheme="minorHAnsi"/>
              </w:rPr>
              <w:t xml:space="preserve">ed </w:t>
            </w:r>
            <w:r w:rsidRPr="00EC0EEE">
              <w:rPr>
                <w:rFonts w:eastAsia="TimesNewRoman" w:cstheme="minorHAnsi"/>
              </w:rPr>
              <w:t>(</w:t>
            </w:r>
            <w:r w:rsidR="00C86E15">
              <w:rPr>
                <w:rFonts w:eastAsia="TimesNewRoman" w:cstheme="minorHAnsi"/>
              </w:rPr>
              <w:t>t</w:t>
            </w:r>
            <w:r w:rsidR="00C86E15" w:rsidRPr="00EC0EEE">
              <w:rPr>
                <w:rFonts w:eastAsia="TimesNewRoman" w:cstheme="minorHAnsi"/>
              </w:rPr>
              <w:t xml:space="preserve">o </w:t>
            </w:r>
            <w:r w:rsidRPr="00EC0EEE">
              <w:rPr>
                <w:rFonts w:eastAsia="TimesNewRoman" w:cstheme="minorHAnsi"/>
              </w:rPr>
              <w:t xml:space="preserve">1 </w:t>
            </w:r>
            <w:r w:rsidR="00C86E15">
              <w:rPr>
                <w:rFonts w:eastAsia="TimesNewRoman" w:cstheme="minorHAnsi"/>
              </w:rPr>
              <w:t>m</w:t>
            </w:r>
            <w:r w:rsidR="00C86E15" w:rsidRPr="00EC0EEE">
              <w:rPr>
                <w:rFonts w:eastAsia="TimesNewRoman" w:cstheme="minorHAnsi"/>
              </w:rPr>
              <w:t>g</w:t>
            </w:r>
            <w:r w:rsidRPr="00EC0EEE">
              <w:rPr>
                <w:rFonts w:eastAsia="TimesNewRoman" w:cstheme="minorHAnsi"/>
              </w:rPr>
              <w:t xml:space="preserve">) </w:t>
            </w:r>
            <w:r w:rsidR="004B3596">
              <w:t>C</w:t>
            </w:r>
            <w:r w:rsidR="004B3596" w:rsidRPr="004B3596">
              <w:rPr>
                <w:vertAlign w:val="subscript"/>
              </w:rPr>
              <w:t>max</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Cmin</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 xml:space="preserve">Lowest </w:t>
            </w:r>
            <w:r w:rsidR="00C86E15" w:rsidRPr="00EC0EEE">
              <w:rPr>
                <w:rFonts w:eastAsia="TimesNewRoman" w:cstheme="minorHAnsi"/>
              </w:rPr>
              <w:t>concentration observed during the dosing interval</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CMQ</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Custom MedDRA Queries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CRU</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Clinical research unit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CSR</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Clinical study report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CT</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Computed tomography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CTX1</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C-terminal telopeptides of type-1 collagen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CV</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Coefficient of variation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CV</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Cardiovascular</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CVOT</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Cardiovascular outcome trial</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lastRenderedPageBreak/>
              <w:t>CYP</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Cytochrome P450</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DBP</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Diastolic blood pressure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DDI</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Drug-drug interaction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EF7D1E">
            <w:pPr>
              <w:rPr>
                <w:rFonts w:cstheme="minorHAnsi"/>
              </w:rPr>
            </w:pPr>
            <w:r w:rsidRPr="00EC0EEE">
              <w:rPr>
                <w:rFonts w:cstheme="minorHAnsi"/>
              </w:rPr>
              <w:t>D</w:t>
            </w:r>
            <w:r w:rsidR="00EF7D1E">
              <w:rPr>
                <w:rFonts w:cstheme="minorHAnsi"/>
              </w:rPr>
              <w:t>PM</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Disintegrations per minute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EASD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European Association for the Study of Diabetes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ECG</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Electrocardiograph</w:t>
            </w:r>
          </w:p>
        </w:tc>
      </w:tr>
      <w:tr w:rsidR="004C620F" w:rsidRPr="00212752"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ED50</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color w:val="000000"/>
              </w:rPr>
              <w:t>Dose at half maximum effect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eGFR</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Estimated glomerular filtration rate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EMA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European medicines agency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E</w:t>
            </w:r>
            <w:r w:rsidRPr="0058709C">
              <w:rPr>
                <w:rFonts w:cstheme="minorHAnsi"/>
                <w:vertAlign w:val="subscript"/>
              </w:rPr>
              <w:t>max</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cstheme="minorHAnsi"/>
                <w:color w:val="000000"/>
              </w:rPr>
              <w:t>Maximum effect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imesNewRoman"/>
              </w:rPr>
            </w:pPr>
            <w:r w:rsidRPr="00EC0EEE">
              <w:rPr>
                <w:rFonts w:eastAsia="TimesNewRoman" w:cs="TimesNewRoman"/>
              </w:rPr>
              <w:t xml:space="preserve">ER </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Excluding rescue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ESRD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End stage renal disease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EU</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imesNewRoman"/>
                <w:lang w:eastAsia="en-US"/>
              </w:rPr>
              <w:t>European union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F</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Bioavailability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F1</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cstheme="minorHAnsi"/>
              </w:rPr>
              <w:t>Relative bioavailability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Fa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Fraction of dose absorbed</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FAS</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Full analysis set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imesNewRoman"/>
              </w:rPr>
            </w:pPr>
            <w:r w:rsidRPr="00EC0EEE">
              <w:rPr>
                <w:rFonts w:eastAsia="TimesNewRoman" w:cs="TimesNewRoman"/>
              </w:rPr>
              <w:t xml:space="preserve">FDA </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Food and Drug Administration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imesNewRoman"/>
              </w:rPr>
            </w:pPr>
            <w:r w:rsidRPr="00EC0EEE">
              <w:rPr>
                <w:rFonts w:eastAsia="TimesNewRoman" w:cs="TimesNewRoman"/>
              </w:rPr>
              <w:t xml:space="preserve">FDC </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Fixed-dose combination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FME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Full model estimation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FOCE-I</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First order conditional estimation method with interaction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FPG</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Fasting plasma glucose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GAD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Glutamic acid decarboxylase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GCP</w:t>
            </w:r>
          </w:p>
        </w:tc>
        <w:tc>
          <w:tcPr>
            <w:tcW w:w="6850" w:type="dxa"/>
          </w:tcPr>
          <w:p w:rsidR="004C620F" w:rsidRPr="00EC0EEE" w:rsidRDefault="004C620F" w:rsidP="00C86E15">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 xml:space="preserve">Good </w:t>
            </w:r>
            <w:r w:rsidR="00C86E15">
              <w:rPr>
                <w:rFonts w:eastAsia="TimesNewRoman" w:cs="TimesNewRoman"/>
              </w:rPr>
              <w:t>C</w:t>
            </w:r>
            <w:r w:rsidR="00C86E15" w:rsidRPr="00EC0EEE">
              <w:rPr>
                <w:rFonts w:eastAsia="TimesNewRoman" w:cs="TimesNewRoman"/>
              </w:rPr>
              <w:t xml:space="preserve">linical </w:t>
            </w:r>
            <w:r w:rsidR="00C86E15">
              <w:rPr>
                <w:rFonts w:eastAsia="TimesNewRoman" w:cs="TimesNewRoman"/>
              </w:rPr>
              <w:t>P</w:t>
            </w:r>
            <w:r w:rsidR="00C86E15" w:rsidRPr="00EC0EEE">
              <w:rPr>
                <w:rFonts w:eastAsia="TimesNewRoman" w:cs="TimesNewRoman"/>
              </w:rPr>
              <w:t>ractice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GMR</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Geometric mean ratio</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lastRenderedPageBreak/>
              <w:t>h</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Hour</w:t>
            </w:r>
            <w:r w:rsidR="00C86E15">
              <w:rPr>
                <w:rFonts w:eastAsia="TimesNewRoman" w:cstheme="minorHAnsi"/>
              </w:rPr>
              <w:t>(</w:t>
            </w:r>
            <w:r w:rsidRPr="00EC0EEE">
              <w:rPr>
                <w:rFonts w:eastAsia="TimesNewRoman" w:cstheme="minorHAnsi"/>
              </w:rPr>
              <w:t>s</w:t>
            </w:r>
            <w:r w:rsidR="00C86E15">
              <w:rPr>
                <w:rFonts w:eastAsia="TimesNewRoman" w:cstheme="minorHAnsi"/>
              </w:rPr>
              <w: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HbA1c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 xml:space="preserve">Haemoglobin </w:t>
            </w:r>
            <w:r w:rsidR="00C86E15">
              <w:rPr>
                <w:rFonts w:eastAsia="TimesNewRoman" w:cstheme="minorHAnsi"/>
              </w:rPr>
              <w:t>A</w:t>
            </w:r>
            <w:r w:rsidRPr="00EC0EEE">
              <w:rPr>
                <w:rFonts w:eastAsia="TimesNewRoman" w:cstheme="minorHAnsi"/>
              </w:rPr>
              <w:t>1c</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HCTZ</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Hydrochlorothiazide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HDL-C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High-density lipoprotein-cholesterol</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HPLC-MS/MS</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High-performance liquid chromatography tandem mass spectrometric</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H</w:t>
            </w:r>
            <w:r>
              <w:rPr>
                <w:rFonts w:cstheme="minorHAnsi"/>
              </w:rPr>
              <w:t>CT</w:t>
            </w:r>
            <w:r w:rsidRPr="00EC0EEE">
              <w:rPr>
                <w:rFonts w:cstheme="minorHAnsi"/>
              </w:rPr>
              <w:t>Z</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Hydrochlorothiazide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IPTH</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Intact parathyroid hormone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IR</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color w:val="000000"/>
              </w:rPr>
              <w:t>Immediate-release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IR</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Including rescue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IV</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Intravenous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ka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First-order absorption rate constant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LDA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Longitudinal data analysis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LDL</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Low-density lipoprotein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LDL-C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Low-density lipoprotein-cholesterol</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LLOQ</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color w:val="000000"/>
              </w:rPr>
              <w:t>Lower limit of quantitation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L-PGA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t>L-pyroglutamic acid</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L-PGA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L-pyroglutamic acid</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LS</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Least-squares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MACE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Major adverse cardiovascular event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MAR</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Missing at random</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MBMA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Model-based meta-analysis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MCAR</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Missing completely at random</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MedDRA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Medical Dictionary for Regulatory activities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MMTT</w:t>
            </w:r>
          </w:p>
        </w:tc>
        <w:tc>
          <w:tcPr>
            <w:tcW w:w="6850" w:type="dxa"/>
          </w:tcPr>
          <w:p w:rsidR="004C620F" w:rsidRPr="00EC0EEE" w:rsidRDefault="00C86E15"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Pr>
                <w:rFonts w:eastAsia="TimesNewRoman" w:cs="TimesNewRoman"/>
              </w:rPr>
              <w:t>M</w:t>
            </w:r>
            <w:r w:rsidR="004C620F" w:rsidRPr="00EC0EEE">
              <w:rPr>
                <w:rFonts w:eastAsia="TimesNewRoman" w:cs="TimesNewRoman"/>
              </w:rPr>
              <w:t>ixed meal tolerance test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MR</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Modified-release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lastRenderedPageBreak/>
              <w:t>MRI</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Magnetic resonance imaging</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nCi</w:t>
            </w:r>
          </w:p>
        </w:tc>
        <w:tc>
          <w:tcPr>
            <w:tcW w:w="6850" w:type="dxa"/>
          </w:tcPr>
          <w:p w:rsidR="004C620F" w:rsidRPr="00EC0EEE" w:rsidRDefault="00EF7D1E" w:rsidP="004C620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Nano C</w:t>
            </w:r>
            <w:r w:rsidR="004C620F" w:rsidRPr="00EC0EEE">
              <w:rPr>
                <w:rFonts w:cstheme="minorHAnsi"/>
              </w:rPr>
              <w:t>urie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NDA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New Drug Application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NONMEM</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Pr>
                <w:rFonts w:cstheme="minorHAnsi"/>
              </w:rPr>
              <w:t>N</w:t>
            </w:r>
            <w:r w:rsidRPr="00EC0EEE">
              <w:rPr>
                <w:rFonts w:cstheme="minorHAnsi"/>
              </w:rPr>
              <w:t>on-linear mixed effects modelling</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NTX-1</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N-terminal telopeptide-1</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OAD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Oral anti-diabetic</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OC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Osteocalcin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P1NP</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Procollagen type 1 amino-terminal propeptide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PD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Pharmacodynamics(</w:t>
            </w:r>
            <w:r w:rsidRPr="00EC0EEE">
              <w:rPr>
                <w:rFonts w:cstheme="minorHAnsi"/>
              </w:rPr>
              <w:t>s</w:t>
            </w:r>
            <w:r>
              <w:rPr>
                <w:rFonts w:cstheme="minorHAnsi"/>
              </w:rPr>
              <w: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PDLC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Pre-defined limit of change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PK</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Pharmacokinetic(s)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PND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Postnatal day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PO</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Per os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popPK</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Population pharmacokinetic</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PPAS</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Per protocol analysis set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PPG</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Post-prandial glucose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Q/F</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cstheme="minorHAnsi"/>
              </w:rPr>
              <w:t>Apparent inter-compartmental clearance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QD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Once daily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qd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Once daily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QT</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Time from the start of the Q wave to the end of the T wave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QTc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QT interval corrected for heart rate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imesNewRoman"/>
              </w:rPr>
            </w:pPr>
            <w:r w:rsidRPr="00EC0EEE">
              <w:rPr>
                <w:rFonts w:eastAsia="TimesNewRoman" w:cs="TimesNewRoman"/>
              </w:rPr>
              <w:t xml:space="preserve">QTcB </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QT interval corrected using the Bazett formula</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QTcF</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QT interval corrected using the Fridericia formula</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RAAS</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Renin-angiotensin-aldosterone system</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eastAsia="TimesNewRoman" w:cstheme="minorHAnsi"/>
              </w:rPr>
              <w:t>Rac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Observed accumulation ratio</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lastRenderedPageBreak/>
              <w:t>RNA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Ribonucleic acid</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RSE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color w:val="000000"/>
              </w:rPr>
            </w:pPr>
            <w:r w:rsidRPr="00EC0EEE">
              <w:rPr>
                <w:rFonts w:cstheme="minorHAnsi"/>
              </w:rPr>
              <w:t>Relative standard error</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RTG</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Renal threshold for glucose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SA</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color w:val="000000"/>
              </w:rPr>
              <w:t>Specific activity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SAE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Serious adverse event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SBP</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Systolic blood pressure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SCE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Summary of Clinical Efficacy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SCS</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Summary of Clinical Safety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SD</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Standard deviation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SGLT1</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Sodium-glucose co-transporter 1</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eastAsia="TimesNewRoman" w:cstheme="minorHAnsi"/>
              </w:rPr>
              <w:t>SGLT2</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Sodium glucose co-transporter 2</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SmPC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Summary of Product Characteristics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SMQ</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 xml:space="preserve">Standardized </w:t>
            </w:r>
            <w:r w:rsidR="00EF7D1E" w:rsidRPr="00EC0EEE">
              <w:rPr>
                <w:rFonts w:eastAsia="TimesNewRoman" w:cs="TimesNewRoman"/>
              </w:rPr>
              <w:t>MedDRA</w:t>
            </w:r>
            <w:r w:rsidRPr="00EC0EEE">
              <w:rPr>
                <w:rFonts w:eastAsia="TimesNewRoman" w:cs="TimesNewRoman"/>
              </w:rPr>
              <w:t xml:space="preserve"> query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SOC</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System organ class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SOP</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Standard operating procedures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B3596" w:rsidP="004C620F">
            <w:pPr>
              <w:rPr>
                <w:rFonts w:cstheme="minorHAnsi"/>
              </w:rPr>
            </w:pPr>
            <w:r>
              <w:t>t</w:t>
            </w:r>
            <w:r w:rsidRPr="004B3596">
              <w:rPr>
                <w:vertAlign w:val="subscript"/>
              </w:rPr>
              <w:t>1/2</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Terminal half-life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T2DM</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Type 2 diabetes mellitus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TdP</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sidRPr="00EC0EEE">
              <w:rPr>
                <w:rFonts w:eastAsia="TimesNewRoman" w:cstheme="minorHAnsi"/>
              </w:rPr>
              <w:t>Torsades de pointes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TEAE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Treatment-emergent adverse event</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B3596" w:rsidP="004C620F">
            <w:pPr>
              <w:rPr>
                <w:rFonts w:cstheme="minorHAnsi"/>
              </w:rPr>
            </w:pPr>
            <w:r>
              <w:t>T</w:t>
            </w:r>
            <w:r w:rsidRPr="004B3596">
              <w:rPr>
                <w:vertAlign w:val="subscript"/>
              </w:rPr>
              <w:t>max</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 xml:space="preserve">Time for </w:t>
            </w:r>
            <w:r w:rsidR="004B3596">
              <w:t>C</w:t>
            </w:r>
            <w:r w:rsidR="004B3596" w:rsidRPr="004B3596">
              <w:rPr>
                <w:vertAlign w:val="subscript"/>
              </w:rPr>
              <w:t>max</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TRAP5</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Tartrate-resistant acid phosphatase isoform 5</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cstheme="minorHAnsi"/>
              </w:rPr>
              <w:t>UGE</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Urinary glucose excretion</w:t>
            </w:r>
          </w:p>
        </w:tc>
      </w:tr>
      <w:tr w:rsidR="004C620F" w:rsidRPr="00212752"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3E2983" w:rsidP="004C620F">
            <w:pPr>
              <w:rPr>
                <w:rFonts w:eastAsia="TimesNewRoman" w:cstheme="minorHAnsi"/>
              </w:rPr>
            </w:pPr>
            <w:r>
              <w:t>UGE</w:t>
            </w:r>
            <w:r w:rsidRPr="003E2983">
              <w:rPr>
                <w:vertAlign w:val="subscript"/>
              </w:rPr>
              <w:t>0-24</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cstheme="minorHAnsi"/>
              </w:rPr>
              <w:t xml:space="preserve">Cumulative </w:t>
            </w:r>
            <w:r w:rsidRPr="00EC0EEE">
              <w:rPr>
                <w:rFonts w:eastAsia="TimesNewRoman" w:cstheme="minorHAnsi"/>
              </w:rPr>
              <w:t>urinary glucose excretion over 24 hours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UGT</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Uridine 5’-diphospho-glucuronosyltransferase</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UK</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United Kingdom</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lastRenderedPageBreak/>
              <w:t>UKPDS</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United Kingdom Prospective Diabetes Study</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58709C" w:rsidP="004C620F">
            <w:pPr>
              <w:rPr>
                <w:rFonts w:eastAsia="TimesNewRoman" w:cs="TimesNewRoman"/>
              </w:rPr>
            </w:pPr>
            <w:r>
              <w:rPr>
                <w:rFonts w:eastAsia="TimesNewRoman" w:cs="TimesNewRoman"/>
              </w:rPr>
              <w:t>ULN</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Pr>
                <w:rFonts w:eastAsia="TimesNewRoman" w:cs="TimesNewRoman"/>
              </w:rPr>
              <w:t>U</w:t>
            </w:r>
            <w:r w:rsidRPr="00EC0EEE">
              <w:rPr>
                <w:rFonts w:eastAsia="TimesNewRoman" w:cs="TimesNewRoman"/>
              </w:rPr>
              <w:t>pper limit of normal</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imesNewRoman"/>
              </w:rPr>
            </w:pPr>
            <w:r w:rsidRPr="00EC0EEE">
              <w:rPr>
                <w:rFonts w:eastAsia="TimesNewRoman" w:cs="TimesNewRoman"/>
              </w:rPr>
              <w:t xml:space="preserve">US </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0EEE">
              <w:rPr>
                <w:rFonts w:eastAsia="TimesNewRoman" w:cs="TimesNewRoman"/>
              </w:rPr>
              <w:t>United States</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Vc/F</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Pr>
                <w:rFonts w:cstheme="minorHAnsi"/>
              </w:rPr>
              <w:t>A</w:t>
            </w:r>
            <w:r w:rsidRPr="00EC0EEE">
              <w:rPr>
                <w:rFonts w:cstheme="minorHAnsi"/>
              </w:rPr>
              <w:t>pparent central volume of distribution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eastAsia="TimesNewRoman" w:cstheme="minorHAnsi"/>
              </w:rPr>
            </w:pPr>
            <w:r w:rsidRPr="00EC0EEE">
              <w:rPr>
                <w:rFonts w:eastAsia="TimesNewRoman" w:cstheme="minorHAnsi"/>
              </w:rPr>
              <w:t>Vp/F</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eastAsia="TimesNewRoman" w:cstheme="minorHAnsi"/>
              </w:rPr>
            </w:pPr>
            <w:r>
              <w:rPr>
                <w:rFonts w:cstheme="minorHAnsi"/>
              </w:rPr>
              <w:t>A</w:t>
            </w:r>
            <w:r w:rsidRPr="00EC0EEE">
              <w:rPr>
                <w:rFonts w:cstheme="minorHAnsi"/>
              </w:rPr>
              <w:t>pparent peripheral volume of distribution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eastAsia="TimesNewRoman" w:cstheme="minorHAnsi"/>
              </w:rPr>
              <w:t>Vss</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Pr>
                <w:rFonts w:eastAsia="TimesNewRoman" w:cstheme="minorHAnsi"/>
              </w:rPr>
              <w:t>S</w:t>
            </w:r>
            <w:r w:rsidRPr="00EC0EEE">
              <w:rPr>
                <w:rFonts w:eastAsia="TimesNewRoman" w:cstheme="minorHAnsi"/>
              </w:rPr>
              <w:t>teady-state volume of distribution</w:t>
            </w:r>
          </w:p>
        </w:tc>
      </w:tr>
      <w:tr w:rsidR="004C620F" w:rsidRPr="00F614F6" w:rsidTr="004C620F">
        <w:tc>
          <w:tcPr>
            <w:cnfStyle w:val="001000000000" w:firstRow="0" w:lastRow="0" w:firstColumn="1" w:lastColumn="0" w:oddVBand="0" w:evenVBand="0" w:oddHBand="0" w:evenHBand="0" w:firstRowFirstColumn="0" w:firstRowLastColumn="0" w:lastRowFirstColumn="0" w:lastRowLastColumn="0"/>
            <w:tcW w:w="1951" w:type="dxa"/>
          </w:tcPr>
          <w:p w:rsidR="004C620F" w:rsidRPr="00EC0EEE" w:rsidRDefault="004C620F" w:rsidP="004C620F">
            <w:pPr>
              <w:rPr>
                <w:rFonts w:cstheme="minorHAnsi"/>
              </w:rPr>
            </w:pPr>
            <w:r w:rsidRPr="00EC0EEE">
              <w:rPr>
                <w:rFonts w:eastAsia="TimesNewRoman" w:cstheme="minorHAnsi"/>
              </w:rPr>
              <w:t>Vz/F (oral)</w:t>
            </w:r>
          </w:p>
        </w:tc>
        <w:tc>
          <w:tcPr>
            <w:tcW w:w="6850" w:type="dxa"/>
          </w:tcPr>
          <w:p w:rsidR="004C620F" w:rsidRPr="00EC0EEE" w:rsidRDefault="004C620F" w:rsidP="004C620F">
            <w:pPr>
              <w:cnfStyle w:val="000000000000" w:firstRow="0" w:lastRow="0" w:firstColumn="0" w:lastColumn="0" w:oddVBand="0" w:evenVBand="0" w:oddHBand="0" w:evenHBand="0" w:firstRowFirstColumn="0" w:firstRowLastColumn="0" w:lastRowFirstColumn="0" w:lastRowLastColumn="0"/>
              <w:rPr>
                <w:rFonts w:cstheme="minorHAnsi"/>
              </w:rPr>
            </w:pPr>
            <w:r w:rsidRPr="00EC0EEE">
              <w:rPr>
                <w:rFonts w:eastAsia="TimesNewRoman" w:cstheme="minorHAnsi"/>
              </w:rPr>
              <w:t>Vz/F: apparent volume of distribution following oral administration</w:t>
            </w:r>
          </w:p>
        </w:tc>
      </w:tr>
    </w:tbl>
    <w:p w:rsidR="004C620F" w:rsidRDefault="004C620F">
      <w:pPr>
        <w:spacing w:before="0" w:after="200" w:line="0" w:lineRule="auto"/>
      </w:pPr>
    </w:p>
    <w:p w:rsidR="004C620F" w:rsidRDefault="004C620F">
      <w:pPr>
        <w:spacing w:before="0" w:after="200" w:line="0" w:lineRule="auto"/>
      </w:pPr>
      <w:r>
        <w:br w:type="page"/>
      </w:r>
    </w:p>
    <w:p w:rsidR="004C620F" w:rsidRPr="0058709C" w:rsidRDefault="004C620F" w:rsidP="0058709C">
      <w:pPr>
        <w:pStyle w:val="Heading2"/>
      </w:pPr>
      <w:bookmarkStart w:id="4" w:name="_Toc4571170"/>
      <w:r w:rsidRPr="0058709C">
        <w:lastRenderedPageBreak/>
        <w:t>Submission details</w:t>
      </w:r>
      <w:bookmarkEnd w:id="4"/>
    </w:p>
    <w:p w:rsidR="004C620F" w:rsidRPr="0058709C" w:rsidRDefault="004C620F" w:rsidP="004C620F">
      <w:pPr>
        <w:pStyle w:val="Heading3"/>
      </w:pPr>
      <w:bookmarkStart w:id="5" w:name="_Toc4571171"/>
      <w:r w:rsidRPr="0058709C">
        <w:t>Identifying information</w:t>
      </w:r>
      <w:bookmarkEnd w:id="5"/>
    </w:p>
    <w:tbl>
      <w:tblPr>
        <w:tblStyle w:val="TableGrid"/>
        <w:tblW w:w="0" w:type="auto"/>
        <w:tblLook w:val="04A0" w:firstRow="1" w:lastRow="0" w:firstColumn="1" w:lastColumn="0" w:noHBand="0" w:noVBand="1"/>
      </w:tblPr>
      <w:tblGrid>
        <w:gridCol w:w="2802"/>
        <w:gridCol w:w="6440"/>
      </w:tblGrid>
      <w:tr w:rsidR="004C620F" w:rsidRPr="00216A4C" w:rsidTr="004C620F">
        <w:tc>
          <w:tcPr>
            <w:tcW w:w="2802" w:type="dxa"/>
            <w:shd w:val="clear" w:color="auto" w:fill="0070C0"/>
          </w:tcPr>
          <w:p w:rsidR="004C620F" w:rsidRPr="004C620F" w:rsidRDefault="004C620F" w:rsidP="004C620F">
            <w:pPr>
              <w:rPr>
                <w:b/>
                <w:color w:val="FFFFFF" w:themeColor="background1"/>
              </w:rPr>
            </w:pPr>
            <w:r w:rsidRPr="004C620F">
              <w:rPr>
                <w:b/>
                <w:color w:val="FFFFFF" w:themeColor="background1"/>
              </w:rPr>
              <w:t>Submission number</w:t>
            </w:r>
          </w:p>
        </w:tc>
        <w:tc>
          <w:tcPr>
            <w:tcW w:w="6440" w:type="dxa"/>
          </w:tcPr>
          <w:p w:rsidR="004C620F" w:rsidRPr="00216A4C" w:rsidRDefault="004C620F" w:rsidP="004C620F">
            <w:r w:rsidRPr="00216A4C">
              <w:rPr>
                <w:rFonts w:cstheme="minorHAnsi"/>
              </w:rPr>
              <w:t>PM-2017-0013</w:t>
            </w:r>
            <w:r>
              <w:rPr>
                <w:rFonts w:cstheme="minorHAnsi"/>
              </w:rPr>
              <w:t>30</w:t>
            </w:r>
            <w:r w:rsidRPr="00216A4C">
              <w:rPr>
                <w:rFonts w:cstheme="minorHAnsi"/>
              </w:rPr>
              <w:t>-1-5</w:t>
            </w:r>
          </w:p>
        </w:tc>
      </w:tr>
      <w:tr w:rsidR="004C620F" w:rsidRPr="00216A4C" w:rsidTr="004C620F">
        <w:tc>
          <w:tcPr>
            <w:tcW w:w="2802" w:type="dxa"/>
            <w:shd w:val="clear" w:color="auto" w:fill="0070C0"/>
          </w:tcPr>
          <w:p w:rsidR="004C620F" w:rsidRPr="004C620F" w:rsidRDefault="004C620F" w:rsidP="004C620F">
            <w:pPr>
              <w:rPr>
                <w:b/>
                <w:color w:val="FFFFFF" w:themeColor="background1"/>
              </w:rPr>
            </w:pPr>
            <w:r w:rsidRPr="004C620F">
              <w:rPr>
                <w:b/>
                <w:color w:val="FFFFFF" w:themeColor="background1"/>
              </w:rPr>
              <w:t>Sponsor</w:t>
            </w:r>
          </w:p>
        </w:tc>
        <w:tc>
          <w:tcPr>
            <w:tcW w:w="6440" w:type="dxa"/>
          </w:tcPr>
          <w:p w:rsidR="004C620F" w:rsidRPr="00216A4C" w:rsidRDefault="004C620F" w:rsidP="004C620F">
            <w:r w:rsidRPr="00216A4C">
              <w:t>Merck Sharpe and Dohme (Australia) Pty Ltd.</w:t>
            </w:r>
          </w:p>
        </w:tc>
      </w:tr>
      <w:tr w:rsidR="004C620F" w:rsidRPr="00216A4C" w:rsidTr="004C620F">
        <w:tc>
          <w:tcPr>
            <w:tcW w:w="2802" w:type="dxa"/>
            <w:shd w:val="clear" w:color="auto" w:fill="0070C0"/>
          </w:tcPr>
          <w:p w:rsidR="004C620F" w:rsidRPr="004C620F" w:rsidRDefault="004C620F" w:rsidP="004C620F">
            <w:pPr>
              <w:rPr>
                <w:b/>
                <w:color w:val="FFFFFF" w:themeColor="background1"/>
              </w:rPr>
            </w:pPr>
            <w:r w:rsidRPr="004C620F">
              <w:rPr>
                <w:b/>
                <w:color w:val="FFFFFF" w:themeColor="background1"/>
              </w:rPr>
              <w:t>Trade name</w:t>
            </w:r>
          </w:p>
        </w:tc>
        <w:tc>
          <w:tcPr>
            <w:tcW w:w="6440" w:type="dxa"/>
          </w:tcPr>
          <w:p w:rsidR="004C620F" w:rsidRPr="00216A4C" w:rsidRDefault="004C620F" w:rsidP="004C620F">
            <w:r>
              <w:t>Segluromet</w:t>
            </w:r>
          </w:p>
        </w:tc>
      </w:tr>
      <w:tr w:rsidR="004C620F" w:rsidRPr="00216A4C" w:rsidTr="004C620F">
        <w:tc>
          <w:tcPr>
            <w:tcW w:w="2802" w:type="dxa"/>
            <w:shd w:val="clear" w:color="auto" w:fill="0070C0"/>
          </w:tcPr>
          <w:p w:rsidR="004C620F" w:rsidRPr="004C620F" w:rsidRDefault="004C620F" w:rsidP="004C620F">
            <w:pPr>
              <w:rPr>
                <w:b/>
                <w:color w:val="FFFFFF" w:themeColor="background1"/>
              </w:rPr>
            </w:pPr>
            <w:r w:rsidRPr="004C620F">
              <w:rPr>
                <w:b/>
                <w:color w:val="FFFFFF" w:themeColor="background1"/>
              </w:rPr>
              <w:t>Active substance</w:t>
            </w:r>
          </w:p>
        </w:tc>
        <w:tc>
          <w:tcPr>
            <w:tcW w:w="6440" w:type="dxa"/>
          </w:tcPr>
          <w:p w:rsidR="004C620F" w:rsidRPr="00216A4C" w:rsidRDefault="004C620F" w:rsidP="004C620F">
            <w:r w:rsidRPr="00216A4C">
              <w:t>Ertugliflozin</w:t>
            </w:r>
            <w:r>
              <w:t>/metformin</w:t>
            </w:r>
            <w:r w:rsidRPr="00216A4C">
              <w:t xml:space="preserve"> </w:t>
            </w:r>
            <w:r>
              <w:t>FDC: 2.5/50</w:t>
            </w:r>
            <w:r w:rsidR="007C40A2">
              <w:t>0 mg</w:t>
            </w:r>
            <w:r>
              <w:t>; 2.5/100</w:t>
            </w:r>
            <w:r w:rsidR="007C40A2">
              <w:t>0 mg</w:t>
            </w:r>
            <w:r>
              <w:t>; 7.5/50</w:t>
            </w:r>
            <w:r w:rsidR="007C40A2">
              <w:t>0 mg</w:t>
            </w:r>
            <w:r>
              <w:t>; 7.5/100</w:t>
            </w:r>
            <w:r w:rsidR="007C40A2">
              <w:t>0 mg</w:t>
            </w:r>
            <w:r>
              <w:t>.</w:t>
            </w:r>
          </w:p>
        </w:tc>
      </w:tr>
    </w:tbl>
    <w:p w:rsidR="004C620F" w:rsidRPr="0058709C" w:rsidRDefault="004C620F" w:rsidP="0058709C">
      <w:pPr>
        <w:pStyle w:val="Heading3"/>
      </w:pPr>
      <w:bookmarkStart w:id="6" w:name="_Toc4571172"/>
      <w:r w:rsidRPr="0058709C">
        <w:t>Submission Type</w:t>
      </w:r>
      <w:bookmarkEnd w:id="6"/>
    </w:p>
    <w:p w:rsidR="004C620F" w:rsidRDefault="004C620F" w:rsidP="004C620F">
      <w:r>
        <w:t>This is a</w:t>
      </w:r>
      <w:r w:rsidR="00233AFA">
        <w:t>n</w:t>
      </w:r>
      <w:r>
        <w:t xml:space="preserve"> application to register FDC tablets containing ertugliflozin and metformin tablets for the treatment of </w:t>
      </w:r>
      <w:r w:rsidR="00C86E15">
        <w:t xml:space="preserve">type </w:t>
      </w:r>
      <w:r w:rsidR="0058709C">
        <w:t xml:space="preserve">2 </w:t>
      </w:r>
      <w:r w:rsidR="00C86E15">
        <w:t xml:space="preserve">diabetes mellitus </w:t>
      </w:r>
      <w:r w:rsidR="0058709C">
        <w:t>(T2DM).</w:t>
      </w:r>
    </w:p>
    <w:p w:rsidR="004C620F" w:rsidRDefault="004C620F" w:rsidP="004C620F">
      <w:pPr>
        <w:pStyle w:val="Heading3"/>
      </w:pPr>
      <w:bookmarkStart w:id="7" w:name="_Toc4571173"/>
      <w:r>
        <w:t>Drug class and therapeutic indication</w:t>
      </w:r>
      <w:bookmarkEnd w:id="7"/>
    </w:p>
    <w:p w:rsidR="004C620F" w:rsidRDefault="004C620F" w:rsidP="004C620F">
      <w:r>
        <w:t xml:space="preserve">Ertugliflozin is a new chemical entity belonging to the class of oral, sodium-glucose co-transporter 2 (SGLT2) inhibitors. Metformin is a biguanide agent approved for use in </w:t>
      </w:r>
      <w:r w:rsidR="00C86E15">
        <w:t xml:space="preserve">the </w:t>
      </w:r>
      <w:r>
        <w:t>USA, EU, Australia and several other countries throughout the world as an adjunct to diet and exercise for the treatment of T2DM.</w:t>
      </w:r>
    </w:p>
    <w:p w:rsidR="00C86E15" w:rsidRDefault="004C620F" w:rsidP="004C620F">
      <w:r>
        <w:t>The proposed indication is:</w:t>
      </w:r>
    </w:p>
    <w:p w:rsidR="004C620F" w:rsidRPr="00DA242E" w:rsidRDefault="004C620F" w:rsidP="00DA242E">
      <w:pPr>
        <w:ind w:left="720"/>
        <w:rPr>
          <w:i/>
        </w:rPr>
      </w:pPr>
      <w:r w:rsidRPr="00DA242E">
        <w:rPr>
          <w:i/>
        </w:rPr>
        <w:t>MSD-ertugliflozin-metformin or Segluromet (ertugliflozin and metformin hydrochloride) is indicated as an adjunct to diet and exercise to improve glycaemic control in adults with T2DM when treatment with both ertugliflozin and metformin is appropriate.</w:t>
      </w:r>
    </w:p>
    <w:p w:rsidR="004C620F" w:rsidRDefault="004C620F" w:rsidP="00233AFA">
      <w:pPr>
        <w:pStyle w:val="Heading3"/>
      </w:pPr>
      <w:bookmarkStart w:id="8" w:name="_Toc4571174"/>
      <w:r>
        <w:t>Dosage forms and strengths</w:t>
      </w:r>
      <w:bookmarkEnd w:id="8"/>
    </w:p>
    <w:p w:rsidR="004C620F" w:rsidRDefault="004C620F" w:rsidP="004C620F">
      <w:r>
        <w:t>FDC tablets containing ertugliflozin/metformin in the following strengths: 2.5/50</w:t>
      </w:r>
      <w:r w:rsidR="007C40A2">
        <w:t>0 mg</w:t>
      </w:r>
      <w:r>
        <w:t>; 2.5/100</w:t>
      </w:r>
      <w:r w:rsidR="007C40A2">
        <w:t>0 mg</w:t>
      </w:r>
      <w:r>
        <w:t>; 7.5/50</w:t>
      </w:r>
      <w:r w:rsidR="007C40A2">
        <w:t>0 mg</w:t>
      </w:r>
      <w:r>
        <w:t>; 7.5/100</w:t>
      </w:r>
      <w:r w:rsidR="007C40A2">
        <w:t>0 mg</w:t>
      </w:r>
      <w:r>
        <w:t>.</w:t>
      </w:r>
    </w:p>
    <w:p w:rsidR="004C620F" w:rsidRDefault="004C620F" w:rsidP="00233AFA">
      <w:pPr>
        <w:pStyle w:val="Heading3"/>
      </w:pPr>
      <w:bookmarkStart w:id="9" w:name="_Toc4571175"/>
      <w:r>
        <w:t>Dosage and administration</w:t>
      </w:r>
      <w:bookmarkEnd w:id="9"/>
    </w:p>
    <w:p w:rsidR="004C620F" w:rsidRDefault="004C620F" w:rsidP="004C620F">
      <w:r>
        <w:t>The following information was provided in the ‘dosage and administration’ section of the proposed PI:</w:t>
      </w:r>
    </w:p>
    <w:p w:rsidR="004C620F" w:rsidRPr="00233AFA" w:rsidRDefault="004C620F" w:rsidP="00233AFA">
      <w:pPr>
        <w:ind w:left="360"/>
        <w:rPr>
          <w:i/>
        </w:rPr>
      </w:pPr>
      <w:r w:rsidRPr="00233AFA">
        <w:rPr>
          <w:b/>
          <w:i/>
        </w:rPr>
        <w:t>General</w:t>
      </w:r>
    </w:p>
    <w:p w:rsidR="004C620F" w:rsidRPr="00233AFA" w:rsidRDefault="004C620F" w:rsidP="00233AFA">
      <w:pPr>
        <w:pStyle w:val="ListBullet"/>
        <w:ind w:left="720"/>
        <w:rPr>
          <w:i/>
        </w:rPr>
      </w:pPr>
      <w:r w:rsidRPr="00233AFA">
        <w:rPr>
          <w:i/>
        </w:rPr>
        <w:t>Individualize the starting dose of MSD-ertugliflozin-metformin (ertugliflozin and metformin hydrochloride) based on the patient’s current regimen:</w:t>
      </w:r>
    </w:p>
    <w:p w:rsidR="004C620F" w:rsidRPr="00233AFA" w:rsidRDefault="004C620F" w:rsidP="00233AFA">
      <w:pPr>
        <w:pStyle w:val="ListBullet2"/>
        <w:ind w:left="1080"/>
        <w:rPr>
          <w:i/>
        </w:rPr>
      </w:pPr>
      <w:r w:rsidRPr="00233AFA">
        <w:rPr>
          <w:i/>
        </w:rPr>
        <w:t>In patients on metformin, switch to MSD-ertugliflozin-metformin tablets containing 2.</w:t>
      </w:r>
      <w:r w:rsidR="007C40A2">
        <w:rPr>
          <w:i/>
        </w:rPr>
        <w:t>5 mg</w:t>
      </w:r>
      <w:r w:rsidRPr="00233AFA">
        <w:rPr>
          <w:i/>
        </w:rPr>
        <w:t xml:space="preserve"> ertugliflozin, with a similar total daily dose of metformin.</w:t>
      </w:r>
    </w:p>
    <w:p w:rsidR="004C620F" w:rsidRPr="00233AFA" w:rsidRDefault="004C620F" w:rsidP="00233AFA">
      <w:pPr>
        <w:pStyle w:val="ListBullet2"/>
        <w:ind w:left="1080"/>
        <w:rPr>
          <w:i/>
        </w:rPr>
      </w:pPr>
      <w:r w:rsidRPr="00233AFA">
        <w:rPr>
          <w:i/>
        </w:rPr>
        <w:t>In patients on ertugliflozin, switch to MSD-ertugliflozin-metformin tablets containing 500 mg metformin, with a similar total daily dose of ertugliflozin.</w:t>
      </w:r>
    </w:p>
    <w:p w:rsidR="004C620F" w:rsidRPr="00233AFA" w:rsidRDefault="004C620F" w:rsidP="00233AFA">
      <w:pPr>
        <w:pStyle w:val="ListBullet2"/>
        <w:ind w:left="1080"/>
        <w:rPr>
          <w:i/>
        </w:rPr>
      </w:pPr>
      <w:r w:rsidRPr="00233AFA">
        <w:rPr>
          <w:i/>
        </w:rPr>
        <w:t>In patients already treated with ertugliflozin and metformin, switch to MSD ertugliflozin-metformin tablets containing the same total daily dose of ertugliflozin and a similar daily dose of metformin.</w:t>
      </w:r>
    </w:p>
    <w:p w:rsidR="004C620F" w:rsidRPr="00233AFA" w:rsidRDefault="004C620F" w:rsidP="00233AFA">
      <w:pPr>
        <w:pStyle w:val="ListBullet"/>
        <w:ind w:left="720"/>
        <w:rPr>
          <w:i/>
        </w:rPr>
      </w:pPr>
      <w:r w:rsidRPr="00233AFA">
        <w:rPr>
          <w:i/>
        </w:rPr>
        <w:lastRenderedPageBreak/>
        <w:t>Take MSD-ertugliflozin-metformin twice daily with meals, with gradual dose escalation for those initiating metformin to reduce the gastrointestinal side effects due to metformin</w:t>
      </w:r>
    </w:p>
    <w:p w:rsidR="004C620F" w:rsidRPr="00233AFA" w:rsidRDefault="004C620F" w:rsidP="00233AFA">
      <w:pPr>
        <w:pStyle w:val="ListBullet"/>
        <w:ind w:left="720"/>
        <w:rPr>
          <w:i/>
        </w:rPr>
      </w:pPr>
      <w:r w:rsidRPr="00233AFA">
        <w:rPr>
          <w:i/>
        </w:rPr>
        <w:t xml:space="preserve">In patients with volume depletion not previously treated with ertugliflozin, correcting this condition prior to initiation of MSD-ertugliflozin-metformin is recommended </w:t>
      </w:r>
      <w:r w:rsidR="00CE07A4">
        <w:rPr>
          <w:i/>
        </w:rPr>
        <w:t>(</w:t>
      </w:r>
      <w:r w:rsidRPr="00233AFA">
        <w:rPr>
          <w:i/>
        </w:rPr>
        <w:t>see</w:t>
      </w:r>
      <w:r w:rsidR="00233AFA" w:rsidRPr="00233AFA">
        <w:rPr>
          <w:i/>
        </w:rPr>
        <w:t xml:space="preserve"> Precautions</w:t>
      </w:r>
      <w:r w:rsidR="00CE07A4">
        <w:rPr>
          <w:i/>
        </w:rPr>
        <w:t>)</w:t>
      </w:r>
      <w:r w:rsidRPr="00233AFA">
        <w:rPr>
          <w:i/>
        </w:rPr>
        <w:t>.</w:t>
      </w:r>
    </w:p>
    <w:p w:rsidR="004C620F" w:rsidRPr="00233AFA" w:rsidRDefault="004C620F" w:rsidP="00233AFA">
      <w:pPr>
        <w:pStyle w:val="ListBullet"/>
        <w:ind w:left="720"/>
        <w:rPr>
          <w:i/>
        </w:rPr>
      </w:pPr>
      <w:r w:rsidRPr="00233AFA">
        <w:rPr>
          <w:i/>
        </w:rPr>
        <w:t>Dosing may be adjusted based on effectiveness and tolerability while not exceeding the maximum recommended daily dose of 15 mg ertugliflozin and 2,000 mg metformin HCl.</w:t>
      </w:r>
    </w:p>
    <w:p w:rsidR="004C620F" w:rsidRPr="00233AFA" w:rsidRDefault="004C620F" w:rsidP="00233AFA">
      <w:pPr>
        <w:ind w:left="360"/>
        <w:rPr>
          <w:b/>
          <w:i/>
        </w:rPr>
      </w:pPr>
      <w:r w:rsidRPr="00233AFA">
        <w:rPr>
          <w:b/>
          <w:i/>
        </w:rPr>
        <w:t>Renal Impairment</w:t>
      </w:r>
    </w:p>
    <w:p w:rsidR="004C620F" w:rsidRPr="00233AFA" w:rsidRDefault="004C620F" w:rsidP="00233AFA">
      <w:pPr>
        <w:ind w:left="360"/>
        <w:rPr>
          <w:i/>
        </w:rPr>
      </w:pPr>
      <w:r w:rsidRPr="00233AFA">
        <w:rPr>
          <w:i/>
        </w:rPr>
        <w:t xml:space="preserve">Assess renal function prior to initiation of MSD-ertugliflozin-metformin and periodically thereafter </w:t>
      </w:r>
      <w:r w:rsidR="00CE07A4">
        <w:rPr>
          <w:i/>
        </w:rPr>
        <w:t>(</w:t>
      </w:r>
      <w:r w:rsidRPr="00233AFA">
        <w:rPr>
          <w:i/>
        </w:rPr>
        <w:t xml:space="preserve">see </w:t>
      </w:r>
      <w:r w:rsidR="00233AFA">
        <w:rPr>
          <w:i/>
        </w:rPr>
        <w:t>Precautions</w:t>
      </w:r>
      <w:r w:rsidR="00CE07A4">
        <w:rPr>
          <w:i/>
        </w:rPr>
        <w:t>)</w:t>
      </w:r>
      <w:r w:rsidRPr="00233AFA">
        <w:rPr>
          <w:i/>
        </w:rPr>
        <w:t>. MSD-ertugliflozin-metformin is contraindicated in patients with an eGFR less than 60 mL/min/</w:t>
      </w:r>
      <w:r w:rsidR="002629A1">
        <w:t>1.73 m</w:t>
      </w:r>
      <w:r w:rsidR="002629A1" w:rsidRPr="002629A1">
        <w:rPr>
          <w:vertAlign w:val="superscript"/>
        </w:rPr>
        <w:t>2</w:t>
      </w:r>
      <w:r w:rsidRPr="00233AFA">
        <w:rPr>
          <w:i/>
        </w:rPr>
        <w:t xml:space="preserve"> or a CrCl less than 60 mL/min </w:t>
      </w:r>
      <w:r w:rsidR="00CE07A4">
        <w:rPr>
          <w:i/>
        </w:rPr>
        <w:t>(</w:t>
      </w:r>
      <w:r w:rsidRPr="00233AFA">
        <w:rPr>
          <w:i/>
        </w:rPr>
        <w:t xml:space="preserve">see </w:t>
      </w:r>
      <w:r w:rsidR="00233AFA">
        <w:rPr>
          <w:i/>
        </w:rPr>
        <w:t>Contraindications</w:t>
      </w:r>
      <w:r w:rsidRPr="00233AFA">
        <w:rPr>
          <w:i/>
        </w:rPr>
        <w:t xml:space="preserve"> and </w:t>
      </w:r>
      <w:r w:rsidR="00233AFA">
        <w:rPr>
          <w:i/>
        </w:rPr>
        <w:t>Precautions</w:t>
      </w:r>
      <w:r w:rsidR="00CE07A4">
        <w:rPr>
          <w:i/>
        </w:rPr>
        <w:t>)</w:t>
      </w:r>
      <w:r w:rsidRPr="00233AFA">
        <w:rPr>
          <w:i/>
        </w:rPr>
        <w:t>.</w:t>
      </w:r>
    </w:p>
    <w:p w:rsidR="004C620F" w:rsidRPr="00233AFA" w:rsidRDefault="004C620F" w:rsidP="00233AFA">
      <w:pPr>
        <w:ind w:left="360"/>
        <w:rPr>
          <w:b/>
          <w:i/>
        </w:rPr>
      </w:pPr>
      <w:r w:rsidRPr="00233AFA">
        <w:rPr>
          <w:b/>
          <w:i/>
        </w:rPr>
        <w:t>Hepatic Impairment</w:t>
      </w:r>
    </w:p>
    <w:p w:rsidR="004C620F" w:rsidRPr="00233AFA" w:rsidRDefault="004C620F" w:rsidP="00233AFA">
      <w:pPr>
        <w:ind w:left="360"/>
        <w:rPr>
          <w:i/>
        </w:rPr>
      </w:pPr>
      <w:r w:rsidRPr="00233AFA">
        <w:rPr>
          <w:i/>
        </w:rPr>
        <w:t xml:space="preserve">Use of metformin in patients with hepatic impairment has been associated with some cases of lactic acidosis. MSD-ertugliflozin-metformin is not recommended in patients with hepatic impairment </w:t>
      </w:r>
      <w:r w:rsidR="00CE07A4">
        <w:rPr>
          <w:i/>
        </w:rPr>
        <w:t>(</w:t>
      </w:r>
      <w:r w:rsidRPr="00233AFA">
        <w:rPr>
          <w:i/>
        </w:rPr>
        <w:t xml:space="preserve">see </w:t>
      </w:r>
      <w:r w:rsidR="00233AFA">
        <w:rPr>
          <w:i/>
        </w:rPr>
        <w:t>Precautions</w:t>
      </w:r>
      <w:r w:rsidR="00CE07A4">
        <w:rPr>
          <w:i/>
        </w:rPr>
        <w:t>)</w:t>
      </w:r>
      <w:r w:rsidRPr="00233AFA">
        <w:rPr>
          <w:i/>
        </w:rPr>
        <w:t>.</w:t>
      </w:r>
    </w:p>
    <w:p w:rsidR="004C620F" w:rsidRPr="00233AFA" w:rsidRDefault="004C620F" w:rsidP="00233AFA">
      <w:pPr>
        <w:ind w:left="360"/>
        <w:rPr>
          <w:b/>
          <w:i/>
        </w:rPr>
      </w:pPr>
      <w:r w:rsidRPr="00233AFA">
        <w:rPr>
          <w:b/>
          <w:i/>
        </w:rPr>
        <w:t>Paediatric Population</w:t>
      </w:r>
    </w:p>
    <w:p w:rsidR="004C620F" w:rsidRPr="00233AFA" w:rsidRDefault="004C620F" w:rsidP="00233AFA">
      <w:pPr>
        <w:ind w:left="360"/>
        <w:rPr>
          <w:i/>
        </w:rPr>
      </w:pPr>
      <w:r w:rsidRPr="00233AFA">
        <w:rPr>
          <w:i/>
        </w:rPr>
        <w:t>Safety and effectiveness of MSD-ertugliflozin-metformin in paediatric patients under 18 years of age have not been established.</w:t>
      </w:r>
    </w:p>
    <w:p w:rsidR="004C620F" w:rsidRPr="00233AFA" w:rsidRDefault="004C620F" w:rsidP="00233AFA">
      <w:pPr>
        <w:ind w:left="360"/>
        <w:rPr>
          <w:b/>
          <w:i/>
        </w:rPr>
      </w:pPr>
      <w:r w:rsidRPr="00233AFA">
        <w:rPr>
          <w:b/>
          <w:i/>
        </w:rPr>
        <w:t>Elderly</w:t>
      </w:r>
    </w:p>
    <w:p w:rsidR="004C620F" w:rsidRPr="00233AFA" w:rsidRDefault="004C620F" w:rsidP="00233AFA">
      <w:pPr>
        <w:ind w:left="360"/>
        <w:rPr>
          <w:i/>
        </w:rPr>
      </w:pPr>
      <w:r w:rsidRPr="00233AFA">
        <w:rPr>
          <w:i/>
        </w:rPr>
        <w:t xml:space="preserve">No dosage adjustment of MSD-ertugliflozin-metformin is recommended based on age. Elderly patients are more likely to have decreased renal function. Because renal function abnormalities can occur after initiating ertugliflozin, and metformin is known to be substantially excreted by the kidneys, care should be taken in dose selection in the elderly. It may be useful to assess renal function in these patients prior to initiating dosing and periodically thereafter </w:t>
      </w:r>
      <w:r w:rsidR="00CE07A4">
        <w:rPr>
          <w:i/>
        </w:rPr>
        <w:t>(</w:t>
      </w:r>
      <w:r w:rsidRPr="00233AFA">
        <w:rPr>
          <w:i/>
        </w:rPr>
        <w:t xml:space="preserve">see </w:t>
      </w:r>
      <w:r w:rsidR="00233AFA">
        <w:rPr>
          <w:i/>
        </w:rPr>
        <w:t>Precautions</w:t>
      </w:r>
      <w:r w:rsidR="00CE07A4">
        <w:rPr>
          <w:i/>
        </w:rPr>
        <w:t>)</w:t>
      </w:r>
      <w:r w:rsidRPr="00233AFA">
        <w:rPr>
          <w:i/>
        </w:rPr>
        <w:t>.</w:t>
      </w:r>
    </w:p>
    <w:p w:rsidR="004C620F" w:rsidRPr="0058709C" w:rsidRDefault="00233AFA" w:rsidP="00A03C19">
      <w:pPr>
        <w:pStyle w:val="Heading2"/>
      </w:pPr>
      <w:bookmarkStart w:id="10" w:name="_Toc4571176"/>
      <w:r w:rsidRPr="0058709C">
        <w:t>Background</w:t>
      </w:r>
      <w:bookmarkEnd w:id="10"/>
    </w:p>
    <w:p w:rsidR="004C620F" w:rsidRPr="0058709C" w:rsidRDefault="004C620F" w:rsidP="0058709C">
      <w:pPr>
        <w:pStyle w:val="Heading3"/>
      </w:pPr>
      <w:bookmarkStart w:id="11" w:name="_Toc4571177"/>
      <w:r w:rsidRPr="0058709C">
        <w:t>Information on the condition being treated</w:t>
      </w:r>
      <w:bookmarkEnd w:id="11"/>
    </w:p>
    <w:p w:rsidR="004C620F" w:rsidRDefault="004C620F" w:rsidP="004C620F">
      <w:r>
        <w:t>The increasing worldwide prevalence of T2DM, along with its microvascular and macrovascular complications, is a major health issue and poses an increasing burden to health care systems around the world. The worldwide prevalence of diabetes in adults is expected to increase from 8.8% in 2015 (approximately 415 million people) to an estimated 10.4% (642 million people) by 2040; this represents a 55% increase in the number of people with diabetes relative to 2015. There are 1.7 million Australians with diabetes (85% of these have T2DM). Type 2 diabetes is associated with reduced life expectancy, significant morbidity due to the specific diabetes related microvascular complications (retinopathy, nephropathy and neuropathy), and the increased risk of macrovascular complications (ischemic heart disease, stroke and peripheral vascular disease). The development of these complications impacts on quality of life.</w:t>
      </w:r>
    </w:p>
    <w:p w:rsidR="004C620F" w:rsidRDefault="004C620F" w:rsidP="004C620F">
      <w:r>
        <w:t xml:space="preserve">Multiple pathophysiologic deficits contribute to hyperglycaemia in patients with T2DM. Insulin resistance in muscle and liver as well as </w:t>
      </w:r>
      <w:r w:rsidR="007C40A2">
        <w:t>beta-cell</w:t>
      </w:r>
      <w:r>
        <w:t xml:space="preserve"> failure represent the core pathophysiologic defects in T2DM. Approximately 85% of patients with T2DM are obese or overweight, a key factor underlying the development and maintenance of insulin resistance. In addition to muscle and liver, the kidney also plays a key role in glucose homeostasis. Under normal physiologic conditions, the kidney reabsorbs all of the glucose from the glomerular filtrate, and returns it to </w:t>
      </w:r>
      <w:r>
        <w:lastRenderedPageBreak/>
        <w:t>the blood. The SGLT2 protein, which is primarily expressed in the renal proximal tubules, is responsible for approximately 90% of the reabsorption of glucose filtered through the glomerulus. Filtered glucose is completely reabsorbed until the transporters reach their maximum capacity, which is called the transport maximum for glucose. The plasma glucose concentration at which this occurs is referred to as the renal threshold for glucose (RTG). Above this threshold, UGE increases in proportion to plasma glucose concentrations. In healthy subjects, the RTG is approximately 1</w:t>
      </w:r>
      <w:r w:rsidR="007C40A2">
        <w:t>0 mmol</w:t>
      </w:r>
      <w:r>
        <w:t>/L. Patients with diabetes have an increase in the RTG compared with healthy subjects such that glucosuria generally does not occur until plasma glucose values reach approximately 13.5mmol/L. Studies have shown that SGLT2 inhibitors lower the RTG, resulting in increased UGE, which is responsible for many of the pharmacodynamic (PD) effects seen with this class of agents. While SGLT2 inhibitors lower the RTG, the new RTG set point is above the usual threshold for hypoglycaemia suggesting that hypoglycaemia is unlikely with this mechanism.</w:t>
      </w:r>
    </w:p>
    <w:p w:rsidR="004C620F" w:rsidRDefault="004C620F" w:rsidP="007C40A2">
      <w:pPr>
        <w:pStyle w:val="Heading3"/>
      </w:pPr>
      <w:bookmarkStart w:id="12" w:name="_Toc4571178"/>
      <w:r>
        <w:t>Current treatment options</w:t>
      </w:r>
      <w:bookmarkEnd w:id="12"/>
    </w:p>
    <w:p w:rsidR="004C620F" w:rsidRDefault="004C620F" w:rsidP="004C620F">
      <w:r>
        <w:t xml:space="preserve">Current guidelines from the American Diabetes Association (ADA), the European Association for the Study of Diabetes (EASD) and Diabetes Australia recommend a stepwise and individualised treatment approach to T2DM. These guidelines recommend metformin as the optimal first-line anti-hyperglycaemic agent (AHA), unless the patient has contraindications to metformin. Subsequently, if the </w:t>
      </w:r>
      <w:r w:rsidR="00C86E15">
        <w:t>A1c</w:t>
      </w:r>
      <w:r>
        <w:t xml:space="preserve"> target is not achieved after approximately 3 months, therapy should be augmented to a 2-drug combination followed by the addition of other AHAs approximately every 3 months if the </w:t>
      </w:r>
      <w:r w:rsidR="00C86E15">
        <w:t>A1c</w:t>
      </w:r>
      <w:r>
        <w:t xml:space="preserve"> goal is not achieved.</w:t>
      </w:r>
    </w:p>
    <w:p w:rsidR="007C40A2" w:rsidRDefault="004C620F" w:rsidP="004C620F">
      <w:r>
        <w:t xml:space="preserve">A number of systematic reviews have examined the relationship between blood glucose control and long term complications in people with T2DM. These studies concluded that improved glycaemic control can reduce retinopathy, renal disease and neuropathy in T2DM. Long term data from the United Kingdom Prospective Diabetes Study (UKPDS; Stratton, 2000) also suggests that glycaemic control reduces the risk of macrovascular complications of T2DM. Although pharmacological intervention, either in the form of a single agent or in combination, may provide effective glycaemic control for some patients, many do not achieve their target </w:t>
      </w:r>
      <w:r w:rsidR="00C86E15">
        <w:t>A1c</w:t>
      </w:r>
      <w:r>
        <w:t xml:space="preserve"> levels, and glycaemic control deteriorates over time. The SGLT2 inhibitors are a new class of agents for T2DM therapy that have been shown to improve glycaemic control, reduce body weight and lower blood pressure.</w:t>
      </w:r>
    </w:p>
    <w:p w:rsidR="004C620F" w:rsidRDefault="004C620F" w:rsidP="004C620F">
      <w:r>
        <w:t>Agents of this class approved for use in Australia include empagliflozin (Jardiance, approved in April 2014), dapagliflozin (Forxiga in Oct, 2012) and canagliflozin (Invokana in Sept 2013). FDCs of empagliflozin with metformin (Jardiamet in July 2015) and dapagliflozin with metformin (Xigduo XR in July 2014) are also approved in Australia.</w:t>
      </w:r>
    </w:p>
    <w:p w:rsidR="004C620F" w:rsidRDefault="004C620F" w:rsidP="007C40A2">
      <w:pPr>
        <w:pStyle w:val="Heading3"/>
      </w:pPr>
      <w:bookmarkStart w:id="13" w:name="_Toc4571179"/>
      <w:r>
        <w:t>Clinical rationale</w:t>
      </w:r>
      <w:bookmarkEnd w:id="13"/>
    </w:p>
    <w:p w:rsidR="004C620F" w:rsidRDefault="004C620F" w:rsidP="004C620F">
      <w:r>
        <w:t>As the pathogenesis of T2DM involves multiple metabolic defects, combination therapy with</w:t>
      </w:r>
      <w:r w:rsidR="007C40A2">
        <w:t xml:space="preserve"> </w:t>
      </w:r>
      <w:r>
        <w:t xml:space="preserve">AHA agents that have different mechanisms of action can achieve robust reductions in </w:t>
      </w:r>
      <w:r w:rsidR="00C86E15">
        <w:t>A1c</w:t>
      </w:r>
      <w:r>
        <w:t xml:space="preserve"> enabling patients to reach treatment goals. A FDC therapy may also help to improve treatment adherence.</w:t>
      </w:r>
    </w:p>
    <w:p w:rsidR="004C620F" w:rsidRDefault="004C620F" w:rsidP="004C620F">
      <w:r>
        <w:t>The ertugliflozin/metformin FDC combines two AHAs with complementary mechanisms of action to improve glycaemic control in patients with T2DM. Ertugliflozin is a highly selective SGLT2 inhibitor that increases urinary glucose excretion (UGE) via inhibition of renal tubular urinary glucose reabsorption. In subjects with T2DM, ertugliflozin lowers plasma glucose, achieves clinically significant reductions in glycosylated haemoglobin A1c (</w:t>
      </w:r>
      <w:r w:rsidR="00C86E15">
        <w:t>A1c</w:t>
      </w:r>
      <w:r>
        <w:t xml:space="preserve">); ertugliflozin also achieves clinically significant reductions in body weight and SBP. Metformin hydrochloride is an AHA that improves glucose tolerance in patients with T2DM by lowering both basal and </w:t>
      </w:r>
      <w:r>
        <w:lastRenderedPageBreak/>
        <w:t>post-prandial plasma glucose (PPG). It is not chemically or pharmacologically related to any other class of oral AHA. Metformin decreases hepatic glucose production, decreases intestinal absorption of glucose, and improves insulin sensitivity by increasing peripheral glucose uptake and utilization. Metformin is approved for use in the US, EU, Australia and other countries and has an established safety and tolerability profile.</w:t>
      </w:r>
    </w:p>
    <w:p w:rsidR="004C620F" w:rsidRDefault="004C620F" w:rsidP="004C620F">
      <w:r>
        <w:t>Combination therapy with ertugliflozin and metformin could also be beneficial given the findings that glucosuria produced by SGLT2 is accompanied by an increase in endogenous glucose production, which is possibly the result of an increase in glucagon, while metformin improves glycaemic control (in part) by decreasing hepatic glucose production.</w:t>
      </w:r>
    </w:p>
    <w:p w:rsidR="004C620F" w:rsidRDefault="004C620F" w:rsidP="004C620F">
      <w:r>
        <w:t xml:space="preserve">Observational studies demonstrate that treatment modification or intensification in patients with inadequate glycaemic control on monotherapy is frequently delayed (Khunti L, 2013; Fu Az, 2011). Furthermore, patients with very high </w:t>
      </w:r>
      <w:r w:rsidR="00C86E15">
        <w:t>A1c</w:t>
      </w:r>
      <w:r>
        <w:t xml:space="preserve"> levels are also unlikely to attain </w:t>
      </w:r>
      <w:r w:rsidR="00C86E15">
        <w:t>A1c</w:t>
      </w:r>
      <w:r>
        <w:t xml:space="preserve"> treatment goals with just a single agent. Current guidelines from the ADA and the EASD state that initial combination therapy with metformin and a second agent may allow some patients with baseline </w:t>
      </w:r>
      <w:r w:rsidR="00C86E15">
        <w:t>A1c</w:t>
      </w:r>
      <w:r>
        <w:t xml:space="preserve"> levels well above target to more quickly achieve their </w:t>
      </w:r>
      <w:r w:rsidR="00C86E15">
        <w:t>A1c</w:t>
      </w:r>
      <w:r>
        <w:t xml:space="preserve"> goal than sequentially adding on a second agent following metformin failure. The ADA/EASD guidelines state that a reasonable threshold for initial dual combination therapy with metformin and a second agent is for subjects with an </w:t>
      </w:r>
      <w:r w:rsidR="00C86E15">
        <w:t>A1c</w:t>
      </w:r>
      <w:r>
        <w:t xml:space="preserve"> </w:t>
      </w:r>
      <w:r w:rsidR="00094198">
        <w:t xml:space="preserve">&gt; </w:t>
      </w:r>
      <w:r>
        <w:t xml:space="preserve">9%. Guidelines from the American Association of Clinical Endocrinologists (AACE) recommend initiation of dual anti-hyperglycaemic therapy in patients presenting with an </w:t>
      </w:r>
      <w:r w:rsidR="00C86E15">
        <w:t>A1c</w:t>
      </w:r>
      <w:r>
        <w:t xml:space="preserve"> between 7.6% to 9.0%, because monotherapy is unlikely to result in the AACE goal attainment of an </w:t>
      </w:r>
      <w:r w:rsidR="00C86E15">
        <w:t>A1c</w:t>
      </w:r>
      <w:r>
        <w:t xml:space="preserve"> </w:t>
      </w:r>
      <w:r w:rsidR="00094198">
        <w:t xml:space="preserve">&lt; </w:t>
      </w:r>
      <w:r>
        <w:t>6.5% (AACE guidelines, 2002).</w:t>
      </w:r>
    </w:p>
    <w:p w:rsidR="004C620F" w:rsidRDefault="004C620F" w:rsidP="0034721C">
      <w:pPr>
        <w:pStyle w:val="Heading3"/>
      </w:pPr>
      <w:bookmarkStart w:id="14" w:name="_Toc4571180"/>
      <w:r>
        <w:t>Formulation development</w:t>
      </w:r>
      <w:bookmarkEnd w:id="14"/>
    </w:p>
    <w:p w:rsidR="004C620F" w:rsidRDefault="004C620F" w:rsidP="0034721C">
      <w:pPr>
        <w:pStyle w:val="Comment"/>
      </w:pPr>
      <w:r w:rsidRPr="0034721C">
        <w:rPr>
          <w:b/>
        </w:rPr>
        <w:t>Comment</w:t>
      </w:r>
      <w:r w:rsidR="0058709C">
        <w:t xml:space="preserve">: </w:t>
      </w:r>
      <w:r w:rsidR="00C86E15">
        <w:t xml:space="preserve"> </w:t>
      </w:r>
      <w:r>
        <w:t>For information regarding the Formula Development of the MSD-Ertugliflozin tablets pleas</w:t>
      </w:r>
      <w:r w:rsidR="0058709C">
        <w:t xml:space="preserve">e refer the CER for Submission </w:t>
      </w:r>
      <w:r>
        <w:t>PM-2017-01328-1-5</w:t>
      </w:r>
      <w:r w:rsidR="00C86E15">
        <w:t xml:space="preserve"> (available as Attachment 2)</w:t>
      </w:r>
      <w:r>
        <w:t>.</w:t>
      </w:r>
    </w:p>
    <w:p w:rsidR="004C620F" w:rsidRDefault="004C620F" w:rsidP="004C620F">
      <w:r>
        <w:t>Six strengths of film-coated, immediate-release (IR), FDC tablets containing ertugliflozin and metformin for twice daily dosing (</w:t>
      </w:r>
      <w:r w:rsidR="00B3476E">
        <w:t>BD</w:t>
      </w:r>
      <w:r>
        <w:t>) have been developed and proposed for commercialisation: ertugliflozin 2.5 mg/metformin 500 mg; ertugliflozin 7.5 mg/metformin 500 mg; ertugliflozin 2.5 mg/metformin 850 mg; ertugliflozin 7.5 mg/metformin 850 mg; ertugliflozin 2.5 mg/metformin 1000 mg; and ertugliflozin 7.5 mg/metformin 1000 mg. The proposed FDC commercial tablet formulations are identical to the ertugliflozin/metformin FDC tablets which were used in the BE studies.</w:t>
      </w:r>
    </w:p>
    <w:p w:rsidR="004C620F" w:rsidRDefault="004C620F" w:rsidP="004C620F">
      <w:r>
        <w:t xml:space="preserve">For all 6 FDC strengths, dissolution studies indicated that </w:t>
      </w:r>
      <w:r w:rsidR="00094198">
        <w:t xml:space="preserve">&gt; </w:t>
      </w:r>
      <w:r>
        <w:t>85% of the active components were released in 15 minutes and therefore the FDC tablets are classified as very rapidly dissolving. In addition, there was no pH effect on the dissolution release rate and all strengths of ertugliflozin/metformin tablets had similar release profiles.</w:t>
      </w:r>
    </w:p>
    <w:p w:rsidR="004C620F" w:rsidRPr="0058709C" w:rsidRDefault="004C620F" w:rsidP="0058709C">
      <w:pPr>
        <w:pStyle w:val="Heading4"/>
      </w:pPr>
      <w:r w:rsidRPr="0058709C">
        <w:t>Excipients</w:t>
      </w:r>
    </w:p>
    <w:p w:rsidR="004C620F" w:rsidRDefault="004C620F" w:rsidP="004C620F">
      <w:r>
        <w:t>Each film-coated tablet of MSD-ertugliflozin-metformin contains the following inactive ingredients: povidone, microcrystalline cellulose, crospovidone, sodium lauryl sulphate, and magnesium stearate.</w:t>
      </w:r>
    </w:p>
    <w:p w:rsidR="004C620F" w:rsidRDefault="004C620F" w:rsidP="004C620F">
      <w:r>
        <w:t>The film coating contains: hypromellose, hydroxypropyl cellulose, titanium dioxide, iron oxide red, and carnauba wax.</w:t>
      </w:r>
    </w:p>
    <w:p w:rsidR="004C620F" w:rsidRDefault="004C620F" w:rsidP="0034721C">
      <w:pPr>
        <w:pStyle w:val="Heading3"/>
      </w:pPr>
      <w:bookmarkStart w:id="15" w:name="_Toc4571181"/>
      <w:r>
        <w:t>Related submissions</w:t>
      </w:r>
      <w:bookmarkEnd w:id="15"/>
    </w:p>
    <w:p w:rsidR="00255E9C" w:rsidRDefault="004C620F" w:rsidP="004C620F">
      <w:r>
        <w:t>Ertugliflozin and FDCs of ertugliflozin are being co-developed by Merck Sharp &amp; Dohme Corp., a subsidiary of Merck &amp; Co., Inc. (Merck), and Pfizer Inc, with Merck serving as the regulatory sponsor. Registration of ertugliflozin (</w:t>
      </w:r>
      <w:r w:rsidR="0034721C">
        <w:t>Steglatro</w:t>
      </w:r>
      <w:r>
        <w:t>), ertugliflozin/sitagliptin FDC (</w:t>
      </w:r>
      <w:r w:rsidR="0034721C">
        <w:t>Steglujan</w:t>
      </w:r>
      <w:r>
        <w:t xml:space="preserve">) and </w:t>
      </w:r>
      <w:r>
        <w:lastRenderedPageBreak/>
        <w:t>ertugliflozin/metformin FDC (Segluromet) for the treatment of T2DM are being pursued concurrently</w:t>
      </w:r>
      <w:r w:rsidR="00255E9C">
        <w:t>.</w:t>
      </w:r>
    </w:p>
    <w:p w:rsidR="004C620F" w:rsidRPr="0058709C" w:rsidRDefault="0034721C" w:rsidP="0058709C">
      <w:pPr>
        <w:pStyle w:val="Heading3"/>
      </w:pPr>
      <w:bookmarkStart w:id="16" w:name="_Toc4571182"/>
      <w:r w:rsidRPr="0058709C">
        <w:t>G</w:t>
      </w:r>
      <w:r w:rsidR="004C620F" w:rsidRPr="0058709C">
        <w:t>uidance</w:t>
      </w:r>
      <w:bookmarkEnd w:id="16"/>
    </w:p>
    <w:p w:rsidR="00255E9C" w:rsidRDefault="004C620F" w:rsidP="004C620F">
      <w:r>
        <w:t>Relevant guidelines for this dossier include the Guideline on Clinical development of Fixed Combination Medicinal products (CHMP/EWP/240/95/2009) and Guideline on clinical investigation of medicinal products in the treatment or prevention of diabetes mellitus (CPMP/EWP/1080/2012). The clinical development program was compliant with these guidelines</w:t>
      </w:r>
      <w:r w:rsidR="00255E9C">
        <w:t>.</w:t>
      </w:r>
    </w:p>
    <w:p w:rsidR="004C620F" w:rsidRDefault="004C620F" w:rsidP="0034721C">
      <w:pPr>
        <w:pStyle w:val="Heading3"/>
      </w:pPr>
      <w:bookmarkStart w:id="17" w:name="_Toc4571183"/>
      <w:r>
        <w:t>Evaluator’s commentary on the background information</w:t>
      </w:r>
      <w:bookmarkEnd w:id="17"/>
    </w:p>
    <w:p w:rsidR="004C620F" w:rsidRDefault="004C620F" w:rsidP="004C620F">
      <w:r>
        <w:t>Evaluation of background information did not raise any concerns. The stated clinical rationale is valid and acceptable.</w:t>
      </w:r>
    </w:p>
    <w:p w:rsidR="004C620F" w:rsidRPr="00A03C19" w:rsidRDefault="0034721C" w:rsidP="0058709C">
      <w:pPr>
        <w:pStyle w:val="Heading2"/>
      </w:pPr>
      <w:bookmarkStart w:id="18" w:name="_Toc4571184"/>
      <w:r w:rsidRPr="00A03C19">
        <w:t>Contents of the clinical dossier</w:t>
      </w:r>
      <w:bookmarkEnd w:id="18"/>
    </w:p>
    <w:p w:rsidR="004C620F" w:rsidRPr="0058709C" w:rsidRDefault="004C620F" w:rsidP="0058709C">
      <w:pPr>
        <w:pStyle w:val="Heading3"/>
      </w:pPr>
      <w:bookmarkStart w:id="19" w:name="_Toc4571185"/>
      <w:r w:rsidRPr="0058709C">
        <w:t>Scope of the clinical dossier</w:t>
      </w:r>
      <w:bookmarkEnd w:id="19"/>
    </w:p>
    <w:p w:rsidR="004C620F" w:rsidRDefault="0058709C" w:rsidP="0034721C">
      <w:pPr>
        <w:pStyle w:val="Heading4"/>
      </w:pPr>
      <w:r>
        <w:t>Clinical Pharmacology</w:t>
      </w:r>
    </w:p>
    <w:p w:rsidR="004C620F" w:rsidRDefault="004C620F" w:rsidP="004C620F">
      <w:r>
        <w:t xml:space="preserve">The current submission comprises seven previously unevaluated, </w:t>
      </w:r>
      <w:r w:rsidR="0034721C">
        <w:t>Phase I</w:t>
      </w:r>
      <w:r>
        <w:t xml:space="preserve"> PK studies, none of which include PD data. Four of the studies examine the BE between the various strengths of the FDC proposed for marketing and the corresponding free combination. In addition, a further 3</w:t>
      </w:r>
      <w:r w:rsidR="00C86E15">
        <w:t> </w:t>
      </w:r>
      <w:r>
        <w:t>studies examined the effect of a high-fat/high-calorie breakfast on the PKs of the active components of the FDC tablets. No new popPK or modelling studies were undertaken as part of the present submission.</w:t>
      </w:r>
    </w:p>
    <w:p w:rsidR="004C620F" w:rsidRDefault="004C620F" w:rsidP="0034721C">
      <w:pPr>
        <w:pStyle w:val="Heading4"/>
      </w:pPr>
      <w:r>
        <w:t>Efficacy/ Safety</w:t>
      </w:r>
    </w:p>
    <w:p w:rsidR="004C620F" w:rsidRDefault="004C620F" w:rsidP="004C620F">
      <w:r>
        <w:t xml:space="preserve">Four pivotal </w:t>
      </w:r>
      <w:r w:rsidR="0034721C">
        <w:t>Phase III</w:t>
      </w:r>
      <w:r>
        <w:t xml:space="preserve"> studies for the proposed er</w:t>
      </w:r>
      <w:r w:rsidR="0034721C">
        <w:t>tugliflozin-metformin FDC were:</w:t>
      </w:r>
    </w:p>
    <w:p w:rsidR="004C620F" w:rsidRPr="0034721C" w:rsidRDefault="00C86E15" w:rsidP="0034721C">
      <w:pPr>
        <w:pStyle w:val="Numberbullet0"/>
      </w:pPr>
      <w:r>
        <w:t xml:space="preserve">Study </w:t>
      </w:r>
      <w:r w:rsidR="004C620F" w:rsidRPr="0034721C">
        <w:t>P007/1017:</w:t>
      </w:r>
      <w:r w:rsidR="00C242A4">
        <w:t xml:space="preserve"> </w:t>
      </w:r>
      <w:r w:rsidR="004C620F" w:rsidRPr="0034721C">
        <w:t xml:space="preserve">A </w:t>
      </w:r>
      <w:r w:rsidR="0034721C" w:rsidRPr="0034721C">
        <w:t>Phase III</w:t>
      </w:r>
      <w:r w:rsidR="004C620F" w:rsidRPr="0034721C">
        <w:t xml:space="preserve">, </w:t>
      </w:r>
      <w:r w:rsidRPr="0034721C">
        <w:t>ra</w:t>
      </w:r>
      <w:r w:rsidR="005C6DED">
        <w:t>ndomised, double-blind, placebo</w:t>
      </w:r>
      <w:r w:rsidRPr="0034721C">
        <w:t xml:space="preserve"> controlled, 26</w:t>
      </w:r>
      <w:r w:rsidR="005C6DED">
        <w:t xml:space="preserve"> </w:t>
      </w:r>
      <w:r w:rsidRPr="0034721C">
        <w:t>w</w:t>
      </w:r>
      <w:r w:rsidR="005C6DED">
        <w:t>eek multicentre study with a 78</w:t>
      </w:r>
      <w:r w:rsidRPr="0034721C">
        <w:t xml:space="preserve"> week extension to evaluate</w:t>
      </w:r>
      <w:r>
        <w:t xml:space="preserve"> </w:t>
      </w:r>
      <w:r w:rsidRPr="0034721C">
        <w:t xml:space="preserve">the efficacy and safety of ertugliflozin in subjects with </w:t>
      </w:r>
      <w:r w:rsidR="004C620F" w:rsidRPr="0034721C">
        <w:t xml:space="preserve">T2DM and </w:t>
      </w:r>
      <w:r w:rsidRPr="0034721C">
        <w:t>inadequate glycaemic control on metformin monotherapy.</w:t>
      </w:r>
    </w:p>
    <w:p w:rsidR="00255E9C" w:rsidRDefault="00C86E15" w:rsidP="0034721C">
      <w:pPr>
        <w:pStyle w:val="Numberbullet0"/>
      </w:pPr>
      <w:r>
        <w:t xml:space="preserve">Study </w:t>
      </w:r>
      <w:r w:rsidR="004C620F" w:rsidRPr="0034721C">
        <w:t xml:space="preserve">P002/1013: A Phase III, </w:t>
      </w:r>
      <w:r w:rsidRPr="0034721C">
        <w:t xml:space="preserve">multicentre, randomised, double- blind, active-comparator- controlled clinical trial to study the safety and efficacy of the addition of ertugliflozin </w:t>
      </w:r>
      <w:r w:rsidR="004C620F" w:rsidRPr="0034721C">
        <w:t>(MK</w:t>
      </w:r>
      <w:r>
        <w:noBreakHyphen/>
      </w:r>
      <w:r w:rsidR="004C620F" w:rsidRPr="0034721C">
        <w:t xml:space="preserve">8835/PF-04971729) </w:t>
      </w:r>
      <w:r w:rsidRPr="0034721C">
        <w:t xml:space="preserve">compared with the addition of glimepiride in subjects with </w:t>
      </w:r>
      <w:r w:rsidR="004C620F" w:rsidRPr="0034721C">
        <w:t xml:space="preserve">T2DM </w:t>
      </w:r>
      <w:r w:rsidRPr="0034721C">
        <w:t>who have inadequate glycaemic control on metformin</w:t>
      </w:r>
      <w:r>
        <w:t>.</w:t>
      </w:r>
    </w:p>
    <w:p w:rsidR="004C620F" w:rsidRPr="0034721C" w:rsidRDefault="00C86E15" w:rsidP="0034721C">
      <w:pPr>
        <w:pStyle w:val="Numberbullet0"/>
      </w:pPr>
      <w:r>
        <w:t xml:space="preserve">Study </w:t>
      </w:r>
      <w:r w:rsidR="004C620F" w:rsidRPr="0034721C">
        <w:t xml:space="preserve">P005/1019: A Phase III </w:t>
      </w:r>
      <w:r w:rsidRPr="0034721C">
        <w:t xml:space="preserve">randomised, double-blind, multicentre study to evaluate the efficacy and safety of the combination of ertugliflozin </w:t>
      </w:r>
      <w:r w:rsidR="004C620F" w:rsidRPr="0034721C">
        <w:t xml:space="preserve">(MK- 8835/PF-04971729) with </w:t>
      </w:r>
      <w:r w:rsidRPr="0034721C">
        <w:t xml:space="preserve">sitagliptin compared with ertugliflozin alone and sitagliptin alone, in the treatment of subjects with </w:t>
      </w:r>
      <w:r w:rsidR="004C620F" w:rsidRPr="0034721C">
        <w:t xml:space="preserve">T2DM </w:t>
      </w:r>
      <w:r w:rsidRPr="0034721C">
        <w:t>with inadequate glycaemic control on metformin monotherapy.</w:t>
      </w:r>
    </w:p>
    <w:p w:rsidR="004C620F" w:rsidRPr="0034721C" w:rsidRDefault="00C86E15" w:rsidP="0034721C">
      <w:pPr>
        <w:pStyle w:val="Numberbullet0"/>
      </w:pPr>
      <w:r>
        <w:t xml:space="preserve">Study </w:t>
      </w:r>
      <w:r w:rsidR="004C620F" w:rsidRPr="0034721C">
        <w:t xml:space="preserve">P006/1015: Phase III, </w:t>
      </w:r>
      <w:r w:rsidRPr="0034721C">
        <w:t xml:space="preserve">multicentre, randomised, double-blind, placebo-controlled, parallel- group clinical trial to evaluate the safety and efficacy of ertugliflozin </w:t>
      </w:r>
      <w:r w:rsidR="004C620F" w:rsidRPr="0034721C">
        <w:t>(MK</w:t>
      </w:r>
      <w:r>
        <w:noBreakHyphen/>
      </w:r>
      <w:r w:rsidR="004C620F" w:rsidRPr="0034721C">
        <w:t xml:space="preserve">8835/PF-04971729) </w:t>
      </w:r>
      <w:r w:rsidRPr="0034721C">
        <w:t xml:space="preserve">in the treatment of subjects with </w:t>
      </w:r>
      <w:r w:rsidR="004C620F" w:rsidRPr="0034721C">
        <w:t xml:space="preserve">T2DM </w:t>
      </w:r>
      <w:r w:rsidRPr="0034721C">
        <w:t>who have inadequate glycaemic control on metformin and sitagliptin.</w:t>
      </w:r>
    </w:p>
    <w:p w:rsidR="004C620F" w:rsidRDefault="004C620F" w:rsidP="004C620F">
      <w:r>
        <w:t xml:space="preserve">Three other supportive </w:t>
      </w:r>
      <w:r w:rsidR="0034721C">
        <w:t>Phase III</w:t>
      </w:r>
      <w:r>
        <w:t xml:space="preserve"> studies</w:t>
      </w:r>
      <w:r w:rsidR="0034721C">
        <w:t>:</w:t>
      </w:r>
    </w:p>
    <w:p w:rsidR="004C620F" w:rsidRDefault="00C86E15" w:rsidP="0034721C">
      <w:pPr>
        <w:pStyle w:val="Numberbullet0"/>
      </w:pPr>
      <w:r>
        <w:lastRenderedPageBreak/>
        <w:t xml:space="preserve">Study </w:t>
      </w:r>
      <w:r w:rsidR="004C620F">
        <w:t xml:space="preserve">P003/1022: A </w:t>
      </w:r>
      <w:r w:rsidR="0034721C">
        <w:t>Phase III</w:t>
      </w:r>
      <w:r>
        <w:t>, randomised, double-blind, placebo- controlled, 26 week multic</w:t>
      </w:r>
      <w:r w:rsidR="005C6DED">
        <w:t>entre study with a 26</w:t>
      </w:r>
      <w:r>
        <w:t xml:space="preserve"> week extension to evaluate the efficacy and safety of ertugliflozin monotherapy in the treatment of subjects with </w:t>
      </w:r>
      <w:r w:rsidR="004C620F">
        <w:t xml:space="preserve">T2DM and </w:t>
      </w:r>
      <w:r>
        <w:t>inadequate glycaemic control despite diet and exercise.</w:t>
      </w:r>
    </w:p>
    <w:p w:rsidR="004C620F" w:rsidRDefault="00C86E15" w:rsidP="0034721C">
      <w:pPr>
        <w:pStyle w:val="Numberbullet0"/>
      </w:pPr>
      <w:r>
        <w:t xml:space="preserve">Study </w:t>
      </w:r>
      <w:r w:rsidR="004C620F">
        <w:t xml:space="preserve">P017/1047: A Phase III, </w:t>
      </w:r>
      <w:r>
        <w:t>randomised, double-blind, placebo- controlled, parallel-group, multicentre clinical trial to evaluate the efficacy and safety of the initial combination of ertuglifloz</w:t>
      </w:r>
      <w:r w:rsidR="004C620F">
        <w:t>in (MK-8835/PF-04971729) with</w:t>
      </w:r>
      <w:r>
        <w:t xml:space="preserve"> sitagliptin in the treatment of subjects with T2DM with inadequate glycaemic control on diet and exercise.</w:t>
      </w:r>
    </w:p>
    <w:p w:rsidR="004C620F" w:rsidRDefault="00C86E15" w:rsidP="0034721C">
      <w:pPr>
        <w:pStyle w:val="Numberbullet0"/>
      </w:pPr>
      <w:r>
        <w:t xml:space="preserve">Study </w:t>
      </w:r>
      <w:r w:rsidR="004C620F">
        <w:t xml:space="preserve">P001/1016: A Phase III, </w:t>
      </w:r>
      <w:r>
        <w:t xml:space="preserve">multicentre, randomised, double-blind, placebo-controlled clinical trial to evaluate the efficacy and safety of ertugliflozin (mk-8835/pf-04971729) in subjects with </w:t>
      </w:r>
      <w:r w:rsidR="004C620F">
        <w:t xml:space="preserve">T2DM with Stage 3 </w:t>
      </w:r>
      <w:r w:rsidR="00DB4E08">
        <w:t>chronic kidney disease who have inadequate glycaemic control on background anti hyperglycaemic therapy.</w:t>
      </w:r>
    </w:p>
    <w:p w:rsidR="004C620F" w:rsidRDefault="0034721C" w:rsidP="00283420">
      <w:pPr>
        <w:pStyle w:val="Heading4"/>
      </w:pPr>
      <w:r>
        <w:t>Phase II</w:t>
      </w:r>
      <w:r w:rsidR="004C620F">
        <w:t xml:space="preserve"> dose-finding </w:t>
      </w:r>
      <w:r w:rsidR="00EF7D1E">
        <w:t>S</w:t>
      </w:r>
      <w:r w:rsidR="004C620F">
        <w:t>tudies P042/1004 and P016/1006</w:t>
      </w:r>
    </w:p>
    <w:p w:rsidR="004C620F" w:rsidRDefault="004C620F" w:rsidP="004C620F">
      <w:r>
        <w:t xml:space="preserve">Integrated summary of efficacy and safety; </w:t>
      </w:r>
      <w:r w:rsidR="0034721C">
        <w:t>Phase I</w:t>
      </w:r>
      <w:r>
        <w:t xml:space="preserve"> and </w:t>
      </w:r>
      <w:r w:rsidR="00283420">
        <w:t>II</w:t>
      </w:r>
      <w:r>
        <w:t xml:space="preserve"> Safety analyses.</w:t>
      </w:r>
    </w:p>
    <w:p w:rsidR="004C620F" w:rsidRDefault="004C620F" w:rsidP="00283420">
      <w:pPr>
        <w:pStyle w:val="Heading3"/>
      </w:pPr>
      <w:bookmarkStart w:id="20" w:name="_Toc4571186"/>
      <w:r>
        <w:t>Paediatric data</w:t>
      </w:r>
      <w:bookmarkEnd w:id="20"/>
    </w:p>
    <w:p w:rsidR="004C620F" w:rsidRDefault="004C620F" w:rsidP="004C620F">
      <w:r>
        <w:t>There is no paediatric data in the current submission. Module 1 mentions that the sponsors have submitted a PIP (Paediatric investigation plan) in the EU and the date on which the sponsors are first required to submit a report of a study conducted as part of the PIP is Sept</w:t>
      </w:r>
      <w:r w:rsidR="00DB4E08">
        <w:t>ember</w:t>
      </w:r>
      <w:r>
        <w:t>2026</w:t>
      </w:r>
    </w:p>
    <w:p w:rsidR="004C620F" w:rsidRDefault="004C620F" w:rsidP="00283420">
      <w:pPr>
        <w:pStyle w:val="Heading3"/>
      </w:pPr>
      <w:bookmarkStart w:id="21" w:name="_Toc4571187"/>
      <w:r>
        <w:t>Good clinical practice</w:t>
      </w:r>
      <w:bookmarkEnd w:id="21"/>
    </w:p>
    <w:p w:rsidR="004C620F" w:rsidRDefault="004C620F" w:rsidP="004C620F">
      <w:r>
        <w:t>Studies comprising the ertugliflozin clinical development program were conducted in accordance with Guidelines for Good Clinical Practice (GCP) and the Declaration of Helsinki.</w:t>
      </w:r>
    </w:p>
    <w:p w:rsidR="004C620F" w:rsidRDefault="004C620F" w:rsidP="00283420">
      <w:pPr>
        <w:pStyle w:val="Heading3"/>
      </w:pPr>
      <w:bookmarkStart w:id="22" w:name="_Toc4571188"/>
      <w:r>
        <w:t>Evaluator’s commentary on the clinical dossier</w:t>
      </w:r>
      <w:bookmarkEnd w:id="22"/>
    </w:p>
    <w:p w:rsidR="004C620F" w:rsidRDefault="004C620F" w:rsidP="004C620F">
      <w:r>
        <w:t>The submission was well-presented.</w:t>
      </w:r>
    </w:p>
    <w:p w:rsidR="004C620F" w:rsidRDefault="00283420" w:rsidP="00283420">
      <w:pPr>
        <w:pStyle w:val="Heading2"/>
      </w:pPr>
      <w:bookmarkStart w:id="23" w:name="_Toc4571189"/>
      <w:r>
        <w:t>Pharmacokinetics</w:t>
      </w:r>
      <w:bookmarkEnd w:id="23"/>
    </w:p>
    <w:p w:rsidR="004C620F" w:rsidRDefault="004C620F" w:rsidP="00283420">
      <w:pPr>
        <w:pStyle w:val="Heading3"/>
      </w:pPr>
      <w:bookmarkStart w:id="24" w:name="_Toc4571190"/>
      <w:r>
        <w:t>Studies providing pharmacokinetic information</w:t>
      </w:r>
      <w:bookmarkEnd w:id="24"/>
    </w:p>
    <w:p w:rsidR="004C620F" w:rsidRDefault="004C620F" w:rsidP="00283420">
      <w:pPr>
        <w:pStyle w:val="Tabletitle"/>
      </w:pPr>
      <w:r>
        <w:t>Table 1</w:t>
      </w:r>
      <w:r w:rsidR="00283420">
        <w:t xml:space="preserve">: </w:t>
      </w:r>
      <w:r>
        <w:t>Su</w:t>
      </w:r>
      <w:r w:rsidR="0058709C">
        <w:t>bmitted pharmacokinetic studies</w:t>
      </w:r>
    </w:p>
    <w:tbl>
      <w:tblPr>
        <w:tblStyle w:val="TableTGAblue"/>
        <w:tblW w:w="9039" w:type="dxa"/>
        <w:tblLayout w:type="fixed"/>
        <w:tblLook w:val="04A0" w:firstRow="1" w:lastRow="0" w:firstColumn="1" w:lastColumn="0" w:noHBand="0" w:noVBand="1"/>
      </w:tblPr>
      <w:tblGrid>
        <w:gridCol w:w="1242"/>
        <w:gridCol w:w="2268"/>
        <w:gridCol w:w="1985"/>
        <w:gridCol w:w="3544"/>
      </w:tblGrid>
      <w:tr w:rsidR="00283420" w:rsidRPr="00C37A1D" w:rsidTr="002834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2" w:type="dxa"/>
          </w:tcPr>
          <w:p w:rsidR="00283420" w:rsidRPr="00283420" w:rsidRDefault="00283420" w:rsidP="005C6DED">
            <w:pPr>
              <w:ind w:left="0" w:right="0"/>
              <w:rPr>
                <w:b w:val="0"/>
                <w:sz w:val="20"/>
                <w:szCs w:val="20"/>
              </w:rPr>
            </w:pPr>
            <w:r w:rsidRPr="00283420">
              <w:rPr>
                <w:sz w:val="20"/>
                <w:szCs w:val="20"/>
              </w:rPr>
              <w:t>PK topic</w:t>
            </w:r>
          </w:p>
        </w:tc>
        <w:tc>
          <w:tcPr>
            <w:tcW w:w="2268" w:type="dxa"/>
          </w:tcPr>
          <w:p w:rsidR="00283420" w:rsidRPr="00283420" w:rsidRDefault="00283420" w:rsidP="005C6DED">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283420">
              <w:rPr>
                <w:sz w:val="20"/>
                <w:szCs w:val="20"/>
              </w:rPr>
              <w:t>Subtopic</w:t>
            </w:r>
          </w:p>
        </w:tc>
        <w:tc>
          <w:tcPr>
            <w:tcW w:w="1985" w:type="dxa"/>
          </w:tcPr>
          <w:p w:rsidR="00283420" w:rsidRPr="00283420" w:rsidRDefault="00283420" w:rsidP="005C6DED">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283420">
              <w:rPr>
                <w:sz w:val="20"/>
                <w:szCs w:val="20"/>
              </w:rPr>
              <w:t>Study ID</w:t>
            </w:r>
          </w:p>
        </w:tc>
        <w:tc>
          <w:tcPr>
            <w:tcW w:w="3544" w:type="dxa"/>
          </w:tcPr>
          <w:p w:rsidR="00283420" w:rsidRPr="00283420" w:rsidRDefault="00283420" w:rsidP="005C6DED">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283420">
              <w:rPr>
                <w:sz w:val="20"/>
                <w:szCs w:val="20"/>
              </w:rPr>
              <w:t>*</w:t>
            </w:r>
          </w:p>
        </w:tc>
      </w:tr>
      <w:tr w:rsidR="00283420" w:rsidRPr="00C37A1D" w:rsidTr="00283420">
        <w:tc>
          <w:tcPr>
            <w:cnfStyle w:val="001000000000" w:firstRow="0" w:lastRow="0" w:firstColumn="1" w:lastColumn="0" w:oddVBand="0" w:evenVBand="0" w:oddHBand="0" w:evenHBand="0" w:firstRowFirstColumn="0" w:firstRowLastColumn="0" w:lastRowFirstColumn="0" w:lastRowLastColumn="0"/>
            <w:tcW w:w="1242" w:type="dxa"/>
            <w:vMerge w:val="restart"/>
          </w:tcPr>
          <w:p w:rsidR="00283420" w:rsidRPr="00283420" w:rsidRDefault="00283420" w:rsidP="005C6DED">
            <w:pPr>
              <w:ind w:left="0" w:right="0"/>
              <w:rPr>
                <w:sz w:val="20"/>
                <w:szCs w:val="20"/>
              </w:rPr>
            </w:pPr>
            <w:r w:rsidRPr="00283420">
              <w:rPr>
                <w:sz w:val="20"/>
                <w:szCs w:val="20"/>
              </w:rPr>
              <w:t>PK in healthy adults</w:t>
            </w:r>
          </w:p>
        </w:tc>
        <w:tc>
          <w:tcPr>
            <w:tcW w:w="2268" w:type="dxa"/>
            <w:vMerge w:val="restart"/>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Bioequivalence †</w:t>
            </w:r>
          </w:p>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Single dose</w:t>
            </w:r>
          </w:p>
        </w:tc>
        <w:tc>
          <w:tcPr>
            <w:tcW w:w="1985"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P027/1041</w:t>
            </w:r>
          </w:p>
        </w:tc>
        <w:tc>
          <w:tcPr>
            <w:tcW w:w="3544"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BE between ertugliflozin 7.5 mg/metformin 1000 mg FDC tablet and the free combination (US) under fasted conditions</w:t>
            </w:r>
          </w:p>
        </w:tc>
      </w:tr>
      <w:tr w:rsidR="00283420" w:rsidRPr="00C37A1D" w:rsidTr="00283420">
        <w:tc>
          <w:tcPr>
            <w:cnfStyle w:val="001000000000" w:firstRow="0" w:lastRow="0" w:firstColumn="1" w:lastColumn="0" w:oddVBand="0" w:evenVBand="0" w:oddHBand="0" w:evenHBand="0" w:firstRowFirstColumn="0" w:firstRowLastColumn="0" w:lastRowFirstColumn="0" w:lastRowLastColumn="0"/>
            <w:tcW w:w="1242" w:type="dxa"/>
            <w:vMerge/>
          </w:tcPr>
          <w:p w:rsidR="00283420" w:rsidRPr="00283420" w:rsidRDefault="00283420" w:rsidP="005C6DED">
            <w:pPr>
              <w:ind w:left="0" w:right="0"/>
              <w:rPr>
                <w:sz w:val="20"/>
                <w:szCs w:val="20"/>
              </w:rPr>
            </w:pPr>
          </w:p>
        </w:tc>
        <w:tc>
          <w:tcPr>
            <w:tcW w:w="2268" w:type="dxa"/>
            <w:vMerge/>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P046/1054</w:t>
            </w:r>
          </w:p>
        </w:tc>
        <w:tc>
          <w:tcPr>
            <w:tcW w:w="3544"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BE between ertugliflozin 7.5 mg/metformin 850 mg FDC tablet and the free combination (EU) under fasted conditions</w:t>
            </w:r>
          </w:p>
        </w:tc>
      </w:tr>
      <w:tr w:rsidR="00283420" w:rsidRPr="00C37A1D" w:rsidTr="00283420">
        <w:tc>
          <w:tcPr>
            <w:cnfStyle w:val="001000000000" w:firstRow="0" w:lastRow="0" w:firstColumn="1" w:lastColumn="0" w:oddVBand="0" w:evenVBand="0" w:oddHBand="0" w:evenHBand="0" w:firstRowFirstColumn="0" w:firstRowLastColumn="0" w:lastRowFirstColumn="0" w:lastRowLastColumn="0"/>
            <w:tcW w:w="1242" w:type="dxa"/>
            <w:vMerge/>
          </w:tcPr>
          <w:p w:rsidR="00283420" w:rsidRPr="00283420" w:rsidRDefault="00283420" w:rsidP="005C6DED">
            <w:pPr>
              <w:ind w:left="0" w:right="0"/>
              <w:rPr>
                <w:sz w:val="20"/>
                <w:szCs w:val="20"/>
              </w:rPr>
            </w:pPr>
          </w:p>
        </w:tc>
        <w:tc>
          <w:tcPr>
            <w:tcW w:w="2268" w:type="dxa"/>
            <w:vMerge/>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P047/1055</w:t>
            </w:r>
          </w:p>
        </w:tc>
        <w:tc>
          <w:tcPr>
            <w:tcW w:w="3544"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BE between ertugliflozin 7.5 mg/metformin 1000 mg FDC tablet and the free combination(EU) under fasted conditions</w:t>
            </w:r>
          </w:p>
        </w:tc>
      </w:tr>
      <w:tr w:rsidR="00283420" w:rsidRPr="00C37A1D" w:rsidTr="00283420">
        <w:tc>
          <w:tcPr>
            <w:cnfStyle w:val="001000000000" w:firstRow="0" w:lastRow="0" w:firstColumn="1" w:lastColumn="0" w:oddVBand="0" w:evenVBand="0" w:oddHBand="0" w:evenHBand="0" w:firstRowFirstColumn="0" w:firstRowLastColumn="0" w:lastRowFirstColumn="0" w:lastRowLastColumn="0"/>
            <w:tcW w:w="1242" w:type="dxa"/>
            <w:vMerge/>
          </w:tcPr>
          <w:p w:rsidR="00283420" w:rsidRPr="00283420" w:rsidRDefault="00283420" w:rsidP="005C6DED">
            <w:pPr>
              <w:ind w:left="0" w:right="0"/>
              <w:rPr>
                <w:sz w:val="20"/>
                <w:szCs w:val="20"/>
              </w:rPr>
            </w:pPr>
          </w:p>
        </w:tc>
        <w:tc>
          <w:tcPr>
            <w:tcW w:w="2268" w:type="dxa"/>
            <w:vMerge/>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P050/1058</w:t>
            </w:r>
          </w:p>
        </w:tc>
        <w:tc>
          <w:tcPr>
            <w:tcW w:w="3544"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BE between ertugliflozin 2.5 mg/metformin 500 mg FDC tablet and the free combination (US) under fasted conditions</w:t>
            </w:r>
          </w:p>
        </w:tc>
      </w:tr>
      <w:tr w:rsidR="00283420" w:rsidRPr="00C37A1D" w:rsidTr="00283420">
        <w:tc>
          <w:tcPr>
            <w:cnfStyle w:val="001000000000" w:firstRow="0" w:lastRow="0" w:firstColumn="1" w:lastColumn="0" w:oddVBand="0" w:evenVBand="0" w:oddHBand="0" w:evenHBand="0" w:firstRowFirstColumn="0" w:firstRowLastColumn="0" w:lastRowFirstColumn="0" w:lastRowLastColumn="0"/>
            <w:tcW w:w="1242" w:type="dxa"/>
            <w:vMerge/>
          </w:tcPr>
          <w:p w:rsidR="00283420" w:rsidRPr="00283420" w:rsidRDefault="00283420" w:rsidP="005C6DED">
            <w:pPr>
              <w:ind w:left="0" w:right="0"/>
              <w:rPr>
                <w:sz w:val="20"/>
                <w:szCs w:val="20"/>
              </w:rPr>
            </w:pPr>
          </w:p>
        </w:tc>
        <w:tc>
          <w:tcPr>
            <w:tcW w:w="2268" w:type="dxa"/>
            <w:vMerge w:val="restart"/>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Food effect</w:t>
            </w:r>
          </w:p>
        </w:tc>
        <w:tc>
          <w:tcPr>
            <w:tcW w:w="1985"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P028/1049</w:t>
            </w:r>
          </w:p>
        </w:tc>
        <w:tc>
          <w:tcPr>
            <w:tcW w:w="3544"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Relative BA of ertugliflozin 7.5 mg/metformin 1000 mg FDC tablet under fasted and fed conditions</w:t>
            </w:r>
          </w:p>
        </w:tc>
      </w:tr>
      <w:tr w:rsidR="00283420" w:rsidRPr="00C37A1D" w:rsidTr="00283420">
        <w:tc>
          <w:tcPr>
            <w:cnfStyle w:val="001000000000" w:firstRow="0" w:lastRow="0" w:firstColumn="1" w:lastColumn="0" w:oddVBand="0" w:evenVBand="0" w:oddHBand="0" w:evenHBand="0" w:firstRowFirstColumn="0" w:firstRowLastColumn="0" w:lastRowFirstColumn="0" w:lastRowLastColumn="0"/>
            <w:tcW w:w="1242" w:type="dxa"/>
            <w:vMerge/>
          </w:tcPr>
          <w:p w:rsidR="00283420" w:rsidRPr="00283420" w:rsidRDefault="00283420" w:rsidP="005C6DED">
            <w:pPr>
              <w:ind w:left="0" w:right="0"/>
              <w:rPr>
                <w:sz w:val="20"/>
                <w:szCs w:val="20"/>
              </w:rPr>
            </w:pPr>
          </w:p>
        </w:tc>
        <w:tc>
          <w:tcPr>
            <w:tcW w:w="2268" w:type="dxa"/>
            <w:vMerge/>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P052/1060</w:t>
            </w:r>
          </w:p>
        </w:tc>
        <w:tc>
          <w:tcPr>
            <w:tcW w:w="3544"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BE of metformin component following administration of ertugliflozin 2.5 mg/metformin 500 mg FDC tablet or the free combination (CA) under fasted and fed conditions</w:t>
            </w:r>
          </w:p>
        </w:tc>
      </w:tr>
      <w:tr w:rsidR="00283420" w:rsidRPr="00C37A1D" w:rsidTr="00283420">
        <w:tc>
          <w:tcPr>
            <w:cnfStyle w:val="001000000000" w:firstRow="0" w:lastRow="0" w:firstColumn="1" w:lastColumn="0" w:oddVBand="0" w:evenVBand="0" w:oddHBand="0" w:evenHBand="0" w:firstRowFirstColumn="0" w:firstRowLastColumn="0" w:lastRowFirstColumn="0" w:lastRowLastColumn="0"/>
            <w:tcW w:w="1242" w:type="dxa"/>
            <w:vMerge/>
          </w:tcPr>
          <w:p w:rsidR="00283420" w:rsidRPr="00283420" w:rsidRDefault="00283420" w:rsidP="005C6DED">
            <w:pPr>
              <w:ind w:left="0" w:right="0"/>
              <w:rPr>
                <w:sz w:val="20"/>
                <w:szCs w:val="20"/>
              </w:rPr>
            </w:pPr>
          </w:p>
        </w:tc>
        <w:tc>
          <w:tcPr>
            <w:tcW w:w="2268" w:type="dxa"/>
            <w:vMerge/>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P053/1061</w:t>
            </w:r>
          </w:p>
        </w:tc>
        <w:tc>
          <w:tcPr>
            <w:tcW w:w="3544" w:type="dxa"/>
          </w:tcPr>
          <w:p w:rsidR="00283420" w:rsidRPr="00283420" w:rsidRDefault="00283420" w:rsidP="005C6DE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83420">
              <w:rPr>
                <w:sz w:val="20"/>
                <w:szCs w:val="20"/>
              </w:rPr>
              <w:t>BE of metformin component following administration of ertugliflozin 7.5 mg/metformin 850 mg FDC tablet or the free combination (CA) under fasted and fed conditions</w:t>
            </w:r>
          </w:p>
        </w:tc>
      </w:tr>
    </w:tbl>
    <w:p w:rsidR="00283420" w:rsidRPr="002E2E9A" w:rsidRDefault="00283420" w:rsidP="00283420">
      <w:pPr>
        <w:pStyle w:val="TableDescription"/>
      </w:pPr>
      <w:r w:rsidRPr="002E2E9A">
        <w:t>* Indicates the primary PK aim of the study.</w:t>
      </w:r>
      <w:r>
        <w:t xml:space="preserve"> </w:t>
      </w:r>
      <w:r w:rsidRPr="002E2E9A">
        <w:t>† Bioequivalence of different formulations.</w:t>
      </w:r>
    </w:p>
    <w:p w:rsidR="004C620F" w:rsidRDefault="004C620F" w:rsidP="00283420">
      <w:pPr>
        <w:pStyle w:val="Heading3"/>
      </w:pPr>
      <w:bookmarkStart w:id="25" w:name="_Toc4571191"/>
      <w:r>
        <w:t>Summary of pharmacokinetics</w:t>
      </w:r>
      <w:bookmarkEnd w:id="25"/>
    </w:p>
    <w:p w:rsidR="004C620F" w:rsidRDefault="004C620F" w:rsidP="00283420">
      <w:pPr>
        <w:pStyle w:val="Heading4"/>
      </w:pPr>
      <w:r>
        <w:t>Analytic Methods</w:t>
      </w:r>
    </w:p>
    <w:p w:rsidR="004C620F" w:rsidRDefault="004C620F" w:rsidP="004C620F">
      <w:r>
        <w:t>A validated, specific and sensitive high-performance liquid chromatography tandem mass spectrometric (HPLC-MS/MS) method was used to determine plasma metformin levels. The lower limit of quantitation (LLOQ) was 2.00 ng/mL and the linear range of the assay was 2.00</w:t>
      </w:r>
      <w:r w:rsidR="00EF7D1E">
        <w:t xml:space="preserve"> to</w:t>
      </w:r>
      <w:r>
        <w:t xml:space="preserve"> 1000 ng/mL.</w:t>
      </w:r>
    </w:p>
    <w:p w:rsidR="004C620F" w:rsidRDefault="004C620F" w:rsidP="004C620F">
      <w:r>
        <w:t>Plasma concentrations of ertugliflozin were determined using validated, sensitive and specific HPLC-MS/MS methods with a LLOQ of 0.50 ng/mL.</w:t>
      </w:r>
    </w:p>
    <w:p w:rsidR="004C620F" w:rsidRDefault="004C620F" w:rsidP="00B17F04">
      <w:pPr>
        <w:pStyle w:val="Heading4"/>
      </w:pPr>
      <w:r>
        <w:t>Pharmacokinetics in healthy subjects</w:t>
      </w:r>
    </w:p>
    <w:p w:rsidR="004C620F" w:rsidRDefault="004C620F" w:rsidP="00283420">
      <w:pPr>
        <w:pStyle w:val="Comment"/>
      </w:pPr>
      <w:r w:rsidRPr="00283420">
        <w:rPr>
          <w:b/>
        </w:rPr>
        <w:t>Comment</w:t>
      </w:r>
      <w:r w:rsidR="0058709C">
        <w:t xml:space="preserve">: </w:t>
      </w:r>
      <w:r>
        <w:t xml:space="preserve">As previously stated, a limited number of studies examined the PKs of the ertugliflozin/metformin FDC and these primarily related to the bioequivalence between the FDC tablets and corresponding free combinations of the matching dose strengths of the individual tablets. In addition, three studies examined the effect of a high fat/high-calorie breakfast on the PKs of the FDC tablet. Where no dedicated PK studies are available for the FDC tablets, the evaluator requests that the </w:t>
      </w:r>
      <w:r w:rsidR="00DB4E08">
        <w:t xml:space="preserve">Delegate </w:t>
      </w:r>
      <w:r>
        <w:t>refers to the concurrent submission (</w:t>
      </w:r>
      <w:r w:rsidR="003E2983">
        <w:t>for Steglatro</w:t>
      </w:r>
      <w:r>
        <w:t>), which describes the studies relating to ertugliflozin</w:t>
      </w:r>
      <w:r w:rsidR="00DB4E08">
        <w:t xml:space="preserve"> (see Attachment 2 for details)</w:t>
      </w:r>
      <w:r>
        <w:t>.</w:t>
      </w:r>
    </w:p>
    <w:p w:rsidR="004C620F" w:rsidRDefault="004C620F" w:rsidP="00B17F04">
      <w:pPr>
        <w:pStyle w:val="Heading5"/>
      </w:pPr>
      <w:r>
        <w:lastRenderedPageBreak/>
        <w:t>Absorption</w:t>
      </w:r>
    </w:p>
    <w:p w:rsidR="004C620F" w:rsidRDefault="004C620F" w:rsidP="00B17F04">
      <w:pPr>
        <w:pStyle w:val="Heading6"/>
      </w:pPr>
      <w:r>
        <w:t>Sites and mechanism of absorption</w:t>
      </w:r>
    </w:p>
    <w:p w:rsidR="004C620F" w:rsidRDefault="004C620F" w:rsidP="004C620F">
      <w:r>
        <w:t xml:space="preserve">Ertugliflozin/metformin film-coated FDC tablets are for oral administration. For the various strengths of the FDC proposed for marketing, median ertugliflozin </w:t>
      </w:r>
      <w:r w:rsidR="004B3596">
        <w:t>T</w:t>
      </w:r>
      <w:r w:rsidR="004B3596" w:rsidRPr="004B3596">
        <w:rPr>
          <w:vertAlign w:val="subscript"/>
        </w:rPr>
        <w:t>max</w:t>
      </w:r>
      <w:r>
        <w:t xml:space="preserve"> values (under fasted conditions) ranged from 1.00 to 1.50 h and for metformin co</w:t>
      </w:r>
      <w:r w:rsidR="0058709C">
        <w:t>mponent were approximately 2.00 </w:t>
      </w:r>
      <w:r>
        <w:t>h.</w:t>
      </w:r>
    </w:p>
    <w:p w:rsidR="004C620F" w:rsidRDefault="004C620F" w:rsidP="00B17F04">
      <w:pPr>
        <w:pStyle w:val="Heading5"/>
      </w:pPr>
      <w:r>
        <w:t>Bioavailability</w:t>
      </w:r>
    </w:p>
    <w:p w:rsidR="004C620F" w:rsidRDefault="004C620F" w:rsidP="00B17F04">
      <w:pPr>
        <w:pStyle w:val="Heading6"/>
      </w:pPr>
      <w:r>
        <w:t>Bioequivalence to relevant registered products</w:t>
      </w:r>
    </w:p>
    <w:p w:rsidR="004C620F" w:rsidRDefault="004C620F" w:rsidP="004C620F">
      <w:r>
        <w:t xml:space="preserve">Study P027/1041 examined the BE of ertugliflozin 7.5 mg/metformin 1000 mg FDC tablet and the free combination following a single dose under fasted conditions in 32 healthy subjects. For this study, the metformin tablets used as part </w:t>
      </w:r>
      <w:r w:rsidR="00255E9C">
        <w:t xml:space="preserve">of the free combination were US </w:t>
      </w:r>
      <w:r>
        <w:t>sourced Glucophage (metformin hydrochloride) 1000 mg.</w:t>
      </w:r>
    </w:p>
    <w:p w:rsidR="004C620F" w:rsidRDefault="004C620F" w:rsidP="004C620F">
      <w:r>
        <w:t xml:space="preserve">Under these conditions the geometric mean ratios (GMRs) and 90% confidence intervals (90% CIs) for the comparison of the FDC to the free combination for ertugliflozin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99.64 % (97.04%, 102.30%), 100.05% (97.31%, 102.87%) and 103.50% </w:t>
      </w:r>
      <w:r w:rsidR="00B434E2">
        <w:t>(97.85%, 109.47%), respectively</w:t>
      </w:r>
      <w:r>
        <w:t xml:space="preserve">. Median ertugliflozin </w:t>
      </w:r>
      <w:r w:rsidR="004B3596">
        <w:t>T</w:t>
      </w:r>
      <w:r w:rsidR="004B3596" w:rsidRPr="004B3596">
        <w:rPr>
          <w:vertAlign w:val="subscript"/>
        </w:rPr>
        <w:t>max</w:t>
      </w:r>
      <w:r>
        <w:t xml:space="preserve"> values for the FDC and free combinations were 1.03 h and 1.00 h, respectively and the mean </w:t>
      </w:r>
      <w:r w:rsidR="004B3596">
        <w:t>t</w:t>
      </w:r>
      <w:r w:rsidR="004B3596" w:rsidRPr="004B3596">
        <w:rPr>
          <w:vertAlign w:val="subscript"/>
        </w:rPr>
        <w:t>1/2</w:t>
      </w:r>
      <w:r>
        <w:t xml:space="preserve"> values were 11.00 h and 11.19 h</w:t>
      </w:r>
      <w:r w:rsidR="00B434E2">
        <w:t>, respectively</w:t>
      </w:r>
      <w:r>
        <w:t>.</w:t>
      </w:r>
    </w:p>
    <w:p w:rsidR="004C620F" w:rsidRDefault="004C620F" w:rsidP="004C620F">
      <w:r>
        <w:t xml:space="preserve">For the metformin component, the GMRs (90%CIs) comparing the FDC/free for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97.14% (89.98%, 104.87%), 97.72% (91.31%, 104.58%), and 99.20% (</w:t>
      </w:r>
      <w:r w:rsidR="00B434E2">
        <w:t>92.06%, 106.90%), respectively</w:t>
      </w:r>
      <w:r>
        <w:t xml:space="preserve">. The median metformin </w:t>
      </w:r>
      <w:r w:rsidR="004B3596">
        <w:t>T</w:t>
      </w:r>
      <w:r w:rsidR="004B3596" w:rsidRPr="004B3596">
        <w:rPr>
          <w:vertAlign w:val="subscript"/>
        </w:rPr>
        <w:t>max</w:t>
      </w:r>
      <w:r>
        <w:t xml:space="preserve"> for the fixed-dose and free combinations were 2.01 h and 1.98 h, respectively, and the mean </w:t>
      </w:r>
      <w:r w:rsidR="004B3596">
        <w:t>t</w:t>
      </w:r>
      <w:r w:rsidR="004B3596" w:rsidRPr="004B3596">
        <w:rPr>
          <w:vertAlign w:val="subscript"/>
        </w:rPr>
        <w:t>1/2</w:t>
      </w:r>
      <w:r>
        <w:t xml:space="preserve"> values were 16.20 h and 16.42 h, r</w:t>
      </w:r>
      <w:r w:rsidR="00B434E2">
        <w:t>espectively</w:t>
      </w:r>
      <w:r w:rsidR="0058709C">
        <w:t>.</w:t>
      </w:r>
    </w:p>
    <w:p w:rsidR="004C620F" w:rsidRDefault="004C620F" w:rsidP="004C620F">
      <w:r>
        <w:t xml:space="preserve">The results therefore indicated that the FDC and free combinations were bioequivalent.as 90% CIs for the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GMRs for both active components were contained within the</w:t>
      </w:r>
      <w:r w:rsidR="0058709C">
        <w:t xml:space="preserve"> (80%, 125%) acceptance limits.</w:t>
      </w:r>
    </w:p>
    <w:p w:rsidR="004C620F" w:rsidRDefault="004C620F" w:rsidP="004C620F">
      <w:r>
        <w:t>Study P047/1055 examined the BE of ertugliflozin 7.5 mg/metformin 1000 mg FDC tablet and the free combination following a single dose under fasted conditions in 34 healthy subjects. For this study, the metformin tablets used as part of the free combination were EU-sourced Glucophage (metformin hydrochloride) 1000 mg.</w:t>
      </w:r>
    </w:p>
    <w:p w:rsidR="004C620F" w:rsidRDefault="004C620F" w:rsidP="004C620F">
      <w:r>
        <w:t xml:space="preserve">Under these conditions the GMRs (90% CIs) for the comparison of the FDC to the free combination for ertugliflozin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98.28% (95.72%, 100.91%), 98.36% (95.54%, 101.27%) and 98.99% (93.84%, 104.42%), respectively. Median ertugliflozin </w:t>
      </w:r>
      <w:r w:rsidR="004B3596">
        <w:t>T</w:t>
      </w:r>
      <w:r w:rsidR="004B3596" w:rsidRPr="004B3596">
        <w:rPr>
          <w:vertAlign w:val="subscript"/>
        </w:rPr>
        <w:t>max</w:t>
      </w:r>
      <w:r>
        <w:t xml:space="preserve"> values was 1.00 h for both treatments and the mean </w:t>
      </w:r>
      <w:r w:rsidR="004B3596">
        <w:t>t</w:t>
      </w:r>
      <w:r w:rsidR="004B3596" w:rsidRPr="004B3596">
        <w:rPr>
          <w:vertAlign w:val="subscript"/>
        </w:rPr>
        <w:t>1/2</w:t>
      </w:r>
      <w:r>
        <w:t xml:space="preserve"> values for the FDC and free combinations were 10.40 h and 11.20 h, respectively.</w:t>
      </w:r>
    </w:p>
    <w:p w:rsidR="004C620F" w:rsidRDefault="004C620F" w:rsidP="004C620F">
      <w:r>
        <w:t xml:space="preserve">For the metformin component, the GMRs (90%CIs) comparing the FDC/free for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103.76% (96.43%, 111.65%), 104.66% (97.67%, 112.14%) and 110.08% (100.31%, 120.79%), respectively. The median metformin </w:t>
      </w:r>
      <w:r w:rsidR="004B3596">
        <w:t>T</w:t>
      </w:r>
      <w:r w:rsidR="004B3596" w:rsidRPr="004B3596">
        <w:rPr>
          <w:vertAlign w:val="subscript"/>
        </w:rPr>
        <w:t>max</w:t>
      </w:r>
      <w:r>
        <w:t xml:space="preserve"> values were 3.00 h for both treatments and the mean </w:t>
      </w:r>
      <w:r w:rsidR="004B3596">
        <w:t>t</w:t>
      </w:r>
      <w:r w:rsidR="004B3596" w:rsidRPr="004B3596">
        <w:rPr>
          <w:vertAlign w:val="subscript"/>
        </w:rPr>
        <w:t>1/2</w:t>
      </w:r>
      <w:r>
        <w:t xml:space="preserve"> values for the fixed-dose and free combinations were 14.4 h and 11.9 h, respectively</w:t>
      </w:r>
      <w:r w:rsidR="004B3596">
        <w:t>.</w:t>
      </w:r>
    </w:p>
    <w:p w:rsidR="004C620F" w:rsidRDefault="004C620F" w:rsidP="004C620F">
      <w:r>
        <w:t xml:space="preserve">The results therefore indicated that as 90% CIs for the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GMRs for both active components were contained within the (80%, 125%) acceptance limits the FDC and free combinations were bioequivalent.</w:t>
      </w:r>
    </w:p>
    <w:p w:rsidR="004C620F" w:rsidRDefault="004C620F" w:rsidP="004C620F">
      <w:r>
        <w:t>Study P050/1058 examined the BE of ertugliflozin 2.5 mg/metformin 500 mg FDC tablet and the free combination following a single dose under fasted conditions in 32 healthy subjects. For this study, the metformin tablets used as part of the free combination were US-sourced Glucophage (metformin hydrochloride) 500 mg.</w:t>
      </w:r>
    </w:p>
    <w:p w:rsidR="004C620F" w:rsidRDefault="004C620F" w:rsidP="004C620F">
      <w:r>
        <w:lastRenderedPageBreak/>
        <w:t xml:space="preserve">Under these conditions the GMRs (90% CIs) for the comparison of the FDC to the free combination for ertugliflozin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98.26% (96.62%, 99.94%), 98.62% (96.82%, 100.44%) and 100.22% (</w:t>
      </w:r>
      <w:r w:rsidR="00B434E2">
        <w:t>94.76%, 106.00%), respectively</w:t>
      </w:r>
      <w:r>
        <w:t xml:space="preserve">. Median ertugliflozin </w:t>
      </w:r>
      <w:r w:rsidR="004B3596">
        <w:t>T</w:t>
      </w:r>
      <w:r w:rsidR="004B3596" w:rsidRPr="004B3596">
        <w:rPr>
          <w:vertAlign w:val="subscript"/>
        </w:rPr>
        <w:t>max</w:t>
      </w:r>
      <w:r>
        <w:t xml:space="preserve"> values was 1.00 h for both treatments and the mean </w:t>
      </w:r>
      <w:r w:rsidR="004B3596">
        <w:t>t</w:t>
      </w:r>
      <w:r w:rsidR="004B3596" w:rsidRPr="004B3596">
        <w:rPr>
          <w:vertAlign w:val="subscript"/>
        </w:rPr>
        <w:t>1/2</w:t>
      </w:r>
      <w:r>
        <w:t xml:space="preserve"> values for the FDC and free combinations were 7.12 h and 7.73 h, respectively.</w:t>
      </w:r>
    </w:p>
    <w:p w:rsidR="004C620F" w:rsidRDefault="004C620F" w:rsidP="004C620F">
      <w:r>
        <w:t xml:space="preserve">For the metformin component, the GMRs (90%CIs) comparing the FDC/free for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103.24% (96.16%, 110.83%), 100.36% (93.28%, 107.98%) and 101.49% </w:t>
      </w:r>
      <w:r w:rsidR="004B3596">
        <w:t>(93.83%, 109.76%), respectively</w:t>
      </w:r>
      <w:r>
        <w:t xml:space="preserve">. The median metformin </w:t>
      </w:r>
      <w:r w:rsidR="004B3596">
        <w:t>T</w:t>
      </w:r>
      <w:r w:rsidR="004B3596" w:rsidRPr="004B3596">
        <w:rPr>
          <w:vertAlign w:val="subscript"/>
        </w:rPr>
        <w:t>max</w:t>
      </w:r>
      <w:r>
        <w:t xml:space="preserve"> values for the fixed-dose and free combinations were 2.00 h and 1.98 h, respectively, and the mean </w:t>
      </w:r>
      <w:r w:rsidR="004B3596">
        <w:t>t</w:t>
      </w:r>
      <w:r w:rsidR="004B3596" w:rsidRPr="004B3596">
        <w:rPr>
          <w:vertAlign w:val="subscript"/>
        </w:rPr>
        <w:t>1/2</w:t>
      </w:r>
      <w:r>
        <w:t xml:space="preserve"> values were 13.</w:t>
      </w:r>
      <w:r w:rsidR="004B3596">
        <w:t>45 h and 14.08 h, respectively</w:t>
      </w:r>
      <w:r>
        <w:t>.</w:t>
      </w:r>
    </w:p>
    <w:p w:rsidR="00255E9C" w:rsidRDefault="004C620F" w:rsidP="004C620F">
      <w:r>
        <w:t xml:space="preserve">The results therefore indicated that the FDC and free combinations were bioequivalent as 90% CIs for the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GMRs for both active components were contained within the (80%, 125%) acceptance limits</w:t>
      </w:r>
      <w:r w:rsidR="00255E9C">
        <w:t>.</w:t>
      </w:r>
    </w:p>
    <w:p w:rsidR="004C620F" w:rsidRDefault="004C620F" w:rsidP="004C620F">
      <w:r>
        <w:t xml:space="preserve">Although not one of the dosage strengths proposed for marketing, Study P046/1054 examined the BE of ertugliflozin 7.5 mg/metformin 850 mg FDC tablet and the free combination following a single dose under fasted conditions in 34 healthy subjects. For this study, the metformin tablets used as part </w:t>
      </w:r>
      <w:r w:rsidR="00255E9C">
        <w:t xml:space="preserve">of the free combination were EU </w:t>
      </w:r>
      <w:r>
        <w:t>sourced Glucophage (metformin hydrochloride) 850 mg.</w:t>
      </w:r>
    </w:p>
    <w:p w:rsidR="004C620F" w:rsidRDefault="004C620F" w:rsidP="004C620F">
      <w:r>
        <w:t xml:space="preserve">Under these conditions the GMRs (90% CIs) for the comparison of the FDC to the free combination for ertugliflozin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100.67% (97.59%, 103.84%), 100.35% (97.38%, 103.42%) and 97.21% (92.98%, 101.64%), respectively. Median ertugliflozin </w:t>
      </w:r>
      <w:r w:rsidR="004B3596">
        <w:t>T</w:t>
      </w:r>
      <w:r w:rsidR="004B3596" w:rsidRPr="004B3596">
        <w:rPr>
          <w:vertAlign w:val="subscript"/>
        </w:rPr>
        <w:t>max</w:t>
      </w:r>
      <w:r>
        <w:t xml:space="preserve"> values for the FDC and free combinations were 1.50 h and 1.00 h, respectively and the mean </w:t>
      </w:r>
      <w:r w:rsidR="004B3596">
        <w:t>t</w:t>
      </w:r>
      <w:r w:rsidR="004B3596" w:rsidRPr="004B3596">
        <w:rPr>
          <w:vertAlign w:val="subscript"/>
        </w:rPr>
        <w:t>1/2</w:t>
      </w:r>
      <w:r>
        <w:t xml:space="preserve"> values were 10.30 h and 10.50 h, respectively.</w:t>
      </w:r>
    </w:p>
    <w:p w:rsidR="004C620F" w:rsidRDefault="004C620F" w:rsidP="004C620F">
      <w:r>
        <w:t xml:space="preserve">For the metformin component, the GMRs (90%CIs) comparing the FDC/free for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104.96% (99.83%, 110.36%), 102.37% (98.48%, 106.42%) and 98.30% (93.04%, 103.87%), respectively. The median metformin </w:t>
      </w:r>
      <w:r w:rsidR="004B3596">
        <w:t>T</w:t>
      </w:r>
      <w:r w:rsidR="004B3596" w:rsidRPr="004B3596">
        <w:rPr>
          <w:vertAlign w:val="subscript"/>
        </w:rPr>
        <w:t>max</w:t>
      </w:r>
      <w:r w:rsidR="00255E9C">
        <w:t xml:space="preserve"> for the fixed </w:t>
      </w:r>
      <w:r>
        <w:t xml:space="preserve">dose and free combinations were 2.0 h and 3.0 h, respectively, and the mean </w:t>
      </w:r>
      <w:r w:rsidR="004B3596">
        <w:t>t</w:t>
      </w:r>
      <w:r w:rsidR="004B3596" w:rsidRPr="004B3596">
        <w:rPr>
          <w:vertAlign w:val="subscript"/>
        </w:rPr>
        <w:t>1/2</w:t>
      </w:r>
      <w:r>
        <w:t xml:space="preserve"> values were 1</w:t>
      </w:r>
      <w:r w:rsidR="00255E9C">
        <w:t>5.8 h and 12.8 h, respectively.</w:t>
      </w:r>
    </w:p>
    <w:p w:rsidR="00255E9C" w:rsidRDefault="004C620F" w:rsidP="004C620F">
      <w:r>
        <w:t xml:space="preserve">The results therefore indicated that the FDC and free combinations were bioequivalent.as 90% CIs for the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GMRs for both active components were contained within the (80%, 125%) acceptance limits</w:t>
      </w:r>
      <w:r w:rsidR="00255E9C">
        <w:t>.</w:t>
      </w:r>
    </w:p>
    <w:p w:rsidR="004C620F" w:rsidRDefault="004C620F" w:rsidP="00B17F04">
      <w:pPr>
        <w:pStyle w:val="Heading5"/>
      </w:pPr>
      <w:r>
        <w:t>Influence of food</w:t>
      </w:r>
    </w:p>
    <w:p w:rsidR="004C620F" w:rsidRDefault="004C620F" w:rsidP="00B17F04">
      <w:pPr>
        <w:pStyle w:val="Heading6"/>
      </w:pPr>
      <w:r>
        <w:t>Ertugliflozin/metformin</w:t>
      </w:r>
    </w:p>
    <w:p w:rsidR="00255E9C" w:rsidRDefault="004C620F" w:rsidP="004C620F">
      <w:r>
        <w:t>Study P028/1049 examined the relative bioavailability (BA) of ertugliflozin 7.5 mg/metformin 1000 mg FDC tablet under fasted conditions and following a standard high-fat, high-calorie breakfast in 14 healthy subjects</w:t>
      </w:r>
      <w:r w:rsidR="00255E9C">
        <w:t>.</w:t>
      </w:r>
    </w:p>
    <w:p w:rsidR="004C620F" w:rsidRDefault="004C620F" w:rsidP="004C620F">
      <w:r>
        <w:t xml:space="preserve">When the FDC tablet was administered with a high-fat breakfast, ertugliflozin </w:t>
      </w:r>
      <w:r w:rsidR="004B3596">
        <w:t>C</w:t>
      </w:r>
      <w:r w:rsidR="004B3596" w:rsidRPr="004B3596">
        <w:rPr>
          <w:vertAlign w:val="subscript"/>
        </w:rPr>
        <w:t>max</w:t>
      </w:r>
      <w:r>
        <w:t xml:space="preserve"> was approximately 40% lower compared to when it was administered following an overnight fast and the median </w:t>
      </w:r>
      <w:r w:rsidR="004B3596">
        <w:t>T</w:t>
      </w:r>
      <w:r w:rsidR="004B3596" w:rsidRPr="004B3596">
        <w:rPr>
          <w:vertAlign w:val="subscript"/>
        </w:rPr>
        <w:t>max</w:t>
      </w:r>
      <w:r>
        <w:t xml:space="preserve"> was delayed from 1.5 h to 2.5 h. By contrast, ertugliflozin mean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t</w:t>
      </w:r>
      <w:r w:rsidR="004B3596" w:rsidRPr="004B3596">
        <w:rPr>
          <w:vertAlign w:val="subscript"/>
        </w:rPr>
        <w:t>1/2</w:t>
      </w:r>
      <w:r>
        <w:t xml:space="preserve"> values were similar under both conditions. The GMR (90% CIs) comparing fed relative to fasted conditions for ertugliflozin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93.81% (90.09%, 97.69%), 93.75% (90.03%, 97.63%) and 59.41% (51.06%, 69.11%), respectively. The 90% CIs for </w:t>
      </w:r>
      <w:r w:rsidR="004B3596">
        <w:t>AUC</w:t>
      </w:r>
      <w:r w:rsidR="004B3596" w:rsidRPr="004B3596">
        <w:rPr>
          <w:vertAlign w:val="subscript"/>
        </w:rPr>
        <w:t>inf</w:t>
      </w:r>
      <w:r>
        <w:t xml:space="preserve"> and </w:t>
      </w:r>
      <w:r w:rsidR="004B3596">
        <w:t>AUC</w:t>
      </w:r>
      <w:r w:rsidR="004B3596" w:rsidRPr="004B3596">
        <w:rPr>
          <w:vertAlign w:val="subscript"/>
        </w:rPr>
        <w:t>last</w:t>
      </w:r>
      <w:r>
        <w:t xml:space="preserve"> were contained within the (80%, 125%) acceptance range for bioequivalence, indicating no meaningful effect of food on ertugliflozin AUC, whereas, ertugliflozin </w:t>
      </w:r>
      <w:r w:rsidR="004B3596">
        <w:t>C</w:t>
      </w:r>
      <w:r w:rsidR="004B3596" w:rsidRPr="004B3596">
        <w:rPr>
          <w:vertAlign w:val="subscript"/>
        </w:rPr>
        <w:t>max</w:t>
      </w:r>
      <w:r>
        <w:t xml:space="preserve"> was significantly lower; however, this decrease is unlikely to be clinically relevant.</w:t>
      </w:r>
    </w:p>
    <w:p w:rsidR="004C620F" w:rsidRDefault="004C620F" w:rsidP="004C620F">
      <w:r>
        <w:t xml:space="preserve">For the metformin component of the FDC, metformin </w:t>
      </w:r>
      <w:r w:rsidR="004B3596">
        <w:t>C</w:t>
      </w:r>
      <w:r w:rsidR="004B3596" w:rsidRPr="004B3596">
        <w:rPr>
          <w:vertAlign w:val="subscript"/>
        </w:rPr>
        <w:t>max</w:t>
      </w:r>
      <w:r>
        <w:t xml:space="preserve"> was approximately 30% lower in the presence of food compared to when it was administered following an overnight fast and the median </w:t>
      </w:r>
      <w:r w:rsidR="004B3596">
        <w:t>T</w:t>
      </w:r>
      <w:r w:rsidR="004B3596" w:rsidRPr="004B3596">
        <w:rPr>
          <w:vertAlign w:val="subscript"/>
        </w:rPr>
        <w:t>max</w:t>
      </w:r>
      <w:r>
        <w:t xml:space="preserve"> was delayed from 2.25 h to 4.00 h. The GMRs (90%CIs) comparing metformin </w:t>
      </w:r>
      <w:r w:rsidR="004B3596">
        <w:lastRenderedPageBreak/>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under fed relative to fasted conditions were 92.82% (85.07%, 101.26%), 94.53% (86.97%, 102.76%) and 70.68% (63.62%, 78.51%), respectively. The 90% CIs for </w:t>
      </w:r>
      <w:r w:rsidR="004B3596">
        <w:t>AUC</w:t>
      </w:r>
      <w:r w:rsidR="004B3596" w:rsidRPr="004B3596">
        <w:rPr>
          <w:vertAlign w:val="subscript"/>
        </w:rPr>
        <w:t>inf</w:t>
      </w:r>
      <w:r>
        <w:t xml:space="preserve"> and </w:t>
      </w:r>
      <w:r w:rsidR="004B3596">
        <w:t>AUC</w:t>
      </w:r>
      <w:r w:rsidR="004B3596" w:rsidRPr="004B3596">
        <w:rPr>
          <w:vertAlign w:val="subscript"/>
        </w:rPr>
        <w:t>last</w:t>
      </w:r>
      <w:r>
        <w:t xml:space="preserve"> were contained within the (80%, 125%) acceptance range for bioequivalence, indicating no meaningful effect of food on metformin AUC, whereas, metformin </w:t>
      </w:r>
      <w:r w:rsidR="004B3596">
        <w:t>C</w:t>
      </w:r>
      <w:r w:rsidR="004B3596" w:rsidRPr="004B3596">
        <w:rPr>
          <w:vertAlign w:val="subscript"/>
        </w:rPr>
        <w:t>max</w:t>
      </w:r>
      <w:r>
        <w:t xml:space="preserve"> was significantly lower; however, this decrease is unlikely to be clinically relevant.</w:t>
      </w:r>
    </w:p>
    <w:p w:rsidR="004C620F" w:rsidRDefault="004C620F" w:rsidP="00B17F04">
      <w:pPr>
        <w:pStyle w:val="Heading6"/>
      </w:pPr>
      <w:r>
        <w:t>Metformin</w:t>
      </w:r>
    </w:p>
    <w:p w:rsidR="004C620F" w:rsidRDefault="004C620F" w:rsidP="004C620F">
      <w:r>
        <w:t>Study P052/1060 examined the BE of the metformin component of the FDC and free combination following administration of ertugliflozin 2.5 mg/metformin 500 mg FDC tablet or the free combination under fasted conditions and following a high-fat/high calorie breakfast in 32 healthy subjects. For this study, the metformin tablets used as part of the free combination were Canadian (CA)-sourced Glucophage (metformin hydrochloride) 500 mg.</w:t>
      </w:r>
    </w:p>
    <w:p w:rsidR="004C620F" w:rsidRDefault="004C620F" w:rsidP="004C620F">
      <w:r>
        <w:t xml:space="preserve">Under fasted conditions, the GMRs (90% CIs) for the comparison of the FDC to the free combination for metformin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98.28% (87.50%, 110.38%), 106.80% (96.17%, 118.61%) and 108.27% (95.69%, 122.50%), respectively. Median metformin </w:t>
      </w:r>
      <w:r w:rsidR="004B3596">
        <w:t>T</w:t>
      </w:r>
      <w:r w:rsidR="004B3596" w:rsidRPr="004B3596">
        <w:rPr>
          <w:vertAlign w:val="subscript"/>
        </w:rPr>
        <w:t>max</w:t>
      </w:r>
      <w:r>
        <w:t xml:space="preserve"> values was 2.00 h under both conditions and the mean </w:t>
      </w:r>
      <w:r w:rsidR="004B3596">
        <w:t>t</w:t>
      </w:r>
      <w:r w:rsidR="004B3596" w:rsidRPr="004B3596">
        <w:rPr>
          <w:vertAlign w:val="subscript"/>
        </w:rPr>
        <w:t>1/2</w:t>
      </w:r>
      <w:r>
        <w:t xml:space="preserve"> values for the FDC and free combinations were 14.21 h and 8.67 h, respectively.</w:t>
      </w:r>
    </w:p>
    <w:p w:rsidR="004C620F" w:rsidRDefault="004C620F" w:rsidP="004C620F">
      <w:r>
        <w:t xml:space="preserve">Following a high-fat/high-calorie breakfast, the GMRs (90%CIs) comparing the FDC/free for metformin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100.07% (87.06%, 115.03%), 98.65% (92.79%, 104.87%) and 101.46% (97.54%, 105.52%), respectively. The median metformin </w:t>
      </w:r>
      <w:r w:rsidR="004B3596">
        <w:t>T</w:t>
      </w:r>
      <w:r w:rsidR="004B3596" w:rsidRPr="004B3596">
        <w:rPr>
          <w:vertAlign w:val="subscript"/>
        </w:rPr>
        <w:t>max</w:t>
      </w:r>
      <w:r>
        <w:t xml:space="preserve"> values for the fixed-dose and free combinations were 3.00 h and 4.00 h, respectively, and the mean </w:t>
      </w:r>
      <w:r w:rsidR="004B3596">
        <w:t>t</w:t>
      </w:r>
      <w:r w:rsidR="004B3596" w:rsidRPr="004B3596">
        <w:rPr>
          <w:vertAlign w:val="subscript"/>
        </w:rPr>
        <w:t>1/2</w:t>
      </w:r>
      <w:r>
        <w:t xml:space="preserve"> values were 15.44 h and 13.06 h, respectively.</w:t>
      </w:r>
    </w:p>
    <w:p w:rsidR="004C620F" w:rsidRDefault="004C620F" w:rsidP="004C620F">
      <w:r>
        <w:t xml:space="preserve">The results therefore indicated that the FDC and free combinations were bioequivalent either under the fed or the fasted state as 90% CIs for the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GMRs for both active components were contained within the (80%, 125%) acceptance limits.</w:t>
      </w:r>
    </w:p>
    <w:p w:rsidR="004C620F" w:rsidRDefault="004C620F" w:rsidP="00820B41">
      <w:pPr>
        <w:pStyle w:val="Comment"/>
      </w:pPr>
      <w:r w:rsidRPr="00820B41">
        <w:rPr>
          <w:b/>
        </w:rPr>
        <w:t>Comment</w:t>
      </w:r>
      <w:r w:rsidR="00255E9C">
        <w:t xml:space="preserve">: </w:t>
      </w:r>
      <w:r>
        <w:t xml:space="preserve">Although not one of the formal objectives and therefore not examined by </w:t>
      </w:r>
      <w:r w:rsidR="00820B41">
        <w:t>the sponsor</w:t>
      </w:r>
      <w:r>
        <w:t xml:space="preserve">, it is interesting to note that in this study, unlike Study P028/1049, it would appear that the metformin AUC and </w:t>
      </w:r>
      <w:r w:rsidR="004B3596">
        <w:t>C</w:t>
      </w:r>
      <w:r w:rsidR="004B3596" w:rsidRPr="004B3596">
        <w:rPr>
          <w:vertAlign w:val="subscript"/>
        </w:rPr>
        <w:t>max</w:t>
      </w:r>
      <w:r>
        <w:t xml:space="preserve"> values for the FDC are not entirely bioequivalent in the fed and fasted states. For instance, the ratio of mean metformin </w:t>
      </w:r>
      <w:r w:rsidR="004B3596">
        <w:t>AUC</w:t>
      </w:r>
      <w:r w:rsidR="004B3596" w:rsidRPr="004B3596">
        <w:rPr>
          <w:vertAlign w:val="subscript"/>
        </w:rPr>
        <w:t>inf</w:t>
      </w:r>
      <w:r>
        <w:t xml:space="preserve"> and </w:t>
      </w:r>
      <w:r w:rsidR="004B3596">
        <w:t>C</w:t>
      </w:r>
      <w:r w:rsidR="004B3596" w:rsidRPr="004B3596">
        <w:rPr>
          <w:vertAlign w:val="subscript"/>
        </w:rPr>
        <w:t>max</w:t>
      </w:r>
      <w:r>
        <w:t xml:space="preserve"> values fed</w:t>
      </w:r>
      <w:r w:rsidR="00820B41">
        <w:t xml:space="preserve"> versus </w:t>
      </w:r>
      <w:r w:rsidR="005C6DED">
        <w:t xml:space="preserve">fasted were 0.76 </w:t>
      </w:r>
      <w:r w:rsidR="00B434E2">
        <w:t xml:space="preserve">fold and 0.59 </w:t>
      </w:r>
      <w:r>
        <w:t xml:space="preserve">fold, respectively. In addition, although </w:t>
      </w:r>
      <w:r w:rsidR="00820B41">
        <w:t>the sponsor</w:t>
      </w:r>
      <w:r>
        <w:t xml:space="preserve"> states the following </w:t>
      </w:r>
      <w:r w:rsidR="00233AFA">
        <w:t>‘</w:t>
      </w:r>
      <w:r>
        <w:t>Bioequivalence of the ertugliflozin component was not evaluated because ertugliflozin meets the requirements for a waiver; it is a Biopharmaceutics Classification System (BCS) Class I drug and there is no clinical drug-drug interaction between ertugliflozin and metformin (B1521032)</w:t>
      </w:r>
      <w:r w:rsidR="00233AFA">
        <w:t>’</w:t>
      </w:r>
      <w:r>
        <w:t>, given that plasma samples were already available it seems a relatively easy matter to have included the ertugliflozin PK data, especially considering the effect that food has on ertugliflozin exposure.</w:t>
      </w:r>
    </w:p>
    <w:p w:rsidR="004C620F" w:rsidRDefault="004C620F" w:rsidP="004C620F">
      <w:r>
        <w:t>Study P053/1061</w:t>
      </w:r>
      <w:r w:rsidR="00C242A4">
        <w:t xml:space="preserve"> </w:t>
      </w:r>
      <w:r>
        <w:t>examined the BE of the metformin component of the FDC and free combination following administration of ertugliflozin 7.5 mg/metformin 850 mg FDC tablet or the free combination under fasted conditions and following a high-fat/high calorie breakfast in 32 healthy subjects. For this study, the metformin tablets used as part of the free combination were Canadian</w:t>
      </w:r>
      <w:r w:rsidR="00820B41">
        <w:t xml:space="preserve"> </w:t>
      </w:r>
      <w:r>
        <w:t>(CA)</w:t>
      </w:r>
      <w:r w:rsidR="00820B41">
        <w:t xml:space="preserve"> </w:t>
      </w:r>
      <w:r>
        <w:t>sourced Glucophage (metformin hydrochloride) 850 mg.</w:t>
      </w:r>
    </w:p>
    <w:p w:rsidR="004C620F" w:rsidRDefault="004C620F" w:rsidP="004C620F">
      <w:r>
        <w:t xml:space="preserve">Under fasted conditions, the GMRs (90% CIs) for the comparison of the FDC to the free combination for metformin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98.66% (89.42%, 108.85%), 98.87% (91.88%, 106.40%) and 101.13% </w:t>
      </w:r>
      <w:r w:rsidR="00820B41">
        <w:t>(90.58%, 112.92%), respectively</w:t>
      </w:r>
      <w:r>
        <w:t xml:space="preserve">. Median metformin </w:t>
      </w:r>
      <w:r w:rsidR="004B3596">
        <w:t>T</w:t>
      </w:r>
      <w:r w:rsidR="004B3596" w:rsidRPr="004B3596">
        <w:rPr>
          <w:vertAlign w:val="subscript"/>
        </w:rPr>
        <w:t>max</w:t>
      </w:r>
      <w:r>
        <w:t xml:space="preserve"> values was 2.0 h under both conditions and the mean </w:t>
      </w:r>
      <w:r w:rsidR="004B3596">
        <w:t>t</w:t>
      </w:r>
      <w:r w:rsidR="004B3596" w:rsidRPr="004B3596">
        <w:rPr>
          <w:vertAlign w:val="subscript"/>
        </w:rPr>
        <w:t>1/2</w:t>
      </w:r>
      <w:r>
        <w:t xml:space="preserve"> values for the FDC and free combinations were 16.7 h and 16.5 h, respectively.</w:t>
      </w:r>
    </w:p>
    <w:p w:rsidR="004C620F" w:rsidRDefault="004C620F" w:rsidP="004C620F">
      <w:r>
        <w:t xml:space="preserve">Following a high-fat/high-calorie breakfast, the GMRs (90%CIs) comparing the FDC/free for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were 99.09% (83.74%, 117.25%), 105.80% (95.99%, 116.62%) and 98.67% (91.50%, 106.40%), respectively. The median metformin </w:t>
      </w:r>
      <w:r w:rsidR="004B3596">
        <w:t>T</w:t>
      </w:r>
      <w:r w:rsidR="004B3596" w:rsidRPr="004B3596">
        <w:rPr>
          <w:vertAlign w:val="subscript"/>
        </w:rPr>
        <w:t>max</w:t>
      </w:r>
      <w:r w:rsidR="00B434E2">
        <w:t xml:space="preserve"> values for the fixed </w:t>
      </w:r>
      <w:r>
        <w:t xml:space="preserve">dose </w:t>
      </w:r>
      <w:r>
        <w:lastRenderedPageBreak/>
        <w:t xml:space="preserve">and free combinations were 3.53 h and 2.52 h, respectively, and the mean </w:t>
      </w:r>
      <w:r w:rsidR="004B3596">
        <w:t>t</w:t>
      </w:r>
      <w:r w:rsidR="004B3596" w:rsidRPr="004B3596">
        <w:rPr>
          <w:vertAlign w:val="subscript"/>
        </w:rPr>
        <w:t>1/2</w:t>
      </w:r>
      <w:r>
        <w:t xml:space="preserve"> values were 16.05</w:t>
      </w:r>
      <w:r w:rsidR="00DB4E08">
        <w:t> </w:t>
      </w:r>
      <w:r>
        <w:t>h and 22.03 h, respectively.</w:t>
      </w:r>
    </w:p>
    <w:p w:rsidR="004C620F" w:rsidRDefault="004C620F" w:rsidP="004C620F">
      <w:r>
        <w:t>The results therefore indicated that the FDC and free combinations were bioequivalent either under the fed or the fasted state in terms of metformin exposure</w:t>
      </w:r>
      <w:r w:rsidR="00C242A4">
        <w:t xml:space="preserve"> </w:t>
      </w:r>
      <w:r>
        <w:t xml:space="preserve">as 90% CIs for the </w:t>
      </w:r>
      <w:r w:rsidR="004B3596">
        <w:t>AUC</w:t>
      </w:r>
      <w:r w:rsidR="004B3596" w:rsidRPr="004B3596">
        <w:rPr>
          <w:vertAlign w:val="subscript"/>
        </w:rPr>
        <w:t>inf</w:t>
      </w:r>
      <w:r>
        <w:t xml:space="preserve">, </w:t>
      </w:r>
      <w:r w:rsidR="004B3596">
        <w:t>AUC</w:t>
      </w:r>
      <w:r w:rsidR="004B3596" w:rsidRPr="004B3596">
        <w:rPr>
          <w:vertAlign w:val="subscript"/>
        </w:rPr>
        <w:t>last</w:t>
      </w:r>
      <w:r>
        <w:t xml:space="preserve"> and </w:t>
      </w:r>
      <w:r w:rsidR="004B3596">
        <w:t>C</w:t>
      </w:r>
      <w:r w:rsidR="004B3596" w:rsidRPr="004B3596">
        <w:rPr>
          <w:vertAlign w:val="subscript"/>
        </w:rPr>
        <w:t>max</w:t>
      </w:r>
      <w:r>
        <w:t xml:space="preserve"> GMRs for both active components were contained within the (80%, 125%) acceptance limits.</w:t>
      </w:r>
    </w:p>
    <w:p w:rsidR="004C620F" w:rsidRDefault="004C620F" w:rsidP="00820B41">
      <w:pPr>
        <w:pStyle w:val="Comment"/>
      </w:pPr>
      <w:r w:rsidRPr="00820B41">
        <w:rPr>
          <w:b/>
        </w:rPr>
        <w:t>Comment</w:t>
      </w:r>
      <w:r w:rsidR="00B434E2">
        <w:t xml:space="preserve">: </w:t>
      </w:r>
      <w:r>
        <w:t xml:space="preserve">As described for Study P052/1060, it would appear that the metformin AUC and </w:t>
      </w:r>
      <w:r w:rsidR="004B3596">
        <w:t>C</w:t>
      </w:r>
      <w:r w:rsidR="004B3596" w:rsidRPr="004B3596">
        <w:rPr>
          <w:vertAlign w:val="subscript"/>
        </w:rPr>
        <w:t>max</w:t>
      </w:r>
      <w:r>
        <w:t xml:space="preserve"> values for the FDC are not entirely bioequivalent in the fed and fasted states. For instance, the ratio of mean metformin </w:t>
      </w:r>
      <w:r w:rsidR="004B3596">
        <w:t>AUC</w:t>
      </w:r>
      <w:r w:rsidR="004B3596" w:rsidRPr="004B3596">
        <w:rPr>
          <w:vertAlign w:val="subscript"/>
        </w:rPr>
        <w:t>inf</w:t>
      </w:r>
      <w:r>
        <w:t xml:space="preserve"> and </w:t>
      </w:r>
      <w:r w:rsidR="004B3596">
        <w:t>C</w:t>
      </w:r>
      <w:r w:rsidR="004B3596" w:rsidRPr="004B3596">
        <w:rPr>
          <w:vertAlign w:val="subscript"/>
        </w:rPr>
        <w:t>max</w:t>
      </w:r>
      <w:r>
        <w:t xml:space="preserve"> values fed</w:t>
      </w:r>
      <w:r w:rsidR="00820B41">
        <w:t xml:space="preserve"> versus </w:t>
      </w:r>
      <w:r w:rsidR="00B434E2">
        <w:t xml:space="preserve">fasted were 0.89 </w:t>
      </w:r>
      <w:r>
        <w:t>fo</w:t>
      </w:r>
      <w:r w:rsidR="00B434E2">
        <w:t xml:space="preserve">ld and 0.74 </w:t>
      </w:r>
      <w:r>
        <w:t>fold, respectively.</w:t>
      </w:r>
    </w:p>
    <w:p w:rsidR="004C620F" w:rsidRDefault="004C620F" w:rsidP="00B17F04">
      <w:pPr>
        <w:pStyle w:val="Heading5"/>
      </w:pPr>
      <w:r>
        <w:t>Distribution, Metabolism and Excretion</w:t>
      </w:r>
    </w:p>
    <w:p w:rsidR="004C620F" w:rsidRDefault="004C620F" w:rsidP="004C620F">
      <w:r>
        <w:t xml:space="preserve">No dedicated studies examined the distribution, metabolism or excretion of the proposed FDC tablets. However, these PK parameters are well-established for metformin (please see the Australian PI for APO-Metformin for further details) and the results for ertugliflozin are discussed in the concurrent submission </w:t>
      </w:r>
      <w:r w:rsidR="003E2983">
        <w:t>for Steglatro</w:t>
      </w:r>
      <w:r>
        <w:t>.</w:t>
      </w:r>
    </w:p>
    <w:p w:rsidR="004C620F" w:rsidRDefault="004C620F" w:rsidP="00B17F04">
      <w:pPr>
        <w:pStyle w:val="Heading4"/>
      </w:pPr>
      <w:r>
        <w:t>Intra and inter individual variability of pharmacokinetics</w:t>
      </w:r>
    </w:p>
    <w:p w:rsidR="004C620F" w:rsidRDefault="004C620F" w:rsidP="004C620F">
      <w:r>
        <w:t xml:space="preserve">Following a single oral administration of the highest proposed dosage strength of the FDC tablet, containing metformin 1000 mg/ertugliflozin 7.5 mg, or co-administration of the corresponding free combination(US) under fasted conditions the inter-subject variability (geometric CV%) ranged from 27% to 28% for ertugliflozin </w:t>
      </w:r>
      <w:r w:rsidR="004B3596">
        <w:t>AUC</w:t>
      </w:r>
      <w:r w:rsidR="004B3596" w:rsidRPr="004B3596">
        <w:rPr>
          <w:vertAlign w:val="subscript"/>
        </w:rPr>
        <w:t>inf</w:t>
      </w:r>
      <w:r>
        <w:t xml:space="preserve">, and ranged from 23% to 24% for ertugliflozin </w:t>
      </w:r>
      <w:r w:rsidR="004B3596">
        <w:t>C</w:t>
      </w:r>
      <w:r w:rsidR="004B3596" w:rsidRPr="004B3596">
        <w:rPr>
          <w:vertAlign w:val="subscript"/>
        </w:rPr>
        <w:t>max</w:t>
      </w:r>
      <w:r>
        <w:t xml:space="preserve">. For the metformin component, the geometric CV% ranged from 24% to 26% for </w:t>
      </w:r>
      <w:r w:rsidR="004B3596">
        <w:t>AUC</w:t>
      </w:r>
      <w:r w:rsidR="004B3596" w:rsidRPr="004B3596">
        <w:rPr>
          <w:vertAlign w:val="subscript"/>
        </w:rPr>
        <w:t>inf</w:t>
      </w:r>
      <w:r>
        <w:t xml:space="preserve">, and ranged from 25% to 29% for </w:t>
      </w:r>
      <w:r w:rsidR="004B3596">
        <w:t>C</w:t>
      </w:r>
      <w:r w:rsidR="004B3596" w:rsidRPr="004B3596">
        <w:rPr>
          <w:vertAlign w:val="subscript"/>
        </w:rPr>
        <w:t>max</w:t>
      </w:r>
      <w:r>
        <w:t>.</w:t>
      </w:r>
    </w:p>
    <w:p w:rsidR="004C620F" w:rsidRDefault="004C620F" w:rsidP="00B17F04">
      <w:pPr>
        <w:pStyle w:val="Heading4"/>
      </w:pPr>
      <w:r>
        <w:t>Pharmacokinetics in the target population</w:t>
      </w:r>
    </w:p>
    <w:p w:rsidR="004C620F" w:rsidRDefault="004C620F" w:rsidP="004C620F">
      <w:r>
        <w:t>No dedicated PK studies examined the PKs of the FDC in the target population. However, the PI for metformin lists a number of contraindications and states the following in regards to lactic acidosis:</w:t>
      </w:r>
    </w:p>
    <w:p w:rsidR="004C620F" w:rsidRDefault="004C620F" w:rsidP="00B17F04">
      <w:pPr>
        <w:ind w:left="720"/>
      </w:pPr>
      <w:r w:rsidRPr="00B17F04">
        <w:rPr>
          <w:i/>
        </w:rPr>
        <w:t>Because of the danger of lactic acidosis, metformin should not be used in the presence of the following conditions: diminished renal function; cardiovascular disease (</w:t>
      </w:r>
      <w:r w:rsidR="002E313C">
        <w:rPr>
          <w:i/>
        </w:rPr>
        <w:t>for example</w:t>
      </w:r>
      <w:r w:rsidRPr="00B17F04">
        <w:rPr>
          <w:i/>
        </w:rPr>
        <w:t xml:space="preserve"> coronary insufficiency, myocardial infarction, and hypertension); conditions which may be associated with tissue hypoxia (</w:t>
      </w:r>
      <w:r w:rsidR="002E313C">
        <w:rPr>
          <w:i/>
        </w:rPr>
        <w:t>for example</w:t>
      </w:r>
      <w:r w:rsidRPr="00B17F04">
        <w:rPr>
          <w:i/>
        </w:rPr>
        <w:t xml:space="preserve"> gangrene, circulatory shock, acute significant blood loss); pulmonary embolism; severe hepatic dysfunction; pancreatitis; excessive alcohol intake; concomitant use of diuretics</w:t>
      </w:r>
      <w:r>
        <w:t>.</w:t>
      </w:r>
    </w:p>
    <w:p w:rsidR="004C620F" w:rsidRDefault="004C620F" w:rsidP="00B17F04">
      <w:pPr>
        <w:pStyle w:val="Heading4"/>
      </w:pPr>
      <w:r>
        <w:t>Pharmacokinetics in special populations</w:t>
      </w:r>
    </w:p>
    <w:p w:rsidR="004C620F" w:rsidRDefault="004C620F" w:rsidP="004C620F">
      <w:r>
        <w:t xml:space="preserve">No dedicated PK studies examined the PKs of the FDC in special populations. However, metformin is contraindicated in several populations including patients with hepatic or renal dysfunction due to the risk of lactic acidosis (please see the preceding section of this report for further details). For ertugliflozin, there is no clinical experience in patients with Child-Pugh </w:t>
      </w:r>
      <w:r w:rsidR="00DB4E08">
        <w:t xml:space="preserve">Class </w:t>
      </w:r>
      <w:r>
        <w:t xml:space="preserve">C (severe) hepatic impairment and its use is contraindicated in patients with chronic kidney disease (CKD) </w:t>
      </w:r>
      <w:r w:rsidR="00DB4E08">
        <w:t xml:space="preserve">Stage </w:t>
      </w:r>
      <w:r>
        <w:t xml:space="preserve">4 or 5 (severely impaired renal function including patients receiving dialysis; eGFR </w:t>
      </w:r>
      <w:r w:rsidR="00094198">
        <w:t xml:space="preserve">&lt; </w:t>
      </w:r>
      <w:r>
        <w:t>30 mL/min/</w:t>
      </w:r>
      <w:r w:rsidR="002629A1">
        <w:t>1.73 m</w:t>
      </w:r>
      <w:r w:rsidR="002629A1" w:rsidRPr="002629A1">
        <w:rPr>
          <w:vertAlign w:val="superscript"/>
        </w:rPr>
        <w:t>2</w:t>
      </w:r>
      <w:r>
        <w:t xml:space="preserve"> or creatinine clearance (CrCl) </w:t>
      </w:r>
      <w:r w:rsidR="00094198">
        <w:t xml:space="preserve">&lt; </w:t>
      </w:r>
      <w:r>
        <w:t xml:space="preserve">30 mL/min) or eGFR persistently </w:t>
      </w:r>
      <w:r w:rsidR="00094198">
        <w:t xml:space="preserve">&lt; </w:t>
      </w:r>
      <w:r>
        <w:t xml:space="preserve">45 mL/min/1.73m2 or CrCl persistently </w:t>
      </w:r>
      <w:r w:rsidR="00094198">
        <w:t xml:space="preserve">&lt; </w:t>
      </w:r>
      <w:r>
        <w:t xml:space="preserve">45 mL/min (CKD </w:t>
      </w:r>
      <w:r w:rsidR="00DB4E08">
        <w:t xml:space="preserve">Stage </w:t>
      </w:r>
      <w:r>
        <w:t>3B).</w:t>
      </w:r>
    </w:p>
    <w:p w:rsidR="004C620F" w:rsidRDefault="004C620F" w:rsidP="00B17F04">
      <w:pPr>
        <w:pStyle w:val="Heading4"/>
      </w:pPr>
      <w:r>
        <w:t>Population pharmacokinetics</w:t>
      </w:r>
    </w:p>
    <w:p w:rsidR="004C620F" w:rsidRDefault="004C620F" w:rsidP="004C620F">
      <w:r>
        <w:t>No dedicated popPK analyses were undertaken for the FDC tablets.</w:t>
      </w:r>
    </w:p>
    <w:p w:rsidR="004C620F" w:rsidRDefault="004C620F" w:rsidP="00B17F04">
      <w:pPr>
        <w:pStyle w:val="Heading4"/>
      </w:pPr>
      <w:r>
        <w:t>Pharmacokinetic interactions</w:t>
      </w:r>
    </w:p>
    <w:p w:rsidR="004C620F" w:rsidRDefault="004C620F" w:rsidP="004C620F">
      <w:r>
        <w:t xml:space="preserve">No dedicated PK studies examined drug-drug interactions between the FDC and other drugs; however, the interaction between ertugliflozin and metformin has been examined as part of </w:t>
      </w:r>
      <w:r>
        <w:lastRenderedPageBreak/>
        <w:t xml:space="preserve">concurrent submission </w:t>
      </w:r>
      <w:r w:rsidR="003E2983">
        <w:t>for Steglatro</w:t>
      </w:r>
      <w:r w:rsidR="00B17F04">
        <w:t>. In summary, Study P019/1032</w:t>
      </w:r>
      <w:r>
        <w:t xml:space="preserve"> examined the potential for a DDI between a single dose of 15 mg ertugliflozin and 1000 mg metformin in healthy volunteers. Co-administration had no effect on ertugliflozin exposure, as reflected by the GMRs (90% CIs) for co-administration</w:t>
      </w:r>
      <w:r w:rsidR="00820B41">
        <w:t xml:space="preserve"> versus </w:t>
      </w:r>
      <w:r>
        <w:t xml:space="preserve">ertugliflozin alone of 100.34% (97.43%, 103.34%) and 97.14% (88.77%, 106.30%) for </w:t>
      </w:r>
      <w:r w:rsidR="004B3596">
        <w:t>AUC</w:t>
      </w:r>
      <w:r w:rsidR="004B3596" w:rsidRPr="004B3596">
        <w:rPr>
          <w:vertAlign w:val="subscript"/>
        </w:rPr>
        <w:t>inf</w:t>
      </w:r>
      <w:r>
        <w:t xml:space="preserve"> and </w:t>
      </w:r>
      <w:r w:rsidR="004B3596">
        <w:t>C</w:t>
      </w:r>
      <w:r w:rsidR="004B3596" w:rsidRPr="004B3596">
        <w:rPr>
          <w:vertAlign w:val="subscript"/>
        </w:rPr>
        <w:t>max</w:t>
      </w:r>
      <w:r>
        <w:t>, respectively</w:t>
      </w:r>
      <w:r w:rsidR="00B17F04">
        <w:t xml:space="preserve"> (</w:t>
      </w:r>
      <w:r w:rsidR="00B434E2">
        <w:t>submission</w:t>
      </w:r>
      <w:r w:rsidR="00B17F04">
        <w:t xml:space="preserve"> PM-2017-01328-1-5</w:t>
      </w:r>
      <w:r>
        <w:t xml:space="preserve">). Similarly for metformin, co-administration with ertugliflozin had little to no effect on metformin </w:t>
      </w:r>
      <w:r w:rsidR="004B3596">
        <w:t>C</w:t>
      </w:r>
      <w:r w:rsidR="004B3596" w:rsidRPr="004B3596">
        <w:rPr>
          <w:vertAlign w:val="subscript"/>
        </w:rPr>
        <w:t>max</w:t>
      </w:r>
      <w:r>
        <w:t xml:space="preserve"> and AUC values and the corresponding GMRs and 90%CIs fell entirely within in the equivalence bounds (</w:t>
      </w:r>
      <w:r w:rsidR="00B434E2">
        <w:t>submission</w:t>
      </w:r>
      <w:r w:rsidR="00B17F04">
        <w:t xml:space="preserve"> PM-2017-01328-1-5</w:t>
      </w:r>
      <w:r>
        <w:t>).</w:t>
      </w:r>
    </w:p>
    <w:p w:rsidR="004C620F" w:rsidRDefault="004C620F" w:rsidP="00B17F04">
      <w:pPr>
        <w:pStyle w:val="Heading4"/>
      </w:pPr>
      <w:r>
        <w:t>Clinical implications of in vitro findings</w:t>
      </w:r>
    </w:p>
    <w:p w:rsidR="004C620F" w:rsidRDefault="004C620F" w:rsidP="004C620F">
      <w:r>
        <w:t>No new in vitro data was provided, which examined the potential for drug-drug interactions between the FDC and other drugs or metabolic pathways.</w:t>
      </w:r>
    </w:p>
    <w:p w:rsidR="004C620F" w:rsidRDefault="004C620F" w:rsidP="00B17F04">
      <w:pPr>
        <w:pStyle w:val="Heading3"/>
      </w:pPr>
      <w:bookmarkStart w:id="26" w:name="_Toc4571192"/>
      <w:r>
        <w:t>Evaluator’s overall conclusions on pharmacokinetics</w:t>
      </w:r>
      <w:bookmarkEnd w:id="26"/>
    </w:p>
    <w:p w:rsidR="004C620F" w:rsidRDefault="004C620F" w:rsidP="00B17F04">
      <w:pPr>
        <w:pStyle w:val="ListBullet"/>
      </w:pPr>
      <w:r>
        <w:t>The current submission contains four previously unevaluated studies, which examine the BE between the various strengths of the FDC proposed for marketing and the corresponding free combinations. In addition, a further 3 new studies examined the effect of a high-fat/high-calorie breakfast on the PKs of the active components of the FDC tablets.</w:t>
      </w:r>
    </w:p>
    <w:p w:rsidR="004C620F" w:rsidRDefault="004C620F" w:rsidP="00B17F04">
      <w:pPr>
        <w:pStyle w:val="ListBullet"/>
      </w:pPr>
      <w:r>
        <w:t>In regards to the tablets containing a single active component, the PKs of</w:t>
      </w:r>
      <w:r w:rsidR="00B3476E">
        <w:t xml:space="preserve"> metformin are well-established</w:t>
      </w:r>
      <w:r>
        <w:t xml:space="preserve"> and the PKs of ertugliflozin are described in detail in the concurrent submission </w:t>
      </w:r>
      <w:r w:rsidR="003E2983">
        <w:t>for Steglatro</w:t>
      </w:r>
      <w:r>
        <w:t>.</w:t>
      </w:r>
    </w:p>
    <w:p w:rsidR="004C620F" w:rsidRDefault="004C620F" w:rsidP="00B17F04">
      <w:pPr>
        <w:pStyle w:val="ListBullet"/>
      </w:pPr>
      <w:r>
        <w:t>Overall, the conduct of the previously unevaluated studies was satisfactory and was compliant with existing TGA guidelines, validated analytical methods were employed and the data analyses undertaken were appropriate.</w:t>
      </w:r>
    </w:p>
    <w:p w:rsidR="004C620F" w:rsidRDefault="004C620F" w:rsidP="00B17F04">
      <w:pPr>
        <w:pStyle w:val="ListBullet"/>
      </w:pPr>
      <w:r>
        <w:t>The proposed 7.</w:t>
      </w:r>
      <w:r w:rsidR="007C40A2">
        <w:t>5 mg</w:t>
      </w:r>
      <w:r>
        <w:t xml:space="preserve">/1000 mg ertugliflozin/metformin FDC tablet was bioequivalent with the free combinations, which contained commercially available metformin tablets sourced from either the US or EU. In addition, the 2.5 mg/500 mg FDC tablet was bioequivalent with the matching dose strength of the free combination, which contained US-sourced metformin tablets. Given that </w:t>
      </w:r>
      <w:r w:rsidR="00820B41">
        <w:t>the sponsor</w:t>
      </w:r>
      <w:r>
        <w:t xml:space="preserve"> has demonstrated that the lowest and the highest dose strength of the FDC tablets are bioequivalent with the matching dose strengths of the relevant free combination tablets and the dose-adjusted AUC for the doses examined meet the criterion of ± 25% as per the Guideline On The Investigation Of Bioequivalence (CPMP/EWP/QWP/1401/98 Rev. 1/ Corr), it can be assumed that the other proposed strengths of the FDC tablets will be bioequivalent with the relevant free combinations.</w:t>
      </w:r>
    </w:p>
    <w:p w:rsidR="004C620F" w:rsidRDefault="004C620F" w:rsidP="00B17F04">
      <w:pPr>
        <w:pStyle w:val="ListBullet"/>
      </w:pPr>
      <w:r>
        <w:t xml:space="preserve">Compared to fasted conditions, a high-fat breakfast had no effect on ertugliflozin or metformin </w:t>
      </w:r>
      <w:r w:rsidR="004B3596">
        <w:t>AUC</w:t>
      </w:r>
      <w:r w:rsidR="004B3596" w:rsidRPr="004B3596">
        <w:rPr>
          <w:vertAlign w:val="subscript"/>
        </w:rPr>
        <w:t>inf</w:t>
      </w:r>
      <w:r>
        <w:t xml:space="preserve"> and </w:t>
      </w:r>
      <w:r w:rsidR="004B3596">
        <w:t>AUC</w:t>
      </w:r>
      <w:r w:rsidR="004B3596" w:rsidRPr="004B3596">
        <w:rPr>
          <w:vertAlign w:val="subscript"/>
        </w:rPr>
        <w:t>last</w:t>
      </w:r>
      <w:r>
        <w:t xml:space="preserve"> values following a single dose of the ertugliflozin 7.5 mg/metformin 1000 mg FDC tablet. By contrast, ertugliflozin and metformin </w:t>
      </w:r>
      <w:r w:rsidR="004B3596">
        <w:t>C</w:t>
      </w:r>
      <w:r w:rsidR="004B3596" w:rsidRPr="004B3596">
        <w:rPr>
          <w:vertAlign w:val="subscript"/>
        </w:rPr>
        <w:t>max</w:t>
      </w:r>
      <w:r>
        <w:t xml:space="preserve"> values were ~40% and 30% lower, respectively, however, these decreases in </w:t>
      </w:r>
      <w:r w:rsidR="004B3596">
        <w:t>C</w:t>
      </w:r>
      <w:r w:rsidR="004B3596" w:rsidRPr="004B3596">
        <w:rPr>
          <w:vertAlign w:val="subscript"/>
        </w:rPr>
        <w:t>max</w:t>
      </w:r>
      <w:r>
        <w:t xml:space="preserve"> are unlikely to be clinically relevant.</w:t>
      </w:r>
    </w:p>
    <w:p w:rsidR="004C620F" w:rsidRDefault="004C620F" w:rsidP="00B17F04">
      <w:pPr>
        <w:pStyle w:val="ListBullet"/>
      </w:pPr>
      <w:r>
        <w:t>Overall, the PK sections of the proposed PI accurately reflect the submitted data; however, a number of limitations in the pr</w:t>
      </w:r>
      <w:r w:rsidR="00B3476E">
        <w:t>ovided dataset were identified:</w:t>
      </w:r>
    </w:p>
    <w:p w:rsidR="004C620F" w:rsidRDefault="004C620F" w:rsidP="00B17F04">
      <w:pPr>
        <w:pStyle w:val="ListBullet2"/>
      </w:pPr>
      <w:r>
        <w:t>Although metformin formulations from the US, EU and CA markets have been examined, none of the BE studies included any of the approved Australia metformin formulations.</w:t>
      </w:r>
    </w:p>
    <w:p w:rsidR="004C620F" w:rsidRDefault="004C620F" w:rsidP="00B17F04">
      <w:pPr>
        <w:pStyle w:val="ListBullet2"/>
      </w:pPr>
      <w:r>
        <w:t>No dedicated PK studies examined the PKs of the FDC combinations in either the target or special populations.</w:t>
      </w:r>
    </w:p>
    <w:p w:rsidR="004C620F" w:rsidRDefault="004C620F" w:rsidP="00B17F04">
      <w:pPr>
        <w:pStyle w:val="ListBullet2"/>
      </w:pPr>
      <w:r>
        <w:t>No DDI were undertaken using the proposed FDC.</w:t>
      </w:r>
    </w:p>
    <w:p w:rsidR="004C620F" w:rsidRDefault="004C620F" w:rsidP="00B17F04">
      <w:pPr>
        <w:pStyle w:val="ListBullet2"/>
      </w:pPr>
      <w:r>
        <w:lastRenderedPageBreak/>
        <w:t>Pharmacokinetic interactions between the FDC and other commonly administered drugs in this patient population such as diuretics, warfarin, digoxin</w:t>
      </w:r>
      <w:r w:rsidR="00B17F04">
        <w:t xml:space="preserve"> and so on was</w:t>
      </w:r>
      <w:r>
        <w:t xml:space="preserve"> not evaluated.</w:t>
      </w:r>
    </w:p>
    <w:p w:rsidR="004C620F" w:rsidRDefault="004C620F" w:rsidP="00B17F04">
      <w:pPr>
        <w:pStyle w:val="ListBullet2"/>
      </w:pPr>
      <w:r>
        <w:t>Studies examining the effect of food on ertugliflozin PKs have not been performed in two of the previously unevaluated food studies, when plasma samples were available and this should have been a routine and relatively easy task to undertake.</w:t>
      </w:r>
    </w:p>
    <w:p w:rsidR="00DB4E08" w:rsidRDefault="004C620F" w:rsidP="00DA242E">
      <w:pPr>
        <w:pStyle w:val="Comment"/>
      </w:pPr>
      <w:r w:rsidRPr="00B17F04">
        <w:rPr>
          <w:b/>
        </w:rPr>
        <w:t>Comment</w:t>
      </w:r>
      <w:r w:rsidR="00B3476E">
        <w:t xml:space="preserve">: </w:t>
      </w:r>
      <w:r>
        <w:t xml:space="preserve">The limitations regarding DDI studies are also present in the concurrent submission </w:t>
      </w:r>
      <w:r w:rsidR="003E2983">
        <w:t>for Steglatro</w:t>
      </w:r>
      <w:r>
        <w:t>.</w:t>
      </w:r>
    </w:p>
    <w:p w:rsidR="004C620F" w:rsidRDefault="00DB4E08" w:rsidP="00DA242E">
      <w:pPr>
        <w:pStyle w:val="Comment"/>
        <w:ind w:firstLine="0"/>
      </w:pPr>
      <w:r w:rsidRPr="00DA242E">
        <w:rPr>
          <w:i/>
        </w:rPr>
        <w:t>Question for sponsor:</w:t>
      </w:r>
      <w:r>
        <w:t xml:space="preserve"> </w:t>
      </w:r>
      <w:r w:rsidR="004C620F">
        <w:t xml:space="preserve">Metformin is also available as an extended release tablet in Australia, which requires once daily </w:t>
      </w:r>
      <w:r w:rsidR="00EF7D1E">
        <w:t>dosing;</w:t>
      </w:r>
      <w:r w:rsidR="004C620F">
        <w:t xml:space="preserve"> can the sponsor please explain why this formulation of metformin was not explored by the sponsors for the FDC?</w:t>
      </w:r>
    </w:p>
    <w:p w:rsidR="004C620F" w:rsidRDefault="00B17F04" w:rsidP="00B17F04">
      <w:pPr>
        <w:pStyle w:val="Heading2"/>
      </w:pPr>
      <w:bookmarkStart w:id="27" w:name="_Toc4571193"/>
      <w:r>
        <w:t>Pharmacodynamics</w:t>
      </w:r>
      <w:bookmarkEnd w:id="27"/>
    </w:p>
    <w:p w:rsidR="004C620F" w:rsidRDefault="004C620F" w:rsidP="00B17F04">
      <w:pPr>
        <w:pStyle w:val="Heading3"/>
      </w:pPr>
      <w:bookmarkStart w:id="28" w:name="_Toc4571194"/>
      <w:r>
        <w:t>Studies providing pharmacodynamic information</w:t>
      </w:r>
      <w:bookmarkEnd w:id="28"/>
    </w:p>
    <w:p w:rsidR="004C620F" w:rsidRDefault="004C620F" w:rsidP="00B17F04">
      <w:pPr>
        <w:pStyle w:val="Comment"/>
      </w:pPr>
      <w:r w:rsidRPr="00B17F04">
        <w:rPr>
          <w:b/>
        </w:rPr>
        <w:t>Comment</w:t>
      </w:r>
      <w:r w:rsidR="00B3476E">
        <w:t>:</w:t>
      </w:r>
      <w:r w:rsidR="00094198">
        <w:t xml:space="preserve"> </w:t>
      </w:r>
      <w:r>
        <w:t xml:space="preserve">None of the previously unevaluated studies directly examined the PDs of the FDC tablets; however, the PDs of ertugliflozin as a single agent are described in the concurrent submission </w:t>
      </w:r>
      <w:r w:rsidR="003E2983">
        <w:t>for Steglatro</w:t>
      </w:r>
      <w:r>
        <w:t>, whereas, the PDs of metformin are well establi</w:t>
      </w:r>
      <w:r w:rsidR="00B17F04">
        <w:t>shed</w:t>
      </w:r>
      <w:r>
        <w:t>.</w:t>
      </w:r>
    </w:p>
    <w:p w:rsidR="004C620F" w:rsidRDefault="004C620F" w:rsidP="00B17F04">
      <w:pPr>
        <w:pStyle w:val="Heading3"/>
      </w:pPr>
      <w:bookmarkStart w:id="29" w:name="_Toc4571195"/>
      <w:r>
        <w:t>Summary of pharmacodynamics</w:t>
      </w:r>
      <w:bookmarkEnd w:id="29"/>
    </w:p>
    <w:p w:rsidR="004C620F" w:rsidRDefault="004C620F" w:rsidP="00B17F04">
      <w:pPr>
        <w:pStyle w:val="Heading4"/>
      </w:pPr>
      <w:r>
        <w:t>Mechanism of action</w:t>
      </w:r>
    </w:p>
    <w:p w:rsidR="004C620F" w:rsidRDefault="004C620F" w:rsidP="00B17F04">
      <w:pPr>
        <w:pStyle w:val="Heading5"/>
      </w:pPr>
      <w:r>
        <w:t>Ertugliflozin</w:t>
      </w:r>
    </w:p>
    <w:p w:rsidR="004C620F" w:rsidRDefault="004C620F" w:rsidP="004C620F">
      <w:r>
        <w:t>Ertugliflozin is an orally administered selective inhibitor of SGLT2 and it possesses a high selectivity for SGLT2 versus SGLT1 and oth</w:t>
      </w:r>
      <w:r w:rsidR="00B3476E">
        <w:t xml:space="preserve">er glucose transporters (GLUT1 </w:t>
      </w:r>
      <w:r>
        <w:t xml:space="preserve">4). By inhibiting SGLT2, ertugliflozin reduces renal reabsorption of filtered glucose and lowers the renal threshold for glucose, and thereby increases urinary glucose excretion (UGE), which lowers fasting plasma glucose (FPG) and haemoglobin </w:t>
      </w:r>
      <w:r w:rsidR="00C86E15">
        <w:t>A1c</w:t>
      </w:r>
      <w:r>
        <w:t xml:space="preserve"> levels (Hb</w:t>
      </w:r>
      <w:r w:rsidR="00C86E15">
        <w:t>A1c</w:t>
      </w:r>
      <w:r w:rsidR="00B3476E">
        <w:t xml:space="preserve">) in an insulin </w:t>
      </w:r>
      <w:r>
        <w:t>independent manner. Additionally, UGE results in caloric loss and an associated weight loss. Ertugliflozin also causes osmotic diuresis, which may result in a reduction of blood pressure.</w:t>
      </w:r>
    </w:p>
    <w:p w:rsidR="004C620F" w:rsidRDefault="004C620F" w:rsidP="00B17F04">
      <w:pPr>
        <w:pStyle w:val="Heading5"/>
      </w:pPr>
      <w:r>
        <w:t>Metformin</w:t>
      </w:r>
    </w:p>
    <w:p w:rsidR="004C620F" w:rsidRDefault="004C620F" w:rsidP="004C620F">
      <w:r>
        <w:t>Metformin is an antihyperglycaemic agent which improves glucose tolerance in patients with T2DM, lowering both basal and postprandial plasma glucose, without stimulating insulin secretio</w:t>
      </w:r>
      <w:r w:rsidR="00B3476E">
        <w:t>n. It may act via 3 mechanisms:</w:t>
      </w:r>
    </w:p>
    <w:p w:rsidR="003E2983" w:rsidRDefault="003E2983" w:rsidP="003E2983">
      <w:pPr>
        <w:pStyle w:val="Numberbullet0"/>
        <w:numPr>
          <w:ilvl w:val="0"/>
          <w:numId w:val="33"/>
        </w:numPr>
      </w:pPr>
      <w:r>
        <w:t>R</w:t>
      </w:r>
      <w:r w:rsidR="004C620F">
        <w:t>eduction of hepatic glucose production by inhibiting gluconeogenes</w:t>
      </w:r>
      <w:r w:rsidR="00B3476E">
        <w:t>is and glycogenolysis in muscle</w:t>
      </w:r>
    </w:p>
    <w:p w:rsidR="004C620F" w:rsidRDefault="003E2983" w:rsidP="003E2983">
      <w:pPr>
        <w:pStyle w:val="Numberbullet0"/>
        <w:numPr>
          <w:ilvl w:val="0"/>
          <w:numId w:val="33"/>
        </w:numPr>
      </w:pPr>
      <w:r>
        <w:t>I</w:t>
      </w:r>
      <w:r w:rsidR="004C620F">
        <w:t>ncreasing insulin sensitivity, improving peripheral</w:t>
      </w:r>
      <w:r w:rsidR="00B3476E">
        <w:t xml:space="preserve"> glucose uptake and utilisation</w:t>
      </w:r>
    </w:p>
    <w:p w:rsidR="00255E9C" w:rsidRDefault="003E2983" w:rsidP="003E2983">
      <w:pPr>
        <w:pStyle w:val="Numberbullet0"/>
      </w:pPr>
      <w:r>
        <w:t>D</w:t>
      </w:r>
      <w:r w:rsidR="004C620F">
        <w:t>elay of intestinal glucose absorption</w:t>
      </w:r>
      <w:r w:rsidR="00255E9C">
        <w:t>.</w:t>
      </w:r>
    </w:p>
    <w:p w:rsidR="004C620F" w:rsidRDefault="004C620F" w:rsidP="004C620F">
      <w:r>
        <w:t>Metformin hydrochloride stimulates intracellular glycogen synthesis by acting on glycogen synthase and increases the transport capacity of all types of membrane glucose transporters.</w:t>
      </w:r>
    </w:p>
    <w:p w:rsidR="004C620F" w:rsidRDefault="004C620F" w:rsidP="003E2983">
      <w:pPr>
        <w:pStyle w:val="Heading5"/>
      </w:pPr>
      <w:r>
        <w:t>MSD-Ertugliflozin-Metformin</w:t>
      </w:r>
    </w:p>
    <w:p w:rsidR="004C620F" w:rsidRDefault="004C620F" w:rsidP="004C620F">
      <w:r>
        <w:t xml:space="preserve">MSD-Ertugliflozin-Metformin is the fixed dose combination of the two active antihyperglycaemic agents, which are thought to have complementary mechanisms of action, </w:t>
      </w:r>
      <w:r>
        <w:lastRenderedPageBreak/>
        <w:t>thereby improving glycaemic control in patients with type 2 diabetes over that possible with a single agent.</w:t>
      </w:r>
    </w:p>
    <w:p w:rsidR="004C620F" w:rsidRDefault="004C620F" w:rsidP="003E2983">
      <w:pPr>
        <w:pStyle w:val="Heading3"/>
      </w:pPr>
      <w:bookmarkStart w:id="30" w:name="_Toc4571196"/>
      <w:r>
        <w:t>Pharmacodynamic effects</w:t>
      </w:r>
      <w:bookmarkEnd w:id="30"/>
    </w:p>
    <w:p w:rsidR="004C620F" w:rsidRDefault="004C620F" w:rsidP="003E2983">
      <w:pPr>
        <w:pStyle w:val="Heading4"/>
      </w:pPr>
      <w:r>
        <w:t>Primary pharmacodynamic effects</w:t>
      </w:r>
    </w:p>
    <w:p w:rsidR="004C620F" w:rsidRDefault="004C620F" w:rsidP="004C620F">
      <w:r>
        <w:t xml:space="preserve">No dedicated studies examined the primary PD effects of the proposed FDC tablets. However, these effects are well-established for metformin and the results for ertugliflozin are discussed in the concurrent submission </w:t>
      </w:r>
      <w:r w:rsidR="003E2983">
        <w:t>for Steglatro</w:t>
      </w:r>
      <w:r>
        <w:t>.</w:t>
      </w:r>
    </w:p>
    <w:p w:rsidR="004C620F" w:rsidRDefault="004C620F" w:rsidP="003E2983">
      <w:pPr>
        <w:pStyle w:val="Heading4"/>
      </w:pPr>
      <w:r>
        <w:t>Secondary pharmacodynamic effects</w:t>
      </w:r>
    </w:p>
    <w:p w:rsidR="004C620F" w:rsidRDefault="004C620F" w:rsidP="004C620F">
      <w:r>
        <w:t>No dedicated studies examined the secondary PD effects of the proposed FDC tablets. However, these effects are</w:t>
      </w:r>
      <w:r w:rsidR="00B3476E">
        <w:t xml:space="preserve"> well-established for metformin</w:t>
      </w:r>
      <w:r>
        <w:t xml:space="preserve"> and the results for ertugliflozin are discussed in the concurrent submission </w:t>
      </w:r>
      <w:r w:rsidR="003E2983">
        <w:t>for Steglatro</w:t>
      </w:r>
      <w:r>
        <w:t>.</w:t>
      </w:r>
    </w:p>
    <w:p w:rsidR="004C620F" w:rsidRDefault="004C620F" w:rsidP="003E2983">
      <w:pPr>
        <w:pStyle w:val="Heading4"/>
      </w:pPr>
      <w:r>
        <w:t>Time course of pharmacodynamic effects</w:t>
      </w:r>
    </w:p>
    <w:p w:rsidR="004C620F" w:rsidRDefault="004C620F" w:rsidP="004C620F">
      <w:r>
        <w:t>No uneval</w:t>
      </w:r>
      <w:r w:rsidR="00B3476E">
        <w:t xml:space="preserve">uated studies examined the time </w:t>
      </w:r>
      <w:r>
        <w:t xml:space="preserve">course of PD effects for the proposed FDC tablets. However, these parameters are well-established for metformin and the results for ertugliflozin are discussed in the concurrent submission </w:t>
      </w:r>
      <w:r w:rsidR="003E2983">
        <w:t>for Steglatro</w:t>
      </w:r>
      <w:r>
        <w:t xml:space="preserve">. However, in all of the </w:t>
      </w:r>
      <w:r w:rsidR="0034721C">
        <w:t>Phase III</w:t>
      </w:r>
      <w:r>
        <w:t xml:space="preserve"> studies in the concurrent submission, ertugliflozin was administered only once daily (QD), whereas, the proposed dosin</w:t>
      </w:r>
      <w:r w:rsidR="00B3476E">
        <w:t xml:space="preserve">g regimen for the ertugliflozin </w:t>
      </w:r>
      <w:r>
        <w:t>metformin FDC is twice daily (</w:t>
      </w:r>
      <w:r w:rsidR="00B3476E">
        <w:t>BD</w:t>
      </w:r>
      <w:r>
        <w:t>).</w:t>
      </w:r>
    </w:p>
    <w:p w:rsidR="004C620F" w:rsidRDefault="004C620F" w:rsidP="004C620F">
      <w:r>
        <w:t xml:space="preserve">In order to bridge the QD and </w:t>
      </w:r>
      <w:r w:rsidR="00B3476E">
        <w:t>BD</w:t>
      </w:r>
      <w:r>
        <w:t xml:space="preserve"> dosing regimens a </w:t>
      </w:r>
      <w:r w:rsidR="0034721C">
        <w:t>Phase I</w:t>
      </w:r>
      <w:r>
        <w:t xml:space="preserve"> study (Study P035/1051, please see the concurrent submission </w:t>
      </w:r>
      <w:r w:rsidR="003E2983">
        <w:t>for Steglatro</w:t>
      </w:r>
      <w:r>
        <w:t xml:space="preserve">) in healthy subjects was undertaken and demonstrated that the steady-state </w:t>
      </w:r>
      <w:r w:rsidR="003E2983">
        <w:t>AUC</w:t>
      </w:r>
      <w:r w:rsidR="003E2983" w:rsidRPr="003E2983">
        <w:rPr>
          <w:vertAlign w:val="subscript"/>
        </w:rPr>
        <w:t>0-24</w:t>
      </w:r>
      <w:r>
        <w:t xml:space="preserve"> and cumulative urinary glucose excretion over 24 hours (</w:t>
      </w:r>
      <w:r w:rsidR="003E2983">
        <w:t>UGE</w:t>
      </w:r>
      <w:r w:rsidR="003E2983" w:rsidRPr="003E2983">
        <w:rPr>
          <w:vertAlign w:val="subscript"/>
        </w:rPr>
        <w:t>0-24</w:t>
      </w:r>
      <w:r>
        <w:t xml:space="preserve">) values were similar following QD and </w:t>
      </w:r>
      <w:r w:rsidR="00B3476E">
        <w:t>BD</w:t>
      </w:r>
      <w:r>
        <w:t xml:space="preserve"> regimens at the same total daily ertugliflozin dose (2.5</w:t>
      </w:r>
      <w:r w:rsidR="00DB4E08">
        <w:t> </w:t>
      </w:r>
      <w:r>
        <w:t xml:space="preserve">mg </w:t>
      </w:r>
      <w:r w:rsidR="00B3476E">
        <w:t>BD</w:t>
      </w:r>
      <w:r w:rsidR="00820B41">
        <w:t xml:space="preserve"> versus </w:t>
      </w:r>
      <w:r>
        <w:t xml:space="preserve">5 mg QD and 7.5 mg </w:t>
      </w:r>
      <w:r w:rsidR="00B3476E">
        <w:t>BD</w:t>
      </w:r>
      <w:r w:rsidR="00820B41">
        <w:t xml:space="preserve"> versus </w:t>
      </w:r>
      <w:r>
        <w:t xml:space="preserve">15 mg QD). A second study, Study P040/1007 (please see the concurrent submission </w:t>
      </w:r>
      <w:r w:rsidR="003E2983">
        <w:t>for Steglatro</w:t>
      </w:r>
      <w:r>
        <w:t xml:space="preserve">), was undertaken in subjects with T2DM to compare the effects of ertugliflozin on </w:t>
      </w:r>
      <w:r w:rsidR="003E2983">
        <w:t>UGE</w:t>
      </w:r>
      <w:r w:rsidR="003E2983" w:rsidRPr="003E2983">
        <w:rPr>
          <w:vertAlign w:val="subscript"/>
        </w:rPr>
        <w:t>0-24</w:t>
      </w:r>
      <w:r>
        <w:t xml:space="preserve"> and mean plasma glucose following administration of 1 mg or 2 mg </w:t>
      </w:r>
      <w:r w:rsidR="00B3476E">
        <w:t>BD</w:t>
      </w:r>
      <w:r>
        <w:t xml:space="preserve"> (</w:t>
      </w:r>
      <w:r w:rsidR="003E2983">
        <w:t>that is,</w:t>
      </w:r>
      <w:r>
        <w:t xml:space="preserve"> total daily doses of 2</w:t>
      </w:r>
      <w:r w:rsidR="00DB4E08">
        <w:t xml:space="preserve"> </w:t>
      </w:r>
      <w:r>
        <w:t xml:space="preserve">mg and 4 mg respectively) and QD doses of 2 mg or 4 mg. The results indicated that there was no marked difference in </w:t>
      </w:r>
      <w:r w:rsidR="003E2983">
        <w:t>UGE</w:t>
      </w:r>
      <w:r w:rsidR="003E2983" w:rsidRPr="003E2983">
        <w:rPr>
          <w:vertAlign w:val="subscript"/>
        </w:rPr>
        <w:t>0-24</w:t>
      </w:r>
      <w:r>
        <w:t xml:space="preserve"> across the 4 treatment arms studied, although UGE was numerically greater following the higher dose regimens (4 mg</w:t>
      </w:r>
      <w:r w:rsidR="00820B41">
        <w:t xml:space="preserve"> versus </w:t>
      </w:r>
      <w:r>
        <w:t>2 mg total daily dose), whereas, the weighted mean plasma glucose over 24 h was similar for all treatment groups, and the mean values ranged from 169</w:t>
      </w:r>
      <w:r w:rsidR="00DB4E08">
        <w:t> </w:t>
      </w:r>
      <w:r>
        <w:t>mg/dL to 176 mg/dL. In addition, a model-based meta-analysis (MBMA), PMAR</w:t>
      </w:r>
      <w:r w:rsidR="00DB4E08">
        <w:noBreakHyphen/>
      </w:r>
      <w:r>
        <w:t>EQDD</w:t>
      </w:r>
      <w:r w:rsidR="00DB4E08">
        <w:noBreakHyphen/>
      </w:r>
      <w:r>
        <w:t xml:space="preserve">B152c-DP4-444 (please see the concurrent submission </w:t>
      </w:r>
      <w:r w:rsidR="003E2983">
        <w:t>for Steglatro</w:t>
      </w:r>
      <w:r w:rsidR="00DB4E08">
        <w:t>, available as Attachment 2</w:t>
      </w:r>
      <w:r>
        <w:t xml:space="preserve">), was undertaken in an attempt to predict the potential difference in steady-state </w:t>
      </w:r>
      <w:r w:rsidR="00C86E15">
        <w:t>A1c</w:t>
      </w:r>
      <w:r>
        <w:t xml:space="preserve"> response following either </w:t>
      </w:r>
      <w:r w:rsidR="00B3476E">
        <w:t>BD</w:t>
      </w:r>
      <w:r>
        <w:t xml:space="preserve"> or QD dosing in subjects with T2DM. For a typical patient with T2DM the predicted potential difference in </w:t>
      </w:r>
      <w:r w:rsidR="00C86E15">
        <w:t>A1c</w:t>
      </w:r>
      <w:r>
        <w:t xml:space="preserve"> effect following </w:t>
      </w:r>
      <w:r w:rsidR="00B3476E">
        <w:t>BD</w:t>
      </w:r>
      <w:r>
        <w:t xml:space="preserve"> and QD ertugliflozin was -0.025% for 2.5 mg </w:t>
      </w:r>
      <w:r w:rsidR="00B3476E">
        <w:t>BD</w:t>
      </w:r>
      <w:r w:rsidR="00820B41">
        <w:t xml:space="preserve"> versus </w:t>
      </w:r>
      <w:r>
        <w:t xml:space="preserve">5 mg QD and -0.010% for 7.5 mg </w:t>
      </w:r>
      <w:r w:rsidR="00B3476E">
        <w:t>BD</w:t>
      </w:r>
      <w:r w:rsidR="00820B41">
        <w:t xml:space="preserve"> versus </w:t>
      </w:r>
      <w:r>
        <w:t xml:space="preserve">15 mg QD. Moreover, the ratio of the predicted </w:t>
      </w:r>
      <w:r w:rsidR="00C86E15">
        <w:t>A1c</w:t>
      </w:r>
      <w:r>
        <w:t xml:space="preserve"> effect was 1.043 for 2.5 mg </w:t>
      </w:r>
      <w:r w:rsidR="00B3476E">
        <w:t>BD</w:t>
      </w:r>
      <w:r w:rsidR="00820B41">
        <w:t xml:space="preserve"> versus </w:t>
      </w:r>
      <w:r>
        <w:t xml:space="preserve">5 mg QD and was 1.016 for 7.5 mg </w:t>
      </w:r>
      <w:r w:rsidR="00B3476E">
        <w:t>BD</w:t>
      </w:r>
      <w:r w:rsidR="00820B41">
        <w:t xml:space="preserve"> versus </w:t>
      </w:r>
      <w:r>
        <w:t>15 mg QD.</w:t>
      </w:r>
    </w:p>
    <w:p w:rsidR="004C620F" w:rsidRDefault="004C620F" w:rsidP="004C620F">
      <w:r>
        <w:t xml:space="preserve">Overall, these results suggest that following matched total daily doses of ertugliflozin to subjects with T2DM administered either </w:t>
      </w:r>
      <w:r w:rsidR="00B3476E">
        <w:t>BD</w:t>
      </w:r>
      <w:r>
        <w:t xml:space="preserve"> or QD, the effects on </w:t>
      </w:r>
      <w:r w:rsidR="003E2983">
        <w:t>UGE</w:t>
      </w:r>
      <w:r w:rsidR="003E2983" w:rsidRPr="003E2983">
        <w:rPr>
          <w:vertAlign w:val="subscript"/>
        </w:rPr>
        <w:t>0-24</w:t>
      </w:r>
      <w:r>
        <w:t xml:space="preserve">, mean plasma glucose and </w:t>
      </w:r>
      <w:r w:rsidR="00C86E15">
        <w:t>A1c</w:t>
      </w:r>
      <w:r>
        <w:t xml:space="preserve"> were similar.</w:t>
      </w:r>
    </w:p>
    <w:p w:rsidR="004C620F" w:rsidRDefault="004C620F" w:rsidP="003E2983">
      <w:pPr>
        <w:pStyle w:val="Heading4"/>
      </w:pPr>
      <w:r>
        <w:t>Relationship between drug concentration and pharmacodynamic effects</w:t>
      </w:r>
    </w:p>
    <w:p w:rsidR="004C620F" w:rsidRDefault="004C620F" w:rsidP="004C620F">
      <w:r>
        <w:t xml:space="preserve">No dedicated studies examined the relationship between drug concentration and PD effects for the proposed FDC tablets. However, these relationships are well-established for metformin and the results for ertugliflozin are discussed in the concurrent submission </w:t>
      </w:r>
      <w:r w:rsidR="003E2983">
        <w:t>for Steglatro</w:t>
      </w:r>
      <w:r>
        <w:t>.</w:t>
      </w:r>
    </w:p>
    <w:p w:rsidR="004C620F" w:rsidRDefault="004C620F" w:rsidP="003E2983">
      <w:pPr>
        <w:pStyle w:val="Heading4"/>
      </w:pPr>
      <w:r>
        <w:lastRenderedPageBreak/>
        <w:t>Genetic, gender and age related differences in pharmacodynamic response</w:t>
      </w:r>
    </w:p>
    <w:p w:rsidR="004C620F" w:rsidRDefault="004C620F" w:rsidP="004C620F">
      <w:r>
        <w:t>No dedicated studies examined the PD effects of the proposed FDC tablets in special populations. However, these PD parameters are well-established for metformin</w:t>
      </w:r>
      <w:r w:rsidR="00C242A4">
        <w:t xml:space="preserve"> </w:t>
      </w:r>
      <w:r>
        <w:t xml:space="preserve">and the results for ertugliflozin are discussed in the concurrent submission </w:t>
      </w:r>
      <w:r w:rsidR="003E2983">
        <w:t>for Steglatro</w:t>
      </w:r>
      <w:r>
        <w:t>.</w:t>
      </w:r>
    </w:p>
    <w:p w:rsidR="004C620F" w:rsidRDefault="004C620F" w:rsidP="003E2983">
      <w:pPr>
        <w:pStyle w:val="Heading4"/>
      </w:pPr>
      <w:r>
        <w:t>Pharmacodynamic interactions</w:t>
      </w:r>
    </w:p>
    <w:p w:rsidR="004C620F" w:rsidRDefault="004C620F" w:rsidP="004C620F">
      <w:r>
        <w:t xml:space="preserve">No dedicated studies examined the PD interactions between the proposed FDC tablets and other drugs. However, these interactions are well-established for metformin and the results for ertugliflozin are discussed in the concurrent submission </w:t>
      </w:r>
      <w:r w:rsidR="003E2983">
        <w:t>for Steglatro</w:t>
      </w:r>
      <w:r>
        <w:t>.</w:t>
      </w:r>
    </w:p>
    <w:p w:rsidR="004C620F" w:rsidRDefault="004C620F" w:rsidP="003E2983">
      <w:pPr>
        <w:pStyle w:val="Heading3"/>
      </w:pPr>
      <w:bookmarkStart w:id="31" w:name="_Toc4571197"/>
      <w:r>
        <w:t>Evaluator’s overall conclusions on pharmacodynamics</w:t>
      </w:r>
      <w:bookmarkEnd w:id="31"/>
    </w:p>
    <w:p w:rsidR="00255E9C" w:rsidRDefault="004C620F" w:rsidP="004C620F">
      <w:r>
        <w:t xml:space="preserve">No studies have specifically examined the PDs of the FDC tablets. However, the results of the concurrent submission </w:t>
      </w:r>
      <w:r w:rsidR="003E2983">
        <w:t>for Steglatro</w:t>
      </w:r>
      <w:r>
        <w:t xml:space="preserve">, indicate that following matched total daily doses of ertugliflozin alone to subjects with T2DM administered either </w:t>
      </w:r>
      <w:r w:rsidR="00B3476E">
        <w:t>BD</w:t>
      </w:r>
      <w:r>
        <w:t xml:space="preserve"> or QD the effects on </w:t>
      </w:r>
      <w:r w:rsidR="003E2983">
        <w:t>UGE</w:t>
      </w:r>
      <w:r w:rsidR="003E2983" w:rsidRPr="003E2983">
        <w:rPr>
          <w:vertAlign w:val="subscript"/>
        </w:rPr>
        <w:t>0-24</w:t>
      </w:r>
      <w:r>
        <w:t xml:space="preserve">, mean plasma glucose and </w:t>
      </w:r>
      <w:r w:rsidR="00C86E15">
        <w:t>A1c</w:t>
      </w:r>
      <w:r>
        <w:t xml:space="preserve"> were similar</w:t>
      </w:r>
      <w:r w:rsidR="00255E9C">
        <w:t>.</w:t>
      </w:r>
    </w:p>
    <w:p w:rsidR="004C620F" w:rsidRDefault="003E2983" w:rsidP="003E2983">
      <w:pPr>
        <w:pStyle w:val="Heading2"/>
      </w:pPr>
      <w:bookmarkStart w:id="32" w:name="_Toc4571198"/>
      <w:r>
        <w:t>Dosage selection for the pivotal studies</w:t>
      </w:r>
      <w:bookmarkEnd w:id="32"/>
    </w:p>
    <w:p w:rsidR="004C620F" w:rsidRDefault="004C620F" w:rsidP="003E2983">
      <w:pPr>
        <w:pStyle w:val="Heading3"/>
      </w:pPr>
      <w:bookmarkStart w:id="33" w:name="_Toc4571199"/>
      <w:r>
        <w:t>Pharm</w:t>
      </w:r>
      <w:r w:rsidR="00F31E83">
        <w:t>acokinetic and pharmacodynamic</w:t>
      </w:r>
      <w:r>
        <w:t xml:space="preserve"> dose finding studies</w:t>
      </w:r>
      <w:bookmarkEnd w:id="33"/>
    </w:p>
    <w:p w:rsidR="004C620F" w:rsidRDefault="004C620F" w:rsidP="004C620F">
      <w:r>
        <w:t>The 500 mg, 850 mg, and 1000 mg tablet strengths of metformin are available and approved in different regions of the world. Therefore, a total of 6 dose strengths of the ertugliflozin/ metformin FDC (</w:t>
      </w:r>
      <w:r w:rsidR="003E2983">
        <w:t>that is,</w:t>
      </w:r>
      <w:r>
        <w:t xml:space="preserve"> 2.5 mg or 7.5 mg ertugliflozin, each in </w:t>
      </w:r>
      <w:r w:rsidR="00B3476E">
        <w:t xml:space="preserve">combination with metformin </w:t>
      </w:r>
      <w:r w:rsidR="00CE07A4">
        <w:t>(</w:t>
      </w:r>
      <w:r w:rsidR="00B3476E">
        <w:t>500</w:t>
      </w:r>
      <w:r>
        <w:t>mg, 850 mg and 1000 mg), have been developed to support registration in various regions globally. However, the present submission only seeks registration of 4 dose strengths of ertugliflozin/ metformin FDC (2.5/500, 7.5/500, 2.5/1000 and 7.5/10</w:t>
      </w:r>
      <w:r w:rsidR="007C40A2">
        <w:t>0 mg</w:t>
      </w:r>
      <w:r>
        <w:t>).</w:t>
      </w:r>
    </w:p>
    <w:p w:rsidR="004C620F" w:rsidRDefault="004C620F" w:rsidP="004C620F">
      <w:r>
        <w:t>A food-effect study of the highest strength FDC tablet was also conducted, along with a 2-way pharmacokinetic (PK) drug-drug interaction (DDI) study between ertugliflozin and metformin.</w:t>
      </w:r>
    </w:p>
    <w:p w:rsidR="00255E9C" w:rsidRDefault="004C620F" w:rsidP="004C620F">
      <w:r>
        <w:t xml:space="preserve">The four </w:t>
      </w:r>
      <w:r w:rsidR="0034721C">
        <w:t>Phase III</w:t>
      </w:r>
      <w:r>
        <w:t xml:space="preserve"> studies supporting this FDC were conducted using ertugliflozin and metformin administered as separate tablets, and bridging to the FDC formulation is provided via bioequivalence (BE) studies comparing the FDC to co-administration of the individual components. The clinical studies were also supported by repeat dose toxicology studies performed with the co-administration of ertugliflozin and metformin. In addition, ertugliflozin was dosed once daily </w:t>
      </w:r>
      <w:r w:rsidR="00F31E83">
        <w:t>(QD)</w:t>
      </w:r>
      <w:r>
        <w:t xml:space="preserve"> in all the </w:t>
      </w:r>
      <w:r w:rsidR="0034721C">
        <w:t>Phase III</w:t>
      </w:r>
      <w:r>
        <w:t xml:space="preserve"> studies. In order to bridge the</w:t>
      </w:r>
      <w:r w:rsidR="00F31E83">
        <w:t xml:space="preserve"> QD </w:t>
      </w:r>
      <w:r>
        <w:t xml:space="preserve">dosing regimen of ertugliflozin administered in </w:t>
      </w:r>
      <w:r w:rsidR="0034721C">
        <w:t>Phase III</w:t>
      </w:r>
      <w:r>
        <w:t xml:space="preserve"> with the twice daily (bid) dosing regimen in the ertugliflozin/metformin FDC, a </w:t>
      </w:r>
      <w:r w:rsidR="0034721C">
        <w:t>Phase I</w:t>
      </w:r>
      <w:r>
        <w:t xml:space="preserve"> study (Study P035/1051) was conducted to demonstrate equivalence of steady state </w:t>
      </w:r>
      <w:r w:rsidR="003E2983">
        <w:t>AUC</w:t>
      </w:r>
      <w:r w:rsidR="003E2983" w:rsidRPr="003E2983">
        <w:rPr>
          <w:vertAlign w:val="subscript"/>
        </w:rPr>
        <w:t>0-24</w:t>
      </w:r>
      <w:r>
        <w:t xml:space="preserve"> and similarity in steady state PD (</w:t>
      </w:r>
      <w:r w:rsidR="003E2983">
        <w:t>UGE</w:t>
      </w:r>
      <w:r w:rsidR="003E2983" w:rsidRPr="003E2983">
        <w:rPr>
          <w:vertAlign w:val="subscript"/>
        </w:rPr>
        <w:t>0-24</w:t>
      </w:r>
      <w:r>
        <w:t>) for ertugliflozin between the</w:t>
      </w:r>
      <w:r w:rsidR="00F31E83">
        <w:t xml:space="preserve"> QD </w:t>
      </w:r>
      <w:r>
        <w:t>and</w:t>
      </w:r>
      <w:r w:rsidR="00F31E83">
        <w:t xml:space="preserve"> </w:t>
      </w:r>
      <w:r w:rsidR="00B3476E">
        <w:t>BD</w:t>
      </w:r>
      <w:r w:rsidR="00F31E83">
        <w:t xml:space="preserve"> </w:t>
      </w:r>
      <w:r>
        <w:t>regimens at the same total daily dose (2.5 mg</w:t>
      </w:r>
      <w:r w:rsidR="00F31E83">
        <w:t xml:space="preserve"> </w:t>
      </w:r>
      <w:r w:rsidR="00B3476E">
        <w:t>BD</w:t>
      </w:r>
      <w:r w:rsidR="00F31E83">
        <w:t xml:space="preserve"> versus </w:t>
      </w:r>
      <w:r>
        <w:t>5 mg</w:t>
      </w:r>
      <w:r w:rsidR="00F31E83">
        <w:t xml:space="preserve"> QD </w:t>
      </w:r>
      <w:r>
        <w:t>and 7.5 mg</w:t>
      </w:r>
      <w:r w:rsidR="00F31E83">
        <w:t xml:space="preserve"> </w:t>
      </w:r>
      <w:r w:rsidR="00B3476E">
        <w:t>BD</w:t>
      </w:r>
      <w:r w:rsidR="00F31E83">
        <w:t xml:space="preserve"> versus </w:t>
      </w:r>
      <w:r>
        <w:t>15 mg qd). Further, a model based meta-analysis was conducted to link the PD endpoint (</w:t>
      </w:r>
      <w:r w:rsidR="003E2983">
        <w:t>UGE</w:t>
      </w:r>
      <w:r w:rsidR="003E2983" w:rsidRPr="003E2983">
        <w:rPr>
          <w:vertAlign w:val="subscript"/>
        </w:rPr>
        <w:t>0-24</w:t>
      </w:r>
      <w:r>
        <w:t>) with the clinical endpoint (</w:t>
      </w:r>
      <w:r w:rsidR="00C86E15">
        <w:t>A1c</w:t>
      </w:r>
      <w:r>
        <w:t>) in T2DM patients</w:t>
      </w:r>
      <w:r w:rsidR="00255E9C">
        <w:t>.</w:t>
      </w:r>
    </w:p>
    <w:p w:rsidR="004C620F" w:rsidRPr="00B3476E" w:rsidRDefault="0034721C" w:rsidP="00B3476E">
      <w:pPr>
        <w:pStyle w:val="Heading3"/>
      </w:pPr>
      <w:bookmarkStart w:id="34" w:name="_Toc4571200"/>
      <w:r w:rsidRPr="00B3476E">
        <w:t>Phase II</w:t>
      </w:r>
      <w:r w:rsidR="004C620F" w:rsidRPr="00B3476E">
        <w:t xml:space="preserve"> dose finding studies</w:t>
      </w:r>
      <w:bookmarkEnd w:id="34"/>
    </w:p>
    <w:p w:rsidR="00255E9C" w:rsidRDefault="004C620F" w:rsidP="004C620F">
      <w:r>
        <w:t xml:space="preserve">The doses of ertugliflozin evaluated in the </w:t>
      </w:r>
      <w:r w:rsidR="0034721C">
        <w:t>Phase III</w:t>
      </w:r>
      <w:r>
        <w:t xml:space="preserve"> clinical studies were 5 mg and 15 mg once daily </w:t>
      </w:r>
      <w:r w:rsidR="00F31E83">
        <w:t>(QD)</w:t>
      </w:r>
      <w:r>
        <w:t>. Dose selection was based on dose-response modelling of efficacy endpoints (</w:t>
      </w:r>
      <w:r w:rsidR="00C86E15">
        <w:t>A1c</w:t>
      </w:r>
      <w:r>
        <w:t>, FPG, body weigh</w:t>
      </w:r>
      <w:r w:rsidR="00B3476E">
        <w:t xml:space="preserve">t) from Study P016/B1521006 (12 </w:t>
      </w:r>
      <w:r>
        <w:t xml:space="preserve">week </w:t>
      </w:r>
      <w:r w:rsidR="0034721C">
        <w:t>Phase II</w:t>
      </w:r>
      <w:r>
        <w:t xml:space="preserve"> do</w:t>
      </w:r>
      <w:r w:rsidR="00B3476E">
        <w:t xml:space="preserve">se-ranging study) as well as 24 </w:t>
      </w:r>
      <w:r>
        <w:t>hour UGE (mechanism biomarker) in T2DM subje</w:t>
      </w:r>
      <w:r w:rsidR="00B3476E">
        <w:t xml:space="preserve">cts from Study P042/B1521004 (4 </w:t>
      </w:r>
      <w:r>
        <w:t xml:space="preserve">week </w:t>
      </w:r>
      <w:r w:rsidR="0034721C">
        <w:t>Phase II</w:t>
      </w:r>
      <w:r w:rsidR="00B3476E">
        <w:t xml:space="preserve"> dose </w:t>
      </w:r>
      <w:r>
        <w:t>ranging study)</w:t>
      </w:r>
      <w:r w:rsidR="00F31E83">
        <w:t xml:space="preserve"> (refer to Steglatro report</w:t>
      </w:r>
      <w:r>
        <w:t>). However, the proposed 1</w:t>
      </w:r>
      <w:r w:rsidR="007C40A2">
        <w:t>5 mg</w:t>
      </w:r>
      <w:r w:rsidR="00F31E83">
        <w:t xml:space="preserve"> QD </w:t>
      </w:r>
      <w:r>
        <w:t xml:space="preserve">dose of ertugliflozin was not evaluated in both </w:t>
      </w:r>
      <w:r w:rsidR="0034721C">
        <w:t>Phase II</w:t>
      </w:r>
      <w:r>
        <w:t xml:space="preserve"> studies and the sponsors have been asked to </w:t>
      </w:r>
      <w:r>
        <w:lastRenderedPageBreak/>
        <w:t>provide further clarification regarding choice of the 1</w:t>
      </w:r>
      <w:r w:rsidR="007C40A2">
        <w:t>5 mg</w:t>
      </w:r>
      <w:r w:rsidR="00F31E83">
        <w:t xml:space="preserve"> QD </w:t>
      </w:r>
      <w:r>
        <w:t xml:space="preserve">dose for the pivotal </w:t>
      </w:r>
      <w:r w:rsidR="0034721C">
        <w:t>Phase III</w:t>
      </w:r>
      <w:r>
        <w:t xml:space="preserve"> studies</w:t>
      </w:r>
      <w:r w:rsidR="00255E9C">
        <w:t>.</w:t>
      </w:r>
    </w:p>
    <w:p w:rsidR="004C620F" w:rsidRDefault="0034721C" w:rsidP="00F31E83">
      <w:pPr>
        <w:pStyle w:val="Heading3"/>
      </w:pPr>
      <w:bookmarkStart w:id="35" w:name="_Toc4571201"/>
      <w:r>
        <w:t>Phase III</w:t>
      </w:r>
      <w:r w:rsidR="004C620F">
        <w:t xml:space="preserve"> pivotal studies investigating more than one dose regimen</w:t>
      </w:r>
      <w:bookmarkEnd w:id="35"/>
    </w:p>
    <w:p w:rsidR="004C620F" w:rsidRDefault="004C620F" w:rsidP="004C620F">
      <w:r>
        <w:t xml:space="preserve">The </w:t>
      </w:r>
      <w:r w:rsidR="0034721C">
        <w:t>Phase III</w:t>
      </w:r>
      <w:r>
        <w:t xml:space="preserve"> studies of ertugliflozin in combination with metformin used ertugliflozin and metformin administered as separate tablets and not the FDC tablet. Moreover, the studies evaluated the addition of ertugliflozin</w:t>
      </w:r>
      <w:r w:rsidR="00F31E83">
        <w:t xml:space="preserve"> QD </w:t>
      </w:r>
      <w:r>
        <w:t xml:space="preserve">to background metformin therapy. The metformin dosing used in </w:t>
      </w:r>
      <w:r w:rsidR="0034721C">
        <w:t>Phase III</w:t>
      </w:r>
      <w:r>
        <w:t xml:space="preserve"> was consistent with the approved doses. All 4 studies required that subjects were on a stable dose of background metformin </w:t>
      </w:r>
      <w:r w:rsidR="00094198">
        <w:t xml:space="preserve">&gt; </w:t>
      </w:r>
      <w:r>
        <w:t>1500 mg/day prior to initiating treatment with ertugliflozin.</w:t>
      </w:r>
    </w:p>
    <w:p w:rsidR="004C620F" w:rsidRDefault="004C620F" w:rsidP="00F31E83">
      <w:pPr>
        <w:pStyle w:val="Heading3"/>
      </w:pPr>
      <w:bookmarkStart w:id="36" w:name="_Toc4571202"/>
      <w:r>
        <w:t>Evaluator’s conclusions on dose finding for the pivotal studies</w:t>
      </w:r>
      <w:bookmarkEnd w:id="36"/>
    </w:p>
    <w:p w:rsidR="00255E9C" w:rsidRDefault="004C620F" w:rsidP="004C620F">
      <w:r>
        <w:t>The proposed doses of metformin used in the proposed ertugliflozin+metformin FDC are consistent with approved the metformin label. Clarification regarding choice of the 1</w:t>
      </w:r>
      <w:r w:rsidR="007C40A2">
        <w:t>5 mg</w:t>
      </w:r>
      <w:r>
        <w:t xml:space="preserve"> dose for ertugliflozin has been sought in the Steglatro report. The doses of ertugliflozin evaluated in the </w:t>
      </w:r>
      <w:r w:rsidR="0034721C">
        <w:t>Phase III</w:t>
      </w:r>
      <w:r>
        <w:t xml:space="preserve"> clinical studies were 5 mg and 15 mg once daily </w:t>
      </w:r>
      <w:r w:rsidR="00F31E83">
        <w:t>(QD)</w:t>
      </w:r>
      <w:r>
        <w:t xml:space="preserve">, but the proposed dosing for the ertugliflozin+metformin FDC is twice daily. However, equivalence was demonstrated </w:t>
      </w:r>
      <w:r w:rsidR="00CE07A4">
        <w:t>)</w:t>
      </w:r>
      <w:r>
        <w:t>) for ertugliflozin between the</w:t>
      </w:r>
      <w:r w:rsidR="00F31E83">
        <w:t xml:space="preserve"> QD </w:t>
      </w:r>
      <w:r>
        <w:t>and</w:t>
      </w:r>
      <w:r w:rsidR="00F31E83">
        <w:t xml:space="preserve"> </w:t>
      </w:r>
      <w:r w:rsidR="00B3476E">
        <w:t>BD</w:t>
      </w:r>
      <w:r w:rsidR="00F31E83">
        <w:t xml:space="preserve"> </w:t>
      </w:r>
      <w:r>
        <w:t>regimens at the same total daily dose (2.5 mg</w:t>
      </w:r>
      <w:r w:rsidR="00F31E83">
        <w:t xml:space="preserve"> </w:t>
      </w:r>
      <w:r w:rsidR="00B3476E">
        <w:t>BD</w:t>
      </w:r>
      <w:r w:rsidR="00F31E83">
        <w:t xml:space="preserve"> versus </w:t>
      </w:r>
      <w:r w:rsidR="00B3476E">
        <w:t>5 </w:t>
      </w:r>
      <w:r>
        <w:t>mg</w:t>
      </w:r>
      <w:r w:rsidR="00F31E83">
        <w:t xml:space="preserve"> QD </w:t>
      </w:r>
      <w:r>
        <w:t>and 7.5 mg</w:t>
      </w:r>
      <w:r w:rsidR="00F31E83">
        <w:t xml:space="preserve"> </w:t>
      </w:r>
      <w:r w:rsidR="00B3476E">
        <w:t>BD</w:t>
      </w:r>
      <w:r w:rsidR="00F31E83">
        <w:t xml:space="preserve"> versus </w:t>
      </w:r>
      <w:r>
        <w:t xml:space="preserve">15 mg </w:t>
      </w:r>
      <w:r w:rsidR="00B3476E">
        <w:t>QD</w:t>
      </w:r>
      <w:r>
        <w:t>)</w:t>
      </w:r>
      <w:r w:rsidR="00F31E83">
        <w:t xml:space="preserve"> </w:t>
      </w:r>
      <w:r>
        <w:t>with regards to steady state PK (</w:t>
      </w:r>
      <w:r w:rsidR="003E2983">
        <w:t>AUC</w:t>
      </w:r>
      <w:r w:rsidR="003E2983" w:rsidRPr="003E2983">
        <w:rPr>
          <w:vertAlign w:val="subscript"/>
        </w:rPr>
        <w:t>0-24</w:t>
      </w:r>
      <w:r>
        <w:t>) and PD (</w:t>
      </w:r>
      <w:r w:rsidR="003E2983">
        <w:t>UGE</w:t>
      </w:r>
      <w:r w:rsidR="003E2983" w:rsidRPr="003E2983">
        <w:rPr>
          <w:vertAlign w:val="subscript"/>
        </w:rPr>
        <w:t>0-24</w:t>
      </w:r>
      <w:r>
        <w:t xml:space="preserve">) in the </w:t>
      </w:r>
      <w:r w:rsidR="0034721C">
        <w:t>Phase I</w:t>
      </w:r>
      <w:r>
        <w:t xml:space="preserve"> study P035/1051</w:t>
      </w:r>
      <w:r w:rsidR="00255E9C">
        <w:t>.</w:t>
      </w:r>
    </w:p>
    <w:p w:rsidR="004C620F" w:rsidRDefault="00F46810" w:rsidP="00F46810">
      <w:pPr>
        <w:pStyle w:val="Heading2"/>
      </w:pPr>
      <w:bookmarkStart w:id="37" w:name="_Toc4571203"/>
      <w:r>
        <w:t>Clinical efficacy</w:t>
      </w:r>
      <w:bookmarkEnd w:id="37"/>
    </w:p>
    <w:p w:rsidR="004C620F" w:rsidRDefault="004C620F" w:rsidP="00F46810">
      <w:pPr>
        <w:pStyle w:val="Heading3"/>
      </w:pPr>
      <w:bookmarkStart w:id="38" w:name="_Toc4571204"/>
      <w:r>
        <w:t>Studies providing evaluable efficacy data</w:t>
      </w:r>
      <w:bookmarkEnd w:id="38"/>
    </w:p>
    <w:p w:rsidR="00255E9C" w:rsidRDefault="004C620F" w:rsidP="004C620F">
      <w:r>
        <w:t xml:space="preserve">Four pivotal </w:t>
      </w:r>
      <w:r w:rsidR="0034721C">
        <w:t>Phase III</w:t>
      </w:r>
      <w:r>
        <w:t xml:space="preserve"> studies were submitted for the proposed ertugliflozin-metformin FDC</w:t>
      </w:r>
      <w:r w:rsidR="00255E9C">
        <w:t>.</w:t>
      </w:r>
    </w:p>
    <w:p w:rsidR="004C620F" w:rsidRDefault="00DB4E08" w:rsidP="00F46810">
      <w:pPr>
        <w:pStyle w:val="Numberbullet0"/>
        <w:numPr>
          <w:ilvl w:val="0"/>
          <w:numId w:val="34"/>
        </w:numPr>
      </w:pPr>
      <w:r>
        <w:t xml:space="preserve">Study </w:t>
      </w:r>
      <w:r w:rsidR="004C620F">
        <w:t>P007/1017:</w:t>
      </w:r>
      <w:r w:rsidR="00C242A4">
        <w:t xml:space="preserve"> </w:t>
      </w:r>
      <w:r w:rsidR="004C620F">
        <w:t xml:space="preserve">A </w:t>
      </w:r>
      <w:r w:rsidR="0034721C">
        <w:t>Phase III</w:t>
      </w:r>
      <w:r w:rsidR="004C620F">
        <w:t>, Ra</w:t>
      </w:r>
      <w:r w:rsidR="00B3476E">
        <w:t>ndomised, Double Blind, Placebo</w:t>
      </w:r>
      <w:r w:rsidR="004C620F">
        <w:t xml:space="preserve"> Controlled, 26-Week Multicentre Study with a </w:t>
      </w:r>
      <w:r w:rsidR="00B3476E">
        <w:t>78</w:t>
      </w:r>
      <w:r w:rsidR="004C620F">
        <w:t xml:space="preserve"> Week Extension to Evaluate</w:t>
      </w:r>
      <w:r w:rsidR="00C242A4">
        <w:t xml:space="preserve"> </w:t>
      </w:r>
      <w:r w:rsidR="004C620F">
        <w:t xml:space="preserve">the Efficacy and Safety of Ertugliflozin in Subjects with T2DM and Inadequate Glycaemic Control on Metformin Monotherapy (refer </w:t>
      </w:r>
      <w:r w:rsidR="00F46810">
        <w:t xml:space="preserve">to </w:t>
      </w:r>
      <w:r w:rsidR="004C620F">
        <w:t>the Steglatro evaluation report).</w:t>
      </w:r>
    </w:p>
    <w:p w:rsidR="00F46810" w:rsidRDefault="00DB4E08" w:rsidP="00F46810">
      <w:pPr>
        <w:pStyle w:val="Numberbullet0"/>
      </w:pPr>
      <w:r>
        <w:t xml:space="preserve">Study </w:t>
      </w:r>
      <w:r w:rsidR="004C620F">
        <w:t xml:space="preserve">P005/1019: </w:t>
      </w:r>
      <w:r w:rsidR="00B3476E">
        <w:t xml:space="preserve">A Phase III, Randomised, Double </w:t>
      </w:r>
      <w:r w:rsidR="004C620F">
        <w:t xml:space="preserve">Blind, Multicentre Study to Evaluate the Efficacy and Safety of the Combination of Ertugliflozin (MK- 8835/PF-04971729) with Sitagliptin Compared with Ertugliflozin Alone and Sitagliptin Alone, in the Treatment of Subjects with T2DM With Inadequate Glycaemic Control on Metformin Monotherapy (refer </w:t>
      </w:r>
      <w:r w:rsidR="00F46810">
        <w:t>to</w:t>
      </w:r>
      <w:r w:rsidR="004C620F">
        <w:t xml:space="preserve"> the Steglatro evaluation report).</w:t>
      </w:r>
    </w:p>
    <w:p w:rsidR="004C620F" w:rsidRDefault="00DB4E08" w:rsidP="00F46810">
      <w:pPr>
        <w:pStyle w:val="Numberbullet0"/>
      </w:pPr>
      <w:r>
        <w:t xml:space="preserve">Study </w:t>
      </w:r>
      <w:r w:rsidR="004C620F">
        <w:t xml:space="preserve">P002/1013: A Phase III, </w:t>
      </w:r>
      <w:r w:rsidR="00B3476E">
        <w:t xml:space="preserve">Multicentre, Randomised, Double Blind, Active </w:t>
      </w:r>
      <w:r w:rsidR="004C620F">
        <w:t>Comparator- Controlled Clinical Trial to Study the Safety and Efficacy of the Addition of Ertugliflozin (MK-8835/PF-04971729) Compared With the Addition of Glimepiride in Subjects With T2DM Who Have Inadequate Glycaemic Control on Metformin (refer to the Steglatro evaluation report).</w:t>
      </w:r>
    </w:p>
    <w:p w:rsidR="004C620F" w:rsidRDefault="00DB4E08" w:rsidP="00F46810">
      <w:pPr>
        <w:pStyle w:val="Numberbullet0"/>
      </w:pPr>
      <w:r>
        <w:t xml:space="preserve">Study </w:t>
      </w:r>
      <w:r w:rsidR="004C620F">
        <w:t xml:space="preserve">P006/1015: Phase III, </w:t>
      </w:r>
      <w:r w:rsidR="00B3476E">
        <w:t xml:space="preserve">Multicentre, Randomised, Double </w:t>
      </w:r>
      <w:r w:rsidR="004C620F">
        <w:t>Blind, Placebo-Controlled, Parallel- Group Clinical Trial to Evaluate the Safety and Efficacy of Ertugliflozin (MK- 8835/PF-04971729) in the Treatment of Subjects with T2DM Who Have Inadequate Glycaemic Control on Metformin and Sitagliptin (refer to the Steglatro evaluation report).</w:t>
      </w:r>
    </w:p>
    <w:p w:rsidR="004C620F" w:rsidRDefault="004C620F" w:rsidP="00F46810">
      <w:pPr>
        <w:pStyle w:val="Heading3"/>
      </w:pPr>
      <w:bookmarkStart w:id="39" w:name="_Toc4571205"/>
      <w:r>
        <w:lastRenderedPageBreak/>
        <w:t>Pivotal or main efficacy studies</w:t>
      </w:r>
      <w:bookmarkEnd w:id="39"/>
    </w:p>
    <w:p w:rsidR="00255E9C" w:rsidRDefault="004C620F" w:rsidP="00F46810">
      <w:pPr>
        <w:pStyle w:val="Comment"/>
      </w:pPr>
      <w:r w:rsidRPr="00F46810">
        <w:rPr>
          <w:b/>
        </w:rPr>
        <w:t>Comments</w:t>
      </w:r>
      <w:r>
        <w:t>: Study design, patient characteristics, efficacy endpoints, statistical methods, efficacy results and evaluator’s comments on each individual study was discussed in the ertugliflozin report and will not be repeated here</w:t>
      </w:r>
      <w:r w:rsidR="00DB4E08">
        <w:t xml:space="preserve"> (see </w:t>
      </w:r>
      <w:r w:rsidR="005C6DED">
        <w:t>Attachment</w:t>
      </w:r>
      <w:r w:rsidR="00DB4E08">
        <w:t xml:space="preserve"> 2 for details)</w:t>
      </w:r>
      <w:r>
        <w:t>. A brief summary of results across the 4 pivotal studies to support the ertugliflozin-metformin FDC is provided below</w:t>
      </w:r>
      <w:r w:rsidR="00255E9C">
        <w:t>.</w:t>
      </w:r>
    </w:p>
    <w:p w:rsidR="004C620F" w:rsidRDefault="004C620F" w:rsidP="004C620F">
      <w:r>
        <w:t xml:space="preserve">Baseline demographic and disease characteristics: The mean age of the subjects across the four pivotal </w:t>
      </w:r>
      <w:r w:rsidR="0034721C">
        <w:t>Phase III</w:t>
      </w:r>
      <w:r>
        <w:t xml:space="preserve"> studies ranged from 55.1 to 59.1 years. Across the four studies, the proportion of subjects </w:t>
      </w:r>
      <w:r w:rsidR="007A3806">
        <w:t xml:space="preserve">that were </w:t>
      </w:r>
      <w:r w:rsidR="00E900A0">
        <w:t xml:space="preserve">≥ </w:t>
      </w:r>
      <w:r>
        <w:t xml:space="preserve">65 years of age ranged from 15.6% to 29.9%. The majority of subjects in each study were White. The mean duration of diabetes ranged from 6.9 to 9.5 years. The mean weight of the subjects ranged from 84.9 to 88.7 kg and mean baseline BMI ranged from 30.8 to 31.9 kg/m2. Subjects with a broad range of baseline hyperglycaemia were included (mean baseline </w:t>
      </w:r>
      <w:r w:rsidR="00C86E15">
        <w:t>A1c</w:t>
      </w:r>
      <w:r>
        <w:t xml:space="preserve"> ranged from 7.8% to 8.6%); Study P005/1019 had a higher mean baseline </w:t>
      </w:r>
      <w:r w:rsidR="00C86E15">
        <w:t>A1c</w:t>
      </w:r>
      <w:r>
        <w:t xml:space="preserve"> compared with the other studies. Mean baseline FPG ranged from 8.9 to 1</w:t>
      </w:r>
      <w:r w:rsidR="007C40A2">
        <w:t>0 mmol</w:t>
      </w:r>
      <w:r>
        <w:t>/L across the studies. Demographic and baseline characteristics were similar across the 2 studies included in the ertugliflozin/metformin pooled analysis (Studies P007/1017 and P006/1015). Overall, the demographics and baseline characteristics of the population in these studies accurately reflect the population of patients with T2DM likely to be treated with ertugliflozin and metformin combinat</w:t>
      </w:r>
      <w:r w:rsidR="007A3806">
        <w:t>ion therapy (Table 2).</w:t>
      </w:r>
    </w:p>
    <w:p w:rsidR="007A3806" w:rsidRDefault="007A3806" w:rsidP="007A3806">
      <w:pPr>
        <w:pStyle w:val="Tabletitle"/>
      </w:pPr>
      <w:r>
        <w:t>Table 2: B</w:t>
      </w:r>
      <w:r w:rsidRPr="007A3806">
        <w:t>aseline characteristics</w:t>
      </w:r>
      <w:r w:rsidR="00DB4E08">
        <w:t>;</w:t>
      </w:r>
      <w:r w:rsidRPr="007A3806">
        <w:t xml:space="preserve"> study by study comparison. All subjects treated</w:t>
      </w:r>
      <w:r w:rsidR="00DB4E08">
        <w:t>:</w:t>
      </w:r>
      <w:r w:rsidRPr="007A3806">
        <w:t xml:space="preserve"> </w:t>
      </w:r>
      <w:r w:rsidR="00DB4E08">
        <w:t>e</w:t>
      </w:r>
      <w:r w:rsidR="00DB4E08" w:rsidRPr="007A3806">
        <w:t>rtugliflozin</w:t>
      </w:r>
      <w:r w:rsidRPr="007A3806">
        <w:t>/</w:t>
      </w:r>
      <w:r w:rsidR="00DB4E08">
        <w:t>m</w:t>
      </w:r>
      <w:r w:rsidR="00DB4E08" w:rsidRPr="007A3806">
        <w:t xml:space="preserve">etformin </w:t>
      </w:r>
      <w:r w:rsidRPr="007A3806">
        <w:t>Studies</w:t>
      </w:r>
    </w:p>
    <w:p w:rsidR="007A3806" w:rsidRDefault="007A3806" w:rsidP="007A3806">
      <w:r>
        <w:rPr>
          <w:noProof/>
          <w:lang w:eastAsia="en-AU"/>
        </w:rPr>
        <w:drawing>
          <wp:inline distT="0" distB="0" distL="0" distR="0" wp14:anchorId="41DE0298" wp14:editId="7D165163">
            <wp:extent cx="4722292" cy="3901440"/>
            <wp:effectExtent l="0" t="0" r="2540" b="3810"/>
            <wp:docPr id="10" name="Picture 10" descr="Baseline characteristics: study by study comparison. All subjects treated. Ertugliflozin/Metform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26809" cy="3905172"/>
                    </a:xfrm>
                    <a:prstGeom prst="rect">
                      <a:avLst/>
                    </a:prstGeom>
                  </pic:spPr>
                </pic:pic>
              </a:graphicData>
            </a:graphic>
          </wp:inline>
        </w:drawing>
      </w:r>
    </w:p>
    <w:p w:rsidR="007A3806" w:rsidRDefault="007A3806" w:rsidP="007A3806">
      <w:pPr>
        <w:pStyle w:val="Tabletitle"/>
      </w:pPr>
      <w:r>
        <w:lastRenderedPageBreak/>
        <w:t xml:space="preserve">Table 2 </w:t>
      </w:r>
      <w:r w:rsidR="00DB4E08">
        <w:t>(</w:t>
      </w:r>
      <w:r>
        <w:t>continued</w:t>
      </w:r>
      <w:r w:rsidR="00DB4E08">
        <w:t>)</w:t>
      </w:r>
      <w:r>
        <w:t>: B</w:t>
      </w:r>
      <w:r w:rsidRPr="007A3806">
        <w:t>aseline characteristics</w:t>
      </w:r>
      <w:r w:rsidR="00DB4E08">
        <w:t>;</w:t>
      </w:r>
      <w:r w:rsidR="00DB4E08" w:rsidRPr="007A3806">
        <w:t xml:space="preserve"> </w:t>
      </w:r>
      <w:r w:rsidRPr="007A3806">
        <w:t>study by study comparison. All subjects treated</w:t>
      </w:r>
      <w:r w:rsidR="00DB4E08">
        <w:t>:</w:t>
      </w:r>
      <w:r w:rsidRPr="007A3806">
        <w:t xml:space="preserve"> </w:t>
      </w:r>
      <w:r w:rsidR="00DB4E08">
        <w:t>e</w:t>
      </w:r>
      <w:r w:rsidR="00DB4E08" w:rsidRPr="007A3806">
        <w:t>rtugliflozin</w:t>
      </w:r>
      <w:r w:rsidRPr="007A3806">
        <w:t>/</w:t>
      </w:r>
      <w:r w:rsidR="00DB4E08">
        <w:t>m</w:t>
      </w:r>
      <w:r w:rsidR="00DB4E08" w:rsidRPr="007A3806">
        <w:t xml:space="preserve">etformin </w:t>
      </w:r>
      <w:r w:rsidR="00DB4E08">
        <w:t>s</w:t>
      </w:r>
      <w:r w:rsidR="00DB4E08" w:rsidRPr="007A3806">
        <w:t>tudies</w:t>
      </w:r>
    </w:p>
    <w:p w:rsidR="007A3806" w:rsidRDefault="008718CD" w:rsidP="007A3806">
      <w:r>
        <w:rPr>
          <w:noProof/>
          <w:lang w:eastAsia="en-AU"/>
        </w:rPr>
        <w:drawing>
          <wp:inline distT="0" distB="0" distL="0" distR="0" wp14:anchorId="5C3D50CD" wp14:editId="3751C2D5">
            <wp:extent cx="4953000" cy="8077200"/>
            <wp:effectExtent l="0" t="0" r="0" b="0"/>
            <wp:docPr id="12" name="Picture 12" descr="Baseline characteristics: study by study comparison. All subjects treated. Ertugliflozin/Metform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r="1328" b="1166"/>
                    <a:stretch/>
                  </pic:blipFill>
                  <pic:spPr bwMode="auto">
                    <a:xfrm>
                      <a:off x="0" y="0"/>
                      <a:ext cx="4953000" cy="8077200"/>
                    </a:xfrm>
                    <a:prstGeom prst="rect">
                      <a:avLst/>
                    </a:prstGeom>
                    <a:ln>
                      <a:noFill/>
                    </a:ln>
                    <a:extLst>
                      <a:ext uri="{53640926-AAD7-44D8-BBD7-CCE9431645EC}">
                        <a14:shadowObscured xmlns:a14="http://schemas.microsoft.com/office/drawing/2010/main"/>
                      </a:ext>
                    </a:extLst>
                  </pic:spPr>
                </pic:pic>
              </a:graphicData>
            </a:graphic>
          </wp:inline>
        </w:drawing>
      </w:r>
    </w:p>
    <w:p w:rsidR="008718CD" w:rsidRDefault="008718CD" w:rsidP="008718CD">
      <w:pPr>
        <w:pStyle w:val="Tabletitle"/>
      </w:pPr>
      <w:r>
        <w:lastRenderedPageBreak/>
        <w:t xml:space="preserve">Table 2 </w:t>
      </w:r>
      <w:r w:rsidR="00DB4E08">
        <w:t>(</w:t>
      </w:r>
      <w:r>
        <w:t>continued</w:t>
      </w:r>
      <w:r w:rsidR="00DB4E08">
        <w:t>)</w:t>
      </w:r>
      <w:r>
        <w:t>: B</w:t>
      </w:r>
      <w:r w:rsidRPr="007A3806">
        <w:t>aseline characteristics</w:t>
      </w:r>
      <w:r w:rsidR="00DB4E08">
        <w:t>;</w:t>
      </w:r>
      <w:r w:rsidR="00DB4E08" w:rsidRPr="007A3806">
        <w:t xml:space="preserve"> </w:t>
      </w:r>
      <w:r w:rsidRPr="007A3806">
        <w:t>study by study comparison. All subjects treated</w:t>
      </w:r>
      <w:r w:rsidR="00DB4E08">
        <w:t>:</w:t>
      </w:r>
      <w:r w:rsidRPr="007A3806">
        <w:t xml:space="preserve"> </w:t>
      </w:r>
      <w:r w:rsidR="00DB4E08" w:rsidRPr="007A3806">
        <w:t>ertugliflozin/metformin studies</w:t>
      </w:r>
    </w:p>
    <w:p w:rsidR="007A3806" w:rsidRDefault="008718CD" w:rsidP="007A3806">
      <w:r>
        <w:rPr>
          <w:noProof/>
          <w:lang w:eastAsia="en-AU"/>
        </w:rPr>
        <w:drawing>
          <wp:inline distT="0" distB="0" distL="0" distR="0" wp14:anchorId="56AC309B" wp14:editId="26D1923C">
            <wp:extent cx="5006340" cy="3564382"/>
            <wp:effectExtent l="0" t="0" r="3810" b="0"/>
            <wp:docPr id="11" name="Picture 11" descr="Baseline characteristics: study by study comparison. All subjects treated. Ertugliflozin/Metform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594" t="2990"/>
                    <a:stretch/>
                  </pic:blipFill>
                  <pic:spPr bwMode="auto">
                    <a:xfrm>
                      <a:off x="0" y="0"/>
                      <a:ext cx="5000799" cy="3560437"/>
                    </a:xfrm>
                    <a:prstGeom prst="rect">
                      <a:avLst/>
                    </a:prstGeom>
                    <a:ln>
                      <a:noFill/>
                    </a:ln>
                    <a:extLst>
                      <a:ext uri="{53640926-AAD7-44D8-BBD7-CCE9431645EC}">
                        <a14:shadowObscured xmlns:a14="http://schemas.microsoft.com/office/drawing/2010/main"/>
                      </a:ext>
                    </a:extLst>
                  </pic:spPr>
                </pic:pic>
              </a:graphicData>
            </a:graphic>
          </wp:inline>
        </w:drawing>
      </w:r>
    </w:p>
    <w:p w:rsidR="008718CD" w:rsidRDefault="004C620F" w:rsidP="00943185">
      <w:pPr>
        <w:pStyle w:val="Heading4"/>
      </w:pPr>
      <w:r>
        <w:t>Primary efficacy results</w:t>
      </w:r>
    </w:p>
    <w:p w:rsidR="004C620F" w:rsidRDefault="004C620F" w:rsidP="004C620F">
      <w:r>
        <w:t xml:space="preserve">In each study, adding ertugliflozin 15 mg or 5 mg alone to the existing metformin therapy provided a clinically meaningful </w:t>
      </w:r>
      <w:r w:rsidR="00C86E15">
        <w:t>A1c</w:t>
      </w:r>
      <w:r>
        <w:t xml:space="preserve"> reduction from baseline. Reductions from baseline in </w:t>
      </w:r>
      <w:r w:rsidR="00C86E15">
        <w:t>A1c</w:t>
      </w:r>
      <w:r>
        <w:t xml:space="preserve"> for ertugliflozin treated subjects were larger in the studies with higher baseline </w:t>
      </w:r>
      <w:r w:rsidR="00C86E15">
        <w:t>A1c</w:t>
      </w:r>
      <w:r>
        <w:t xml:space="preserve">s. Across the studies, the reductions from baseline in </w:t>
      </w:r>
      <w:r w:rsidR="00C86E15">
        <w:t>A1c</w:t>
      </w:r>
      <w:r>
        <w:t xml:space="preserve"> in the ertugliflozin arms ranged from 0.56% to 1.08%. Ertugliflozin 15 mg was non-inferior to glimepiride (Study P002/1013), but non-inferiority of the </w:t>
      </w:r>
      <w:r w:rsidR="007C40A2">
        <w:t>5 mg</w:t>
      </w:r>
      <w:r>
        <w:t xml:space="preserve"> dose was not established. In Study P005/1019 in patients on background metformin therapy, ertugliflozin 5 mg and 15 mg provided reductions in </w:t>
      </w:r>
      <w:r w:rsidR="00C86E15">
        <w:t>A1c</w:t>
      </w:r>
      <w:r>
        <w:t xml:space="preserve"> that were roughly similar to sitagliptin. In all 4 studies on a background of metformin, ertugliflozin 15 mg provided numerically greater </w:t>
      </w:r>
      <w:r w:rsidR="00C86E15">
        <w:t>A1c</w:t>
      </w:r>
      <w:r>
        <w:t xml:space="preserve"> reductions compared to ertugliflozin 5 mg, although the differences between the </w:t>
      </w:r>
      <w:r w:rsidR="007C40A2">
        <w:t>5 mg</w:t>
      </w:r>
      <w:r>
        <w:t xml:space="preserve"> and 1</w:t>
      </w:r>
      <w:r w:rsidR="007C40A2">
        <w:t>5 mg</w:t>
      </w:r>
      <w:r>
        <w:t xml:space="preserve"> ertugliflozin doses we</w:t>
      </w:r>
      <w:r w:rsidR="00943185">
        <w:t>re minor (Table 3).</w:t>
      </w:r>
    </w:p>
    <w:p w:rsidR="00943185" w:rsidRDefault="00943185" w:rsidP="00943185">
      <w:pPr>
        <w:pStyle w:val="Tabletitle"/>
      </w:pPr>
      <w:bookmarkStart w:id="40" w:name="_Ref493835624"/>
      <w:bookmarkStart w:id="41" w:name="_Toc504037405"/>
      <w:r>
        <w:lastRenderedPageBreak/>
        <w:t xml:space="preserve">Table 3: </w:t>
      </w:r>
      <w:r w:rsidR="00C86E15">
        <w:t>A1c</w:t>
      </w:r>
      <w:r>
        <w:t xml:space="preserve"> (%)</w:t>
      </w:r>
      <w:r w:rsidR="00DB4E08">
        <w:t>;</w:t>
      </w:r>
      <w:r>
        <w:t xml:space="preserve"> Change from baseline at primary time point by study. FAS:</w:t>
      </w:r>
      <w:r w:rsidR="00DB4E08">
        <w:t> </w:t>
      </w:r>
      <w:r>
        <w:t>Excluding rescue approach</w:t>
      </w:r>
      <w:r w:rsidR="00DB4E08">
        <w:t>;</w:t>
      </w:r>
      <w:r>
        <w:t xml:space="preserve"> </w:t>
      </w:r>
      <w:r w:rsidR="00DB4E08">
        <w:t>ertugliflozin/metformin studies</w:t>
      </w:r>
      <w:bookmarkEnd w:id="40"/>
      <w:bookmarkEnd w:id="41"/>
    </w:p>
    <w:p w:rsidR="00943185" w:rsidRDefault="00943185" w:rsidP="00943185">
      <w:r>
        <w:rPr>
          <w:noProof/>
          <w:lang w:eastAsia="en-AU"/>
        </w:rPr>
        <w:drawing>
          <wp:inline distT="0" distB="0" distL="0" distR="0" wp14:anchorId="50E3DF2A" wp14:editId="50F52027">
            <wp:extent cx="5440680" cy="4013625"/>
            <wp:effectExtent l="0" t="0" r="7620" b="6350"/>
            <wp:docPr id="58" name="Picture 58" descr="A1C (%): Change from baseline at primary time point by study. FAS: Excluding rescue approach. Ertugliflozin/Metform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a:stretch/>
                  </pic:blipFill>
                  <pic:spPr bwMode="auto">
                    <a:xfrm>
                      <a:off x="0" y="0"/>
                      <a:ext cx="5438111" cy="4011730"/>
                    </a:xfrm>
                    <a:prstGeom prst="rect">
                      <a:avLst/>
                    </a:prstGeom>
                    <a:noFill/>
                    <a:ln>
                      <a:noFill/>
                    </a:ln>
                    <a:extLst>
                      <a:ext uri="{53640926-AAD7-44D8-BBD7-CCE9431645EC}">
                        <a14:shadowObscured xmlns:a14="http://schemas.microsoft.com/office/drawing/2010/main"/>
                      </a:ext>
                    </a:extLst>
                  </pic:spPr>
                </pic:pic>
              </a:graphicData>
            </a:graphic>
          </wp:inline>
        </w:drawing>
      </w:r>
    </w:p>
    <w:p w:rsidR="004C620F" w:rsidRDefault="004C620F" w:rsidP="004C620F">
      <w:r>
        <w:t xml:space="preserve">Other efficacy results: Across the 4 studies with differing mean baseline </w:t>
      </w:r>
      <w:r w:rsidR="00C86E15">
        <w:t>A1c</w:t>
      </w:r>
      <w:r>
        <w:t xml:space="preserve"> values, the proportions of </w:t>
      </w:r>
      <w:r w:rsidR="002E313C">
        <w:t>ertugliflozin treated</w:t>
      </w:r>
      <w:r>
        <w:t xml:space="preserve"> subjects with an </w:t>
      </w:r>
      <w:r w:rsidR="00C86E15">
        <w:t>A1c</w:t>
      </w:r>
      <w:r>
        <w:t xml:space="preserve"> </w:t>
      </w:r>
      <w:r w:rsidR="00094198">
        <w:t xml:space="preserve">&lt; </w:t>
      </w:r>
      <w:r>
        <w:t xml:space="preserve">7.0% at week 26 ranged from 26.4% to 40% with numerically greater proportion of subjects achieving </w:t>
      </w:r>
      <w:r w:rsidR="00C86E15">
        <w:t>A1c</w:t>
      </w:r>
      <w:r>
        <w:t xml:space="preserve"> </w:t>
      </w:r>
      <w:r w:rsidR="00094198">
        <w:t xml:space="preserve">&lt; </w:t>
      </w:r>
      <w:r>
        <w:t xml:space="preserve">7.0% with ertugliflozin 15 mg compared with 5 mg (in all 4 studies) (Table </w:t>
      </w:r>
      <w:r w:rsidR="00943185">
        <w:t>4).</w:t>
      </w:r>
    </w:p>
    <w:p w:rsidR="00943185" w:rsidRDefault="00943185" w:rsidP="00943185">
      <w:pPr>
        <w:pStyle w:val="Tabletitle"/>
      </w:pPr>
      <w:bookmarkStart w:id="42" w:name="_Ref493835626"/>
      <w:bookmarkStart w:id="43" w:name="_Toc504037406"/>
      <w:r>
        <w:lastRenderedPageBreak/>
        <w:t xml:space="preserve">Table 4: Analysis of subjects with </w:t>
      </w:r>
      <w:r w:rsidR="00C86E15">
        <w:t>A1c</w:t>
      </w:r>
      <w:r>
        <w:t xml:space="preserve"> </w:t>
      </w:r>
      <w:r w:rsidR="00094198">
        <w:t xml:space="preserve">&lt; </w:t>
      </w:r>
      <w:r>
        <w:t>7.0% at primary time point by study</w:t>
      </w:r>
      <w:r w:rsidR="00DB4E08">
        <w:t>;</w:t>
      </w:r>
      <w:r>
        <w:t xml:space="preserve"> FAS</w:t>
      </w:r>
      <w:r w:rsidR="00DB4E08">
        <w:t>: </w:t>
      </w:r>
      <w:r>
        <w:t xml:space="preserve">Excluding </w:t>
      </w:r>
      <w:r w:rsidR="00DB4E08">
        <w:t>rescue approach; ertugliflozin/metformin studies</w:t>
      </w:r>
      <w:bookmarkEnd w:id="42"/>
      <w:bookmarkEnd w:id="43"/>
    </w:p>
    <w:p w:rsidR="00943185" w:rsidRDefault="00943185" w:rsidP="00943185">
      <w:r>
        <w:rPr>
          <w:noProof/>
          <w:lang w:eastAsia="en-AU"/>
        </w:rPr>
        <w:drawing>
          <wp:inline distT="0" distB="0" distL="0" distR="0" wp14:anchorId="66DF6676" wp14:editId="236AA518">
            <wp:extent cx="5349922" cy="4195736"/>
            <wp:effectExtent l="0" t="0" r="3175" b="0"/>
            <wp:docPr id="60" name="Picture 60" descr="Analysis of subjects with A1C &lt;7.0% at primary time point by study FAS Excluding Rescue Approach Ertugliflozin/Metform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349409" cy="4195333"/>
                    </a:xfrm>
                    <a:prstGeom prst="rect">
                      <a:avLst/>
                    </a:prstGeom>
                    <a:noFill/>
                    <a:ln>
                      <a:noFill/>
                    </a:ln>
                  </pic:spPr>
                </pic:pic>
              </a:graphicData>
            </a:graphic>
          </wp:inline>
        </w:drawing>
      </w:r>
    </w:p>
    <w:p w:rsidR="004C620F" w:rsidRDefault="004C620F" w:rsidP="004C620F">
      <w:r>
        <w:t xml:space="preserve">Addition of ertugliflozin 15 mg or 5 mg to the existing metformin therapy consistently resulted in clinically meaningful reductions from baseline in FPG across all 4 studies (ranging from -1.0 to 2.2mmol/L) (Table </w:t>
      </w:r>
      <w:r w:rsidR="00943185">
        <w:t>5</w:t>
      </w:r>
      <w:r>
        <w:t xml:space="preserve">). The reductions in FPG following ertugliflozin were roughly similar when used as second-line therapy (2.1 and 1.5mmol/L for ertugliflozin 15 mg and 5 mg, respectively) or as third line therapy (1.7 and 1.4mmol/L for ertugliflozin 15 mg and 5 mg, respectively in Study P006/1015). The reductions from baseline in FPG were numerically greater in the ertugliflozin 15 mg and </w:t>
      </w:r>
      <w:r w:rsidR="007C40A2">
        <w:t>5 mg</w:t>
      </w:r>
      <w:r>
        <w:t xml:space="preserve"> groups compared to the glimepiride group (Study P002/1013) and sitagliptin (Study P005/1019) (Table </w:t>
      </w:r>
      <w:r w:rsidR="00943185">
        <w:t>5).</w:t>
      </w:r>
    </w:p>
    <w:p w:rsidR="00943185" w:rsidRDefault="00943185" w:rsidP="00943185">
      <w:pPr>
        <w:pStyle w:val="Tabletitle"/>
      </w:pPr>
      <w:bookmarkStart w:id="44" w:name="_Ref493835629"/>
      <w:bookmarkStart w:id="45" w:name="_Ref496170345"/>
      <w:bookmarkStart w:id="46" w:name="_Toc504037407"/>
      <w:r>
        <w:t>Table 5:</w:t>
      </w:r>
      <w:bookmarkEnd w:id="44"/>
      <w:r>
        <w:t xml:space="preserve"> Changes in FPG (mmol/L) in the 4 pivotal </w:t>
      </w:r>
      <w:r w:rsidR="00DB4E08">
        <w:t xml:space="preserve">Phase III </w:t>
      </w:r>
      <w:r>
        <w:t>studies for Segluromet</w:t>
      </w:r>
      <w:bookmarkEnd w:id="45"/>
      <w:bookmarkEnd w:id="46"/>
    </w:p>
    <w:p w:rsidR="005D7420" w:rsidRPr="005D7420" w:rsidRDefault="005D7420" w:rsidP="005D7420">
      <w:r>
        <w:rPr>
          <w:noProof/>
          <w:lang w:eastAsia="en-AU"/>
        </w:rPr>
        <w:drawing>
          <wp:inline distT="0" distB="0" distL="0" distR="0" wp14:anchorId="2135ECEC" wp14:editId="19046FDB">
            <wp:extent cx="5731510" cy="2188506"/>
            <wp:effectExtent l="0" t="0" r="2540" b="2540"/>
            <wp:docPr id="3" name="Picture 3" descr="Changes in FPG (mmol/L) in the 4 pivotal Phase III studies for Seglur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188506"/>
                    </a:xfrm>
                    <a:prstGeom prst="rect">
                      <a:avLst/>
                    </a:prstGeom>
                  </pic:spPr>
                </pic:pic>
              </a:graphicData>
            </a:graphic>
          </wp:inline>
        </w:drawing>
      </w:r>
    </w:p>
    <w:p w:rsidR="00943185" w:rsidRPr="00C738A2" w:rsidRDefault="00943185" w:rsidP="005D7420"/>
    <w:p w:rsidR="00943185" w:rsidRDefault="00C305A1" w:rsidP="00C305A1">
      <w:pPr>
        <w:pStyle w:val="Tabletitle"/>
      </w:pPr>
      <w:bookmarkStart w:id="47" w:name="_Toc504037408"/>
      <w:r>
        <w:t xml:space="preserve">Table 5 </w:t>
      </w:r>
      <w:r w:rsidR="00DB4E08">
        <w:t>(</w:t>
      </w:r>
      <w:r>
        <w:t>continued</w:t>
      </w:r>
      <w:r w:rsidR="00DB4E08">
        <w:t>)</w:t>
      </w:r>
      <w:r>
        <w:t xml:space="preserve">: Changes in FPG (mmol/L) in the 4 pivotal </w:t>
      </w:r>
      <w:r w:rsidR="00DB4E08">
        <w:t xml:space="preserve">Phase III </w:t>
      </w:r>
      <w:r>
        <w:t>studies for Segluromet</w:t>
      </w:r>
      <w:bookmarkEnd w:id="47"/>
    </w:p>
    <w:p w:rsidR="005D7420" w:rsidRDefault="00C305A1" w:rsidP="004C620F">
      <w:r>
        <w:rPr>
          <w:noProof/>
          <w:lang w:eastAsia="en-AU"/>
        </w:rPr>
        <w:drawing>
          <wp:inline distT="0" distB="0" distL="0" distR="0" wp14:anchorId="796ABC10" wp14:editId="0EBDB251">
            <wp:extent cx="5943031" cy="6583680"/>
            <wp:effectExtent l="0" t="0" r="635" b="7620"/>
            <wp:docPr id="13" name="Picture 13" descr="Changes in FPG (mmol/L) in the 4 pivotal phase 3 studies for Seglur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803"/>
                    <a:stretch/>
                  </pic:blipFill>
                  <pic:spPr bwMode="auto">
                    <a:xfrm>
                      <a:off x="0" y="0"/>
                      <a:ext cx="5943600" cy="6584310"/>
                    </a:xfrm>
                    <a:prstGeom prst="rect">
                      <a:avLst/>
                    </a:prstGeom>
                    <a:ln>
                      <a:noFill/>
                    </a:ln>
                    <a:extLst>
                      <a:ext uri="{53640926-AAD7-44D8-BBD7-CCE9431645EC}">
                        <a14:shadowObscured xmlns:a14="http://schemas.microsoft.com/office/drawing/2010/main"/>
                      </a:ext>
                    </a:extLst>
                  </pic:spPr>
                </pic:pic>
              </a:graphicData>
            </a:graphic>
          </wp:inline>
        </w:drawing>
      </w:r>
    </w:p>
    <w:p w:rsidR="004C620F" w:rsidRDefault="004C620F" w:rsidP="004C620F">
      <w:r>
        <w:t xml:space="preserve">Across all 4 studies, addition of ertugliflozin 15 mg or 5 mg to the existing metformin therapy resulted in a consistent reduction from baseline in body weight (-2.69 kg to -3.74 kg). Reductions in body weight with ertugliflozin were greater than glimepiride and sitagliptin (Table </w:t>
      </w:r>
      <w:r w:rsidR="00C305A1">
        <w:t>6</w:t>
      </w:r>
      <w:r>
        <w:t>).</w:t>
      </w:r>
    </w:p>
    <w:p w:rsidR="004C620F" w:rsidRDefault="004C620F" w:rsidP="004C620F">
      <w:r>
        <w:t xml:space="preserve">Across all 4 studies, adding ertugliflozin 15 mg or 5 mg alone to the existing metformin therapy resulted in a reduction from baseline in sitting SBP (ranged from 2.25 to 5.2 </w:t>
      </w:r>
      <w:r w:rsidR="00EF7D1E">
        <w:t>mmHg)</w:t>
      </w:r>
      <w:r>
        <w:t xml:space="preserve"> with numerically greater reductions with ertugliflozin 1</w:t>
      </w:r>
      <w:r w:rsidR="007C40A2">
        <w:t>5 mg</w:t>
      </w:r>
      <w:r>
        <w:t xml:space="preserve"> compared to </w:t>
      </w:r>
      <w:r w:rsidR="007C40A2">
        <w:t>5 mg</w:t>
      </w:r>
      <w:r>
        <w:t xml:space="preserve"> (Table 7).</w:t>
      </w:r>
    </w:p>
    <w:p w:rsidR="00C305A1" w:rsidRDefault="004C620F" w:rsidP="00C305A1">
      <w:r>
        <w:lastRenderedPageBreak/>
        <w:t xml:space="preserve">The proportion of subjects receiving glycaemic rescue therapy in all ertugliflozin groups (either alone or co-administered with sitagliptin 100 mg) was low across all 4 studies (ranging from </w:t>
      </w:r>
      <w:r w:rsidR="00C305A1">
        <w:t>0% to 6.4%) (Table 8).</w:t>
      </w:r>
      <w:bookmarkStart w:id="48" w:name="_Ref493835639"/>
      <w:bookmarkStart w:id="49" w:name="_Toc504037409"/>
    </w:p>
    <w:p w:rsidR="00DB4E08" w:rsidRDefault="00C305A1" w:rsidP="00DB4E08">
      <w:pPr>
        <w:pStyle w:val="Tabletitle"/>
      </w:pPr>
      <w:r>
        <w:t>Table 6: Body weight (kg)</w:t>
      </w:r>
      <w:r w:rsidR="00DB4E08">
        <w:t>;</w:t>
      </w:r>
      <w:r w:rsidR="005D7420">
        <w:t xml:space="preserve"> </w:t>
      </w:r>
      <w:r w:rsidR="00DB4E08">
        <w:t>Change from Baseline at primary time point by study. FAS: Excluding rescue approach; ertugliflozin/metformin studies</w:t>
      </w:r>
    </w:p>
    <w:bookmarkEnd w:id="48"/>
    <w:bookmarkEnd w:id="49"/>
    <w:p w:rsidR="00C305A1" w:rsidRDefault="002629A1" w:rsidP="00DA242E">
      <w:r w:rsidRPr="002E1F39">
        <w:rPr>
          <w:noProof/>
          <w:lang w:eastAsia="en-AU"/>
        </w:rPr>
        <w:drawing>
          <wp:inline distT="0" distB="0" distL="0" distR="0" wp14:anchorId="1E6E94AF" wp14:editId="134ACD73">
            <wp:extent cx="4937040" cy="3459480"/>
            <wp:effectExtent l="0" t="0" r="0" b="7620"/>
            <wp:docPr id="62" name="Picture 62" descr="Body weight (kg) Change from baseline at primary time point by study. FAS. Excluding rescue approach Ertugliflozin/Metform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l="845" r="1268" b="1186"/>
                    <a:stretch/>
                  </pic:blipFill>
                  <pic:spPr bwMode="auto">
                    <a:xfrm>
                      <a:off x="0" y="0"/>
                      <a:ext cx="4938312" cy="3460371"/>
                    </a:xfrm>
                    <a:prstGeom prst="rect">
                      <a:avLst/>
                    </a:prstGeom>
                    <a:noFill/>
                    <a:ln>
                      <a:noFill/>
                    </a:ln>
                    <a:extLst>
                      <a:ext uri="{53640926-AAD7-44D8-BBD7-CCE9431645EC}">
                        <a14:shadowObscured xmlns:a14="http://schemas.microsoft.com/office/drawing/2010/main"/>
                      </a:ext>
                    </a:extLst>
                  </pic:spPr>
                </pic:pic>
              </a:graphicData>
            </a:graphic>
          </wp:inline>
        </w:drawing>
      </w:r>
    </w:p>
    <w:p w:rsidR="00C305A1" w:rsidRDefault="00C305A1" w:rsidP="002629A1">
      <w:pPr>
        <w:pStyle w:val="Tabletitle"/>
      </w:pPr>
      <w:bookmarkStart w:id="50" w:name="_Ref493835642"/>
      <w:bookmarkStart w:id="51" w:name="_Toc504037410"/>
      <w:r>
        <w:t>Table 7:</w:t>
      </w:r>
      <w:r w:rsidR="002629A1">
        <w:t xml:space="preserve"> </w:t>
      </w:r>
      <w:r>
        <w:t xml:space="preserve">Sitting systolic BP (mmHg): </w:t>
      </w:r>
      <w:r w:rsidR="00DB4E08">
        <w:t xml:space="preserve">Change from </w:t>
      </w:r>
      <w:r w:rsidR="00487BB8">
        <w:t xml:space="preserve">Baseline </w:t>
      </w:r>
      <w:r w:rsidR="00DB4E08">
        <w:t>at primary time point by study. FAS: Excluding rescue approach; ertugliflozin/metformin studies</w:t>
      </w:r>
      <w:bookmarkEnd w:id="50"/>
      <w:bookmarkEnd w:id="51"/>
    </w:p>
    <w:p w:rsidR="00C305A1" w:rsidRDefault="00C305A1" w:rsidP="00C305A1">
      <w:r>
        <w:rPr>
          <w:noProof/>
          <w:lang w:eastAsia="en-AU"/>
        </w:rPr>
        <w:drawing>
          <wp:inline distT="0" distB="0" distL="0" distR="0" wp14:anchorId="37B88061" wp14:editId="3C21EDA5">
            <wp:extent cx="5372991" cy="3675981"/>
            <wp:effectExtent l="0" t="0" r="0" b="1270"/>
            <wp:docPr id="64" name="Picture 64" descr="Sitting systolic BP (mmHg): Change from baseline at primary time point by study FAS excluding rescue approach Ertugliflozin/Metform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5372475" cy="3675628"/>
                    </a:xfrm>
                    <a:prstGeom prst="rect">
                      <a:avLst/>
                    </a:prstGeom>
                    <a:noFill/>
                    <a:ln>
                      <a:noFill/>
                    </a:ln>
                  </pic:spPr>
                </pic:pic>
              </a:graphicData>
            </a:graphic>
          </wp:inline>
        </w:drawing>
      </w:r>
    </w:p>
    <w:p w:rsidR="00C305A1" w:rsidRDefault="00C305A1" w:rsidP="002629A1">
      <w:pPr>
        <w:pStyle w:val="Tabletitle"/>
      </w:pPr>
      <w:bookmarkStart w:id="52" w:name="_Ref493835645"/>
      <w:bookmarkStart w:id="53" w:name="_Toc504037411"/>
      <w:r>
        <w:lastRenderedPageBreak/>
        <w:t xml:space="preserve">Table </w:t>
      </w:r>
      <w:r w:rsidR="002629A1">
        <w:t>8</w:t>
      </w:r>
      <w:r>
        <w:t>:</w:t>
      </w:r>
      <w:r w:rsidR="002629A1">
        <w:t xml:space="preserve"> </w:t>
      </w:r>
      <w:r>
        <w:t>Analysis of time to glycaemic rescue at primary time point by study</w:t>
      </w:r>
      <w:r w:rsidR="00487BB8">
        <w:t>;</w:t>
      </w:r>
      <w:r>
        <w:t xml:space="preserve"> All subjects treated</w:t>
      </w:r>
      <w:r w:rsidR="00487BB8">
        <w:t>,</w:t>
      </w:r>
      <w:r>
        <w:t xml:space="preserve"> </w:t>
      </w:r>
      <w:r w:rsidR="00487BB8">
        <w:t>ertugliflozin/metformin studies</w:t>
      </w:r>
      <w:bookmarkEnd w:id="52"/>
      <w:bookmarkEnd w:id="53"/>
    </w:p>
    <w:p w:rsidR="00C305A1" w:rsidRDefault="00C305A1" w:rsidP="00C305A1">
      <w:r>
        <w:rPr>
          <w:noProof/>
          <w:lang w:eastAsia="en-AU"/>
        </w:rPr>
        <w:drawing>
          <wp:inline distT="0" distB="0" distL="0" distR="0" wp14:anchorId="7CA695B3" wp14:editId="1DC9EE2A">
            <wp:extent cx="5731510" cy="4145701"/>
            <wp:effectExtent l="0" t="0" r="2540" b="7620"/>
            <wp:docPr id="66" name="Picture 66" descr="Analysis of time to glycaemic rescue at primary time point by study All subjects treated Ertugliflozin/Metform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731510" cy="4145701"/>
                    </a:xfrm>
                    <a:prstGeom prst="rect">
                      <a:avLst/>
                    </a:prstGeom>
                    <a:noFill/>
                    <a:ln>
                      <a:noFill/>
                    </a:ln>
                  </pic:spPr>
                </pic:pic>
              </a:graphicData>
            </a:graphic>
          </wp:inline>
        </w:drawing>
      </w:r>
    </w:p>
    <w:p w:rsidR="004C620F" w:rsidRDefault="004C620F" w:rsidP="00C305A1">
      <w:pPr>
        <w:pStyle w:val="Heading3"/>
      </w:pPr>
      <w:bookmarkStart w:id="54" w:name="_Toc4571206"/>
      <w:r>
        <w:t>Other efficacy studies</w:t>
      </w:r>
      <w:bookmarkEnd w:id="54"/>
    </w:p>
    <w:p w:rsidR="004C620F" w:rsidRDefault="004C620F" w:rsidP="004C620F">
      <w:r>
        <w:t xml:space="preserve">Three other supportive </w:t>
      </w:r>
      <w:r w:rsidR="0034721C">
        <w:t>Phase III</w:t>
      </w:r>
      <w:r>
        <w:t xml:space="preserve"> studies were also included in the submitted dossier:</w:t>
      </w:r>
      <w:r w:rsidR="00C242A4">
        <w:t xml:space="preserve"> </w:t>
      </w:r>
      <w:r>
        <w:t xml:space="preserve">Ertugliflozin monotherapy </w:t>
      </w:r>
      <w:r w:rsidR="002629A1">
        <w:t>S</w:t>
      </w:r>
      <w:r>
        <w:t xml:space="preserve">tudy P003/1022 (refer to Steglatro evaluation report); initial ertugliflozin+sitalgliptin combination therapy </w:t>
      </w:r>
      <w:r w:rsidR="002629A1">
        <w:t>S</w:t>
      </w:r>
      <w:r>
        <w:t xml:space="preserve">tudy P017/1047 (refer to Steglatro evaluation report) and </w:t>
      </w:r>
      <w:r w:rsidR="00487BB8">
        <w:t xml:space="preserve">Study </w:t>
      </w:r>
      <w:r>
        <w:t xml:space="preserve">P001/1016 in T2DM patients with Stage 3 </w:t>
      </w:r>
      <w:r w:rsidR="00487BB8">
        <w:t xml:space="preserve">chronic kidney disease </w:t>
      </w:r>
      <w:r>
        <w:t>(refer to Steglatro evaluation report</w:t>
      </w:r>
      <w:r w:rsidR="00487BB8">
        <w:t>, available as Attachment 2</w:t>
      </w:r>
      <w:r>
        <w:t xml:space="preserve">). Two </w:t>
      </w:r>
      <w:r w:rsidR="0034721C">
        <w:t>Phase II</w:t>
      </w:r>
      <w:r>
        <w:t xml:space="preserve"> studies evaluating dose-response of ertugliflozin were also evaluated in the Steglatro report.</w:t>
      </w:r>
    </w:p>
    <w:p w:rsidR="004C620F" w:rsidRDefault="004C620F" w:rsidP="002629A1">
      <w:pPr>
        <w:pStyle w:val="Heading3"/>
      </w:pPr>
      <w:bookmarkStart w:id="55" w:name="_Toc4571207"/>
      <w:r>
        <w:t>Analyses performed across trials: pooled and meta</w:t>
      </w:r>
      <w:r w:rsidR="00EF7D1E">
        <w:t>-</w:t>
      </w:r>
      <w:r>
        <w:t>analyses</w:t>
      </w:r>
      <w:bookmarkEnd w:id="55"/>
    </w:p>
    <w:p w:rsidR="00E31FFE" w:rsidRDefault="004C620F" w:rsidP="004C620F">
      <w:r>
        <w:t>The ertugliflozin/me</w:t>
      </w:r>
      <w:r w:rsidR="00094198">
        <w:t xml:space="preserve">tformin pool includes 2 placebo </w:t>
      </w:r>
      <w:r>
        <w:t>controlled studies of similar design and the same duration (P007/10</w:t>
      </w:r>
      <w:r w:rsidR="00094198">
        <w:t xml:space="preserve">17 and P006/1015). The 2 active </w:t>
      </w:r>
      <w:r>
        <w:t xml:space="preserve">controlled studies (P005/1019 and P002/1013) were excluded from the pooled data set because they lacked a placebo control group. Three efficacy endpoints were analysed in the pooled analysis: Change from baseline to week 26 in </w:t>
      </w:r>
      <w:r w:rsidR="00C86E15">
        <w:t>A1c</w:t>
      </w:r>
      <w:r>
        <w:t xml:space="preserve">, body weight and in proportion of subjects with </w:t>
      </w:r>
      <w:r w:rsidR="00C86E15">
        <w:t>A1c</w:t>
      </w:r>
      <w:r>
        <w:t xml:space="preserve"> </w:t>
      </w:r>
      <w:r w:rsidR="00094198">
        <w:t xml:space="preserve">&lt; </w:t>
      </w:r>
      <w:r>
        <w:t>7%. To avoid the confounding effect of glycaemic rescue on efficacy comparisons, the primary approach to efficacy analyses treated data collected after the initiation of glycaemic rescue therapy as missing;</w:t>
      </w:r>
      <w:r w:rsidR="00C242A4">
        <w:t xml:space="preserve"> </w:t>
      </w:r>
      <w:r>
        <w:t xml:space="preserve">these analyses are referred to as </w:t>
      </w:r>
      <w:r w:rsidR="00233AFA">
        <w:t>‘</w:t>
      </w:r>
      <w:r>
        <w:t>excluding rescue</w:t>
      </w:r>
      <w:r w:rsidR="00233AFA">
        <w:t>’</w:t>
      </w:r>
      <w:r>
        <w:t xml:space="preserve"> (ER) to denote that data obtained after initiation of rescue therapy or after bariatric surgery were excluded. This approach was applied both in the individual studies and in the pooled analysis. In the pooled group (of the 2 placebo-controlled studies), mean age of the subjects was 57.7 years, 50.9% were male, the mean baseline BMI was 30.8 kg/m2, 69.1% of subjects were White, 17.9% were Asian, and 6.7% were Black. The mean duration of T2DM was 8.6 years. Mean baseline </w:t>
      </w:r>
      <w:r w:rsidR="00C86E15">
        <w:t>A1c</w:t>
      </w:r>
      <w:r>
        <w:t xml:space="preserve"> was 8.1%. The mean </w:t>
      </w:r>
      <w:r>
        <w:lastRenderedPageBreak/>
        <w:t>baseline eGFR was 89.4 mL/min/</w:t>
      </w:r>
      <w:r w:rsidR="002629A1">
        <w:t>1.73 m</w:t>
      </w:r>
      <w:r w:rsidR="002629A1" w:rsidRPr="002629A1">
        <w:rPr>
          <w:vertAlign w:val="superscript"/>
        </w:rPr>
        <w:t>2</w:t>
      </w:r>
      <w:r>
        <w:t xml:space="preserve">. The majority of subjects had mild renal impairment (eGFR </w:t>
      </w:r>
      <w:r w:rsidR="00094198">
        <w:t xml:space="preserve">&gt; </w:t>
      </w:r>
      <w:r>
        <w:t xml:space="preserve">60 to </w:t>
      </w:r>
      <w:r w:rsidR="00094198">
        <w:t xml:space="preserve">&lt; </w:t>
      </w:r>
      <w:r>
        <w:t>90 mL/min/</w:t>
      </w:r>
      <w:r w:rsidR="002629A1">
        <w:t>1.73 m</w:t>
      </w:r>
      <w:r w:rsidR="002629A1" w:rsidRPr="002629A1">
        <w:rPr>
          <w:vertAlign w:val="superscript"/>
        </w:rPr>
        <w:t>2</w:t>
      </w:r>
      <w:r>
        <w:t xml:space="preserve">). A small proportion of subjects in the pool had a baseline eGFR </w:t>
      </w:r>
      <w:r w:rsidR="00094198">
        <w:t xml:space="preserve">&gt; </w:t>
      </w:r>
      <w:r>
        <w:t xml:space="preserve">45 to </w:t>
      </w:r>
      <w:r w:rsidR="00094198">
        <w:t xml:space="preserve">&lt; </w:t>
      </w:r>
      <w:r>
        <w:t>60 mL/min/</w:t>
      </w:r>
      <w:r w:rsidR="002629A1">
        <w:t>1.73 m</w:t>
      </w:r>
      <w:r w:rsidR="002629A1" w:rsidRPr="002629A1">
        <w:rPr>
          <w:vertAlign w:val="superscript"/>
        </w:rPr>
        <w:t>2</w:t>
      </w:r>
      <w:r>
        <w:t xml:space="preserve"> (2.9%). Subject demographic and baseline characteristics were well balanced across the placebo, ertugliflozin </w:t>
      </w:r>
      <w:r w:rsidR="007C40A2">
        <w:t>5 mg</w:t>
      </w:r>
      <w:r>
        <w:t xml:space="preserve"> and 1</w:t>
      </w:r>
      <w:r w:rsidR="007C40A2">
        <w:t>5 mg</w:t>
      </w:r>
      <w:r>
        <w:t xml:space="preserve"> treatment groups</w:t>
      </w:r>
      <w:r w:rsidR="00094198">
        <w:t xml:space="preserve"> (Table </w:t>
      </w:r>
      <w:r w:rsidR="002629A1">
        <w:t>9)</w:t>
      </w:r>
      <w:r w:rsidR="00E31FFE">
        <w:t>.</w:t>
      </w:r>
    </w:p>
    <w:p w:rsidR="00E678BC" w:rsidRDefault="00E31FFE" w:rsidP="00E678BC">
      <w:pPr>
        <w:pStyle w:val="Tabletitle"/>
      </w:pPr>
      <w:r>
        <w:t>Table 9: B</w:t>
      </w:r>
      <w:r w:rsidRPr="001235E1">
        <w:t xml:space="preserve">aseline </w:t>
      </w:r>
      <w:r>
        <w:t>disease characteristics</w:t>
      </w:r>
      <w:r w:rsidR="00487BB8">
        <w:t>;</w:t>
      </w:r>
      <w:r>
        <w:t xml:space="preserve"> </w:t>
      </w:r>
      <w:r w:rsidRPr="001235E1">
        <w:t>All subjects treated</w:t>
      </w:r>
      <w:r w:rsidR="00487BB8">
        <w:t>,</w:t>
      </w:r>
      <w:r w:rsidRPr="001235E1">
        <w:t xml:space="preserve"> </w:t>
      </w:r>
      <w:r w:rsidR="000677B1">
        <w:t>ertugliflozin/metformin</w:t>
      </w:r>
      <w:r w:rsidRPr="001235E1">
        <w:t xml:space="preserve"> FDC Pool</w:t>
      </w:r>
    </w:p>
    <w:p w:rsidR="00E31FFE" w:rsidRPr="00E31FFE" w:rsidRDefault="00E31FFE" w:rsidP="005D7420">
      <w:r>
        <w:rPr>
          <w:noProof/>
          <w:lang w:eastAsia="en-AU"/>
        </w:rPr>
        <w:drawing>
          <wp:inline distT="0" distB="0" distL="0" distR="0" wp14:anchorId="7CEF9349" wp14:editId="0DF2400C">
            <wp:extent cx="4680488" cy="6888997"/>
            <wp:effectExtent l="0" t="0" r="6350" b="7620"/>
            <wp:docPr id="14" name="Picture 14" descr="Baseline disease characteristics All subjects treated Ertu/Met FDC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t="784" r="1256" b="1211"/>
                    <a:stretch/>
                  </pic:blipFill>
                  <pic:spPr bwMode="auto">
                    <a:xfrm>
                      <a:off x="0" y="0"/>
                      <a:ext cx="4682234" cy="6891567"/>
                    </a:xfrm>
                    <a:prstGeom prst="rect">
                      <a:avLst/>
                    </a:prstGeom>
                    <a:ln>
                      <a:noFill/>
                    </a:ln>
                    <a:extLst>
                      <a:ext uri="{53640926-AAD7-44D8-BBD7-CCE9431645EC}">
                        <a14:shadowObscured xmlns:a14="http://schemas.microsoft.com/office/drawing/2010/main"/>
                      </a:ext>
                    </a:extLst>
                  </pic:spPr>
                </pic:pic>
              </a:graphicData>
            </a:graphic>
          </wp:inline>
        </w:drawing>
      </w:r>
    </w:p>
    <w:p w:rsidR="004C620F" w:rsidRDefault="004C620F" w:rsidP="004C620F">
      <w:r>
        <w:t xml:space="preserve">The mean metformin dose at </w:t>
      </w:r>
      <w:r w:rsidR="002629A1">
        <w:t>randomisation</w:t>
      </w:r>
      <w:r>
        <w:t xml:space="preserve"> was 1985.2 mg/day and 2017.9 mg/day in the ertugliflozin and placebo groups, respectively. The median metformin dose at </w:t>
      </w:r>
      <w:r w:rsidR="002629A1">
        <w:t>randomisation</w:t>
      </w:r>
      <w:r>
        <w:t xml:space="preserve"> was 2000 mg/day in both groups. The most common metformin dose at </w:t>
      </w:r>
      <w:r w:rsidR="002629A1">
        <w:t>randomisation</w:t>
      </w:r>
      <w:r>
        <w:t xml:space="preserve"> in both </w:t>
      </w:r>
      <w:r>
        <w:lastRenderedPageBreak/>
        <w:t xml:space="preserve">groups was 2000 mg/day (46.7% and 51.7% of subjects in the ertugliflozin and placebo groups, respectively). In the ertugliflozin groups, 14.7% and 19.7% of subjects received 1500 mg/day or </w:t>
      </w:r>
      <w:r w:rsidR="00094198">
        <w:t xml:space="preserve">&gt; </w:t>
      </w:r>
      <w:r>
        <w:t xml:space="preserve">1500 to </w:t>
      </w:r>
      <w:r w:rsidR="00094198">
        <w:t xml:space="preserve">&lt; </w:t>
      </w:r>
      <w:r>
        <w:t xml:space="preserve">2000 mg/day at </w:t>
      </w:r>
      <w:r w:rsidR="002629A1">
        <w:t>randomisation</w:t>
      </w:r>
      <w:r>
        <w:t xml:space="preserve">, respectively (Table </w:t>
      </w:r>
      <w:r w:rsidR="00E31FFE">
        <w:t>10</w:t>
      </w:r>
      <w:r>
        <w:t>).</w:t>
      </w:r>
    </w:p>
    <w:p w:rsidR="005D7420" w:rsidRDefault="00E31FFE" w:rsidP="00E31FFE">
      <w:pPr>
        <w:pStyle w:val="Tabletitle"/>
      </w:pPr>
      <w:bookmarkStart w:id="56" w:name="_Ref493835650"/>
      <w:bookmarkStart w:id="57" w:name="_Toc504037414"/>
      <w:r>
        <w:t>Table 10: Summary of metformin dose at randomisation</w:t>
      </w:r>
      <w:r w:rsidR="00487BB8">
        <w:t>;</w:t>
      </w:r>
      <w:r>
        <w:t xml:space="preserve"> All subjects treated</w:t>
      </w:r>
      <w:r w:rsidR="00487BB8">
        <w:t xml:space="preserve">, ertugliflozin/metformin </w:t>
      </w:r>
      <w:r>
        <w:t>FDC pool</w:t>
      </w:r>
      <w:bookmarkEnd w:id="56"/>
      <w:bookmarkEnd w:id="57"/>
    </w:p>
    <w:p w:rsidR="00E31FFE" w:rsidRDefault="00E31FFE" w:rsidP="005D7420">
      <w:r>
        <w:rPr>
          <w:noProof/>
          <w:lang w:eastAsia="en-AU"/>
        </w:rPr>
        <w:drawing>
          <wp:inline distT="0" distB="0" distL="0" distR="0" wp14:anchorId="45FFE408" wp14:editId="04DBD356">
            <wp:extent cx="6016928" cy="1983658"/>
            <wp:effectExtent l="0" t="0" r="3175" b="0"/>
            <wp:docPr id="72" name="Picture 72" descr="Summary of metformin dose at randomisation All subjects treated Ertugliflozin/Metformin FDC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6028186" cy="1987370"/>
                    </a:xfrm>
                    <a:prstGeom prst="rect">
                      <a:avLst/>
                    </a:prstGeom>
                    <a:noFill/>
                    <a:ln>
                      <a:noFill/>
                    </a:ln>
                  </pic:spPr>
                </pic:pic>
              </a:graphicData>
            </a:graphic>
          </wp:inline>
        </w:drawing>
      </w:r>
    </w:p>
    <w:p w:rsidR="00E31FFE" w:rsidRDefault="004C620F" w:rsidP="004C620F">
      <w:r>
        <w:t xml:space="preserve">The LS mean reductions from baseline in </w:t>
      </w:r>
      <w:r w:rsidR="00C86E15">
        <w:t>A1c</w:t>
      </w:r>
      <w:r>
        <w:t xml:space="preserve"> at Week 26 (excluding data after initiation of glycaemic rescue therapy) were greater in the ertugliflozin 15 mg and 5 mg groups than in the placebo group (difference in LS means: -0.83% and -0.69%, re</w:t>
      </w:r>
      <w:r w:rsidR="00E31FFE">
        <w:t>spectively) (Table 11).</w:t>
      </w:r>
    </w:p>
    <w:p w:rsidR="005D7420" w:rsidRDefault="00E31FFE" w:rsidP="00E31FFE">
      <w:pPr>
        <w:pStyle w:val="Tabletitle"/>
      </w:pPr>
      <w:bookmarkStart w:id="58" w:name="_Ref493835652"/>
      <w:bookmarkStart w:id="59" w:name="_Toc504037415"/>
      <w:r>
        <w:t xml:space="preserve">Table 11: </w:t>
      </w:r>
      <w:r w:rsidR="00C86E15">
        <w:t>A1c</w:t>
      </w:r>
      <w:r>
        <w:t xml:space="preserve"> (%)</w:t>
      </w:r>
      <w:r w:rsidR="00487BB8">
        <w:t>;</w:t>
      </w:r>
      <w:r>
        <w:t xml:space="preserve"> Change from </w:t>
      </w:r>
      <w:r w:rsidR="00487BB8">
        <w:t xml:space="preserve">Baseline </w:t>
      </w:r>
      <w:r>
        <w:t>at Week 2. FAS: Excluding rescue approach</w:t>
      </w:r>
      <w:r w:rsidR="00487BB8">
        <w:t>;</w:t>
      </w:r>
      <w:r>
        <w:t xml:space="preserve"> </w:t>
      </w:r>
      <w:r w:rsidR="00487BB8">
        <w:t xml:space="preserve">ertugliflozin/metformin </w:t>
      </w:r>
      <w:r>
        <w:t>FDC pool</w:t>
      </w:r>
      <w:bookmarkEnd w:id="58"/>
      <w:bookmarkEnd w:id="59"/>
    </w:p>
    <w:p w:rsidR="00E31FFE" w:rsidRDefault="00E31FFE" w:rsidP="005D7420">
      <w:r>
        <w:rPr>
          <w:noProof/>
          <w:lang w:eastAsia="en-AU"/>
        </w:rPr>
        <w:drawing>
          <wp:inline distT="0" distB="0" distL="0" distR="0" wp14:anchorId="191EC30A" wp14:editId="4C2D1AF8">
            <wp:extent cx="4719234" cy="1845924"/>
            <wp:effectExtent l="0" t="0" r="5715" b="2540"/>
            <wp:docPr id="74" name="Picture 74" descr="A1C (%) Change from baseline at Week 2. FAS: Excluding rescue approach Ertugliflozin/Metformin FDC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4729356" cy="1849883"/>
                    </a:xfrm>
                    <a:prstGeom prst="rect">
                      <a:avLst/>
                    </a:prstGeom>
                    <a:noFill/>
                    <a:ln>
                      <a:noFill/>
                    </a:ln>
                  </pic:spPr>
                </pic:pic>
              </a:graphicData>
            </a:graphic>
          </wp:inline>
        </w:drawing>
      </w:r>
    </w:p>
    <w:p w:rsidR="000677B1" w:rsidRDefault="004C620F" w:rsidP="000677B1">
      <w:r>
        <w:t xml:space="preserve">In general, clinically meaningful reductions from baseline in </w:t>
      </w:r>
      <w:r w:rsidR="00C86E15">
        <w:t>A1c</w:t>
      </w:r>
      <w:r>
        <w:t xml:space="preserve"> were observed with ertugliflozin 15 mg and ertugliflozin 5 mg compared to placebo across all subgroup categories. In general, ertugliflozin 15 mg had a numerically greater placebo-adjusted </w:t>
      </w:r>
      <w:r w:rsidR="00C86E15">
        <w:t>A1c</w:t>
      </w:r>
      <w:r>
        <w:t xml:space="preserve"> reduction from baseline compared with ertugliflozin 5 mg across subgroup categories. The placebo-adjusted LS mean reduction from baseline in </w:t>
      </w:r>
      <w:r w:rsidR="00C86E15">
        <w:t>A1c</w:t>
      </w:r>
      <w:r>
        <w:t xml:space="preserve"> was greater in subjects with a higher baseline </w:t>
      </w:r>
      <w:r w:rsidR="00C86E15">
        <w:t>A1c</w:t>
      </w:r>
      <w:r>
        <w:t xml:space="preserve"> (</w:t>
      </w:r>
      <w:r w:rsidR="00094198">
        <w:t xml:space="preserve">&gt; </w:t>
      </w:r>
      <w:r w:rsidR="00CE07A4">
        <w:t>median (7.9)</w:t>
      </w:r>
      <w:r>
        <w:t xml:space="preserve"> or </w:t>
      </w:r>
      <w:r w:rsidR="00094198">
        <w:t xml:space="preserve">&gt; </w:t>
      </w:r>
      <w:r>
        <w:t>9.0%)</w:t>
      </w:r>
      <w:r w:rsidR="00F31E83">
        <w:t xml:space="preserve"> versus </w:t>
      </w:r>
      <w:r>
        <w:t xml:space="preserve">a lower baseline </w:t>
      </w:r>
      <w:r w:rsidR="00C86E15">
        <w:t>A1c</w:t>
      </w:r>
      <w:r>
        <w:t xml:space="preserve"> (</w:t>
      </w:r>
      <w:r w:rsidR="00094198">
        <w:t xml:space="preserve">&lt; </w:t>
      </w:r>
      <w:r>
        <w:t xml:space="preserve">median </w:t>
      </w:r>
      <w:r w:rsidR="00CE07A4">
        <w:t>(</w:t>
      </w:r>
      <w:r>
        <w:t>7.9</w:t>
      </w:r>
      <w:r w:rsidR="00CE07A4">
        <w:t>)</w:t>
      </w:r>
      <w:r>
        <w:t xml:space="preserve"> or </w:t>
      </w:r>
      <w:r w:rsidR="00094198">
        <w:t xml:space="preserve">&lt; </w:t>
      </w:r>
      <w:r>
        <w:t xml:space="preserve">9.0%). The placebo-adjusted LS mean reduction from baseline in </w:t>
      </w:r>
      <w:r w:rsidR="00C86E15">
        <w:t>A1c</w:t>
      </w:r>
      <w:r>
        <w:t xml:space="preserve"> was clinically meaningful across all age groups and numerically higher in younger subjects (</w:t>
      </w:r>
      <w:r w:rsidR="00094198">
        <w:t xml:space="preserve">&lt; </w:t>
      </w:r>
      <w:r>
        <w:t xml:space="preserve">median </w:t>
      </w:r>
      <w:r w:rsidR="00CE07A4">
        <w:t>(</w:t>
      </w:r>
      <w:r>
        <w:t>59</w:t>
      </w:r>
      <w:r w:rsidR="00CE07A4">
        <w:t>)</w:t>
      </w:r>
      <w:r>
        <w:t xml:space="preserve"> or </w:t>
      </w:r>
      <w:r w:rsidR="00094198">
        <w:t xml:space="preserve">&lt; </w:t>
      </w:r>
      <w:r>
        <w:t>65 years) than older subjects (</w:t>
      </w:r>
      <w:r w:rsidR="00094198">
        <w:t xml:space="preserve">&gt; </w:t>
      </w:r>
      <w:r w:rsidR="00CE07A4">
        <w:t>median (59)</w:t>
      </w:r>
      <w:r>
        <w:t xml:space="preserve"> or </w:t>
      </w:r>
      <w:r w:rsidR="00094198">
        <w:t xml:space="preserve">&gt; </w:t>
      </w:r>
      <w:r>
        <w:t xml:space="preserve">65 years). Ertugliflozin demonstrated clinically meaningful </w:t>
      </w:r>
      <w:r w:rsidR="00C86E15">
        <w:t>A1c</w:t>
      </w:r>
      <w:r>
        <w:t xml:space="preserve"> reductions from baseline in both male subjects and female subjects. The placebo-adjusted LS mean reduction from baseline in </w:t>
      </w:r>
      <w:r w:rsidR="00C86E15">
        <w:t>A1c</w:t>
      </w:r>
      <w:r>
        <w:t xml:space="preserve"> was numerically greater in male subjects than in female subjects for both doses of ertugliflozin. The gender difference was driven by Study P006/1015. The difference cannot be explained by baseline </w:t>
      </w:r>
      <w:r w:rsidR="00C86E15">
        <w:t>A1c</w:t>
      </w:r>
      <w:r>
        <w:t xml:space="preserve"> or renal function, which did not differ between male subjects a</w:t>
      </w:r>
      <w:r w:rsidR="00CE07A4">
        <w:t xml:space="preserve">nd female subjects. The placebo </w:t>
      </w:r>
      <w:r>
        <w:t xml:space="preserve">adjusted LS mean reduction from baseline in </w:t>
      </w:r>
      <w:r w:rsidR="00C86E15">
        <w:t>A1c</w:t>
      </w:r>
      <w:r>
        <w:t xml:space="preserve"> was greater in subjects with normal renal function compared with subjects with renal impairment. At baseline, 46.5% of subjects had normal renal function (eGFR </w:t>
      </w:r>
      <w:r w:rsidR="00094198">
        <w:t xml:space="preserve">&gt; </w:t>
      </w:r>
      <w:r>
        <w:t>90 mL/min/</w:t>
      </w:r>
      <w:r w:rsidR="002629A1">
        <w:t>1.73 m</w:t>
      </w:r>
      <w:r w:rsidR="002629A1" w:rsidRPr="002629A1">
        <w:rPr>
          <w:vertAlign w:val="superscript"/>
        </w:rPr>
        <w:t>2</w:t>
      </w:r>
      <w:r>
        <w:t xml:space="preserve">), 50.5% of subjects had mild renal impairment (eGFR </w:t>
      </w:r>
      <w:r w:rsidR="00094198">
        <w:t xml:space="preserve">&gt; </w:t>
      </w:r>
      <w:r>
        <w:t xml:space="preserve">60 to </w:t>
      </w:r>
      <w:r w:rsidR="00094198">
        <w:t xml:space="preserve">&lt; </w:t>
      </w:r>
      <w:r>
        <w:t>90 mL/min/</w:t>
      </w:r>
      <w:r w:rsidR="002629A1">
        <w:t>1.73 m</w:t>
      </w:r>
      <w:r w:rsidR="002629A1" w:rsidRPr="002629A1">
        <w:rPr>
          <w:vertAlign w:val="superscript"/>
        </w:rPr>
        <w:t>2</w:t>
      </w:r>
      <w:r>
        <w:t xml:space="preserve">), and </w:t>
      </w:r>
      <w:r>
        <w:lastRenderedPageBreak/>
        <w:t xml:space="preserve">2.9% of subjects had Stage 3A CKD (eGFR </w:t>
      </w:r>
      <w:r w:rsidR="00094198">
        <w:t xml:space="preserve">&gt; </w:t>
      </w:r>
      <w:r>
        <w:t xml:space="preserve">45 to </w:t>
      </w:r>
      <w:r w:rsidR="00094198">
        <w:t xml:space="preserve">&lt; </w:t>
      </w:r>
      <w:r>
        <w:t>60 mL/min/</w:t>
      </w:r>
      <w:r w:rsidR="002629A1">
        <w:t>1.73 m</w:t>
      </w:r>
      <w:r w:rsidR="002629A1" w:rsidRPr="002629A1">
        <w:rPr>
          <w:vertAlign w:val="superscript"/>
        </w:rPr>
        <w:t>2</w:t>
      </w:r>
      <w:r>
        <w:t xml:space="preserve">) Subjects with mild renal impairment had clinically meaningful reductions in </w:t>
      </w:r>
      <w:r w:rsidR="00C86E15">
        <w:t>A1c</w:t>
      </w:r>
      <w:r>
        <w:t xml:space="preserve"> relative to placebo with both doses of ertugliflozin tested. No notable differences in placebo-adjusted responses were observed among the subgroups of race, ethnicity, geographic region, baseline BMI, and duration of T2DM</w:t>
      </w:r>
      <w:r w:rsidR="000677B1">
        <w:t>.</w:t>
      </w:r>
    </w:p>
    <w:p w:rsidR="004C620F" w:rsidRDefault="004C620F" w:rsidP="004C620F">
      <w:r>
        <w:t xml:space="preserve">The proportions of subjects meeting the </w:t>
      </w:r>
      <w:r w:rsidR="00C86E15">
        <w:t>A1c</w:t>
      </w:r>
      <w:r>
        <w:t xml:space="preserve"> goal of </w:t>
      </w:r>
      <w:r w:rsidR="00094198">
        <w:t xml:space="preserve">&lt; </w:t>
      </w:r>
      <w:r>
        <w:t xml:space="preserve">7.0% in the ertugliflozin 15 mg (39.9%) and 5 mg (33.9%) groups were greater than in the placebo group (16.3%). The odds of reaching the </w:t>
      </w:r>
      <w:r w:rsidR="00C86E15">
        <w:t>A1c</w:t>
      </w:r>
      <w:r>
        <w:t xml:space="preserve"> goal of </w:t>
      </w:r>
      <w:r w:rsidR="00094198">
        <w:t xml:space="preserve">&lt; </w:t>
      </w:r>
      <w:r>
        <w:t>7.0% at Week 26 were greater in the ertugliflozin 15 mg and 5 mg groups than in the placebo group.</w:t>
      </w:r>
    </w:p>
    <w:p w:rsidR="004C620F" w:rsidRDefault="004C620F" w:rsidP="004C620F">
      <w:r>
        <w:t xml:space="preserve">The LS mean reductions from baseline in body weight at Week 26 were greater in the ertugliflozin 15 mg and 5 mg groups than in the placebo group (difference in LS means: -1.66 kg and -1.83 kg, respectively). In general, the placebo-adjusted LS mean reductions from baseline in body weight at Week 26 were consistent across the subgroups evaluated. No notable differences were observed among the subgroups of age, gender, race, region, baseline </w:t>
      </w:r>
      <w:r w:rsidR="00C86E15">
        <w:t>A1c</w:t>
      </w:r>
      <w:r>
        <w:t xml:space="preserve">, and duration of T2DM. In the subgroup with baseline eGFR </w:t>
      </w:r>
      <w:r w:rsidR="00094198">
        <w:t xml:space="preserve">&lt; </w:t>
      </w:r>
      <w:r>
        <w:t>60 mL/min/</w:t>
      </w:r>
      <w:r w:rsidR="002629A1">
        <w:t>1.73 m</w:t>
      </w:r>
      <w:r w:rsidR="002629A1" w:rsidRPr="002629A1">
        <w:rPr>
          <w:vertAlign w:val="superscript"/>
        </w:rPr>
        <w:t>2</w:t>
      </w:r>
      <w:r>
        <w:t>, smaller reductions from baseline in body weight were observed, as expected based on the mechanism of action.</w:t>
      </w:r>
    </w:p>
    <w:p w:rsidR="004C620F" w:rsidRDefault="004C620F" w:rsidP="000677B1">
      <w:pPr>
        <w:pStyle w:val="Heading3"/>
      </w:pPr>
      <w:bookmarkStart w:id="60" w:name="_Toc4571208"/>
      <w:r>
        <w:t>Evaluator’s conclusions on clinical efficacy</w:t>
      </w:r>
      <w:bookmarkEnd w:id="60"/>
    </w:p>
    <w:p w:rsidR="00255E9C" w:rsidRDefault="004C620F" w:rsidP="004C620F">
      <w:r>
        <w:t xml:space="preserve">Seven </w:t>
      </w:r>
      <w:r w:rsidR="0034721C">
        <w:t>Phase III</w:t>
      </w:r>
      <w:r>
        <w:t xml:space="preserve"> studies support the initial regulatory submission for ertugliflozin alone. Four of the 7 </w:t>
      </w:r>
      <w:r w:rsidR="0034721C">
        <w:t>Phase III</w:t>
      </w:r>
      <w:r>
        <w:t xml:space="preserve"> studies were submitted to support the ertugliflozin/metformin FDC submission, including 2 active-controlled studies (Studies P005/1019 and Study P002/1013) and 2 placebo</w:t>
      </w:r>
      <w:r w:rsidR="000677B1">
        <w:t xml:space="preserve"> </w:t>
      </w:r>
      <w:r>
        <w:t>controlled studies (Studies P006/1015 and P007/1017) that evaluated the safety and efficacy of ertugliflozin in combination with metformin in 3643 adult subjects with T2DM. Efficacy data were pooled for the 2 placebo-controlled studies to assess efficacy on a background of metformin (</w:t>
      </w:r>
      <w:r w:rsidR="000677B1">
        <w:t>ertugliflozin/metformin</w:t>
      </w:r>
      <w:r>
        <w:t xml:space="preserve"> FDC Pool)</w:t>
      </w:r>
      <w:r w:rsidR="00255E9C">
        <w:t>.</w:t>
      </w:r>
    </w:p>
    <w:p w:rsidR="004C620F" w:rsidRDefault="004C620F" w:rsidP="004C620F">
      <w:r>
        <w:t xml:space="preserve">No </w:t>
      </w:r>
      <w:r w:rsidR="0034721C">
        <w:t>Phase III</w:t>
      </w:r>
      <w:r>
        <w:t xml:space="preserve"> studies have been performed with the proposed ertugliflozin/metformin FDC tablet</w:t>
      </w:r>
      <w:r w:rsidR="000677B1">
        <w:t>.</w:t>
      </w:r>
      <w:r>
        <w:t xml:space="preserve"> The studied doses of the FDC tablets (ertugliflozin 7.5 mg/metformin 1000 mg, ertugliflozin 7.5 mg/metformin 850 mg and ertugliflozin 2.5 mg/metformin 500 mg) are bioequivalent under fasted conditions to the corresponding doses of ertugliflozin and metformin tablets (US or EU</w:t>
      </w:r>
      <w:r w:rsidR="000677B1">
        <w:t xml:space="preserve"> </w:t>
      </w:r>
      <w:r>
        <w:t>sourced Glucophage) when co-administered. The metformin component of the studied doses of the FDC tablets (ertugliflozin 7.5 mg/metformin 850 mg and ertugliflozin 2.5 mg/metformin 500 mg) is also bioequivalent to the corresponding doses of metformin tablets (Canadian</w:t>
      </w:r>
      <w:r w:rsidR="000677B1">
        <w:t xml:space="preserve"> </w:t>
      </w:r>
      <w:r>
        <w:t xml:space="preserve">sourced Glucophage) when co-administered with corresponding doses of ertugliflozin tablets under fasted and fed conditions. These clinical data, along with the in vitro multi-media dissolution data, support the bridging of pharmacokinetic, pharmacodynamic, efficacy and safety data obtained in the </w:t>
      </w:r>
      <w:r w:rsidR="0034721C">
        <w:t>Phase III</w:t>
      </w:r>
      <w:r>
        <w:t xml:space="preserve"> studies to the proposed FDC commercial tablets. Hence, data obtained from the 4 </w:t>
      </w:r>
      <w:r w:rsidR="0034721C">
        <w:t>Phase III</w:t>
      </w:r>
      <w:r>
        <w:t xml:space="preserve"> studies (</w:t>
      </w:r>
      <w:r w:rsidR="00487BB8">
        <w:t xml:space="preserve">Studies </w:t>
      </w:r>
      <w:r>
        <w:t>P006/1015, P007/1017, P002/1013 and P005/1019) that assessed the use of ertugliflozin on a background of metformin (</w:t>
      </w:r>
      <w:r w:rsidR="00E900A0">
        <w:t xml:space="preserve">≥ </w:t>
      </w:r>
      <w:r>
        <w:t>1500 mg/day) can be bridged to the FDC tablet based on established bioequivalence.</w:t>
      </w:r>
    </w:p>
    <w:p w:rsidR="004C620F" w:rsidRDefault="004C620F" w:rsidP="004C620F">
      <w:r>
        <w:t xml:space="preserve">The 4 pivotal </w:t>
      </w:r>
      <w:r w:rsidR="0034721C">
        <w:t>Phase III</w:t>
      </w:r>
      <w:r>
        <w:t xml:space="preserve"> studies included in this submission consisted of an initial 26 or 52</w:t>
      </w:r>
      <w:r w:rsidR="000677B1">
        <w:t xml:space="preserve"> </w:t>
      </w:r>
      <w:r>
        <w:t xml:space="preserve">week treatment phase (referred to as Phase A). This key phase is completed for all of these </w:t>
      </w:r>
      <w:r w:rsidR="0034721C">
        <w:t>Phase III</w:t>
      </w:r>
      <w:r>
        <w:t xml:space="preserve"> studies, and is the focus of the efficacy results in this submission. To allow for long-term assessments of safety data, these 4 </w:t>
      </w:r>
      <w:r w:rsidR="0034721C">
        <w:t>Phase III</w:t>
      </w:r>
      <w:r>
        <w:t xml:space="preserve"> studies included a 26, 52</w:t>
      </w:r>
      <w:r w:rsidR="000677B1">
        <w:t xml:space="preserve"> or 78 </w:t>
      </w:r>
      <w:r>
        <w:t>week, blinded</w:t>
      </w:r>
      <w:r w:rsidR="00CE07A4">
        <w:t xml:space="preserve"> (to site and subject), placebo or active </w:t>
      </w:r>
      <w:r>
        <w:t>controlled extension phase (Phase B). All Phase B extensions are either ongoing or have completed dosing without final analyses available at the time of this submission.</w:t>
      </w:r>
    </w:p>
    <w:p w:rsidR="004C620F" w:rsidRDefault="004C620F" w:rsidP="004C620F">
      <w:r>
        <w:t xml:space="preserve">A total of 3643 subjects were randomised in the 4 </w:t>
      </w:r>
      <w:r w:rsidR="0034721C">
        <w:t>Phase III</w:t>
      </w:r>
      <w:r>
        <w:t xml:space="preserve"> studies in support of this submission, including 2597 who received ertugliflozin in combination with metformin. </w:t>
      </w:r>
      <w:r>
        <w:lastRenderedPageBreak/>
        <w:t xml:space="preserve">Demographic and baseline characteristics were similar across the 2 studies included in the </w:t>
      </w:r>
      <w:r w:rsidR="000677B1">
        <w:t>ertugliflozin/metformin</w:t>
      </w:r>
      <w:r>
        <w:t xml:space="preserve"> FDC Pool (Studies P007/1017 and P006/1015) and was representative of the target patient population for the proposed ertugliflozin+metformin FDC (46-57% males, mean age</w:t>
      </w:r>
      <w:r w:rsidR="00CE07A4">
        <w:t xml:space="preserve"> of 55-59 years, mean BMI of 31 to </w:t>
      </w:r>
      <w:r>
        <w:t>32kg/m</w:t>
      </w:r>
      <w:r w:rsidRPr="00983B62">
        <w:rPr>
          <w:vertAlign w:val="superscript"/>
        </w:rPr>
        <w:t>2</w:t>
      </w:r>
      <w:r>
        <w:t>), mean d</w:t>
      </w:r>
      <w:r w:rsidR="00CE07A4">
        <w:t>uration of diabetes of 7 to 9.5 </w:t>
      </w:r>
      <w:r>
        <w:t xml:space="preserve">years, mean baseline </w:t>
      </w:r>
      <w:r w:rsidR="00C86E15">
        <w:t>A1c</w:t>
      </w:r>
      <w:r>
        <w:t xml:space="preserve"> of 7.8% to 8.6% and mean baseline eGFR of 87 to 92</w:t>
      </w:r>
      <w:r w:rsidR="00CE07A4">
        <w:t> </w:t>
      </w:r>
      <w:r>
        <w:t>mL/min/1.73m</w:t>
      </w:r>
      <w:r w:rsidRPr="00983B62">
        <w:rPr>
          <w:vertAlign w:val="superscript"/>
        </w:rPr>
        <w:t>2</w:t>
      </w:r>
      <w:r>
        <w:t>).</w:t>
      </w:r>
    </w:p>
    <w:p w:rsidR="004C620F" w:rsidRDefault="004C620F" w:rsidP="004C620F">
      <w:r>
        <w:t>Ertugliflozin 15 mg and 5 mg as add-on to metformin (alone or in combination with sitagliptin) provides clinically meaningful improvements in glycaemic control (</w:t>
      </w:r>
      <w:r w:rsidR="00C86E15">
        <w:t>A1c</w:t>
      </w:r>
      <w:r w:rsidR="00EF7D1E">
        <w:t>;</w:t>
      </w:r>
      <w:r>
        <w:t xml:space="preserve"> proportion with </w:t>
      </w:r>
      <w:r w:rsidR="00C86E15">
        <w:t>A1c</w:t>
      </w:r>
      <w:r>
        <w:t xml:space="preserve"> </w:t>
      </w:r>
      <w:r w:rsidR="00CE07A4">
        <w:t xml:space="preserve">&lt; 7.0%, FPG, 2 </w:t>
      </w:r>
      <w:r>
        <w:t xml:space="preserve">hour PPG) as well as body weight reduction and SBP reduction in subjects with T2DM. Ertugliflozin 15 mg plus metformin provides non-inferior </w:t>
      </w:r>
      <w:r w:rsidR="00C86E15">
        <w:t>A1c</w:t>
      </w:r>
      <w:r>
        <w:t xml:space="preserve"> reduction compared to glimepiride plus metformin.</w:t>
      </w:r>
    </w:p>
    <w:p w:rsidR="004C620F" w:rsidRDefault="004C620F" w:rsidP="004C620F">
      <w:r>
        <w:t xml:space="preserve">Treatment with ertugliflozin 15 mg and 5 mg, compared with placebo, resulted in significant and clinically meaningful reductions from baseline in </w:t>
      </w:r>
      <w:r w:rsidR="00C86E15">
        <w:t>A1c</w:t>
      </w:r>
      <w:r>
        <w:t xml:space="preserve"> and FPG at Week 26, as add-on therapy to metformin (Study P007/1017; add-on to metformin study), and as add-on therapy to metformin plus sitagliptin (Study P006/1015; add-on to metformin plus sitagliptin study). In both of these studies, treatment with ertugliflozin (both doses) added to metformin resulted in a higher proportion of subjects meeting the glycaemic goal of </w:t>
      </w:r>
      <w:r w:rsidR="00C86E15">
        <w:t>A1c</w:t>
      </w:r>
      <w:r>
        <w:t xml:space="preserve"> </w:t>
      </w:r>
      <w:r w:rsidR="00094198">
        <w:t xml:space="preserve">&lt; </w:t>
      </w:r>
      <w:r>
        <w:t>7.0% (</w:t>
      </w:r>
      <w:r w:rsidR="00094198">
        <w:t xml:space="preserve">&lt; </w:t>
      </w:r>
      <w:r>
        <w:t>53 mmol/mol). In both the add-on to metformin study (Study P007/1017) and the add-on to metformin and sitagliptin study (Study P006/1015), treatment with both doses of ertugliflozin as add-on to metformin resulted in significant reductions from baseline in body weight and SBP at Week 26, compared with placebo. Significant reductions from baseline in diastolic blood pressure (DBP) were observed in Study P007/1017.</w:t>
      </w:r>
    </w:p>
    <w:p w:rsidR="004C620F" w:rsidRDefault="004C620F" w:rsidP="004C620F">
      <w:r>
        <w:t>Efficacy of combination of ertugliflozin and metformin was also evaluated using pooled data from 2 placebo</w:t>
      </w:r>
      <w:r w:rsidR="00983B62">
        <w:t xml:space="preserve"> </w:t>
      </w:r>
      <w:r>
        <w:t xml:space="preserve">controlled studies: Studies P007/1017 (add-on to metformin study) and P006/1015 (add-on to metformin plus sitagliptin study). The reductions from baseline in </w:t>
      </w:r>
      <w:r w:rsidR="00C86E15">
        <w:t>A1c</w:t>
      </w:r>
      <w:r>
        <w:t xml:space="preserve"> and body weight, and the proportions of subjects meeting the </w:t>
      </w:r>
      <w:r w:rsidR="00C86E15">
        <w:t>A1c</w:t>
      </w:r>
      <w:r>
        <w:t xml:space="preserve"> goal of </w:t>
      </w:r>
      <w:r w:rsidR="00094198">
        <w:t xml:space="preserve">&lt; </w:t>
      </w:r>
      <w:r>
        <w:t xml:space="preserve">7.0% in the pool were greater in the ertugliflozin groups compared to the placebo group. In subgroup analyses of the pool, the addition of treatment with ertugliflozin 15 mg and 5 mg to metformin therapy resulted in a reduction from baseline in </w:t>
      </w:r>
      <w:r w:rsidR="00C86E15">
        <w:t>A1c</w:t>
      </w:r>
      <w:r>
        <w:t xml:space="preserve"> and body weight compared with placebo across subgroups including age, gender, race, geographic region, baseline body mass index (BMI), and duration of T2DM.</w:t>
      </w:r>
    </w:p>
    <w:p w:rsidR="00983B62" w:rsidRDefault="004C620F" w:rsidP="00983B62">
      <w:pPr>
        <w:pStyle w:val="Heading4"/>
      </w:pPr>
      <w:r>
        <w:t>Dose-response</w:t>
      </w:r>
    </w:p>
    <w:p w:rsidR="004C620F" w:rsidRDefault="004C620F" w:rsidP="004C620F">
      <w:r>
        <w:t xml:space="preserve">Both ertugliflozin 15 mg and 5 mg have demonstrated clinical efficacy in the </w:t>
      </w:r>
      <w:r w:rsidR="0034721C">
        <w:t>Phase III</w:t>
      </w:r>
      <w:r>
        <w:t xml:space="preserve"> studies when dosed in combination with metformin. Although the studies were not powered or designed to detect between-dose differences, the </w:t>
      </w:r>
      <w:r w:rsidR="00C86E15">
        <w:t>A1c</w:t>
      </w:r>
      <w:r>
        <w:t xml:space="preserve"> reductions from baseline were numerically greater for ertugliflozin 15 mg compared to 5 mg in all 4 studies and the pooled analysis. In the pooled analysis ertugliflozin 15 mg provided a numerically greater reduction in </w:t>
      </w:r>
      <w:r w:rsidR="00C86E15">
        <w:t>A1c</w:t>
      </w:r>
      <w:r>
        <w:t xml:space="preserve"> (approximately 0.14%) compare</w:t>
      </w:r>
      <w:r w:rsidR="00CE07A4">
        <w:t xml:space="preserve">d to ertugliflozin 5 mg. A dose </w:t>
      </w:r>
      <w:r>
        <w:t xml:space="preserve">response model was used to support predictions of the efficacy of the 2 ertugliflozin doses for a typical patient on metformin background therapy. The predictions suggest that ertugliflozin 15 mg provides approximately 0.1% greater </w:t>
      </w:r>
      <w:r w:rsidR="00C86E15">
        <w:t>A1c</w:t>
      </w:r>
      <w:r>
        <w:t xml:space="preserve"> reduction compared to ertugliflozin 5 mg.</w:t>
      </w:r>
    </w:p>
    <w:p w:rsidR="004C620F" w:rsidRDefault="004C620F" w:rsidP="004C620F">
      <w:r>
        <w:t xml:space="preserve">In all four </w:t>
      </w:r>
      <w:r w:rsidR="0034721C">
        <w:t>Phase III</w:t>
      </w:r>
      <w:r>
        <w:t xml:space="preserve"> studies, a numerically greater proportion of subjects reached </w:t>
      </w:r>
      <w:r w:rsidR="00C86E15">
        <w:t>A1c</w:t>
      </w:r>
      <w:r>
        <w:t xml:space="preserve"> </w:t>
      </w:r>
      <w:r w:rsidR="00094198">
        <w:t xml:space="preserve">&lt; </w:t>
      </w:r>
      <w:r>
        <w:t>7.0% with ertugliflozin 15 mg compared with 5 mg.</w:t>
      </w:r>
    </w:p>
    <w:p w:rsidR="004C620F" w:rsidRDefault="004C620F" w:rsidP="004C620F">
      <w:r>
        <w:t xml:space="preserve">A numerically greater reduction from baseline in body weight with ertugliflozin 15 mg compared to ertugliflozin 5 mg was observed in 2 of the four </w:t>
      </w:r>
      <w:r w:rsidR="0034721C">
        <w:t>Phase III</w:t>
      </w:r>
      <w:r>
        <w:t xml:space="preserve"> studies, but was not observed in the pooled analysis.</w:t>
      </w:r>
    </w:p>
    <w:p w:rsidR="004C620F" w:rsidRDefault="004C620F" w:rsidP="004C620F">
      <w:r>
        <w:t xml:space="preserve">A numerically greater reduction from baseline in SBP with ertugliflozin 15 mg compared to ertugliflozin 5 mg was observed in 3 of the 4 of the </w:t>
      </w:r>
      <w:r w:rsidR="0034721C">
        <w:t>Phase III</w:t>
      </w:r>
      <w:r>
        <w:t xml:space="preserve"> studies.</w:t>
      </w:r>
    </w:p>
    <w:p w:rsidR="004C620F" w:rsidRDefault="004A6901" w:rsidP="004C620F">
      <w:r w:rsidRPr="00DA242E">
        <w:rPr>
          <w:i/>
        </w:rPr>
        <w:lastRenderedPageBreak/>
        <w:t>Persistence of efficacy and/or tolerance effects</w:t>
      </w:r>
      <w:r w:rsidR="004C620F">
        <w:t xml:space="preserve">: The persistence of efficacy of metformin has been demonstrated in clinical practice as well as in the literature. For example, in the A Diabetes Outcome Progression Trial, although the glycaemic control with metformin monotherapy gradually deteriorated in the course of 5 years of observation, consistent with the natural progression of the disease, it was generally sustained in the first 2 or 3 years with treatment failure below 10%. Ertugliflozin used as add-on to metformin has been shown to deliver efficacy in </w:t>
      </w:r>
      <w:r w:rsidR="00C86E15">
        <w:t>A1c</w:t>
      </w:r>
      <w:r w:rsidR="004C620F">
        <w:t xml:space="preserve"> lowering over a period of 26 weeks; 3 different studies (Studies</w:t>
      </w:r>
      <w:r>
        <w:t> </w:t>
      </w:r>
      <w:r w:rsidR="004C620F">
        <w:t>P007/1017, P005/1019, and P006/1015) demonstrated sustained clinically meaningfu</w:t>
      </w:r>
      <w:r w:rsidR="00CE07A4">
        <w:t>l efficacy up to 26 weeks and 1 </w:t>
      </w:r>
      <w:r w:rsidR="004C620F">
        <w:t>study (Study P002/1013) demonstrated non-inferiority for ertugliflozin 15 mg compared to SU add-on to metformin up to 52 weeks. Stable lowering of FPG was also observed over the same study periods.</w:t>
      </w:r>
    </w:p>
    <w:p w:rsidR="004C620F" w:rsidRDefault="004C620F" w:rsidP="00983B62">
      <w:pPr>
        <w:pStyle w:val="Heading4"/>
      </w:pPr>
      <w:r>
        <w:t>Limitations</w:t>
      </w:r>
    </w:p>
    <w:p w:rsidR="00255E9C" w:rsidRDefault="004C620F" w:rsidP="00983B62">
      <w:pPr>
        <w:pStyle w:val="ListBullet"/>
      </w:pPr>
      <w:r>
        <w:t>The clinical efficacy of once daily</w:t>
      </w:r>
      <w:r w:rsidR="00F31E83">
        <w:t xml:space="preserve"> versus </w:t>
      </w:r>
      <w:r>
        <w:t xml:space="preserve">twice daily dosing of ertugliflozin was not evaluated. Bridging data was provided by a </w:t>
      </w:r>
      <w:r w:rsidR="0034721C">
        <w:t>Phase I</w:t>
      </w:r>
      <w:r>
        <w:t xml:space="preserve"> study</w:t>
      </w:r>
      <w:r w:rsidR="00255E9C">
        <w:t>.</w:t>
      </w:r>
    </w:p>
    <w:p w:rsidR="004C620F" w:rsidRDefault="00983B62" w:rsidP="00983B62">
      <w:pPr>
        <w:pStyle w:val="ListBullet"/>
      </w:pPr>
      <w:r>
        <w:t>L</w:t>
      </w:r>
      <w:r w:rsidR="004C620F">
        <w:t>ack of adequate evidence to support long term efficacy (beyond 26 weeks) of co-administration of ertugliflozin+ metformin.</w:t>
      </w:r>
    </w:p>
    <w:p w:rsidR="004C620F" w:rsidRDefault="00983B62" w:rsidP="00983B62">
      <w:pPr>
        <w:pStyle w:val="ListBullet"/>
      </w:pPr>
      <w:r>
        <w:t>L</w:t>
      </w:r>
      <w:r w:rsidR="004C620F">
        <w:t xml:space="preserve">ack of adequate data to support use of ertugliflozin+metformin along with other antihyperglycaemic agents such as insulin, sulphonylureas, thiazolidiones and GLP-1 analogues. Only data available was with sitagliptin. This has not been adequately clarified by sponsors in </w:t>
      </w:r>
      <w:r>
        <w:t xml:space="preserve">the draft </w:t>
      </w:r>
      <w:r w:rsidR="004C620F">
        <w:t>PI.</w:t>
      </w:r>
    </w:p>
    <w:p w:rsidR="004C620F" w:rsidRPr="00983B62" w:rsidRDefault="00983B62" w:rsidP="00983B62">
      <w:pPr>
        <w:pStyle w:val="Heading2"/>
      </w:pPr>
      <w:bookmarkStart w:id="61" w:name="_Toc4571209"/>
      <w:r w:rsidRPr="00983B62">
        <w:rPr>
          <w:rStyle w:val="Heading2Char"/>
          <w:b/>
          <w:bCs/>
        </w:rPr>
        <w:t>Clinical safety</w:t>
      </w:r>
      <w:bookmarkEnd w:id="61"/>
    </w:p>
    <w:p w:rsidR="004C620F" w:rsidRDefault="004C620F" w:rsidP="00983B62">
      <w:pPr>
        <w:pStyle w:val="Heading3"/>
      </w:pPr>
      <w:bookmarkStart w:id="62" w:name="_Toc4571210"/>
      <w:r>
        <w:t>Studies providing evaluable safety data</w:t>
      </w:r>
      <w:bookmarkEnd w:id="62"/>
    </w:p>
    <w:p w:rsidR="004C620F" w:rsidRDefault="004C620F" w:rsidP="004C620F">
      <w:r>
        <w:t xml:space="preserve">The 4 pivotal </w:t>
      </w:r>
      <w:r w:rsidR="0034721C">
        <w:t>Phase III</w:t>
      </w:r>
      <w:r>
        <w:t xml:space="preserve"> studies from the ertugliflozin development program which provided the main safety data for the proposed ertugliflozin-metformin FDC are summarised in Table </w:t>
      </w:r>
      <w:r w:rsidR="00E900A0">
        <w:t>12</w:t>
      </w:r>
      <w:r>
        <w:t>.</w:t>
      </w:r>
    </w:p>
    <w:p w:rsidR="00E900A0" w:rsidRDefault="00E900A0" w:rsidP="00E900A0">
      <w:pPr>
        <w:pStyle w:val="Tabletitle"/>
      </w:pPr>
      <w:bookmarkStart w:id="63" w:name="_Ref493835676"/>
      <w:bookmarkStart w:id="64" w:name="_Toc504037422"/>
      <w:r>
        <w:t xml:space="preserve">Table 12: Phase III </w:t>
      </w:r>
      <w:r w:rsidR="004A6901">
        <w:t xml:space="preserve">clinical </w:t>
      </w:r>
      <w:r>
        <w:t>studies supporting the ertugliflozin / metformin FDC</w:t>
      </w:r>
      <w:bookmarkEnd w:id="63"/>
      <w:bookmarkEnd w:id="64"/>
    </w:p>
    <w:p w:rsidR="00E900A0" w:rsidRDefault="00E900A0" w:rsidP="001A3507">
      <w:r>
        <w:rPr>
          <w:noProof/>
          <w:lang w:eastAsia="en-AU"/>
        </w:rPr>
        <w:drawing>
          <wp:inline distT="0" distB="0" distL="0" distR="0" wp14:anchorId="0287A168" wp14:editId="2847B89F">
            <wp:extent cx="5184475" cy="2944678"/>
            <wp:effectExtent l="19050" t="19050" r="16510" b="27305"/>
            <wp:docPr id="85" name="Picture 85" descr="Phase III clinical studies supporting the ertugliflozin / metformin 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l="239" r="-239" b="1123"/>
                    <a:stretch/>
                  </pic:blipFill>
                  <pic:spPr bwMode="auto">
                    <a:xfrm>
                      <a:off x="0" y="0"/>
                      <a:ext cx="5235515" cy="2973668"/>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C620F" w:rsidRDefault="004C620F" w:rsidP="004C620F">
      <w:r>
        <w:t xml:space="preserve">For all of the </w:t>
      </w:r>
      <w:r w:rsidR="0034721C">
        <w:t>Phase III</w:t>
      </w:r>
      <w:r>
        <w:t xml:space="preserve"> studies, for the purposes of the pooled analyses, safety evaluations included the collection of AEs, laboratory tests (haematology, chemistry, and urinalysis), sitting </w:t>
      </w:r>
      <w:r>
        <w:lastRenderedPageBreak/>
        <w:t xml:space="preserve">blood pressure, orthostatic blood pressure (supine to standing), pulse rate (sitting), centrally-read 12-lead ECGs, and self-monitored blood glucose. For the </w:t>
      </w:r>
      <w:r w:rsidR="000677B1">
        <w:t>ertugliflozin/metformin</w:t>
      </w:r>
      <w:r>
        <w:t xml:space="preserve"> Pool, the most recent version of MedDRA (Version 19.0) was used to build the hierarchical structure of AE encoding. As a result of periodic MedDRA updates, the AE encoding in the </w:t>
      </w:r>
      <w:r w:rsidR="000677B1">
        <w:t>ertugliflozin/metformin</w:t>
      </w:r>
      <w:r>
        <w:t xml:space="preserve"> Pool was different from the adverse event encoding used in the </w:t>
      </w:r>
      <w:r w:rsidR="0034721C">
        <w:t>Phase III</w:t>
      </w:r>
      <w:r>
        <w:t xml:space="preserve"> CSRs. For the individual studies, Version 18.1 of MedDRA was used for AE term encoding, which was current at the time of database lock for data included in this submission. The analysis strategy for safety parameters in the </w:t>
      </w:r>
      <w:r w:rsidR="00E900A0" w:rsidRPr="00E900A0">
        <w:t>ertugliflozin/</w:t>
      </w:r>
      <w:r w:rsidR="00EF7D1E" w:rsidRPr="00E900A0">
        <w:t>metformin</w:t>
      </w:r>
      <w:r w:rsidR="00EF7D1E">
        <w:t xml:space="preserve"> Pool</w:t>
      </w:r>
      <w:r>
        <w:t xml:space="preserve"> are summarised in Table</w:t>
      </w:r>
      <w:r w:rsidR="00E900A0">
        <w:t xml:space="preserve"> 13</w:t>
      </w:r>
      <w:r>
        <w:t>.</w:t>
      </w:r>
    </w:p>
    <w:p w:rsidR="00E900A0" w:rsidRDefault="00E900A0" w:rsidP="00E900A0">
      <w:pPr>
        <w:pStyle w:val="Tabletitle"/>
      </w:pPr>
      <w:bookmarkStart w:id="65" w:name="_Ref493835678"/>
      <w:bookmarkStart w:id="66" w:name="_Toc504037423"/>
      <w:r>
        <w:t>Table 13: Analysis strategy for safety parameters in the ertugliflozin / metformin pool</w:t>
      </w:r>
      <w:bookmarkEnd w:id="65"/>
      <w:bookmarkEnd w:id="66"/>
    </w:p>
    <w:p w:rsidR="00E900A0" w:rsidRDefault="00E900A0" w:rsidP="00E900A0">
      <w:r>
        <w:rPr>
          <w:noProof/>
          <w:lang w:eastAsia="en-AU"/>
        </w:rPr>
        <w:drawing>
          <wp:inline distT="0" distB="0" distL="0" distR="0" wp14:anchorId="17FAEAFB" wp14:editId="10154E8B">
            <wp:extent cx="4471261" cy="2767519"/>
            <wp:effectExtent l="0" t="0" r="5715" b="0"/>
            <wp:docPr id="86" name="Picture 86" descr="Analysis strategy for safety parameters in the ertugliflozin / metformin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4469432" cy="2766387"/>
                    </a:xfrm>
                    <a:prstGeom prst="rect">
                      <a:avLst/>
                    </a:prstGeom>
                    <a:noFill/>
                    <a:ln>
                      <a:noFill/>
                    </a:ln>
                  </pic:spPr>
                </pic:pic>
              </a:graphicData>
            </a:graphic>
          </wp:inline>
        </w:drawing>
      </w:r>
    </w:p>
    <w:p w:rsidR="004C620F" w:rsidRDefault="004C620F" w:rsidP="00E900A0">
      <w:pPr>
        <w:pStyle w:val="Comment"/>
      </w:pPr>
      <w:r w:rsidRPr="00E900A0">
        <w:rPr>
          <w:b/>
        </w:rPr>
        <w:t>Comment</w:t>
      </w:r>
      <w:r w:rsidR="00A03C19">
        <w:t xml:space="preserve">: </w:t>
      </w:r>
      <w:r>
        <w:t xml:space="preserve">No </w:t>
      </w:r>
      <w:r w:rsidR="0034721C">
        <w:t>Phase III</w:t>
      </w:r>
      <w:r>
        <w:t xml:space="preserve"> studies have been performed with the proposed ertugliflozin/metformin FDC tablet; however, data obtained from the 4 </w:t>
      </w:r>
      <w:r w:rsidR="0034721C">
        <w:t>Phase III</w:t>
      </w:r>
      <w:r>
        <w:t xml:space="preserve"> studies (</w:t>
      </w:r>
      <w:r w:rsidR="002E1F39">
        <w:t xml:space="preserve">Studies </w:t>
      </w:r>
      <w:r>
        <w:t>P006/1015, P007/1017, P002/1013 and P005/1019), that assessed the use of ertugliflozin on a background of metformin (</w:t>
      </w:r>
      <w:r w:rsidR="00E900A0">
        <w:t xml:space="preserve">≥ </w:t>
      </w:r>
      <w:r>
        <w:t>1500 mg/day) can be bridged to the FDC tablet based on established bioequivalence. Two of the studies (</w:t>
      </w:r>
      <w:r w:rsidR="002E1F39">
        <w:t xml:space="preserve">Studies </w:t>
      </w:r>
      <w:r>
        <w:t>P006/1015 and P007/1017) were placebo-controlled and had a common study design that allowed the data to be pooled (</w:t>
      </w:r>
      <w:r w:rsidR="000677B1">
        <w:t>ertugliflozin/metformin</w:t>
      </w:r>
      <w:r>
        <w:t xml:space="preserve"> Pool) for review of safety.</w:t>
      </w:r>
    </w:p>
    <w:p w:rsidR="004C620F" w:rsidRDefault="004C620F" w:rsidP="00E900A0">
      <w:pPr>
        <w:pStyle w:val="Heading4"/>
      </w:pPr>
      <w:r>
        <w:t>Pivotal studies that assessed safety as the sole primary outcome</w:t>
      </w:r>
    </w:p>
    <w:p w:rsidR="004C620F" w:rsidRDefault="004C620F" w:rsidP="004C620F">
      <w:r>
        <w:t>None.</w:t>
      </w:r>
    </w:p>
    <w:p w:rsidR="004C620F" w:rsidRDefault="004C620F" w:rsidP="00E900A0">
      <w:pPr>
        <w:pStyle w:val="Heading4"/>
      </w:pPr>
      <w:r>
        <w:t>Pivotal and/or main efficacy studies</w:t>
      </w:r>
    </w:p>
    <w:p w:rsidR="004C620F" w:rsidRDefault="004C620F" w:rsidP="004C620F">
      <w:r>
        <w:t xml:space="preserve">The 4 pivotal </w:t>
      </w:r>
      <w:r w:rsidR="0034721C">
        <w:t>Phase III</w:t>
      </w:r>
      <w:r>
        <w:t xml:space="preserve"> studies from the ertugliflozin development program which provided the main safety data for the proposed ertugliflozin-metformin FDC are summarised in Table </w:t>
      </w:r>
      <w:r w:rsidR="00E900A0">
        <w:t>12</w:t>
      </w:r>
      <w:r>
        <w:t>.</w:t>
      </w:r>
    </w:p>
    <w:p w:rsidR="004C620F" w:rsidRDefault="004C620F" w:rsidP="00E900A0">
      <w:pPr>
        <w:pStyle w:val="Heading4"/>
      </w:pPr>
      <w:r>
        <w:t>Studies that assessed safety as the sole primary outcome</w:t>
      </w:r>
    </w:p>
    <w:p w:rsidR="004C620F" w:rsidRDefault="004C620F" w:rsidP="004C620F">
      <w:r>
        <w:t>None.</w:t>
      </w:r>
    </w:p>
    <w:p w:rsidR="004C620F" w:rsidRDefault="004C620F" w:rsidP="00E900A0">
      <w:pPr>
        <w:pStyle w:val="Heading3"/>
      </w:pPr>
      <w:bookmarkStart w:id="67" w:name="_Toc4571211"/>
      <w:r>
        <w:t>Patient exposure</w:t>
      </w:r>
      <w:bookmarkEnd w:id="67"/>
    </w:p>
    <w:p w:rsidR="004C620F" w:rsidRDefault="004C620F" w:rsidP="004C620F">
      <w:r>
        <w:t xml:space="preserve">The </w:t>
      </w:r>
      <w:r w:rsidR="000677B1">
        <w:t>ertugliflozin/metformin</w:t>
      </w:r>
      <w:r>
        <w:t xml:space="preserve"> Pool includes 1083 subjects who were randomised and received at least 1 dose of study medication; 363, 358 and 362 received ertug</w:t>
      </w:r>
      <w:r w:rsidR="00A03C19">
        <w:t>liflozin 5 mg, ertugliflozin 15 </w:t>
      </w:r>
      <w:r>
        <w:t xml:space="preserve">mg and placebo, respectively. The mean observation period on study medication was similar in the ertugliflozin 5 mg and 15 mg groups (177.7 days and 174.2 days, respectively) and the placebo group (174.4 days), with 665 subjects receiving ertugliflozin in combination with </w:t>
      </w:r>
      <w:r>
        <w:lastRenderedPageBreak/>
        <w:t xml:space="preserve">metformin for </w:t>
      </w:r>
      <w:r w:rsidR="00094198">
        <w:t xml:space="preserve">&gt; </w:t>
      </w:r>
      <w:r>
        <w:t xml:space="preserve">26 weeks (Table </w:t>
      </w:r>
      <w:r w:rsidR="000D5028">
        <w:t>14</w:t>
      </w:r>
      <w:r>
        <w:t xml:space="preserve">). The proportion of subjects who discontinued study medication within 26 weeks was numerically lower in the ertugliflozin 5 mg and 15 mg groups (5.2% and 7.8%, respectively) compared to the placebo group (8.6%). The most common reason for discontinuation in all groups was withdrawal by subject (Table </w:t>
      </w:r>
      <w:r w:rsidR="000D5028">
        <w:t>15</w:t>
      </w:r>
      <w:r>
        <w:t>). Demographic and baseline characteristics were generally similar across groups</w:t>
      </w:r>
      <w:r w:rsidR="000D5028">
        <w:t>.</w:t>
      </w:r>
    </w:p>
    <w:p w:rsidR="000D5028" w:rsidRDefault="000D5028" w:rsidP="000D5028">
      <w:pPr>
        <w:pStyle w:val="Tabletitle"/>
      </w:pPr>
      <w:bookmarkStart w:id="68" w:name="_Toc504037424"/>
      <w:bookmarkStart w:id="69" w:name="_Ref493835713"/>
      <w:r>
        <w:t xml:space="preserve">Table 13: Observation </w:t>
      </w:r>
      <w:r w:rsidR="002E1F39">
        <w:t xml:space="preserve">period </w:t>
      </w:r>
      <w:r>
        <w:t>on study medication</w:t>
      </w:r>
      <w:r w:rsidR="002E1F39">
        <w:t>;</w:t>
      </w:r>
      <w:r>
        <w:t xml:space="preserve"> All subjects as treated</w:t>
      </w:r>
      <w:bookmarkEnd w:id="68"/>
      <w:bookmarkEnd w:id="69"/>
    </w:p>
    <w:p w:rsidR="000D5028" w:rsidRDefault="000D5028" w:rsidP="000D5028">
      <w:pPr>
        <w:pStyle w:val="Tabletitle"/>
        <w:keepNext w:val="0"/>
      </w:pPr>
      <w:r>
        <w:rPr>
          <w:noProof/>
          <w:lang w:eastAsia="en-AU"/>
        </w:rPr>
        <w:drawing>
          <wp:inline distT="0" distB="0" distL="0" distR="0" wp14:anchorId="1C72D62F" wp14:editId="7C8F7893">
            <wp:extent cx="5191932" cy="1153005"/>
            <wp:effectExtent l="0" t="0" r="0" b="9525"/>
            <wp:docPr id="88" name="Picture 88" descr="Observation Period on study medication All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l="1029" r="1004" b="3428"/>
                    <a:stretch/>
                  </pic:blipFill>
                  <pic:spPr bwMode="auto">
                    <a:xfrm>
                      <a:off x="0" y="0"/>
                      <a:ext cx="5196193" cy="1153951"/>
                    </a:xfrm>
                    <a:prstGeom prst="rect">
                      <a:avLst/>
                    </a:prstGeom>
                    <a:noFill/>
                    <a:ln>
                      <a:noFill/>
                    </a:ln>
                    <a:extLst>
                      <a:ext uri="{53640926-AAD7-44D8-BBD7-CCE9431645EC}">
                        <a14:shadowObscured xmlns:a14="http://schemas.microsoft.com/office/drawing/2010/main"/>
                      </a:ext>
                    </a:extLst>
                  </pic:spPr>
                </pic:pic>
              </a:graphicData>
            </a:graphic>
          </wp:inline>
        </w:drawing>
      </w:r>
      <w:bookmarkStart w:id="70" w:name="_Ref493835716"/>
      <w:bookmarkStart w:id="71" w:name="_Toc504037425"/>
    </w:p>
    <w:p w:rsidR="000D5028" w:rsidRDefault="000D5028" w:rsidP="000D5028">
      <w:pPr>
        <w:pStyle w:val="Tabletitle"/>
      </w:pPr>
      <w:r>
        <w:t>Table 14: Disposition of subject</w:t>
      </w:r>
      <w:r w:rsidR="002E1F39">
        <w:t>s;</w:t>
      </w:r>
      <w:r>
        <w:t xml:space="preserve"> </w:t>
      </w:r>
      <w:r w:rsidR="002E1F39">
        <w:t>e</w:t>
      </w:r>
      <w:r>
        <w:t>rtugliflozin/metformin FDC pool</w:t>
      </w:r>
      <w:r w:rsidR="002E1F39">
        <w:t>,</w:t>
      </w:r>
      <w:r>
        <w:t xml:space="preserve"> Phase A</w:t>
      </w:r>
      <w:bookmarkEnd w:id="70"/>
      <w:bookmarkEnd w:id="71"/>
    </w:p>
    <w:p w:rsidR="000D5028" w:rsidRDefault="000D5028" w:rsidP="000D5028">
      <w:r>
        <w:rPr>
          <w:noProof/>
          <w:lang w:eastAsia="en-AU"/>
        </w:rPr>
        <w:drawing>
          <wp:inline distT="0" distB="0" distL="0" distR="0" wp14:anchorId="2711A5C0" wp14:editId="6B108473">
            <wp:extent cx="4635735" cy="4471261"/>
            <wp:effectExtent l="0" t="0" r="0" b="5715"/>
            <wp:docPr id="90" name="Picture 90" descr="Disposition of subjects Ertugliflozin/metformin FDC pool Phas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l="643" r="1506" b="677"/>
                    <a:stretch/>
                  </pic:blipFill>
                  <pic:spPr bwMode="auto">
                    <a:xfrm>
                      <a:off x="0" y="0"/>
                      <a:ext cx="4633109" cy="4468728"/>
                    </a:xfrm>
                    <a:prstGeom prst="rect">
                      <a:avLst/>
                    </a:prstGeom>
                    <a:noFill/>
                    <a:ln>
                      <a:noFill/>
                    </a:ln>
                    <a:extLst>
                      <a:ext uri="{53640926-AAD7-44D8-BBD7-CCE9431645EC}">
                        <a14:shadowObscured xmlns:a14="http://schemas.microsoft.com/office/drawing/2010/main"/>
                      </a:ext>
                    </a:extLst>
                  </pic:spPr>
                </pic:pic>
              </a:graphicData>
            </a:graphic>
          </wp:inline>
        </w:drawing>
      </w:r>
    </w:p>
    <w:p w:rsidR="004C620F" w:rsidRDefault="004C620F" w:rsidP="00E900A0">
      <w:pPr>
        <w:pStyle w:val="Heading3"/>
      </w:pPr>
      <w:bookmarkStart w:id="72" w:name="_Toc4571212"/>
      <w:r>
        <w:t>Adverse events</w:t>
      </w:r>
      <w:bookmarkEnd w:id="72"/>
    </w:p>
    <w:p w:rsidR="004C620F" w:rsidRDefault="004C620F" w:rsidP="000D5028">
      <w:pPr>
        <w:pStyle w:val="Heading4"/>
      </w:pPr>
      <w:r>
        <w:t>All adverse events (irrespective of relationship to study treatment)</w:t>
      </w:r>
    </w:p>
    <w:p w:rsidR="004C620F" w:rsidRDefault="004C620F" w:rsidP="000D5028">
      <w:pPr>
        <w:pStyle w:val="Heading5"/>
      </w:pPr>
      <w:r>
        <w:t>Integrated safety analyses (</w:t>
      </w:r>
      <w:r w:rsidR="000677B1">
        <w:t>ertugliflozin/metformin</w:t>
      </w:r>
      <w:r>
        <w:t xml:space="preserve"> pool)</w:t>
      </w:r>
    </w:p>
    <w:p w:rsidR="004C620F" w:rsidRDefault="004C620F" w:rsidP="004C620F">
      <w:r>
        <w:t xml:space="preserve">The incidence of AEs was similar in the ertugliflozin and placebo groups (49.2%, 42.4% and 48% in placebo, ertugliflozin </w:t>
      </w:r>
      <w:r w:rsidR="007C40A2">
        <w:t>5 mg</w:t>
      </w:r>
      <w:r>
        <w:t xml:space="preserve"> and 1</w:t>
      </w:r>
      <w:r w:rsidR="007C40A2">
        <w:t>5 mg</w:t>
      </w:r>
      <w:r>
        <w:t xml:space="preserve"> groups, respectively). AEs in the Infection and infestations SOC were the most frequently reported in all groups (21%, 17.1% and 20.1%, </w:t>
      </w:r>
      <w:r>
        <w:lastRenderedPageBreak/>
        <w:t xml:space="preserve">respectively). Ertugliflozin-treated subjects showed higher incidence of AEs in Renal and urinary disorders SOC (1.7%, 3% and 4.5%, respectively; pollakiuria, polyuria, and dysuria most common) and Reproductive system and breast disorders SOC (0.8%, 3% and 2.5%, respectively; balanoposthitis and vulvovaginal pruritus most common). Among AEs that occurred in </w:t>
      </w:r>
      <w:r w:rsidR="00094198">
        <w:t xml:space="preserve">&gt; </w:t>
      </w:r>
      <w:r>
        <w:t>2% of subjects in any group, the only event that occurred at a higher incidence (</w:t>
      </w:r>
      <w:r w:rsidR="003E2983">
        <w:t>that is,</w:t>
      </w:r>
      <w:r>
        <w:t xml:space="preserve"> 95% CI excluded 0) in either of the ertugliflozin dose groups or the all ertugliflozin group relative to the placebo group was the vulvovaginal mycotic infection Among the AEs that occurred in </w:t>
      </w:r>
      <w:r w:rsidR="00094198">
        <w:t xml:space="preserve">&lt; </w:t>
      </w:r>
      <w:r>
        <w:t xml:space="preserve">2% of subjects in all groups, those that occurred at a higher incidence in the ertugliflozin groups were balanoposthitis, dysuria, polyuria and dry mouth (Table </w:t>
      </w:r>
      <w:r w:rsidR="00A86EE5">
        <w:t>15</w:t>
      </w:r>
      <w:r>
        <w:t>).</w:t>
      </w:r>
    </w:p>
    <w:p w:rsidR="00A86EE5" w:rsidRDefault="00A86EE5" w:rsidP="00A86EE5">
      <w:pPr>
        <w:pStyle w:val="Tabletitle"/>
      </w:pPr>
      <w:bookmarkStart w:id="73" w:name="_Ref493835731"/>
      <w:bookmarkStart w:id="74" w:name="_Toc504037429"/>
      <w:r>
        <w:t xml:space="preserve">Table 15: Subjects with AEs (incidence </w:t>
      </w:r>
      <w:r w:rsidR="00A03C19">
        <w:t>≥</w:t>
      </w:r>
      <w:r w:rsidR="00094198" w:rsidRPr="00A03C19">
        <w:t xml:space="preserve"> </w:t>
      </w:r>
      <w:r>
        <w:t>2% in 1 or more treatment groups)</w:t>
      </w:r>
      <w:r w:rsidR="002E1F39">
        <w:t>;</w:t>
      </w:r>
      <w:r>
        <w:t xml:space="preserve"> All subjects as treated. Ertugliflozin/metformin FDC pool including rescue approach</w:t>
      </w:r>
      <w:bookmarkEnd w:id="73"/>
      <w:bookmarkEnd w:id="74"/>
    </w:p>
    <w:p w:rsidR="00A86EE5" w:rsidRPr="00A86EE5" w:rsidRDefault="00A86EE5" w:rsidP="00A86EE5">
      <w:r>
        <w:rPr>
          <w:noProof/>
          <w:lang w:eastAsia="en-AU"/>
        </w:rPr>
        <w:drawing>
          <wp:inline distT="0" distB="0" distL="0" distR="0" wp14:anchorId="73B6177A" wp14:editId="2BAF8C26">
            <wp:extent cx="4461539" cy="6121830"/>
            <wp:effectExtent l="0" t="0" r="0" b="0"/>
            <wp:docPr id="15" name="Picture 15" descr="Subjects with AEs (incidence &gt;2% in 1 or more treatment groups) All subjects as treated. Ertugliflozin/metformin FDC pool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072"/>
                    <a:stretch/>
                  </pic:blipFill>
                  <pic:spPr bwMode="auto">
                    <a:xfrm>
                      <a:off x="0" y="0"/>
                      <a:ext cx="4462900" cy="6123698"/>
                    </a:xfrm>
                    <a:prstGeom prst="rect">
                      <a:avLst/>
                    </a:prstGeom>
                    <a:ln>
                      <a:noFill/>
                    </a:ln>
                    <a:extLst>
                      <a:ext uri="{53640926-AAD7-44D8-BBD7-CCE9431645EC}">
                        <a14:shadowObscured xmlns:a14="http://schemas.microsoft.com/office/drawing/2010/main"/>
                      </a:ext>
                    </a:extLst>
                  </pic:spPr>
                </pic:pic>
              </a:graphicData>
            </a:graphic>
          </wp:inline>
        </w:drawing>
      </w:r>
    </w:p>
    <w:p w:rsidR="004C620F" w:rsidRDefault="004C620F" w:rsidP="00A86EE5">
      <w:pPr>
        <w:pStyle w:val="Heading5"/>
      </w:pPr>
      <w:r>
        <w:lastRenderedPageBreak/>
        <w:t>Pivotal and/or main efficacy studies</w:t>
      </w:r>
    </w:p>
    <w:p w:rsidR="00A86EE5" w:rsidRDefault="004C620F" w:rsidP="00A86EE5">
      <w:pPr>
        <w:pStyle w:val="Heading6"/>
      </w:pPr>
      <w:r>
        <w:t>Study P002/1013</w:t>
      </w:r>
    </w:p>
    <w:p w:rsidR="004C620F" w:rsidRDefault="004C620F" w:rsidP="004C620F">
      <w:r>
        <w:t>The overall incidence of AEs was similar across the glimepiride and ertugliflozin treatment groups. The incidence of genital mycotic infections in both men and women in the ertugliflozin 5</w:t>
      </w:r>
      <w:r w:rsidR="002E1F39">
        <w:t> </w:t>
      </w:r>
      <w:r>
        <w:t>mg and 15 mg groups was significantly higher than those in the glimepiride group. The incidence of urinary tract infections and hypovolemia AEs was not meaningfully different between the ertugliflozin and glimepiride groups. Analyses of documented and symptomatic hypoglycaemia performed excluding data after initiation of glycaemic rescue therapy showed that the incidence of documented and symptomatic hypoglycaemia was lower in the ertugliflozin groups than in the glimepiride group for both hypoglycaemia ca</w:t>
      </w:r>
      <w:r w:rsidR="00C04647">
        <w:t>tegories (Table 16).</w:t>
      </w:r>
    </w:p>
    <w:p w:rsidR="00C04647" w:rsidRDefault="00C04647" w:rsidP="00C04647">
      <w:pPr>
        <w:pStyle w:val="Tabletitle"/>
      </w:pPr>
      <w:bookmarkStart w:id="75" w:name="_Ref493835737"/>
      <w:bookmarkStart w:id="76" w:name="_Toc504037434"/>
      <w:r>
        <w:t xml:space="preserve">Table 16: Analysis of subjects with AEs by SOC (incidence </w:t>
      </w:r>
      <w:r w:rsidR="002E313C">
        <w:t>≥</w:t>
      </w:r>
      <w:r w:rsidR="00094198" w:rsidRPr="002E313C">
        <w:t xml:space="preserve"> </w:t>
      </w:r>
      <w:r>
        <w:t>4 subjects in 1 or more treatment groups)</w:t>
      </w:r>
      <w:r w:rsidR="002E1F39">
        <w:t>;</w:t>
      </w:r>
      <w:r>
        <w:t xml:space="preserve"> All subjects as treated</w:t>
      </w:r>
      <w:r w:rsidR="002E1F39">
        <w:t>,</w:t>
      </w:r>
      <w:r>
        <w:t xml:space="preserve"> Phase A</w:t>
      </w:r>
      <w:r w:rsidR="002E1F39">
        <w:t>:</w:t>
      </w:r>
      <w:r>
        <w:t xml:space="preserve"> excluding rescue approach</w:t>
      </w:r>
      <w:bookmarkEnd w:id="75"/>
      <w:bookmarkEnd w:id="76"/>
    </w:p>
    <w:p w:rsidR="00C04647" w:rsidRDefault="00C04647" w:rsidP="00C04647">
      <w:r>
        <w:t xml:space="preserve"> </w:t>
      </w:r>
      <w:r>
        <w:rPr>
          <w:noProof/>
          <w:lang w:eastAsia="en-AU"/>
        </w:rPr>
        <w:drawing>
          <wp:inline distT="0" distB="0" distL="0" distR="0" wp14:anchorId="08A045C8" wp14:editId="07A1B113">
            <wp:extent cx="5009812" cy="4928461"/>
            <wp:effectExtent l="0" t="0" r="635" b="5715"/>
            <wp:docPr id="71" name="Picture 71" descr="Analysis of subjects with AEs by SOC (incidence &gt;4 subjects in 1 or more treatment groups) All subjects as treated Phase A. ex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018419" cy="4936929"/>
                    </a:xfrm>
                    <a:prstGeom prst="rect">
                      <a:avLst/>
                    </a:prstGeom>
                    <a:noFill/>
                    <a:ln>
                      <a:noFill/>
                    </a:ln>
                  </pic:spPr>
                </pic:pic>
              </a:graphicData>
            </a:graphic>
          </wp:inline>
        </w:drawing>
      </w:r>
    </w:p>
    <w:p w:rsidR="00C04647" w:rsidRDefault="00C04647" w:rsidP="00C04647">
      <w:pPr>
        <w:pStyle w:val="Tabletitle"/>
      </w:pPr>
      <w:r>
        <w:lastRenderedPageBreak/>
        <w:t xml:space="preserve">Table 16 </w:t>
      </w:r>
      <w:r w:rsidR="002E1F39">
        <w:t>(</w:t>
      </w:r>
      <w:r>
        <w:t>continued</w:t>
      </w:r>
      <w:r w:rsidR="002E1F39">
        <w:t>)</w:t>
      </w:r>
      <w:r>
        <w:t xml:space="preserve">: Analysis of subjects with AEs by SOC (incidence </w:t>
      </w:r>
      <w:r w:rsidR="002E313C">
        <w:t>≥</w:t>
      </w:r>
      <w:r w:rsidR="00094198" w:rsidRPr="002E313C">
        <w:t xml:space="preserve"> </w:t>
      </w:r>
      <w:r>
        <w:t>4 subjects in 1 or more treatment groups)</w:t>
      </w:r>
      <w:r w:rsidR="002E1F39">
        <w:t>;</w:t>
      </w:r>
      <w:r>
        <w:t xml:space="preserve"> All subjects as treated</w:t>
      </w:r>
      <w:r w:rsidR="002E1F39">
        <w:t>,</w:t>
      </w:r>
      <w:r>
        <w:t xml:space="preserve"> Phase A</w:t>
      </w:r>
      <w:r w:rsidR="002E1F39">
        <w:t>:</w:t>
      </w:r>
      <w:r>
        <w:t xml:space="preserve"> excluding rescue approach</w:t>
      </w:r>
    </w:p>
    <w:p w:rsidR="00C04647" w:rsidRDefault="00C04647" w:rsidP="00C04647">
      <w:r>
        <w:rPr>
          <w:noProof/>
          <w:lang w:eastAsia="en-AU"/>
        </w:rPr>
        <w:drawing>
          <wp:inline distT="0" distB="0" distL="0" distR="0" wp14:anchorId="6112C7D8" wp14:editId="28898E2D">
            <wp:extent cx="4936210" cy="3951600"/>
            <wp:effectExtent l="0" t="0" r="0" b="0"/>
            <wp:docPr id="110" name="Picture 110" descr="Table 16 continued: Analysis of subjects with AEs by SOC (incidence &gt;4 subjects in 1 or more treatment groups) All subjects as treated Phase A. ex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936729" cy="3952016"/>
                    </a:xfrm>
                    <a:prstGeom prst="rect">
                      <a:avLst/>
                    </a:prstGeom>
                    <a:noFill/>
                    <a:ln>
                      <a:noFill/>
                    </a:ln>
                  </pic:spPr>
                </pic:pic>
              </a:graphicData>
            </a:graphic>
          </wp:inline>
        </w:drawing>
      </w:r>
    </w:p>
    <w:p w:rsidR="00C04647" w:rsidRDefault="00C04647" w:rsidP="00C04647">
      <w:pPr>
        <w:pStyle w:val="Tabletitle"/>
      </w:pPr>
      <w:r>
        <w:lastRenderedPageBreak/>
        <w:t xml:space="preserve">Table 16 </w:t>
      </w:r>
      <w:r w:rsidR="002E1F39">
        <w:t>(</w:t>
      </w:r>
      <w:r>
        <w:t>continued</w:t>
      </w:r>
      <w:r w:rsidR="002E1F39">
        <w:t>)</w:t>
      </w:r>
      <w:r>
        <w:t xml:space="preserve">: Analysis of subjects with AEs by SOC (incidence </w:t>
      </w:r>
      <w:r w:rsidR="002E313C">
        <w:t>≥</w:t>
      </w:r>
      <w:r w:rsidR="00094198" w:rsidRPr="002E313C">
        <w:t xml:space="preserve"> </w:t>
      </w:r>
      <w:r>
        <w:t>4 subjects in 1 or more treatment groups)</w:t>
      </w:r>
      <w:r w:rsidR="002E1F39">
        <w:t>;</w:t>
      </w:r>
      <w:r>
        <w:t xml:space="preserve"> All subjects as treated</w:t>
      </w:r>
      <w:r w:rsidR="002E1F39">
        <w:t>,</w:t>
      </w:r>
      <w:r>
        <w:t xml:space="preserve"> Phase A</w:t>
      </w:r>
      <w:r w:rsidR="002E1F39">
        <w:t>:</w:t>
      </w:r>
      <w:r>
        <w:t xml:space="preserve"> excluding rescue approach</w:t>
      </w:r>
    </w:p>
    <w:p w:rsidR="00C04647" w:rsidRPr="00C04647" w:rsidRDefault="00C04647" w:rsidP="00C04647">
      <w:r>
        <w:rPr>
          <w:noProof/>
          <w:lang w:eastAsia="en-AU"/>
        </w:rPr>
        <w:drawing>
          <wp:inline distT="0" distB="0" distL="0" distR="0" wp14:anchorId="40200C9E" wp14:editId="2890F30D">
            <wp:extent cx="4513841" cy="5687878"/>
            <wp:effectExtent l="0" t="0" r="1270" b="8255"/>
            <wp:docPr id="16" name="Picture 16" descr="Analysis of subjects with AEs by SOC (incidence &gt;4 subjects in 1 or more treatment groups) All subjects as treated Phase A. ex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513871" cy="5687916"/>
                    </a:xfrm>
                    <a:prstGeom prst="rect">
                      <a:avLst/>
                    </a:prstGeom>
                  </pic:spPr>
                </pic:pic>
              </a:graphicData>
            </a:graphic>
          </wp:inline>
        </w:drawing>
      </w:r>
    </w:p>
    <w:p w:rsidR="00A86EE5" w:rsidRDefault="004C620F" w:rsidP="00A86EE5">
      <w:pPr>
        <w:pStyle w:val="Heading6"/>
      </w:pPr>
      <w:r>
        <w:t>Study P005/1019</w:t>
      </w:r>
    </w:p>
    <w:p w:rsidR="004C620F" w:rsidRDefault="004C620F" w:rsidP="004C620F">
      <w:r>
        <w:t xml:space="preserve">The overall incidence of AEs was similar across the treatment groups. In both men and women, the incidence of genital mycotic infections in the E5/S100 and E15/S100 groups was similar to that of the E5 and E15 groups. However, genital mycotic infections occurred more </w:t>
      </w:r>
      <w:r w:rsidR="002E313C">
        <w:t xml:space="preserve">commonly in the 4 ertugliflozin </w:t>
      </w:r>
      <w:r>
        <w:t>treated groups than in the S100 group. The incidence of AEs of hypoglycaemia in the E15/S100 group (7.0%) was higher than in the S100 group (2.4%) and was numerically higher than in the</w:t>
      </w:r>
      <w:r w:rsidR="002E313C">
        <w:t xml:space="preserve"> 3 other treatment groups (2.9% to </w:t>
      </w:r>
      <w:r>
        <w:t>3.6%). No notable between-group differences were observed urinary tract infections and hypovol</w:t>
      </w:r>
      <w:r w:rsidR="002E1F39">
        <w:t>a</w:t>
      </w:r>
      <w:r>
        <w:t>emia (Table</w:t>
      </w:r>
      <w:r w:rsidR="002E1F39">
        <w:t> </w:t>
      </w:r>
      <w:r w:rsidR="00AB5D2E">
        <w:t>17</w:t>
      </w:r>
      <w:r>
        <w:t>). AEs of dizziness occurred more fr</w:t>
      </w:r>
      <w:r w:rsidR="002E313C">
        <w:t xml:space="preserve">equently in the 4 ertugliflozin </w:t>
      </w:r>
      <w:r>
        <w:t xml:space="preserve">treatment groups than in the S100 group. AEs of dizziness were reported for 11 subjects among the 4 </w:t>
      </w:r>
      <w:r w:rsidR="002E313C">
        <w:t>ertugliflozin treated</w:t>
      </w:r>
      <w:r>
        <w:t xml:space="preserve"> groups, including 8 subjects in the E5 and E15 groups combined and 3 subjects in the E5/S100 and E15/S100 groups combined. No AEs of dizziness were reported in the S100 group. Among the 11 subjects with an AE of dizziness, none had more than 1 event. Among the AEs of dizziness, 10 were mild and 1 was severe (</w:t>
      </w:r>
      <w:r w:rsidR="002E1F39">
        <w:t>[patient ID redacte]</w:t>
      </w:r>
      <w:r>
        <w:t xml:space="preserve"> in the E5 group). Five events </w:t>
      </w:r>
      <w:r>
        <w:lastRenderedPageBreak/>
        <w:t>were considered related to study medication by the investigator, and 3 led to discontinuation of study medication.</w:t>
      </w:r>
    </w:p>
    <w:p w:rsidR="00AB5D2E" w:rsidRDefault="00AB5D2E" w:rsidP="00AB5D2E">
      <w:pPr>
        <w:pStyle w:val="Tabletitle"/>
      </w:pPr>
      <w:bookmarkStart w:id="77" w:name="_Ref493835741"/>
      <w:bookmarkStart w:id="78" w:name="_Toc504037447"/>
      <w:r>
        <w:t>Table 17: Study P005/1019 Analysis of AE summary measures</w:t>
      </w:r>
      <w:r w:rsidR="002E1F39">
        <w:t>;</w:t>
      </w:r>
      <w:r>
        <w:t xml:space="preserve"> All subjects as treated</w:t>
      </w:r>
      <w:r w:rsidR="002E1F39">
        <w:t>,</w:t>
      </w:r>
      <w:r>
        <w:t xml:space="preserve"> Phase A</w:t>
      </w:r>
      <w:r w:rsidR="002E1F39">
        <w:t>:</w:t>
      </w:r>
      <w:r>
        <w:t xml:space="preserve"> </w:t>
      </w:r>
      <w:r w:rsidR="002E1F39">
        <w:t>e</w:t>
      </w:r>
      <w:r>
        <w:t xml:space="preserve">xcluding </w:t>
      </w:r>
      <w:r w:rsidR="002E1F39">
        <w:t xml:space="preserve">rescue </w:t>
      </w:r>
      <w:r>
        <w:t>approach</w:t>
      </w:r>
      <w:bookmarkEnd w:id="77"/>
      <w:bookmarkEnd w:id="78"/>
    </w:p>
    <w:p w:rsidR="00AB5D2E" w:rsidRPr="00AB5D2E" w:rsidRDefault="00AB5D2E" w:rsidP="00AB5D2E">
      <w:r>
        <w:rPr>
          <w:noProof/>
          <w:lang w:eastAsia="en-AU"/>
        </w:rPr>
        <w:drawing>
          <wp:inline distT="0" distB="0" distL="0" distR="0" wp14:anchorId="5BC8F18B" wp14:editId="46E747B3">
            <wp:extent cx="5606675" cy="5720486"/>
            <wp:effectExtent l="0" t="0" r="0" b="0"/>
            <wp:docPr id="17" name="Picture 17" descr="Study P005/1019 Analysis of AE summary measures All subjects as treated Phase A Ex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5605857" cy="5719652"/>
                    </a:xfrm>
                    <a:prstGeom prst="rect">
                      <a:avLst/>
                    </a:prstGeom>
                  </pic:spPr>
                </pic:pic>
              </a:graphicData>
            </a:graphic>
          </wp:inline>
        </w:drawing>
      </w:r>
    </w:p>
    <w:p w:rsidR="004C620F" w:rsidRDefault="004C620F" w:rsidP="00AB5D2E">
      <w:pPr>
        <w:pStyle w:val="Heading4"/>
      </w:pPr>
      <w:r>
        <w:t>Treatment related adverse events (adverse drug reactions)</w:t>
      </w:r>
    </w:p>
    <w:p w:rsidR="004C620F" w:rsidRDefault="004C620F" w:rsidP="00AB5D2E">
      <w:pPr>
        <w:pStyle w:val="Heading5"/>
      </w:pPr>
      <w:r>
        <w:t>Integrated safety analyses (</w:t>
      </w:r>
      <w:r w:rsidR="000677B1">
        <w:t>ertugliflozin/metformin</w:t>
      </w:r>
      <w:r>
        <w:t xml:space="preserve"> pool)</w:t>
      </w:r>
    </w:p>
    <w:p w:rsidR="00255E9C" w:rsidRDefault="004C620F" w:rsidP="004C620F">
      <w:r>
        <w:t xml:space="preserve">The incidence of treatment-related AEs was numerically higher in the ertugliflozin groups compared with placebo (7.5%, 13.1% and 12.3% in placebo, ertugliflozin </w:t>
      </w:r>
      <w:r w:rsidR="007C40A2">
        <w:t>5 mg</w:t>
      </w:r>
      <w:r>
        <w:t xml:space="preserve"> and 1</w:t>
      </w:r>
      <w:r w:rsidR="007C40A2">
        <w:t>5 mg</w:t>
      </w:r>
      <w:r>
        <w:t xml:space="preserve"> groups, respectively). This was primarily due to a numerically increased incidence of AEs related to genital mycotic infections and osmotic diuresis in </w:t>
      </w:r>
      <w:r w:rsidR="002E313C">
        <w:t>ertugliflozin treated</w:t>
      </w:r>
      <w:r>
        <w:t xml:space="preserve"> subjects. Incidence of hypoglycaemia was also higher in ertugliflozin groups, but this is discussed in detail in below</w:t>
      </w:r>
      <w:r w:rsidR="00255E9C">
        <w:t>.</w:t>
      </w:r>
    </w:p>
    <w:p w:rsidR="004C620F" w:rsidRDefault="004C620F" w:rsidP="00AB5D2E">
      <w:pPr>
        <w:pStyle w:val="Heading5"/>
      </w:pPr>
      <w:r>
        <w:lastRenderedPageBreak/>
        <w:t>Pivotal and/or main efficacy studies</w:t>
      </w:r>
    </w:p>
    <w:p w:rsidR="00CF0730" w:rsidRDefault="004C620F" w:rsidP="00CF0730">
      <w:pPr>
        <w:pStyle w:val="Heading6"/>
      </w:pPr>
      <w:r>
        <w:t>Study P002/1013</w:t>
      </w:r>
    </w:p>
    <w:p w:rsidR="004C620F" w:rsidRDefault="004C620F" w:rsidP="004C620F">
      <w:r>
        <w:t xml:space="preserve">The incidence of treatment-related AEs was similar across the ertugliflozin and glimepiride groups (17.8%, 18.3% and 21.6% with glimepiride, ertugliflozin </w:t>
      </w:r>
      <w:r w:rsidR="007C40A2">
        <w:t>5 mg</w:t>
      </w:r>
      <w:r>
        <w:t xml:space="preserve"> and 1</w:t>
      </w:r>
      <w:r w:rsidR="007C40A2">
        <w:t>5 mg</w:t>
      </w:r>
      <w:r>
        <w:t xml:space="preserve">, respectively); UTI, dysuria, pollakiuria, polyuria, balanoposthitis, </w:t>
      </w:r>
      <w:r w:rsidR="00EF7D1E">
        <w:t>and vulvovaginal</w:t>
      </w:r>
      <w:r>
        <w:t xml:space="preserve"> pruritus were more common in the ertugliflozin groups while hypoglycaemia was more common in the glimepiride group.</w:t>
      </w:r>
    </w:p>
    <w:p w:rsidR="002E448B" w:rsidRDefault="004C620F" w:rsidP="002E448B">
      <w:pPr>
        <w:pStyle w:val="Heading6"/>
      </w:pPr>
      <w:r>
        <w:t>Study P005/1019</w:t>
      </w:r>
    </w:p>
    <w:p w:rsidR="004C620F" w:rsidRDefault="004C620F" w:rsidP="004C620F">
      <w:r>
        <w:t xml:space="preserve">The incidence of treatment-related AEs was higher in the E5/S100 and E15/S100 groups than in the S100, but was not notably different than those in the E5 and E15 groups. The most commonly reported </w:t>
      </w:r>
      <w:r w:rsidR="002E313C">
        <w:t>drug related</w:t>
      </w:r>
      <w:r>
        <w:t xml:space="preserve"> AEs in the 4 </w:t>
      </w:r>
      <w:r w:rsidR="002E313C">
        <w:t>ertugliflozin treated</w:t>
      </w:r>
      <w:r>
        <w:t xml:space="preserve"> groups were those associated with genital mycotic infections. The numerically higher incidence</w:t>
      </w:r>
      <w:r w:rsidR="002E313C">
        <w:t xml:space="preserve">s of AEs in the 4 ertugliflozin </w:t>
      </w:r>
      <w:r>
        <w:t xml:space="preserve">treated groups relative to the S100 group were not due to an excess of any particular </w:t>
      </w:r>
      <w:r w:rsidR="002E313C">
        <w:t>drug related</w:t>
      </w:r>
      <w:r>
        <w:t xml:space="preserve"> AE, but rather to a slightly higher incidence of several AEs dispersed throughout the SOC. An exception, however, was in the E15/S100 group, in whi</w:t>
      </w:r>
      <w:r w:rsidR="002E313C">
        <w:t xml:space="preserve">ch 7 (2.9%) subjects had a drug </w:t>
      </w:r>
      <w:r>
        <w:t>related AE of hypoglycaemia. In</w:t>
      </w:r>
      <w:r w:rsidR="002E313C">
        <w:t xml:space="preserve"> comparison, 1 to 3 subjects (0.8% to </w:t>
      </w:r>
      <w:r>
        <w:t xml:space="preserve">1.2%) in the 4 other treatment groups experienced </w:t>
      </w:r>
      <w:r w:rsidR="002E313C">
        <w:t>drug related</w:t>
      </w:r>
      <w:r>
        <w:t xml:space="preserve"> hypoglycaemia.</w:t>
      </w:r>
    </w:p>
    <w:p w:rsidR="004C620F" w:rsidRDefault="004C620F" w:rsidP="002E448B">
      <w:pPr>
        <w:pStyle w:val="Heading4"/>
      </w:pPr>
      <w:r>
        <w:t>Deaths and other serious adverse events (SAEs)</w:t>
      </w:r>
    </w:p>
    <w:p w:rsidR="004C620F" w:rsidRDefault="002E448B" w:rsidP="002E448B">
      <w:pPr>
        <w:pStyle w:val="Heading5"/>
      </w:pPr>
      <w:r>
        <w:t>I</w:t>
      </w:r>
      <w:r w:rsidR="004C620F">
        <w:t>ntegrated safety analyses (</w:t>
      </w:r>
      <w:r w:rsidR="000677B1">
        <w:t>ertugliflozin/metformin</w:t>
      </w:r>
      <w:r w:rsidR="004C620F">
        <w:t xml:space="preserve"> pool)</w:t>
      </w:r>
    </w:p>
    <w:p w:rsidR="004C620F" w:rsidRDefault="004C620F" w:rsidP="004C620F">
      <w:r>
        <w:t xml:space="preserve">There were no deaths in the 26-week </w:t>
      </w:r>
      <w:r w:rsidR="000677B1">
        <w:t>ertugliflozin/metformin</w:t>
      </w:r>
      <w:r>
        <w:t xml:space="preserve"> Pool, and the incidence of non-fatal SAEs was low with no significant differences between the placebo, ertugliflozin 5 mg and 15 mg groups (3.6%, 2.8% and 2.8%, respectively). Non-fatal SAEs occurred across multiple SOCs with no obvious event pattern. Only 1 specific non-fatal SAE (acute myocardial infarction in the placebo group) occurred in more than 1 subject.</w:t>
      </w:r>
    </w:p>
    <w:p w:rsidR="004C620F" w:rsidRDefault="004C620F" w:rsidP="002E448B">
      <w:pPr>
        <w:pStyle w:val="Heading5"/>
      </w:pPr>
      <w:r>
        <w:t>Pivotal and/or main efficacy studies</w:t>
      </w:r>
    </w:p>
    <w:p w:rsidR="002E448B" w:rsidRDefault="004C620F" w:rsidP="002E448B">
      <w:pPr>
        <w:pStyle w:val="Heading6"/>
      </w:pPr>
      <w:r>
        <w:t>Study P002/1013</w:t>
      </w:r>
    </w:p>
    <w:p w:rsidR="004C620F" w:rsidRDefault="004C620F" w:rsidP="004C620F">
      <w:r>
        <w:t>Five (1.1%) subjects in the ertugliflozin 5 mg group, 1 (0.2%) in the ertugliflozin 15 mg group, and none in the glimepiride group died due to AEs occurring in the Phase A treatment period. None of the AEs resulting in death was considered to be related to study medication and there was no pattern with regard to specific AE terms.</w:t>
      </w:r>
    </w:p>
    <w:p w:rsidR="004C620F" w:rsidRDefault="004C620F" w:rsidP="004C620F">
      <w:r>
        <w:t xml:space="preserve">The incidence of SAEs (including fatal and non-fatal events combined) was higher in the ertugliflozin 5 mg group and numerically higher in the ertugliflozin 15 mg group than in the glimepiride group. Across the 3 treatment groups, SAEs were distributed across multiple SOCs, and only 2 SAEs occurred in </w:t>
      </w:r>
      <w:r w:rsidR="00094198">
        <w:t xml:space="preserve">&gt; </w:t>
      </w:r>
      <w:r>
        <w:t xml:space="preserve">1 subject in a treatment group, including pneumonia (2 subjects in the ertugliflozin 5 mg group and 1 in the glimepiride group) and cerebrovascular accident (2 subjects in the ertugliflozin 5 mg group and 1 in the glimepiride group).The higher incidence of SAEs in the ertugliflozin groups was not due to an excess of any specific AEs or of AEs within a particular SOC. The proportion of subjects who died due to an AE occurring in Phase A was higher in the ertugliflozin 5 mg group (5 subjects) than in the glimepiride group (0 subjects). One subject in the ertugliflozin 15 mg group died. One additional subject in the glimepiride group died due to an adverse event that started during the post-treatment period; this subject is not included in the Phase None of the AEs leading to death was considered to be </w:t>
      </w:r>
      <w:r w:rsidR="002E313C">
        <w:t>drug related</w:t>
      </w:r>
      <w:r>
        <w:t xml:space="preserve"> by the investigator and there was no pattern for these specific AEs.</w:t>
      </w:r>
    </w:p>
    <w:p w:rsidR="002E448B" w:rsidRDefault="004C620F" w:rsidP="002E448B">
      <w:pPr>
        <w:pStyle w:val="Heading6"/>
      </w:pPr>
      <w:r>
        <w:t>Study P005/1019</w:t>
      </w:r>
    </w:p>
    <w:p w:rsidR="00255E9C" w:rsidRDefault="004C620F" w:rsidP="004C620F">
      <w:r>
        <w:t>No deaths were reported. SAEs occurred at a low incidence across groups (</w:t>
      </w:r>
      <w:r w:rsidR="00094198">
        <w:t xml:space="preserve">&lt; </w:t>
      </w:r>
      <w:r>
        <w:t xml:space="preserve">4%), and small numeric differences in the incidence of SAEs was not due to an increased incidence in any particular SAE term. The only SAE that occurred in </w:t>
      </w:r>
      <w:r w:rsidR="00094198">
        <w:t xml:space="preserve">&gt; </w:t>
      </w:r>
      <w:r>
        <w:t xml:space="preserve">1 subject in a treatment group was acute </w:t>
      </w:r>
      <w:r>
        <w:lastRenderedPageBreak/>
        <w:t xml:space="preserve">myocardial infarction, which occurred in 2 subjects in the E15/S100 group. Only 1 SAE was considered by the investigator to be related to study medication (pyelonephritis in a </w:t>
      </w:r>
      <w:r w:rsidR="00CE07A4">
        <w:t>(</w:t>
      </w:r>
      <w:r w:rsidR="002E448B">
        <w:t>information redacted</w:t>
      </w:r>
      <w:r w:rsidR="00CE07A4">
        <w:t>)</w:t>
      </w:r>
      <w:r>
        <w:t xml:space="preserve"> treated with E5/S100)</w:t>
      </w:r>
      <w:r w:rsidR="00255E9C">
        <w:t>.</w:t>
      </w:r>
    </w:p>
    <w:p w:rsidR="004C620F" w:rsidRDefault="004C620F" w:rsidP="002E448B">
      <w:pPr>
        <w:pStyle w:val="Heading4"/>
      </w:pPr>
      <w:r>
        <w:t>Discontinuations due to adverse events</w:t>
      </w:r>
    </w:p>
    <w:p w:rsidR="004C620F" w:rsidRDefault="004C620F" w:rsidP="002E448B">
      <w:pPr>
        <w:pStyle w:val="Heading5"/>
      </w:pPr>
      <w:r>
        <w:t>Integrated safety analyses (</w:t>
      </w:r>
      <w:r w:rsidR="000677B1">
        <w:t>ertugliflozin/metformin</w:t>
      </w:r>
      <w:r>
        <w:t xml:space="preserve"> pool)</w:t>
      </w:r>
    </w:p>
    <w:p w:rsidR="004C620F" w:rsidRDefault="004C620F" w:rsidP="004C620F">
      <w:r>
        <w:t xml:space="preserve">The incidence of AEs resulting in discontinuation from study medication in the </w:t>
      </w:r>
      <w:r w:rsidR="000677B1">
        <w:t>ertugliflozin/metformin</w:t>
      </w:r>
      <w:r>
        <w:t xml:space="preserve"> Pool was low overall and similar in the placebo, ertugliflozin 5 and 15 mg groups (1.1%, 2.2% and 1.1%, respectively). The only discernible pattern was a low incidence of discontinuations in </w:t>
      </w:r>
      <w:r w:rsidR="002E313C">
        <w:t>ertugliflozin treated</w:t>
      </w:r>
      <w:r>
        <w:t xml:space="preserve"> subjects due to adverse events related to genital mycotic infections with no specific AEs that resulted in discontinuation from study medication in greater than 1 subject in any group.</w:t>
      </w:r>
    </w:p>
    <w:p w:rsidR="004C620F" w:rsidRDefault="004C620F" w:rsidP="002E448B">
      <w:pPr>
        <w:pStyle w:val="Heading5"/>
      </w:pPr>
      <w:r>
        <w:t>Pivotal and/or main efficacy studies</w:t>
      </w:r>
    </w:p>
    <w:p w:rsidR="002E448B" w:rsidRDefault="004C620F" w:rsidP="002E448B">
      <w:pPr>
        <w:pStyle w:val="Heading6"/>
      </w:pPr>
      <w:r>
        <w:t>Study P002/1013</w:t>
      </w:r>
    </w:p>
    <w:p w:rsidR="004C620F" w:rsidRDefault="004C620F" w:rsidP="004C620F">
      <w:r>
        <w:t xml:space="preserve">The incidence of discontinuations due to AEs was similar in the ertugliflozin </w:t>
      </w:r>
      <w:r w:rsidR="007C40A2">
        <w:t>5 mg</w:t>
      </w:r>
      <w:r>
        <w:t xml:space="preserve"> and glimepiride groups but was numerically higher in the ertugliflozin 1</w:t>
      </w:r>
      <w:r w:rsidR="007C40A2">
        <w:t>5 mg</w:t>
      </w:r>
      <w:r>
        <w:t xml:space="preserve"> group (3.9%, 4% and 5.7% in glimepiride, ertugliflozin </w:t>
      </w:r>
      <w:r w:rsidR="007C40A2">
        <w:t>5 mg</w:t>
      </w:r>
      <w:r>
        <w:t xml:space="preserve"> and 1</w:t>
      </w:r>
      <w:r w:rsidR="007C40A2">
        <w:t>5 mg</w:t>
      </w:r>
      <w:r>
        <w:t xml:space="preserve"> groups, respectively); the higher incidence of discontinuations in the ertugliflozin 1</w:t>
      </w:r>
      <w:r w:rsidR="007C40A2">
        <w:t>5 mg</w:t>
      </w:r>
      <w:r>
        <w:t xml:space="preserve"> group was mainly due to genital mycotic infection-related AEs and renal and urinary disorders (decreased eGFR, acute kidney injury (2 subjects) and pollakiuria (2 subjects). Eight subjects including 2 (0.4%) in the ertugliflozin 5 mg group, 5 (1.1%) in the ertugliflozin 15 mg group and 1 (0.2%) in the glimepiride group discontinued study medication due to SAEs.</w:t>
      </w:r>
    </w:p>
    <w:p w:rsidR="002E448B" w:rsidRDefault="004C620F" w:rsidP="002E448B">
      <w:pPr>
        <w:pStyle w:val="Heading6"/>
      </w:pPr>
      <w:r>
        <w:t>Study P005/1019</w:t>
      </w:r>
    </w:p>
    <w:p w:rsidR="004C620F" w:rsidRDefault="004C620F" w:rsidP="004C620F">
      <w:r>
        <w:t>Discontinuation of study medication due to an AE, which occurred at a low incidence across groups, had a higher incidence in the E15/S100 group (2.9%) relative to the S100 group (0.4%); incide</w:t>
      </w:r>
      <w:r w:rsidR="002E313C">
        <w:t xml:space="preserve">nces in the 3 other groups (1.2 to </w:t>
      </w:r>
      <w:r>
        <w:t xml:space="preserve">2.4%) were not notably different relative to the E15/S100 group. The only AEs that led to discontinuation of study medication in </w:t>
      </w:r>
      <w:r w:rsidR="00094198">
        <w:t xml:space="preserve">&gt; </w:t>
      </w:r>
      <w:r>
        <w:t xml:space="preserve">1 subject were dizziness and balanoposthitis (each resulted in discontinuation of 2 subjects in the E5 group) and AEs leading to discontinuation of study medication were </w:t>
      </w:r>
      <w:r w:rsidR="0016544F">
        <w:t>dispersed across multiple SOCs.</w:t>
      </w:r>
    </w:p>
    <w:p w:rsidR="004C620F" w:rsidRDefault="004C620F" w:rsidP="0016544F">
      <w:pPr>
        <w:pStyle w:val="Heading3"/>
      </w:pPr>
      <w:bookmarkStart w:id="79" w:name="_Toc4571213"/>
      <w:r>
        <w:t>Evaluation of issues with possible regulatory impact</w:t>
      </w:r>
      <w:bookmarkEnd w:id="79"/>
    </w:p>
    <w:p w:rsidR="004C620F" w:rsidRDefault="004C620F" w:rsidP="0016544F">
      <w:pPr>
        <w:pStyle w:val="Heading4"/>
      </w:pPr>
      <w:r>
        <w:t>Liver function and liver toxicity</w:t>
      </w:r>
    </w:p>
    <w:p w:rsidR="004C620F" w:rsidRDefault="004C620F" w:rsidP="0016544F">
      <w:pPr>
        <w:pStyle w:val="Heading5"/>
      </w:pPr>
      <w:r>
        <w:t>Integrated safety analyses (</w:t>
      </w:r>
      <w:r w:rsidR="000677B1">
        <w:t>ertugliflozin/metformin</w:t>
      </w:r>
      <w:r>
        <w:t xml:space="preserve"> pool)</w:t>
      </w:r>
    </w:p>
    <w:p w:rsidR="00255E9C" w:rsidRDefault="004C620F" w:rsidP="004C620F">
      <w:r>
        <w:t xml:space="preserve">In the </w:t>
      </w:r>
      <w:r w:rsidR="000677B1">
        <w:t>ertugliflozin/metformin</w:t>
      </w:r>
      <w:r>
        <w:t xml:space="preserve"> </w:t>
      </w:r>
      <w:r w:rsidR="002E1F39">
        <w:t>pool</w:t>
      </w:r>
      <w:r>
        <w:t>, baseline ALT ranged from 26.5 to 28.3 IU/L and baseline AST ranged from 21.2 to 23.2 IU/L across groups respectively). There were decreases in ALT and AST in the ertugliflozin 5 mg and 15 mg groups relative to the placebo group which persisted from Week 6 until Week 26. Mean decreases in ALT at Week 26 were larger in the ertugliflozin 5 mg and 15 mg groups (-4.4 IU/L and -5.9 IU/L, respectively) than in the placebo group (-1.0 IU/L). Mean decreases in AST were also seen at Week 26 in the ertugliflozin 5 mg and 15 mg groups (-1.7 IU/L and -3.5 IU/L, respectively) relative to essentially no change in the placebo group (-0.3 IU/L). Ertugliflozin was not associated with a greater incidence of PDLCs for ALT and AST (</w:t>
      </w:r>
      <w:r w:rsidR="00E900A0">
        <w:t xml:space="preserve">≥ </w:t>
      </w:r>
      <w:r>
        <w:t>3</w:t>
      </w:r>
      <w:r w:rsidR="002E313C">
        <w:t xml:space="preserve"> </w:t>
      </w:r>
      <w:r w:rsidR="0016544F">
        <w:t>x</w:t>
      </w:r>
      <w:r>
        <w:t xml:space="preserve"> ULN). One (0.3%) and 2 (0.6%) subjects in the ertugliflozin 5 mg and 15 mg groups, respectively, compared to 4 (1.1%) subjects in the placebo group had at least 1 ALT value </w:t>
      </w:r>
      <w:r w:rsidR="00E900A0">
        <w:t xml:space="preserve">≥ </w:t>
      </w:r>
      <w:r>
        <w:t>3</w:t>
      </w:r>
      <w:r w:rsidR="002E313C">
        <w:t xml:space="preserve"> x </w:t>
      </w:r>
      <w:r>
        <w:t xml:space="preserve">ULN; no subject in the </w:t>
      </w:r>
      <w:r w:rsidR="000677B1">
        <w:t>ertugliflozin/metformin</w:t>
      </w:r>
      <w:r>
        <w:t xml:space="preserve"> Pool had an ALT value </w:t>
      </w:r>
      <w:r w:rsidR="00094198">
        <w:t xml:space="preserve">&gt; </w:t>
      </w:r>
      <w:r>
        <w:t>5</w:t>
      </w:r>
      <w:r w:rsidR="002E313C">
        <w:t xml:space="preserve"> </w:t>
      </w:r>
      <w:r w:rsidR="0016544F">
        <w:t>x</w:t>
      </w:r>
      <w:r w:rsidR="002E313C">
        <w:t xml:space="preserve"> </w:t>
      </w:r>
      <w:r>
        <w:t xml:space="preserve">ULN. No subject in the ertugliflozin groups and 1 subject in the placebo group had an AST value </w:t>
      </w:r>
      <w:r w:rsidR="00E900A0">
        <w:t xml:space="preserve">≥ </w:t>
      </w:r>
      <w:r>
        <w:t>3</w:t>
      </w:r>
      <w:r w:rsidR="002E313C">
        <w:t xml:space="preserve"> </w:t>
      </w:r>
      <w:r w:rsidR="0016544F">
        <w:t>x</w:t>
      </w:r>
      <w:r>
        <w:t xml:space="preserve"> ULN. Elevations in ALT or AST were also infrequent in the active comparator studies not </w:t>
      </w:r>
      <w:r>
        <w:lastRenderedPageBreak/>
        <w:t xml:space="preserve">included in the </w:t>
      </w:r>
      <w:r w:rsidR="000677B1">
        <w:t>ertugliflozin/metformin</w:t>
      </w:r>
      <w:r>
        <w:t xml:space="preserve"> </w:t>
      </w:r>
      <w:r w:rsidR="002E1F39">
        <w:t>pool</w:t>
      </w:r>
      <w:r w:rsidR="0016544F">
        <w:t>.</w:t>
      </w:r>
      <w:r>
        <w:t xml:space="preserve"> In the </w:t>
      </w:r>
      <w:r w:rsidR="000677B1">
        <w:t>ertugliflozin/metformin</w:t>
      </w:r>
      <w:r>
        <w:t xml:space="preserve"> </w:t>
      </w:r>
      <w:r w:rsidR="002E1F39">
        <w:t>pool</w:t>
      </w:r>
      <w:r>
        <w:t>, there were no adverse events of ALT or AST increas</w:t>
      </w:r>
      <w:r w:rsidR="002E313C">
        <w:t>ed in the ertugliflozin groups.</w:t>
      </w:r>
    </w:p>
    <w:p w:rsidR="004C620F" w:rsidRDefault="004C620F" w:rsidP="0016544F">
      <w:pPr>
        <w:pStyle w:val="Heading5"/>
      </w:pPr>
      <w:r>
        <w:t>Pivotal and/or main efficacy studies</w:t>
      </w:r>
    </w:p>
    <w:p w:rsidR="0016544F" w:rsidRDefault="004C620F" w:rsidP="0016544F">
      <w:pPr>
        <w:pStyle w:val="Heading6"/>
      </w:pPr>
      <w:r>
        <w:t>Study P002/1013</w:t>
      </w:r>
    </w:p>
    <w:p w:rsidR="004C620F" w:rsidRDefault="004C620F" w:rsidP="004C620F">
      <w:r>
        <w:t xml:space="preserve">Five subjects had elevations in ALT or ALT and AST that met criteria for adjudication (value </w:t>
      </w:r>
      <w:r w:rsidR="00E900A0">
        <w:t>≥</w:t>
      </w:r>
      <w:r w:rsidR="0016544F">
        <w:t> </w:t>
      </w:r>
      <w:r>
        <w:t>5</w:t>
      </w:r>
      <w:r w:rsidR="002E313C">
        <w:t> </w:t>
      </w:r>
      <w:r w:rsidR="0016544F">
        <w:t>x</w:t>
      </w:r>
      <w:r w:rsidR="002E313C">
        <w:t xml:space="preserve"> </w:t>
      </w:r>
      <w:r>
        <w:t xml:space="preserve">ULN). For 1 of the 5 adjudicated cases, the CAC considered the causal relationship with study medication to be doubtful (ertugliflozin 15 mg group); the 4 others (1 in the ertugliflozin 5 mg group, 2 in the ertugliflozin 15 mg group, and 1 in the glimepiride group) were considered possibly related to study medication by the CAC. None of the ALT or AST elevations were associated with </w:t>
      </w:r>
      <w:r w:rsidR="00094198">
        <w:t xml:space="preserve">&gt; </w:t>
      </w:r>
      <w:r>
        <w:t>2</w:t>
      </w:r>
      <w:r w:rsidR="002E313C">
        <w:t xml:space="preserve"> </w:t>
      </w:r>
      <w:r>
        <w:t>x</w:t>
      </w:r>
      <w:r w:rsidR="002E313C">
        <w:t xml:space="preserve"> </w:t>
      </w:r>
      <w:r>
        <w:t>ULN increase in bilirubin. None of the AEs of ALT or AST increased led to study medication discontinuation and all resolved on treatment.</w:t>
      </w:r>
    </w:p>
    <w:p w:rsidR="0016544F" w:rsidRDefault="004C620F" w:rsidP="0016544F">
      <w:pPr>
        <w:pStyle w:val="Heading6"/>
      </w:pPr>
      <w:r>
        <w:t>Study P005/1019</w:t>
      </w:r>
    </w:p>
    <w:p w:rsidR="004C620F" w:rsidRDefault="004C620F" w:rsidP="004C620F">
      <w:r>
        <w:t>No subjects had a hepatic event that met criteria for adjudication. Mean reductions in ALT (with ba</w:t>
      </w:r>
      <w:r w:rsidR="002E313C">
        <w:t xml:space="preserve">seline values ranging from 26.6 to </w:t>
      </w:r>
      <w:r>
        <w:t>28.9 IU/L) were observed in</w:t>
      </w:r>
      <w:r w:rsidR="002E313C">
        <w:t xml:space="preserve"> all 5 treatment groups at Week </w:t>
      </w:r>
      <w:r>
        <w:t xml:space="preserve">26, with numerically greater decreases seen in the 4 </w:t>
      </w:r>
      <w:r w:rsidR="002E313C">
        <w:t>ertugliflozin treated</w:t>
      </w:r>
      <w:r>
        <w:t xml:space="preserve"> groups (4.4 to 5.1 IU/L) than in the S100 group (1.7 IU/L).</w:t>
      </w:r>
    </w:p>
    <w:p w:rsidR="004C620F" w:rsidRDefault="004C620F" w:rsidP="0016544F">
      <w:pPr>
        <w:pStyle w:val="Heading4"/>
      </w:pPr>
      <w:r>
        <w:t>Renal function and renal toxicity</w:t>
      </w:r>
    </w:p>
    <w:p w:rsidR="004C620F" w:rsidRDefault="004C620F" w:rsidP="0016544F">
      <w:pPr>
        <w:pStyle w:val="Heading5"/>
      </w:pPr>
      <w:r>
        <w:t>Integrated safety analyses (</w:t>
      </w:r>
      <w:r w:rsidR="000677B1">
        <w:t>ertugliflozin/metformin</w:t>
      </w:r>
      <w:r>
        <w:t xml:space="preserve"> pool)</w:t>
      </w:r>
    </w:p>
    <w:p w:rsidR="004C620F" w:rsidRDefault="004C620F" w:rsidP="004C620F">
      <w:r>
        <w:t xml:space="preserve">In the </w:t>
      </w:r>
      <w:r w:rsidR="0034721C">
        <w:t>Phase III</w:t>
      </w:r>
      <w:r>
        <w:t xml:space="preserve"> ertugliflozin development program, ertugliflozin treatment led to a transient decrease in eGFR. Metformin is known to be substantially excreted by the kidney and, as such, metformin has dosing considerations based on renal function.</w:t>
      </w:r>
    </w:p>
    <w:p w:rsidR="004C620F" w:rsidRDefault="004C620F" w:rsidP="004C620F">
      <w:r>
        <w:t xml:space="preserve">For all </w:t>
      </w:r>
      <w:r w:rsidR="0034721C">
        <w:t>Phase III</w:t>
      </w:r>
      <w:r>
        <w:t xml:space="preserve"> studies in the ertugliflozin program, including the 4 </w:t>
      </w:r>
      <w:r w:rsidR="0034721C">
        <w:t>Phase III</w:t>
      </w:r>
      <w:r>
        <w:t xml:space="preserve"> studies specific to the proposed FDC, changes in renal function were evaluated in several ways: (1) examination of laboratory measures of renal function (examination of mean changes in </w:t>
      </w:r>
      <w:r w:rsidR="002E313C">
        <w:t>renal related</w:t>
      </w:r>
      <w:r>
        <w:t xml:space="preserve"> laboratory parameters and categorical PDLC analyses of changes from baseline); (2) evaluation of </w:t>
      </w:r>
      <w:r w:rsidR="002E313C">
        <w:t>renal related</w:t>
      </w:r>
      <w:r>
        <w:t xml:space="preserve"> events identified from the narrow SMQ for Acute Renal Failure, as well as AEs of GFR decreased and blood creatinine increased; (3) evaluation of adjudicated events meeting pre-specified criteria.</w:t>
      </w:r>
    </w:p>
    <w:p w:rsidR="004C620F" w:rsidRDefault="004C620F" w:rsidP="0016544F">
      <w:pPr>
        <w:pStyle w:val="Heading6"/>
      </w:pPr>
      <w:r>
        <w:t xml:space="preserve">eGFR change from </w:t>
      </w:r>
      <w:r w:rsidR="002E1F39">
        <w:t>Baseline</w:t>
      </w:r>
    </w:p>
    <w:p w:rsidR="0016544F" w:rsidRDefault="004C620F" w:rsidP="004C620F">
      <w:r>
        <w:t xml:space="preserve">In the </w:t>
      </w:r>
      <w:r w:rsidR="000677B1">
        <w:t>ertugliflozin/metformin</w:t>
      </w:r>
      <w:r>
        <w:t xml:space="preserve"> </w:t>
      </w:r>
      <w:r w:rsidR="002E1F39">
        <w:t>pool</w:t>
      </w:r>
      <w:r>
        <w:t>, baseline eG</w:t>
      </w:r>
      <w:r w:rsidR="002E313C">
        <w:t>FR values were approximately 90 </w:t>
      </w:r>
      <w:r>
        <w:t>mL/min/</w:t>
      </w:r>
      <w:r w:rsidR="002E313C">
        <w:t>1.73 </w:t>
      </w:r>
      <w:r w:rsidR="002629A1">
        <w:t>m</w:t>
      </w:r>
      <w:r w:rsidR="002629A1" w:rsidRPr="002629A1">
        <w:rPr>
          <w:vertAlign w:val="superscript"/>
        </w:rPr>
        <w:t>2</w:t>
      </w:r>
      <w:r>
        <w:t xml:space="preserve"> in each group. There was slightly greater reduction in the ertugliflozin groups compared to placebo at </w:t>
      </w:r>
      <w:r w:rsidR="0016544F">
        <w:t>W</w:t>
      </w:r>
      <w:r>
        <w:t>eek</w:t>
      </w:r>
      <w:r w:rsidR="0016544F">
        <w:t xml:space="preserve"> 6 (-0.3, </w:t>
      </w:r>
      <w:r>
        <w:t>-2.6 and -2.8mL/min/</w:t>
      </w:r>
      <w:r w:rsidR="002629A1">
        <w:t>1.73 m</w:t>
      </w:r>
      <w:r w:rsidR="002629A1" w:rsidRPr="002629A1">
        <w:rPr>
          <w:vertAlign w:val="superscript"/>
        </w:rPr>
        <w:t>2</w:t>
      </w:r>
      <w:r>
        <w:t xml:space="preserve"> in the placebo, ertugliflozin </w:t>
      </w:r>
      <w:r w:rsidR="007C40A2">
        <w:t>5 mg</w:t>
      </w:r>
      <w:r>
        <w:t xml:space="preserve"> and 1</w:t>
      </w:r>
      <w:r w:rsidR="007C40A2">
        <w:t>5 mg</w:t>
      </w:r>
      <w:r>
        <w:t xml:space="preserve"> groups, respectively) with a subsequent return of eGFR to or towards baseline by Week 26 such that there was no notable differences at Week 26 between either the ertugliflozin 5 mg or 15 mg groups and the pl</w:t>
      </w:r>
      <w:r w:rsidR="0016544F">
        <w:t>acebo group (Figure 1).</w:t>
      </w:r>
    </w:p>
    <w:p w:rsidR="0016544F" w:rsidRPr="00C93EE8" w:rsidRDefault="0016544F" w:rsidP="0016544F">
      <w:pPr>
        <w:pStyle w:val="FigureTitle"/>
        <w:keepNext/>
      </w:pPr>
      <w:bookmarkStart w:id="80" w:name="_Ref496169248"/>
      <w:bookmarkStart w:id="81" w:name="_Toc504037454"/>
      <w:r>
        <w:lastRenderedPageBreak/>
        <w:t>Figure 1: eGFR (mL/min/1.73m</w:t>
      </w:r>
      <w:r>
        <w:rPr>
          <w:vertAlign w:val="superscript"/>
        </w:rPr>
        <w:t>2</w:t>
      </w:r>
      <w:r w:rsidR="002E1F39">
        <w:t>);</w:t>
      </w:r>
      <w:r>
        <w:t xml:space="preserve"> Mean change from </w:t>
      </w:r>
      <w:r w:rsidR="002E1F39">
        <w:t xml:space="preserve">Baseline </w:t>
      </w:r>
      <w:r>
        <w:t>over time (</w:t>
      </w:r>
      <w:r w:rsidR="002E1F39">
        <w:t>mean </w:t>
      </w:r>
      <w:r>
        <w:rPr>
          <w:u w:val="single"/>
        </w:rPr>
        <w:t>+</w:t>
      </w:r>
      <w:r w:rsidR="002E1F39">
        <w:rPr>
          <w:u w:val="single"/>
        </w:rPr>
        <w:t> </w:t>
      </w:r>
      <w:r>
        <w:t>SE)</w:t>
      </w:r>
      <w:r w:rsidR="002E1F39">
        <w:t>;</w:t>
      </w:r>
      <w:r>
        <w:t xml:space="preserve"> All subjects as treated ertugliflozin/metformin FDC pool: including rescue approach</w:t>
      </w:r>
      <w:bookmarkEnd w:id="80"/>
      <w:bookmarkEnd w:id="81"/>
    </w:p>
    <w:p w:rsidR="0016544F" w:rsidRDefault="0016544F" w:rsidP="0016544F">
      <w:r>
        <w:rPr>
          <w:noProof/>
          <w:lang w:eastAsia="en-AU"/>
        </w:rPr>
        <w:drawing>
          <wp:inline distT="0" distB="0" distL="0" distR="0" wp14:anchorId="31B66E94" wp14:editId="3EBCE15B">
            <wp:extent cx="4460019" cy="3200400"/>
            <wp:effectExtent l="0" t="0" r="0" b="0"/>
            <wp:docPr id="145" name="Picture 145" descr="eGFR (mL/min/1.73m2 Mean change from baseline over time (Mean+SE) All subjects as treated ertugliflozin/metformin FDC pool: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4460419" cy="3200687"/>
                    </a:xfrm>
                    <a:prstGeom prst="rect">
                      <a:avLst/>
                    </a:prstGeom>
                    <a:noFill/>
                    <a:ln>
                      <a:noFill/>
                    </a:ln>
                  </pic:spPr>
                </pic:pic>
              </a:graphicData>
            </a:graphic>
          </wp:inline>
        </w:drawing>
      </w:r>
    </w:p>
    <w:p w:rsidR="004C620F" w:rsidRDefault="004C620F" w:rsidP="004C620F">
      <w:r>
        <w:t xml:space="preserve">The proportion of subjects who had any occurrence of a decrease in eGFR of </w:t>
      </w:r>
      <w:r w:rsidR="00094198">
        <w:t xml:space="preserve">&gt; </w:t>
      </w:r>
      <w:r>
        <w:t>30% from baseline was similar in the placebo and ertugliflozin groups (3.4%, 3.1% and 3.7%</w:t>
      </w:r>
      <w:r w:rsidR="00C242A4">
        <w:t xml:space="preserve"> </w:t>
      </w:r>
      <w:r>
        <w:t xml:space="preserve">in the placebo, ertugliflozin </w:t>
      </w:r>
      <w:r w:rsidR="007C40A2">
        <w:t>5 mg</w:t>
      </w:r>
      <w:r>
        <w:t xml:space="preserve"> and 1</w:t>
      </w:r>
      <w:r w:rsidR="007C40A2">
        <w:t>5 mg</w:t>
      </w:r>
      <w:r>
        <w:t xml:space="preserve"> groups, respectively). Only 1 (0.3%) subject in the ertugliflozin 15 mg group and 1 (0.3%) subject in the placebo group had any occurrence of a decrease in eGFR of </w:t>
      </w:r>
      <w:r w:rsidR="00094198">
        <w:t xml:space="preserve">&gt; </w:t>
      </w:r>
      <w:r>
        <w:t xml:space="preserve">50%. No subject had a last value with a decrease of </w:t>
      </w:r>
      <w:r w:rsidR="00094198">
        <w:t xml:space="preserve">&gt; </w:t>
      </w:r>
      <w:r>
        <w:t>50%.</w:t>
      </w:r>
    </w:p>
    <w:p w:rsidR="0016544F" w:rsidRDefault="004C620F" w:rsidP="0016544F">
      <w:pPr>
        <w:pStyle w:val="Heading6"/>
      </w:pPr>
      <w:r>
        <w:t>Serum creatinine and blood urea nitrogen (BUN)</w:t>
      </w:r>
    </w:p>
    <w:p w:rsidR="004C620F" w:rsidRDefault="004C620F" w:rsidP="004C620F">
      <w:r>
        <w:t>There were small increases in serum creatinine at week 6 in the ertugliflozin groups compared to no change in the placebo groups</w:t>
      </w:r>
      <w:r w:rsidR="0016544F">
        <w:t xml:space="preserve"> (+0.34, +2.49 and +2.63umol/L)</w:t>
      </w:r>
      <w:r>
        <w:t>,</w:t>
      </w:r>
      <w:r w:rsidR="0016544F">
        <w:t xml:space="preserve"> </w:t>
      </w:r>
      <w:r>
        <w:t xml:space="preserve">although there was subsequent return to or towards baseline with no change between treatment groups by </w:t>
      </w:r>
      <w:r w:rsidR="0016544F">
        <w:t>W</w:t>
      </w:r>
      <w:r>
        <w:t>eek</w:t>
      </w:r>
      <w:r w:rsidR="002E1F39">
        <w:t> </w:t>
      </w:r>
      <w:r>
        <w:t xml:space="preserve">26. In the </w:t>
      </w:r>
      <w:r w:rsidR="000677B1">
        <w:t>ertugliflozin/metformin</w:t>
      </w:r>
      <w:r>
        <w:t xml:space="preserve"> Pool, the baseline values for BUN ranged from 14.7</w:t>
      </w:r>
      <w:r w:rsidR="002E1F39">
        <w:t> </w:t>
      </w:r>
      <w:r>
        <w:t>mg/dL to 15.1 mg/dL across groups. There were small increases from baseline in BUN at Week</w:t>
      </w:r>
      <w:r w:rsidR="002E1F39">
        <w:t> </w:t>
      </w:r>
      <w:r>
        <w:t>6 in the ertugliflozin 5 mg and 15 mg groups (1.4 mg/dL and 1.9 mg/dL, respectively) and in the placebo group (0.2 mg/dL). The mean change from baseline in BUN at Week 26 was higher in the ertugliflozin 5 mg and 15 mg groups (1.4 mg/dL and 2.2 mg/dL, respectively) relative to the placebo group (0.3 mg/dL).The proportion of subjects who met the PDLC criteria for BUN (</w:t>
      </w:r>
      <w:r w:rsidR="00E900A0">
        <w:t>≥</w:t>
      </w:r>
      <w:r w:rsidR="00C242A4">
        <w:t> </w:t>
      </w:r>
      <w:r>
        <w:t xml:space="preserve">50% increase and value </w:t>
      </w:r>
      <w:r w:rsidR="00094198">
        <w:t xml:space="preserve">&gt; </w:t>
      </w:r>
      <w:r>
        <w:t>ULN) for at least 1 occurrence was higher in the ertugliflozin 15 mg group (12.4%) and numerically higher in the ertugliflozin 5 mg group (8.0%) relative to the placebo group (4.9%).</w:t>
      </w:r>
    </w:p>
    <w:p w:rsidR="00C242A4" w:rsidRDefault="002E313C" w:rsidP="00C242A4">
      <w:pPr>
        <w:pStyle w:val="Heading6"/>
      </w:pPr>
      <w:r>
        <w:t xml:space="preserve">Renal </w:t>
      </w:r>
      <w:r w:rsidR="004C620F">
        <w:t>related AEs</w:t>
      </w:r>
    </w:p>
    <w:p w:rsidR="00255E9C" w:rsidRDefault="004C620F" w:rsidP="004C620F">
      <w:r>
        <w:t xml:space="preserve">The incidence of </w:t>
      </w:r>
      <w:r w:rsidR="002E313C">
        <w:t>renal related</w:t>
      </w:r>
      <w:r>
        <w:t xml:space="preserve"> events was low and similar across the ertugliflozin 5 mg (2 subjects; 0.6%) and 15 mg groups (1 subject; 0.3%) and the placebo group (1 subject; 0.3%). None of the events was serious or led to discontinuation. One subject, in the ertugliflozin 15 mg group (in Study P007/1017), who had an AE of renal failure, met criteria for renal adjudication that was adjudicated as ‘not related’ to study medication. In the </w:t>
      </w:r>
      <w:r w:rsidR="000677B1">
        <w:t>ertugliflozin/metformin</w:t>
      </w:r>
      <w:r>
        <w:t xml:space="preserve"> Pool, adverse events related to decreased eGFR and increased creatinine were infrequent, with each being reported in ≤</w:t>
      </w:r>
      <w:r w:rsidR="00C242A4">
        <w:t> </w:t>
      </w:r>
      <w:r>
        <w:t>1 subject per group None of these events was serious or led to discontinuation of study medication. In addition, 3 (0.8%) subjects in the ertugliflozin 15 mg group and none in the other groups discontinued s</w:t>
      </w:r>
      <w:r w:rsidR="002E313C">
        <w:t xml:space="preserve">tudy medication due to protocol </w:t>
      </w:r>
      <w:r>
        <w:t>specified criteria for eGFR or creatinine criteria. None of these subjects reported an associated AE</w:t>
      </w:r>
      <w:r w:rsidR="00255E9C">
        <w:t>.</w:t>
      </w:r>
    </w:p>
    <w:p w:rsidR="004C620F" w:rsidRDefault="004C620F" w:rsidP="004C620F">
      <w:r>
        <w:lastRenderedPageBreak/>
        <w:t xml:space="preserve">It is important to note that the among the 4 </w:t>
      </w:r>
      <w:r w:rsidR="0034721C">
        <w:t>Phase III</w:t>
      </w:r>
      <w:r>
        <w:t xml:space="preserve"> studies submitted for the proposed ertugliflozin-metformin FDC, 6 renal events, all in ertugliflozin 15 mg treated subjects, were adjudicated. Among these 6 events, 2 were adjudicated as </w:t>
      </w:r>
      <w:r w:rsidR="00233AFA">
        <w:t>‘</w:t>
      </w:r>
      <w:r>
        <w:t>possibly</w:t>
      </w:r>
      <w:r w:rsidR="00233AFA">
        <w:t>’</w:t>
      </w:r>
      <w:r>
        <w:t xml:space="preserve"> related to study medication and 4 were considered </w:t>
      </w:r>
      <w:r w:rsidR="00233AFA">
        <w:t>‘</w:t>
      </w:r>
      <w:r>
        <w:t>not related.</w:t>
      </w:r>
    </w:p>
    <w:p w:rsidR="004C620F" w:rsidRDefault="004C620F" w:rsidP="004C620F">
      <w:r>
        <w:t>While metformin is not associated with a decrease in eGFR, it is cleared renally, has dosing considerations based on renal function, and in the presence of severe renal impairment, has been reported to be associated with lactic acidosis. Treatment with ertugliflozin in combination with metformin, as with ertugliflozin, led to transient, modest decreases in eGFR at Week 6 that returned to or towards baseline at Week 26. In a longer term study (</w:t>
      </w:r>
      <w:r w:rsidR="002E1F39">
        <w:t xml:space="preserve">Study </w:t>
      </w:r>
      <w:r>
        <w:t xml:space="preserve">P002/1013) on metformin background, eGFR in both ertugliflozin dose groups was above baseline between </w:t>
      </w:r>
      <w:r w:rsidR="00C242A4">
        <w:t>W</w:t>
      </w:r>
      <w:r>
        <w:t xml:space="preserve">eek 26 and </w:t>
      </w:r>
      <w:r w:rsidR="00C242A4">
        <w:t>W</w:t>
      </w:r>
      <w:r>
        <w:t xml:space="preserve">eek 52. In the </w:t>
      </w:r>
      <w:r w:rsidR="000677B1">
        <w:t>ertugliflozin/metformin</w:t>
      </w:r>
      <w:r>
        <w:t xml:space="preserve"> </w:t>
      </w:r>
      <w:r w:rsidR="002E1F39">
        <w:t>pool</w:t>
      </w:r>
      <w:r>
        <w:t xml:space="preserve">, the incidence of </w:t>
      </w:r>
      <w:r w:rsidR="002E313C">
        <w:t>renal related</w:t>
      </w:r>
      <w:r>
        <w:t xml:space="preserve"> events was low (</w:t>
      </w:r>
      <w:r w:rsidR="00094198">
        <w:t xml:space="preserve">&lt; </w:t>
      </w:r>
      <w:r>
        <w:t>1%) and not notably higher in the ertugliflozin groups relative to the placebo group. None of the events was serious or led to discontinuation.</w:t>
      </w:r>
    </w:p>
    <w:p w:rsidR="00255E9C" w:rsidRDefault="004C620F" w:rsidP="004C620F">
      <w:r>
        <w:t>As with initiation of the individual agents, monitoring of renal function should be performed prior to initiation of ertugliflozin and metformin combination therapy and periodically thereafter and this has been adequately covered in the proposed PI</w:t>
      </w:r>
      <w:r w:rsidR="00255E9C">
        <w:t>.</w:t>
      </w:r>
    </w:p>
    <w:p w:rsidR="004C620F" w:rsidRDefault="004C620F" w:rsidP="00C242A4">
      <w:pPr>
        <w:pStyle w:val="Heading5"/>
      </w:pPr>
      <w:r>
        <w:t>Pivotal and/or main efficacy studies</w:t>
      </w:r>
    </w:p>
    <w:p w:rsidR="00255E9C" w:rsidRDefault="004C620F" w:rsidP="004C620F">
      <w:r>
        <w:t xml:space="preserve">A similar pattern of eGFR change over time was noted in the 2 </w:t>
      </w:r>
      <w:r w:rsidR="002E313C">
        <w:t>active comparator</w:t>
      </w:r>
      <w:r>
        <w:t xml:space="preserve"> studies not included in the </w:t>
      </w:r>
      <w:r w:rsidR="000677B1">
        <w:t>ertugliflozin/metformin</w:t>
      </w:r>
      <w:r>
        <w:t xml:space="preserve"> Pool (</w:t>
      </w:r>
      <w:r w:rsidR="001A3507">
        <w:t>S</w:t>
      </w:r>
      <w:r w:rsidR="002E1F39">
        <w:t xml:space="preserve">tudies </w:t>
      </w:r>
      <w:r>
        <w:t xml:space="preserve">P002/1013 and P005/1019) with eGFR values in both ertugliflozin groups above baseline between Week 26 and Week 52 in </w:t>
      </w:r>
      <w:r w:rsidR="00C242A4">
        <w:t>S</w:t>
      </w:r>
      <w:r w:rsidR="002E313C">
        <w:t>tudy </w:t>
      </w:r>
      <w:r>
        <w:t>P002/1013</w:t>
      </w:r>
      <w:r w:rsidR="00255E9C">
        <w:t>.</w:t>
      </w:r>
    </w:p>
    <w:p w:rsidR="004C620F" w:rsidRDefault="004C620F" w:rsidP="00C242A4">
      <w:pPr>
        <w:pStyle w:val="Heading4"/>
      </w:pPr>
      <w:r>
        <w:t>Other clinical chemistry</w:t>
      </w:r>
    </w:p>
    <w:p w:rsidR="004C620F" w:rsidRDefault="004C620F" w:rsidP="004C620F">
      <w:r>
        <w:t xml:space="preserve">Phosphate, magnesium, calcium: In the </w:t>
      </w:r>
      <w:r w:rsidR="000677B1">
        <w:t>ertugliflozin/metformin</w:t>
      </w:r>
      <w:r>
        <w:t xml:space="preserve"> Pool, baseline phosphate values were 3.6 mg/dL in each group. There were small increases in phosphate in the ertugliflozin 5 mg and 15 mg groups relative to the placebo group that persisted from Week 6 to Week 26. Mean changes from baseline at Week 26 were 0.2, 0.3 and 0.0 mg/dL in the ertugliflozin 5 mg, 1</w:t>
      </w:r>
      <w:r w:rsidR="007C40A2">
        <w:t>5 mg</w:t>
      </w:r>
      <w:r>
        <w:t xml:space="preserve"> and placebo groups, respectively.</w:t>
      </w:r>
      <w:r w:rsidR="00C242A4">
        <w:t xml:space="preserve"> </w:t>
      </w:r>
      <w:r>
        <w:t xml:space="preserve">The </w:t>
      </w:r>
      <w:r w:rsidR="002E313C">
        <w:t>active comparator</w:t>
      </w:r>
      <w:r>
        <w:t xml:space="preserve"> studies not included in the </w:t>
      </w:r>
      <w:r w:rsidR="000677B1">
        <w:t>ertugliflozin/metformin</w:t>
      </w:r>
      <w:r>
        <w:t xml:space="preserve"> </w:t>
      </w:r>
      <w:r w:rsidR="002E1F39">
        <w:t>pool</w:t>
      </w:r>
      <w:r>
        <w:t xml:space="preserve">, </w:t>
      </w:r>
      <w:r w:rsidR="002E1F39">
        <w:t xml:space="preserve">Studies </w:t>
      </w:r>
      <w:r>
        <w:t>P002/1013 and P005/1019, showed similar, small increases in phosphate in the ertugliflozin groups relative to the comparator group.</w:t>
      </w:r>
      <w:r w:rsidR="00C242A4">
        <w:t xml:space="preserve"> </w:t>
      </w:r>
      <w:r>
        <w:t xml:space="preserve">In the </w:t>
      </w:r>
      <w:r w:rsidR="000677B1">
        <w:t>ertugliflozin/metformin</w:t>
      </w:r>
      <w:r>
        <w:t xml:space="preserve"> Pool, the proportion of subjects who had at least 1 increase </w:t>
      </w:r>
      <w:r w:rsidR="00E900A0">
        <w:t xml:space="preserve">≥ </w:t>
      </w:r>
      <w:r>
        <w:t>0.5</w:t>
      </w:r>
      <w:r w:rsidR="002E1F39">
        <w:t> </w:t>
      </w:r>
      <w:r>
        <w:t xml:space="preserve">mg/dL and value </w:t>
      </w:r>
      <w:r w:rsidR="00094198">
        <w:t xml:space="preserve">&gt; </w:t>
      </w:r>
      <w:r>
        <w:t>ULN was higher in the ertugliflozin 5 mg and 15 mg groups relative to the placebo group (16.3%, 15.9% and 8.6% , respectively). These results are similar to the other studies and pools in the ertugliflozin development program, indicating no increased risk when ertugliflozin is used with metformin.</w:t>
      </w:r>
    </w:p>
    <w:p w:rsidR="004C620F" w:rsidRDefault="004C620F" w:rsidP="004C620F">
      <w:r>
        <w:t xml:space="preserve">In the </w:t>
      </w:r>
      <w:r w:rsidR="000677B1">
        <w:t>ertugliflozin/metformin</w:t>
      </w:r>
      <w:r>
        <w:t xml:space="preserve"> Pool, </w:t>
      </w:r>
      <w:r w:rsidR="00C242A4">
        <w:t xml:space="preserve">the </w:t>
      </w:r>
      <w:r>
        <w:t>baseline magnesium value w</w:t>
      </w:r>
      <w:r w:rsidR="00C242A4">
        <w:t>as</w:t>
      </w:r>
      <w:r w:rsidR="002E313C">
        <w:t xml:space="preserve"> approximately 1.5 </w:t>
      </w:r>
      <w:r>
        <w:t>mEq/L in each group. There were small increases in magnesium in the ertugliflozin 5 mg and</w:t>
      </w:r>
      <w:r w:rsidR="00C242A4">
        <w:t xml:space="preserve"> 15</w:t>
      </w:r>
      <w:r w:rsidR="00EF7D1E">
        <w:t> mg</w:t>
      </w:r>
      <w:r>
        <w:t xml:space="preserve"> groups relative to the placebo group that persisted from Week 6 to Week 26. Mean changes from baseline at Week 26 were 0.11, 0.14 and 0.01 mEq/</w:t>
      </w:r>
      <w:r w:rsidR="002E313C">
        <w:t>L in the ertugliflozin 5 mg, 15 </w:t>
      </w:r>
      <w:r>
        <w:t>mg and placebo groups, respectively.</w:t>
      </w:r>
      <w:r w:rsidR="00C242A4">
        <w:t xml:space="preserve"> </w:t>
      </w:r>
      <w:r>
        <w:t xml:space="preserve">In the </w:t>
      </w:r>
      <w:r w:rsidR="000677B1">
        <w:t>ertugliflozin/metformin</w:t>
      </w:r>
      <w:r>
        <w:t xml:space="preserve"> Pool, no subjects in either the ertugliflozin 5 mg and 15 mg groups or the placebo group met the PDLC criterion of increase </w:t>
      </w:r>
      <w:r w:rsidR="00E900A0">
        <w:t>≥</w:t>
      </w:r>
      <w:r w:rsidR="00C242A4">
        <w:t> </w:t>
      </w:r>
      <w:r>
        <w:t xml:space="preserve">1.0 mEq/L and value </w:t>
      </w:r>
      <w:r w:rsidR="00094198">
        <w:t xml:space="preserve">&gt; </w:t>
      </w:r>
      <w:r>
        <w:t xml:space="preserve">ULN for serum magnesium. There was 1 AE of blood magnesium decreased in the ertugliflozin 15 mg group, but no AE related to an increase in serum magnesium. The </w:t>
      </w:r>
      <w:r w:rsidR="002E313C">
        <w:t>active comparator</w:t>
      </w:r>
      <w:r>
        <w:t xml:space="preserve"> studies (</w:t>
      </w:r>
      <w:r w:rsidR="002E1F39">
        <w:t xml:space="preserve">Studies </w:t>
      </w:r>
      <w:r>
        <w:t>P002/1013 and P005/1019) showed similar, small increases in magnesium in the ertugliflozin groups relative to the comparator group.</w:t>
      </w:r>
    </w:p>
    <w:p w:rsidR="004C620F" w:rsidRDefault="004C620F" w:rsidP="004C620F">
      <w:r>
        <w:t xml:space="preserve">In the </w:t>
      </w:r>
      <w:r w:rsidR="000677B1">
        <w:t>ertugliflozin/metformin</w:t>
      </w:r>
      <w:r>
        <w:t xml:space="preserve"> Pool, there was no meaningful change in calcium in the ertugliflozin or the placebo group with no meaningful increases in the events meeting PDLC criteria. The </w:t>
      </w:r>
      <w:r w:rsidR="002E313C">
        <w:t>active comparator</w:t>
      </w:r>
      <w:r>
        <w:t xml:space="preserve"> studies not included in the </w:t>
      </w:r>
      <w:r w:rsidR="000677B1">
        <w:t>ertugliflozin/metformin</w:t>
      </w:r>
      <w:r>
        <w:t xml:space="preserve"> </w:t>
      </w:r>
      <w:r w:rsidR="002E1F39">
        <w:t>pool</w:t>
      </w:r>
      <w:r>
        <w:t xml:space="preserve">, </w:t>
      </w:r>
      <w:r w:rsidR="002E1F39">
        <w:t xml:space="preserve">Studies </w:t>
      </w:r>
      <w:r>
        <w:t>P002/1013 and P005/1019, also showed no findings related to change in calcium with ertugliflozin treatment.</w:t>
      </w:r>
    </w:p>
    <w:p w:rsidR="004C620F" w:rsidRDefault="004C620F" w:rsidP="004C620F">
      <w:r>
        <w:lastRenderedPageBreak/>
        <w:t xml:space="preserve">In the </w:t>
      </w:r>
      <w:r w:rsidR="000677B1">
        <w:t>ertugliflozin/metformin</w:t>
      </w:r>
      <w:r>
        <w:t xml:space="preserve"> Pool, the proportion of subjects who had at least 1 occurrence of PDLC increase of </w:t>
      </w:r>
      <w:r w:rsidR="00E900A0">
        <w:t xml:space="preserve">≥ </w:t>
      </w:r>
      <w:r>
        <w:t xml:space="preserve">1.0 mEq/L in serum potassium and value </w:t>
      </w:r>
      <w:r w:rsidR="00094198">
        <w:t xml:space="preserve">&gt; </w:t>
      </w:r>
      <w:r>
        <w:t>ULN were similar in the ertugliflozin 5 mg and 15 mg and placebo groups (4.56%, 4.3% and 4.9%, respectively). With similar results for the</w:t>
      </w:r>
      <w:r w:rsidR="00C242A4">
        <w:t xml:space="preserve"> </w:t>
      </w:r>
      <w:r>
        <w:t xml:space="preserve">proportion of subjects who had at least 1 occurrence of a value </w:t>
      </w:r>
      <w:r w:rsidR="00094198">
        <w:t xml:space="preserve">&gt; </w:t>
      </w:r>
      <w:r>
        <w:t xml:space="preserve">5.4 mEq/L and a value increased by 15% above baseline (4.6%, 4.9% and 5.1%, respectively) and proportion of subjects who had at least 1 occurrence of a value </w:t>
      </w:r>
      <w:r w:rsidR="00094198">
        <w:t xml:space="preserve">&gt; </w:t>
      </w:r>
      <w:r>
        <w:t>6.0 mEq/L (1.7%, 1.7% and 2.0%, respectively).</w:t>
      </w:r>
      <w:r w:rsidR="00C242A4">
        <w:t xml:space="preserve"> </w:t>
      </w:r>
      <w:r>
        <w:t xml:space="preserve">One subject in the ertugliflozin 5 mg group, 3 in the ertugliflozin 15 mg group, and 4 in the placebo group had an AE of either blood potassium increased or hyperkalaemia. These results are similar to those in the 2 </w:t>
      </w:r>
      <w:r w:rsidR="002E313C">
        <w:t>active comparator</w:t>
      </w:r>
      <w:r>
        <w:t xml:space="preserve"> studies on metformin background not included in the </w:t>
      </w:r>
      <w:r w:rsidR="000677B1">
        <w:t>ertugliflozin/metformin</w:t>
      </w:r>
      <w:r>
        <w:t xml:space="preserve"> Pool.</w:t>
      </w:r>
    </w:p>
    <w:p w:rsidR="004C620F" w:rsidRDefault="004C620F" w:rsidP="004C620F">
      <w:r>
        <w:t xml:space="preserve">There were no meaningful changes in bicarbonate levels in the </w:t>
      </w:r>
      <w:r w:rsidR="000677B1">
        <w:t>ertugliflozin/metformin</w:t>
      </w:r>
      <w:r>
        <w:t xml:space="preserve"> Pool or in the 2 </w:t>
      </w:r>
      <w:r w:rsidR="002E313C">
        <w:t>active comparator</w:t>
      </w:r>
      <w:r>
        <w:t xml:space="preserve"> studies included in the </w:t>
      </w:r>
      <w:r w:rsidR="000677B1">
        <w:t>ertugliflozin/metformin</w:t>
      </w:r>
      <w:r>
        <w:t xml:space="preserve"> FDC dossier. One subject, in the ertugliflozin 15 mg group, had at least 1 bicarbonate value </w:t>
      </w:r>
      <w:r w:rsidR="00094198">
        <w:t xml:space="preserve">&lt; </w:t>
      </w:r>
      <w:r>
        <w:t>15 mmol/L.</w:t>
      </w:r>
      <w:r w:rsidR="00C242A4">
        <w:t xml:space="preserve"> </w:t>
      </w:r>
      <w:r>
        <w:t xml:space="preserve">No subject had a bicarbonate value </w:t>
      </w:r>
      <w:r w:rsidR="00094198">
        <w:t xml:space="preserve">&lt; </w:t>
      </w:r>
      <w:r>
        <w:t>10 mmol/L.</w:t>
      </w:r>
    </w:p>
    <w:p w:rsidR="00255E9C" w:rsidRDefault="004C620F" w:rsidP="004C620F">
      <w:r>
        <w:t xml:space="preserve">In the </w:t>
      </w:r>
      <w:r w:rsidR="000677B1">
        <w:t>ertugliflozin/metformin</w:t>
      </w:r>
      <w:r>
        <w:t xml:space="preserve"> Pool, baseline uric acid values were approximately 5.4 mg/dL in each group. There were modest decreases in uric acid in the ertugliflozin 5 mg and 15 mg groups relative to the placebo group that persisted from Week 6 to Week 26. Mean changes from baseline at Week 26 were -0.50, -0.39 and 0.12 mg/dL in the ertugliflozin 5 mg, 15 mg and placebo groups,</w:t>
      </w:r>
      <w:r w:rsidR="00C242A4">
        <w:t xml:space="preserve"> </w:t>
      </w:r>
      <w:r>
        <w:t xml:space="preserve">respectively. Few subjects in the </w:t>
      </w:r>
      <w:r w:rsidR="000677B1">
        <w:t>ertugliflozin/metformin</w:t>
      </w:r>
      <w:r>
        <w:t xml:space="preserve"> </w:t>
      </w:r>
      <w:r w:rsidR="002E1F39">
        <w:t xml:space="preserve">pool </w:t>
      </w:r>
      <w:r>
        <w:t xml:space="preserve">(1.7%, 2.3% and 2.6%, respectively met PDLC criteria of an increase </w:t>
      </w:r>
      <w:r w:rsidR="00E900A0">
        <w:t xml:space="preserve">≥ </w:t>
      </w:r>
      <w:r>
        <w:t xml:space="preserve">50% and value </w:t>
      </w:r>
      <w:r w:rsidR="00094198">
        <w:t xml:space="preserve">&gt; </w:t>
      </w:r>
      <w:r>
        <w:t xml:space="preserve">ULN In the </w:t>
      </w:r>
      <w:r w:rsidR="000677B1">
        <w:t>ertugliflozin/metformin</w:t>
      </w:r>
      <w:r>
        <w:t xml:space="preserve"> </w:t>
      </w:r>
      <w:r w:rsidR="002E1F39">
        <w:t>pool</w:t>
      </w:r>
      <w:r>
        <w:t xml:space="preserve">, there were no AEs related to changes in uric acid. The </w:t>
      </w:r>
      <w:r w:rsidR="002E313C">
        <w:t>active comparator</w:t>
      </w:r>
      <w:r>
        <w:t xml:space="preserve"> studies not included in the </w:t>
      </w:r>
      <w:r w:rsidR="000677B1">
        <w:t>ertugliflozin/metformin</w:t>
      </w:r>
      <w:r>
        <w:t xml:space="preserve"> </w:t>
      </w:r>
      <w:r w:rsidR="002E1F39">
        <w:t>pool</w:t>
      </w:r>
      <w:r>
        <w:t xml:space="preserve">, </w:t>
      </w:r>
      <w:r w:rsidR="002E1F39">
        <w:t xml:space="preserve">Studies </w:t>
      </w:r>
      <w:r>
        <w:t xml:space="preserve">P002/1013 and P005/1019, similarly showed decreases in uric acid in the </w:t>
      </w:r>
      <w:r w:rsidR="002E313C">
        <w:t>ertugliflozin treated</w:t>
      </w:r>
      <w:r>
        <w:t xml:space="preserve"> groups relative to the non-</w:t>
      </w:r>
      <w:r w:rsidR="002E313C">
        <w:t>ertugliflozin treated</w:t>
      </w:r>
      <w:r>
        <w:t xml:space="preserve"> groups</w:t>
      </w:r>
      <w:r w:rsidR="00255E9C">
        <w:t>.</w:t>
      </w:r>
    </w:p>
    <w:p w:rsidR="00C242A4" w:rsidRDefault="004C620F" w:rsidP="00C242A4">
      <w:pPr>
        <w:pStyle w:val="Heading6"/>
      </w:pPr>
      <w:r>
        <w:t>Serum lipids</w:t>
      </w:r>
    </w:p>
    <w:p w:rsidR="00C242A4" w:rsidRDefault="004C620F" w:rsidP="004C620F">
      <w:r>
        <w:t xml:space="preserve">The data in the </w:t>
      </w:r>
      <w:r w:rsidR="000677B1">
        <w:t>ertugliflozin/metformin</w:t>
      </w:r>
      <w:r>
        <w:t xml:space="preserve"> </w:t>
      </w:r>
      <w:r w:rsidR="002E1F39">
        <w:t xml:space="preserve">pool </w:t>
      </w:r>
      <w:r>
        <w:t xml:space="preserve">and the individual </w:t>
      </w:r>
      <w:r w:rsidR="002E313C">
        <w:t>active comparator</w:t>
      </w:r>
      <w:r>
        <w:t xml:space="preserve"> studies on a background of metformin showed that ertugliflozin treatment relative to placebo led to small changes from baseline in the serum lipid profile including increased LDL-C, total cholesterol, and HDL-C; with decreases in t</w:t>
      </w:r>
      <w:r w:rsidR="00C242A4">
        <w:t>riglycerides (Table 18).</w:t>
      </w:r>
    </w:p>
    <w:p w:rsidR="00C242A4" w:rsidRDefault="00C242A4" w:rsidP="00C242A4">
      <w:pPr>
        <w:pStyle w:val="Tabletitle"/>
      </w:pPr>
      <w:bookmarkStart w:id="82" w:name="_Ref496169610"/>
      <w:bookmarkStart w:id="83" w:name="_Toc504037457"/>
      <w:r>
        <w:t>Table 18: LDL-C (mg/dL)</w:t>
      </w:r>
      <w:r w:rsidR="002E1F39">
        <w:t>;</w:t>
      </w:r>
      <w:r>
        <w:t xml:space="preserve"> % change from </w:t>
      </w:r>
      <w:r w:rsidR="002E1F39">
        <w:t xml:space="preserve">Baseline </w:t>
      </w:r>
      <w:r>
        <w:t>at Week 26 cLDA: individual doses versus placebo</w:t>
      </w:r>
      <w:r w:rsidR="002E1F39">
        <w:t>.</w:t>
      </w:r>
      <w:r>
        <w:t xml:space="preserve"> All subjects as treated</w:t>
      </w:r>
      <w:r w:rsidR="002E1F39">
        <w:t>;</w:t>
      </w:r>
      <w:r>
        <w:t xml:space="preserve"> </w:t>
      </w:r>
      <w:r w:rsidR="002E1F39">
        <w:t>ertugliflozin</w:t>
      </w:r>
      <w:r>
        <w:t>/metformin FDC pool including rescue approach</w:t>
      </w:r>
      <w:bookmarkEnd w:id="82"/>
      <w:bookmarkEnd w:id="83"/>
    </w:p>
    <w:p w:rsidR="00C242A4" w:rsidRDefault="00C242A4" w:rsidP="00C242A4">
      <w:r>
        <w:rPr>
          <w:noProof/>
          <w:lang w:eastAsia="en-AU"/>
        </w:rPr>
        <w:drawing>
          <wp:inline distT="0" distB="0" distL="0" distR="0" wp14:anchorId="6F1E45BC" wp14:editId="776629CA">
            <wp:extent cx="5656881" cy="2283663"/>
            <wp:effectExtent l="0" t="0" r="1270" b="2540"/>
            <wp:docPr id="151" name="Picture 151" descr="LDL-C (mg/dL) % change from baseline at Week 26 cLDA: individual doses versus placebo All subjects as treated Ertugliflozin/metformin FDC pool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lum bright="-20000" contrast="40000"/>
                      <a:extLst>
                        <a:ext uri="{28A0092B-C50C-407E-A947-70E740481C1C}">
                          <a14:useLocalDpi xmlns:a14="http://schemas.microsoft.com/office/drawing/2010/main" val="0"/>
                        </a:ext>
                      </a:extLst>
                    </a:blip>
                    <a:srcRect r="1351"/>
                    <a:stretch/>
                  </pic:blipFill>
                  <pic:spPr bwMode="auto">
                    <a:xfrm>
                      <a:off x="0" y="0"/>
                      <a:ext cx="5654057" cy="2282523"/>
                    </a:xfrm>
                    <a:prstGeom prst="rect">
                      <a:avLst/>
                    </a:prstGeom>
                    <a:noFill/>
                    <a:ln>
                      <a:noFill/>
                    </a:ln>
                    <a:extLst>
                      <a:ext uri="{53640926-AAD7-44D8-BBD7-CCE9431645EC}">
                        <a14:shadowObscured xmlns:a14="http://schemas.microsoft.com/office/drawing/2010/main"/>
                      </a:ext>
                    </a:extLst>
                  </pic:spPr>
                </pic:pic>
              </a:graphicData>
            </a:graphic>
          </wp:inline>
        </w:drawing>
      </w:r>
    </w:p>
    <w:p w:rsidR="004C620F" w:rsidRDefault="004C620F" w:rsidP="004C620F">
      <w:r>
        <w:t xml:space="preserve">These findings were consistent with those in the ertugliflozin </w:t>
      </w:r>
      <w:r w:rsidR="0034721C">
        <w:t>Phase III</w:t>
      </w:r>
      <w:r>
        <w:t xml:space="preserve"> development program including the</w:t>
      </w:r>
      <w:r w:rsidR="00C242A4">
        <w:t xml:space="preserve"> </w:t>
      </w:r>
      <w:r>
        <w:t xml:space="preserve">2 </w:t>
      </w:r>
      <w:r w:rsidR="002E313C">
        <w:t>active comparator</w:t>
      </w:r>
      <w:r>
        <w:t xml:space="preserve"> studies not included in the </w:t>
      </w:r>
      <w:r w:rsidR="000677B1">
        <w:t>ertugliflozin/metformin</w:t>
      </w:r>
      <w:r>
        <w:t xml:space="preserve"> </w:t>
      </w:r>
      <w:r w:rsidR="002E1F39">
        <w:t>pool</w:t>
      </w:r>
      <w:r>
        <w:t xml:space="preserve">. Changes over time in lipid levels have been observed with other SGLT2 inhibitors. In particular, increased LDL-C is described in the labels of SGLT2 inhibitors. Ertugliflozin treatment in the </w:t>
      </w:r>
      <w:r w:rsidR="0034721C">
        <w:lastRenderedPageBreak/>
        <w:t>Phase III</w:t>
      </w:r>
      <w:r>
        <w:t xml:space="preserve"> development program led to small changes in the lipid profile, including increased LDL-C, total cholesterol, and HDL-C; there were decreases in triglycerides.</w:t>
      </w:r>
    </w:p>
    <w:p w:rsidR="004C620F" w:rsidRDefault="004C620F" w:rsidP="0019003C">
      <w:pPr>
        <w:pStyle w:val="Heading4"/>
      </w:pPr>
      <w:r>
        <w:t>Haematology and haematological toxicity</w:t>
      </w:r>
    </w:p>
    <w:p w:rsidR="004C620F" w:rsidRDefault="004C620F" w:rsidP="0019003C">
      <w:pPr>
        <w:pStyle w:val="Heading5"/>
      </w:pPr>
      <w:r>
        <w:t>Integrated safety analyses (</w:t>
      </w:r>
      <w:r w:rsidR="000677B1">
        <w:t>ertugliflozin/metformin</w:t>
      </w:r>
      <w:r>
        <w:t xml:space="preserve"> Pool)</w:t>
      </w:r>
    </w:p>
    <w:p w:rsidR="004C620F" w:rsidRDefault="004C620F" w:rsidP="004C620F">
      <w:r>
        <w:t xml:space="preserve">In the </w:t>
      </w:r>
      <w:r w:rsidR="000677B1">
        <w:t>ertugliflozin/metformin</w:t>
      </w:r>
      <w:r>
        <w:t xml:space="preserve"> Pool, baseline haemoglobin values ranged from 13.77 g/dL to 13.94 g/Dl across groups. At Week 26, there were small increases from baseline in haemoglobin in both the ertugliflozin 5 mg and 15 mg groups (0.43 g/dL and 0.44 g/dL, respectively) relative to a decrease in the placebo group (-0.22 g/dL).</w:t>
      </w:r>
      <w:r w:rsidR="00C242A4">
        <w:t xml:space="preserve"> </w:t>
      </w:r>
      <w:r>
        <w:t xml:space="preserve">There were no AEs related to haemoglobin increase. The proportion of subjects having at least 1 increase in haemoglobin </w:t>
      </w:r>
      <w:r w:rsidR="00094198">
        <w:t xml:space="preserve">&gt; </w:t>
      </w:r>
      <w:r>
        <w:t xml:space="preserve">2.0 g/dL was higher in the ertugliflozin 5 mg and 15 mg groups (4.6% and 3.5%, respectively) relative to the placebo group (0.6%). Few subjects in the ertugliflozin 5 mg group (2 subjects; 0.6%) and ertugliflozin 15 mg group (3 subjects; 0.9%), and none in the placebo group, had at least 1 increase in haemoglobin </w:t>
      </w:r>
      <w:r w:rsidR="00094198">
        <w:t xml:space="preserve">&gt; </w:t>
      </w:r>
      <w:r>
        <w:t xml:space="preserve">2.0 g/dL and value </w:t>
      </w:r>
      <w:r w:rsidR="00094198">
        <w:t xml:space="preserve">&gt; </w:t>
      </w:r>
      <w:r>
        <w:t>ULN.</w:t>
      </w:r>
    </w:p>
    <w:p w:rsidR="004C620F" w:rsidRDefault="004C620F" w:rsidP="0019003C">
      <w:pPr>
        <w:pStyle w:val="Heading5"/>
      </w:pPr>
      <w:r>
        <w:t>Pivotal and/or main efficacy studies</w:t>
      </w:r>
    </w:p>
    <w:p w:rsidR="004C620F" w:rsidRDefault="004C620F" w:rsidP="004C620F">
      <w:r>
        <w:t xml:space="preserve">The </w:t>
      </w:r>
      <w:r w:rsidR="002E313C">
        <w:t>active comparator</w:t>
      </w:r>
      <w:r>
        <w:t xml:space="preserve"> studies not included in the </w:t>
      </w:r>
      <w:r w:rsidR="000677B1">
        <w:t>ertugliflozin/metformin</w:t>
      </w:r>
      <w:r>
        <w:t xml:space="preserve"> </w:t>
      </w:r>
      <w:r w:rsidR="002E1F39">
        <w:t>pool</w:t>
      </w:r>
      <w:r>
        <w:t xml:space="preserve">, </w:t>
      </w:r>
      <w:r w:rsidR="002E1F39">
        <w:t>Studies </w:t>
      </w:r>
      <w:r>
        <w:t>P002/1013 and P005/1019, showed similar, small increases in haemoglobin in the ertugliflozin groups relative to the non-ertugliflozin groups.</w:t>
      </w:r>
      <w:r w:rsidR="00C242A4">
        <w:t xml:space="preserve"> </w:t>
      </w:r>
      <w:r>
        <w:t xml:space="preserve">In </w:t>
      </w:r>
      <w:r w:rsidR="002E1F39">
        <w:t xml:space="preserve">Study </w:t>
      </w:r>
      <w:r>
        <w:t>P002/1013, in the ertugliflozin groups, a small mean increase in haemoglobin (≤</w:t>
      </w:r>
      <w:r w:rsidR="0019003C">
        <w:t xml:space="preserve"> </w:t>
      </w:r>
      <w:r>
        <w:t xml:space="preserve">0.58 g/dL, from a baseline of approximately 13.8 g/dL), initially seen at Week 12 and remained stable through Week 52. Mean haemoglobin levels were essentially unchanged from baseline in the glimepiride group. In </w:t>
      </w:r>
      <w:r w:rsidR="002E1F39">
        <w:t xml:space="preserve">Study </w:t>
      </w:r>
      <w:r>
        <w:t>P003/1019, small increases in haemoglobin (≤</w:t>
      </w:r>
      <w:r w:rsidR="0019003C">
        <w:t xml:space="preserve"> </w:t>
      </w:r>
      <w:r>
        <w:t>0.63 g/dL, from baseline values of approximately 14 g/dL) were observed at Weeks 12 and 26 in the co-administration and individual ertugliflozin treatment groups, relative to a slight decline (≤</w:t>
      </w:r>
      <w:r w:rsidR="0019003C">
        <w:t xml:space="preserve"> </w:t>
      </w:r>
      <w:r>
        <w:t>0.28 g/dL) in the sitagliptin group.</w:t>
      </w:r>
    </w:p>
    <w:p w:rsidR="004C620F" w:rsidRDefault="004C620F" w:rsidP="004C620F">
      <w:r>
        <w:t xml:space="preserve">The results in the </w:t>
      </w:r>
      <w:r w:rsidR="0034721C">
        <w:t>Phase III</w:t>
      </w:r>
      <w:r>
        <w:t xml:space="preserve"> studies with metformin background were consistent with those seen in the broad </w:t>
      </w:r>
      <w:r w:rsidR="0034721C">
        <w:t>Phase III</w:t>
      </w:r>
      <w:r>
        <w:t xml:space="preserve"> ertugliflozin program.</w:t>
      </w:r>
      <w:r w:rsidR="00C242A4">
        <w:t xml:space="preserve"> </w:t>
      </w:r>
      <w:r>
        <w:t>The small changes in haemoglobin seen with the addition of therapy with ertugliflozin (on the background of metformin or in other clinical settings) are unlikely to be of clinical relevance.</w:t>
      </w:r>
    </w:p>
    <w:p w:rsidR="004C620F" w:rsidRDefault="004C620F" w:rsidP="004C620F">
      <w:r>
        <w:t>A decrease to subnormal levels of previously normal serum vitamin B12 levels has been seen in patients taking metformin and measurement of hematologic parameters on an annual basis is advised. Metformin therapy should be discontinued in patients having surgical procedures, intravascular contrast studies, or experiencing hypoxic states.</w:t>
      </w:r>
    </w:p>
    <w:p w:rsidR="004C620F" w:rsidRDefault="004C620F" w:rsidP="0019003C">
      <w:pPr>
        <w:pStyle w:val="Heading4"/>
      </w:pPr>
      <w:r>
        <w:t>Other laboratory tests</w:t>
      </w:r>
    </w:p>
    <w:p w:rsidR="004C620F" w:rsidRDefault="004C620F" w:rsidP="004C620F">
      <w:r>
        <w:t>Not applicable.</w:t>
      </w:r>
    </w:p>
    <w:p w:rsidR="004C620F" w:rsidRDefault="004C620F" w:rsidP="0019003C">
      <w:pPr>
        <w:pStyle w:val="Heading4"/>
      </w:pPr>
      <w:r>
        <w:t>Electrocardiograph findings and cardiovascular safety</w:t>
      </w:r>
    </w:p>
    <w:p w:rsidR="004C620F" w:rsidRDefault="004C620F" w:rsidP="004C620F">
      <w:r>
        <w:t xml:space="preserve">In the </w:t>
      </w:r>
      <w:r w:rsidR="000677B1">
        <w:t>ertugliflozin/metformin</w:t>
      </w:r>
      <w:r>
        <w:t xml:space="preserve"> </w:t>
      </w:r>
      <w:r w:rsidR="002E1F39">
        <w:t>pool</w:t>
      </w:r>
      <w:r>
        <w:t xml:space="preserve">, no clinically meaningful changes from baseline in ECG parameters were observed in the ertugliflozin groups relative to the placebo group, or between groups in the 2 </w:t>
      </w:r>
      <w:r w:rsidR="002E313C">
        <w:t>active comparator</w:t>
      </w:r>
      <w:r>
        <w:t xml:space="preserve"> studies not included in the </w:t>
      </w:r>
      <w:r w:rsidR="000677B1">
        <w:t>ertugliflozin/metformin</w:t>
      </w:r>
      <w:r>
        <w:t xml:space="preserve"> </w:t>
      </w:r>
      <w:r w:rsidR="002E1F39">
        <w:t>pool</w:t>
      </w:r>
      <w:r>
        <w:t xml:space="preserve">, </w:t>
      </w:r>
      <w:r w:rsidR="002E1F39">
        <w:t xml:space="preserve">Studies </w:t>
      </w:r>
      <w:r>
        <w:t xml:space="preserve">P002/1013 and P005/1019. In the </w:t>
      </w:r>
      <w:r w:rsidR="000677B1">
        <w:t>ertugliflozin/metformin</w:t>
      </w:r>
      <w:r>
        <w:t xml:space="preserve"> Pool, no subjects met the criteria for a QTcF value </w:t>
      </w:r>
      <w:r w:rsidR="00E900A0">
        <w:t xml:space="preserve">≥ </w:t>
      </w:r>
      <w:r>
        <w:t xml:space="preserve">500 ms or an increase </w:t>
      </w:r>
      <w:r w:rsidR="00E900A0">
        <w:t xml:space="preserve">≥ </w:t>
      </w:r>
      <w:r>
        <w:t xml:space="preserve">60 ms and value above gender-specific ULN. The number of subjects meeting QTcF criteria for increase </w:t>
      </w:r>
      <w:r w:rsidR="00E900A0">
        <w:t xml:space="preserve">≥ </w:t>
      </w:r>
      <w:r>
        <w:t>30 ms and value above gender-specific ULN was similar in the ertugliflozin 5 mg and 15 mg groups (1.3% in both groups) and the placebo group (1.0%).</w:t>
      </w:r>
    </w:p>
    <w:p w:rsidR="004C620F" w:rsidRDefault="004C620F" w:rsidP="004C620F">
      <w:r>
        <w:t xml:space="preserve">The EMA draft reflection paper on assessment of CV risk of medicinal products for the treatment of CV and metabolic diseases was released during the conduct of the ertugliflozin </w:t>
      </w:r>
      <w:r w:rsidR="0034721C">
        <w:t>Phase III</w:t>
      </w:r>
      <w:r>
        <w:t xml:space="preserve"> program. The sponsor has initiated two studies to evaluate CV risk of ertugliflozin (a CVOT study P004/1021 and an Asia Pacific regional study P012/1045). However, recruitment in these studies is ongoing and limited (CVOT) or no data (Asia Pacific) from these studies are </w:t>
      </w:r>
      <w:r>
        <w:lastRenderedPageBreak/>
        <w:t>currently available. These CV outcomes studies will remain blinded until its completion according to agreement with the US</w:t>
      </w:r>
      <w:r w:rsidR="0019003C">
        <w:t xml:space="preserve"> </w:t>
      </w:r>
      <w:r>
        <w:t>FDA and the EMA. The CVOT study is estimated to complete in 2019, with the exact timing dependent on the accrual of CV events. Results of the CV meta</w:t>
      </w:r>
      <w:r w:rsidR="002E313C">
        <w:noBreakHyphen/>
      </w:r>
      <w:r w:rsidR="0019003C">
        <w:t>a</w:t>
      </w:r>
      <w:r>
        <w:t>nalysis were not provided in the submitted dossier.</w:t>
      </w:r>
    </w:p>
    <w:p w:rsidR="004C620F" w:rsidRDefault="004C620F" w:rsidP="0019003C">
      <w:pPr>
        <w:pStyle w:val="Heading4"/>
      </w:pPr>
      <w:r>
        <w:t>Vital signs and clinical examination findings</w:t>
      </w:r>
    </w:p>
    <w:p w:rsidR="004C620F" w:rsidRDefault="004C620F" w:rsidP="004C620F">
      <w:r>
        <w:t xml:space="preserve">In the </w:t>
      </w:r>
      <w:r w:rsidR="000677B1">
        <w:t>ertugliflozin/metformin</w:t>
      </w:r>
      <w:r>
        <w:t xml:space="preserve"> </w:t>
      </w:r>
      <w:r w:rsidR="002E1F39">
        <w:t>pool</w:t>
      </w:r>
      <w:r>
        <w:t>, baseline SBP values were approximately 130 mmHg across groups. There was a decrease in SBP at each time point in the ertugliflozin 5 mg and 15</w:t>
      </w:r>
      <w:r w:rsidR="002E1F39">
        <w:t> </w:t>
      </w:r>
      <w:r>
        <w:t xml:space="preserve">mg groups relative to the placebo group (Figure </w:t>
      </w:r>
      <w:r w:rsidR="0019003C">
        <w:t>2</w:t>
      </w:r>
      <w:r>
        <w:t>). The mean change from baseline in sitting SBP at Week 26 was greater in the ertugliflozin 5 mg and 15 mg groups (-4.32 mmHg and -5.29</w:t>
      </w:r>
      <w:r w:rsidR="002E1F39">
        <w:t> </w:t>
      </w:r>
      <w:r>
        <w:t xml:space="preserve">mmHg, respectively) relative to the placebo group (-0.39mmHg). Similar results were observed in the 2 </w:t>
      </w:r>
      <w:r w:rsidR="002E313C">
        <w:t>active comparator</w:t>
      </w:r>
      <w:r>
        <w:t xml:space="preserve"> studies not included in the </w:t>
      </w:r>
      <w:r w:rsidR="000677B1">
        <w:t>ertugliflozin/metformin</w:t>
      </w:r>
      <w:r>
        <w:t xml:space="preserve"> </w:t>
      </w:r>
      <w:r w:rsidR="002E1F39">
        <w:t xml:space="preserve">pool </w:t>
      </w:r>
      <w:r>
        <w:t>(</w:t>
      </w:r>
      <w:r w:rsidR="002E1F39">
        <w:t xml:space="preserve">Studies </w:t>
      </w:r>
      <w:r>
        <w:t>P002/1013 and P005/1019).</w:t>
      </w:r>
    </w:p>
    <w:p w:rsidR="0019003C" w:rsidRDefault="0019003C" w:rsidP="0019003C">
      <w:pPr>
        <w:pStyle w:val="FigureTitle"/>
      </w:pPr>
      <w:bookmarkStart w:id="84" w:name="_Ref493835827"/>
      <w:bookmarkStart w:id="85" w:name="_Toc504037458"/>
      <w:r>
        <w:t>Figure 2: Sitting systolic BP (mmHg)</w:t>
      </w:r>
      <w:r w:rsidR="002E1F39">
        <w:t>;</w:t>
      </w:r>
      <w:r>
        <w:t xml:space="preserve"> Mean change from baseline over time (mean </w:t>
      </w:r>
      <w:r>
        <w:rPr>
          <w:u w:val="single"/>
        </w:rPr>
        <w:t>+</w:t>
      </w:r>
      <w:r>
        <w:t xml:space="preserve"> SE)</w:t>
      </w:r>
      <w:r w:rsidR="002E1F39">
        <w:t>,</w:t>
      </w:r>
      <w:r>
        <w:t xml:space="preserve"> All subjects as treated</w:t>
      </w:r>
      <w:r w:rsidR="002E1F39">
        <w:t>.</w:t>
      </w:r>
      <w:r>
        <w:t xml:space="preserve"> Ertugliflozin/metformin FDC pool: including rescue approach</w:t>
      </w:r>
      <w:bookmarkEnd w:id="84"/>
      <w:bookmarkEnd w:id="85"/>
    </w:p>
    <w:p w:rsidR="0019003C" w:rsidRDefault="0019003C" w:rsidP="0019003C">
      <w:r>
        <w:rPr>
          <w:noProof/>
          <w:lang w:eastAsia="en-AU"/>
        </w:rPr>
        <w:drawing>
          <wp:inline distT="0" distB="0" distL="0" distR="0" wp14:anchorId="255E2B30" wp14:editId="28AB8D35">
            <wp:extent cx="4769893" cy="3250670"/>
            <wp:effectExtent l="0" t="0" r="0" b="6985"/>
            <wp:docPr id="153" name="Picture 153" descr="Sitting systolic BP (mmHg) Mean change from baseline over time (mean + SE) All subjects as treated Ertugliflozin/metformin FDC pool: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4777673" cy="3255972"/>
                    </a:xfrm>
                    <a:prstGeom prst="rect">
                      <a:avLst/>
                    </a:prstGeom>
                    <a:noFill/>
                    <a:ln>
                      <a:noFill/>
                    </a:ln>
                  </pic:spPr>
                </pic:pic>
              </a:graphicData>
            </a:graphic>
          </wp:inline>
        </w:drawing>
      </w:r>
    </w:p>
    <w:p w:rsidR="004C620F" w:rsidRDefault="004C620F" w:rsidP="004C620F">
      <w:r>
        <w:t xml:space="preserve">In the </w:t>
      </w:r>
      <w:r w:rsidR="000677B1">
        <w:t>ertugliflozin/metformin</w:t>
      </w:r>
      <w:r>
        <w:t xml:space="preserve"> </w:t>
      </w:r>
      <w:r w:rsidR="002E1F39">
        <w:t>pool</w:t>
      </w:r>
      <w:r>
        <w:t xml:space="preserve">, baseline DBP values were approximately 78 mmHg across groups. There was a decrease in DBP at each time point in the ertugliflozin groups relative to the placebo group (Figure </w:t>
      </w:r>
      <w:r w:rsidR="0019003C">
        <w:t>3</w:t>
      </w:r>
      <w:r>
        <w:t xml:space="preserve">). The mean change from baseline in DBP at Week 26 was greater in the ertugliflozin 5 mg and 15 mg groups (-1.68 mmHg and -2.09 mmHg, respectively) relative to the placebo group (0.01 mmHg) Generally similar results were observed in the 2 </w:t>
      </w:r>
      <w:r w:rsidR="002E313C">
        <w:t>active comparator</w:t>
      </w:r>
      <w:r>
        <w:t xml:space="preserve"> studies not included in the </w:t>
      </w:r>
      <w:r w:rsidR="000677B1">
        <w:t>ertugliflozin/metformin</w:t>
      </w:r>
      <w:r w:rsidR="0019003C">
        <w:t xml:space="preserve"> </w:t>
      </w:r>
      <w:r w:rsidR="002E1F39">
        <w:t>pool</w:t>
      </w:r>
      <w:r w:rsidR="0019003C">
        <w:t xml:space="preserve">, </w:t>
      </w:r>
      <w:r w:rsidR="002E1F39">
        <w:t>Studies </w:t>
      </w:r>
      <w:r w:rsidR="0019003C">
        <w:t>P002/1013 and P005/1019.</w:t>
      </w:r>
    </w:p>
    <w:p w:rsidR="0019003C" w:rsidRDefault="0019003C" w:rsidP="0019003C">
      <w:pPr>
        <w:pStyle w:val="FigureTitle"/>
        <w:keepNext/>
      </w:pPr>
      <w:bookmarkStart w:id="86" w:name="_Ref493835829"/>
      <w:bookmarkStart w:id="87" w:name="_Toc504037459"/>
      <w:r>
        <w:lastRenderedPageBreak/>
        <w:t>Figure 3:</w:t>
      </w:r>
      <w:r w:rsidRPr="00C93EE8">
        <w:t xml:space="preserve"> </w:t>
      </w:r>
      <w:r>
        <w:t>Sitting diastolic BP (mmHg)</w:t>
      </w:r>
      <w:r w:rsidR="002E1F39">
        <w:t>;</w:t>
      </w:r>
      <w:r>
        <w:t xml:space="preserve"> Mean change from </w:t>
      </w:r>
      <w:r w:rsidR="000B694F">
        <w:t xml:space="preserve">Baseline </w:t>
      </w:r>
      <w:r>
        <w:t xml:space="preserve">over time (mean </w:t>
      </w:r>
      <w:r>
        <w:rPr>
          <w:u w:val="single"/>
        </w:rPr>
        <w:t>+</w:t>
      </w:r>
      <w:r>
        <w:t xml:space="preserve"> SE)</w:t>
      </w:r>
      <w:r w:rsidR="002E1F39">
        <w:t>,</w:t>
      </w:r>
      <w:r>
        <w:t xml:space="preserve"> All subjects as treated</w:t>
      </w:r>
      <w:r w:rsidR="002E1F39">
        <w:t>;</w:t>
      </w:r>
      <w:r>
        <w:t xml:space="preserve"> </w:t>
      </w:r>
      <w:r w:rsidR="002E1F39">
        <w:t xml:space="preserve">ertugliflozin </w:t>
      </w:r>
      <w:r>
        <w:t>/ metformin FDC pool: including rescue approach</w:t>
      </w:r>
      <w:bookmarkEnd w:id="86"/>
      <w:bookmarkEnd w:id="87"/>
    </w:p>
    <w:p w:rsidR="0019003C" w:rsidRDefault="0019003C" w:rsidP="0019003C">
      <w:r>
        <w:rPr>
          <w:noProof/>
          <w:lang w:eastAsia="en-AU"/>
        </w:rPr>
        <w:drawing>
          <wp:inline distT="0" distB="0" distL="0" distR="0" wp14:anchorId="5854E9A4" wp14:editId="4C942C0B">
            <wp:extent cx="4197699" cy="3037668"/>
            <wp:effectExtent l="0" t="0" r="0" b="0"/>
            <wp:docPr id="155" name="Picture 155" descr="Sitting diastolic BP (mmHg) Mean change from baseline over time (mean + SE) All subjects as treated Ertugliflozin / metformin FDC pool: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4201056" cy="3040097"/>
                    </a:xfrm>
                    <a:prstGeom prst="rect">
                      <a:avLst/>
                    </a:prstGeom>
                    <a:noFill/>
                    <a:ln>
                      <a:noFill/>
                    </a:ln>
                  </pic:spPr>
                </pic:pic>
              </a:graphicData>
            </a:graphic>
          </wp:inline>
        </w:drawing>
      </w:r>
    </w:p>
    <w:p w:rsidR="004C620F" w:rsidRDefault="004C620F" w:rsidP="004C620F">
      <w:r>
        <w:t>While there were small numeric differences at each time point, there was no distinguishable pattern in the proportion of subjects who met the pre-specified definition for orthostatic change in systolic or diastolic blood pressure</w:t>
      </w:r>
      <w:r w:rsidR="00C242A4">
        <w:t xml:space="preserve"> </w:t>
      </w:r>
      <w:r>
        <w:t xml:space="preserve">between the ertugliflozin 5 mg and 15 mg groups and placebo group. There was also no discernible pattern in the proportions of subjects meeting systolic or diastolic orthostatic change criteria in the 2 </w:t>
      </w:r>
      <w:r w:rsidR="002E313C">
        <w:t>active comparator</w:t>
      </w:r>
      <w:r>
        <w:t xml:space="preserve"> studies not included in the </w:t>
      </w:r>
      <w:r w:rsidR="000677B1">
        <w:t>ertugliflozin/metformin</w:t>
      </w:r>
      <w:r>
        <w:t xml:space="preserve"> Pool.</w:t>
      </w:r>
    </w:p>
    <w:p w:rsidR="004C620F" w:rsidRDefault="004C620F" w:rsidP="004C620F">
      <w:r>
        <w:t xml:space="preserve">In each of the </w:t>
      </w:r>
      <w:r w:rsidR="0034721C">
        <w:t>Phase III</w:t>
      </w:r>
      <w:r>
        <w:t xml:space="preserve"> studies, sitting pulse rate was assessed at each visit. No meaningful differences in sitting pulse rate were observed over time in the ertugliflozin groups relative to the placebo group (Figure </w:t>
      </w:r>
      <w:r w:rsidR="0082345C">
        <w:t>4</w:t>
      </w:r>
      <w:r>
        <w:t xml:space="preserve">) or between groups in the 2 </w:t>
      </w:r>
      <w:r w:rsidR="002E313C">
        <w:t>active comparator</w:t>
      </w:r>
      <w:r>
        <w:t xml:space="preserve"> studies not included in the </w:t>
      </w:r>
      <w:r w:rsidR="000677B1">
        <w:t>ertugliflozin/metformin</w:t>
      </w:r>
      <w:r>
        <w:t xml:space="preserve"> </w:t>
      </w:r>
      <w:r w:rsidR="002E1F39">
        <w:t>p</w:t>
      </w:r>
      <w:r>
        <w:t>ool.</w:t>
      </w:r>
    </w:p>
    <w:p w:rsidR="0082345C" w:rsidRDefault="0082345C" w:rsidP="0082345C">
      <w:pPr>
        <w:pStyle w:val="FigureTitle"/>
        <w:keepNext/>
      </w:pPr>
      <w:bookmarkStart w:id="88" w:name="_Ref493835834"/>
      <w:bookmarkStart w:id="89" w:name="_Toc504037461"/>
      <w:r>
        <w:lastRenderedPageBreak/>
        <w:t>Figure 4: Sitting pulse rate (bpm)</w:t>
      </w:r>
      <w:r w:rsidR="000B694F">
        <w:t>;</w:t>
      </w:r>
      <w:r w:rsidR="00EF7D1E">
        <w:t xml:space="preserve"> </w:t>
      </w:r>
      <w:r>
        <w:t xml:space="preserve">Mean change from </w:t>
      </w:r>
      <w:r w:rsidR="000B694F">
        <w:t xml:space="preserve">Baseline </w:t>
      </w:r>
      <w:r>
        <w:t xml:space="preserve">over time (mean </w:t>
      </w:r>
      <w:r>
        <w:rPr>
          <w:u w:val="single"/>
        </w:rPr>
        <w:t>+</w:t>
      </w:r>
      <w:r>
        <w:t xml:space="preserve"> SE)</w:t>
      </w:r>
      <w:r w:rsidR="000B694F">
        <w:t>.</w:t>
      </w:r>
      <w:r>
        <w:t xml:space="preserve"> All subjects as treated</w:t>
      </w:r>
      <w:r w:rsidR="000B694F">
        <w:t>;</w:t>
      </w:r>
      <w:r>
        <w:t xml:space="preserve"> ertugliflozin/metformin FDC pool including rescue approach</w:t>
      </w:r>
      <w:bookmarkEnd w:id="88"/>
      <w:bookmarkEnd w:id="89"/>
    </w:p>
    <w:p w:rsidR="0082345C" w:rsidRDefault="0082345C" w:rsidP="0082345C">
      <w:r>
        <w:rPr>
          <w:noProof/>
          <w:lang w:eastAsia="en-AU"/>
        </w:rPr>
        <w:drawing>
          <wp:inline distT="0" distB="0" distL="0" distR="0" wp14:anchorId="6B6A7850" wp14:editId="6E96787D">
            <wp:extent cx="4632965" cy="3355383"/>
            <wp:effectExtent l="0" t="0" r="0" b="0"/>
            <wp:docPr id="159" name="Picture 159" descr=": Sitting pulse rate (bpm):Mean change from baseline over time (mean + SE). All subjects as treated ertugliflozin/metformin FDC pool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7">
                      <a:lum bright="-20000" contrast="40000"/>
                      <a:extLst>
                        <a:ext uri="{28A0092B-C50C-407E-A947-70E740481C1C}">
                          <a14:useLocalDpi xmlns:a14="http://schemas.microsoft.com/office/drawing/2010/main" val="0"/>
                        </a:ext>
                      </a:extLst>
                    </a:blip>
                    <a:srcRect t="1591" b="1"/>
                    <a:stretch/>
                  </pic:blipFill>
                  <pic:spPr bwMode="auto">
                    <a:xfrm>
                      <a:off x="0" y="0"/>
                      <a:ext cx="4638215" cy="3359186"/>
                    </a:xfrm>
                    <a:prstGeom prst="rect">
                      <a:avLst/>
                    </a:prstGeom>
                    <a:noFill/>
                    <a:ln>
                      <a:noFill/>
                    </a:ln>
                    <a:extLst>
                      <a:ext uri="{53640926-AAD7-44D8-BBD7-CCE9431645EC}">
                        <a14:shadowObscured xmlns:a14="http://schemas.microsoft.com/office/drawing/2010/main"/>
                      </a:ext>
                    </a:extLst>
                  </pic:spPr>
                </pic:pic>
              </a:graphicData>
            </a:graphic>
          </wp:inline>
        </w:drawing>
      </w:r>
    </w:p>
    <w:p w:rsidR="004C620F" w:rsidRDefault="004C620F" w:rsidP="004C620F">
      <w:r>
        <w:t xml:space="preserve">In both of the studies in the </w:t>
      </w:r>
      <w:r w:rsidR="000677B1">
        <w:t>ertugliflozin/metformin</w:t>
      </w:r>
      <w:r>
        <w:t xml:space="preserve"> </w:t>
      </w:r>
      <w:r w:rsidR="000B694F">
        <w:t>pool</w:t>
      </w:r>
      <w:r>
        <w:t xml:space="preserve">, the effect of ertugliflozin therapy on body weight was assessed as a secondary efficacy endpoint. In this safety analysis, data obtained after initiation of glycaemic rescue therapy were included whereas the primary evaluation for efficacy excluded post-rescue data. In the </w:t>
      </w:r>
      <w:r w:rsidR="000677B1">
        <w:t>ertugliflozin/metformin</w:t>
      </w:r>
      <w:r>
        <w:t xml:space="preserve"> </w:t>
      </w:r>
      <w:r w:rsidR="000B694F">
        <w:t>pool</w:t>
      </w:r>
      <w:r>
        <w:t xml:space="preserve">, baseline values for body weight ranged from 85.3 to 86.1 kg (Figure </w:t>
      </w:r>
      <w:r w:rsidR="0082345C">
        <w:t>5</w:t>
      </w:r>
      <w:r>
        <w:t xml:space="preserve">). There was a decrease in body weight at each time point in the ertugliflozin 5 mg and 15 mg groups relative to the placebo group. The mean change from baseline in body weight at Week 26 was greater in the ertugliflozin 5 mg and 15 mg groups (–3.1 kg and -3.0 kg, respectively) relative to the placebo group (-1.1 kg). Reductions from baseline in body weight were also observed in the </w:t>
      </w:r>
      <w:r w:rsidR="002E313C">
        <w:t>ertugliflozin treated</w:t>
      </w:r>
      <w:r>
        <w:t xml:space="preserve"> subjects in the 2 </w:t>
      </w:r>
      <w:r w:rsidR="002E313C">
        <w:t>active comparator</w:t>
      </w:r>
      <w:r>
        <w:t xml:space="preserve"> studies not included in the </w:t>
      </w:r>
      <w:r w:rsidR="000677B1">
        <w:t>ertugliflozin/metformin</w:t>
      </w:r>
      <w:r w:rsidR="0082345C">
        <w:t xml:space="preserve"> </w:t>
      </w:r>
      <w:r w:rsidR="000B694F">
        <w:t>pool</w:t>
      </w:r>
      <w:r w:rsidR="0082345C">
        <w:t>.</w:t>
      </w:r>
    </w:p>
    <w:p w:rsidR="0082345C" w:rsidRDefault="0082345C" w:rsidP="0082345C">
      <w:pPr>
        <w:pStyle w:val="FigureTitle"/>
        <w:keepNext/>
      </w:pPr>
      <w:bookmarkStart w:id="90" w:name="_Ref493835837"/>
      <w:bookmarkStart w:id="91" w:name="_Toc504037462"/>
      <w:r>
        <w:lastRenderedPageBreak/>
        <w:t xml:space="preserve">Figure 5: Body weight (kg) Mean change from baseline over time (mean </w:t>
      </w:r>
      <w:r>
        <w:rPr>
          <w:u w:val="single"/>
        </w:rPr>
        <w:t>+</w:t>
      </w:r>
      <w:r>
        <w:t xml:space="preserve"> SE) All subjects as treated. Ertugliflozin / metformin FDC pool: including rescue approach</w:t>
      </w:r>
      <w:bookmarkEnd w:id="90"/>
      <w:bookmarkEnd w:id="91"/>
    </w:p>
    <w:p w:rsidR="0082345C" w:rsidRDefault="0082345C" w:rsidP="0082345C">
      <w:r>
        <w:rPr>
          <w:noProof/>
          <w:lang w:eastAsia="en-AU"/>
        </w:rPr>
        <w:drawing>
          <wp:inline distT="0" distB="0" distL="0" distR="0" wp14:anchorId="1D99551D" wp14:editId="1E62FD33">
            <wp:extent cx="4920712" cy="3231397"/>
            <wp:effectExtent l="0" t="0" r="0" b="7620"/>
            <wp:docPr id="161" name="Picture 161" descr="Body weight (kg) Mean change from baseline over time (mean + SE) All subjects as treated. Ertugliflozin / metformin FDC pool: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a:lum bright="-20000" contrast="40000"/>
                      <a:extLst>
                        <a:ext uri="{28A0092B-C50C-407E-A947-70E740481C1C}">
                          <a14:useLocalDpi xmlns:a14="http://schemas.microsoft.com/office/drawing/2010/main" val="0"/>
                        </a:ext>
                      </a:extLst>
                    </a:blip>
                    <a:srcRect t="1388" b="2062"/>
                    <a:stretch/>
                  </pic:blipFill>
                  <pic:spPr bwMode="auto">
                    <a:xfrm>
                      <a:off x="0" y="0"/>
                      <a:ext cx="4922490" cy="3232565"/>
                    </a:xfrm>
                    <a:prstGeom prst="rect">
                      <a:avLst/>
                    </a:prstGeom>
                    <a:noFill/>
                    <a:ln>
                      <a:noFill/>
                    </a:ln>
                    <a:extLst>
                      <a:ext uri="{53640926-AAD7-44D8-BBD7-CCE9431645EC}">
                        <a14:shadowObscured xmlns:a14="http://schemas.microsoft.com/office/drawing/2010/main"/>
                      </a:ext>
                    </a:extLst>
                  </pic:spPr>
                </pic:pic>
              </a:graphicData>
            </a:graphic>
          </wp:inline>
        </w:drawing>
      </w:r>
    </w:p>
    <w:p w:rsidR="004C620F" w:rsidRDefault="004C620F" w:rsidP="0082345C">
      <w:pPr>
        <w:pStyle w:val="Heading4"/>
      </w:pPr>
      <w:r>
        <w:t>Immunogenicity and immunological events</w:t>
      </w:r>
    </w:p>
    <w:p w:rsidR="00255E9C" w:rsidRDefault="004C620F" w:rsidP="004C620F">
      <w:r>
        <w:t xml:space="preserve">The incidence of potential hypersensitivity AEs in the </w:t>
      </w:r>
      <w:r w:rsidR="000B694F">
        <w:t xml:space="preserve">ertugliflozin broad pool </w:t>
      </w:r>
      <w:r>
        <w:t xml:space="preserve">(which included </w:t>
      </w:r>
      <w:r w:rsidR="00094198">
        <w:t>&gt;</w:t>
      </w:r>
      <w:r w:rsidR="000B694F">
        <w:t> </w:t>
      </w:r>
      <w:r>
        <w:t>75% of patients on background metformin treatment) was low overall and similar in the ertugliflozin and non-ertugliflozin groups. Hypersensitivity AEs occurred most frequently in the skin and subcutaneous tissue disorders SOC, followed by the respiratory, thoracic and mediastinal SOC. The specific AEs that occurred in greater than 3 subjects in any group were: rash, urticaria, dermatitis, dermatitis allergic, rhinitis allergic, eczema, and hypersensitivity with similar incidences across treatment groups. Among these events, only 1 event (0.1%), angioedema in a subject in the non-ertugliflozin group, was serious. There were 5 events leading to discontinuation, 1 (0.1%) in the ertugliflozin 5 mg group, 3 (0.2%) in the ertugliflozin 15 mg group and 1 (0.1%) in the non-ertugliflozin group</w:t>
      </w:r>
      <w:r w:rsidR="00255E9C">
        <w:t>.</w:t>
      </w:r>
    </w:p>
    <w:p w:rsidR="004C620F" w:rsidRDefault="004C620F" w:rsidP="0082345C">
      <w:pPr>
        <w:pStyle w:val="Heading4"/>
      </w:pPr>
      <w:r>
        <w:t>Serious skin reactions</w:t>
      </w:r>
    </w:p>
    <w:p w:rsidR="004C620F" w:rsidRDefault="004C620F" w:rsidP="004C620F">
      <w:r>
        <w:t xml:space="preserve">There were some reports of rash, urticaria, dermatitis, dermatitis allergic, eczema, and hypersensitivity in the </w:t>
      </w:r>
      <w:r w:rsidR="000B694F">
        <w:t xml:space="preserve">ertugliflozin broad pool </w:t>
      </w:r>
      <w:r>
        <w:t xml:space="preserve">(which included </w:t>
      </w:r>
      <w:r w:rsidR="00094198">
        <w:t xml:space="preserve">&gt; </w:t>
      </w:r>
      <w:r>
        <w:t>75% of patients on background metformin treatment). However, there were no reports of serious skin reactions such as photosensitivity, erythema multiforme, Steven Johnson syndrome (SJS), Drug reaction with eosinophilia and systemic symptoms (DRESS) or Toxic epidermal necrolysis (TEN).</w:t>
      </w:r>
    </w:p>
    <w:p w:rsidR="004C620F" w:rsidRDefault="004C620F" w:rsidP="0082345C">
      <w:pPr>
        <w:pStyle w:val="Heading4"/>
      </w:pPr>
      <w:r>
        <w:t>Special safety topics for the Ertugliflozin/metformin FDC</w:t>
      </w:r>
    </w:p>
    <w:p w:rsidR="00255E9C" w:rsidRDefault="004C620F" w:rsidP="004C620F">
      <w:r>
        <w:t>Changes in renal function and ketoacidosis are 2 of the Special Safety Topics for ertugliflozin. Metformin has dosing considerations based on renal function and has a risk for lactic acidosis, particularly in subjects with significant renal impairment. Hence, changes in renal function and metabolic acidosis, along with hypoglycaemia, an important safety concern for all AHAs, were designated as Special Safety Topics for the proposed ertugliflozin/metformin FDC. Other Special Safety Topics identified for ertugliflozin</w:t>
      </w:r>
      <w:r w:rsidR="00C242A4">
        <w:t xml:space="preserve"> </w:t>
      </w:r>
      <w:r>
        <w:t xml:space="preserve">were discussed in detail in the Steglatro report. Of these safety topics, osmotic diuresis, volume depletion, genital infection (specifically genital mycotic infection), urinary tract infection and changes in lipids were evaluated in the </w:t>
      </w:r>
      <w:r w:rsidR="000677B1">
        <w:t>ertugliflozin/metformin</w:t>
      </w:r>
      <w:r>
        <w:t xml:space="preserve"> </w:t>
      </w:r>
      <w:r w:rsidR="000B694F">
        <w:t>pool</w:t>
      </w:r>
      <w:r w:rsidR="00255E9C">
        <w:t>.</w:t>
      </w:r>
    </w:p>
    <w:p w:rsidR="004C620F" w:rsidRDefault="004C620F" w:rsidP="0082345C">
      <w:pPr>
        <w:pStyle w:val="Heading5"/>
      </w:pPr>
      <w:r>
        <w:lastRenderedPageBreak/>
        <w:t>Changes in renal function</w:t>
      </w:r>
    </w:p>
    <w:p w:rsidR="004C620F" w:rsidRDefault="007E00F9" w:rsidP="004C620F">
      <w:r>
        <w:t xml:space="preserve">Refer to </w:t>
      </w:r>
      <w:r w:rsidRPr="007E00F9">
        <w:rPr>
          <w:i/>
        </w:rPr>
        <w:t>Renal function and renal toxicity</w:t>
      </w:r>
      <w:r>
        <w:t xml:space="preserve"> above</w:t>
      </w:r>
      <w:r w:rsidR="004C620F">
        <w:t>.</w:t>
      </w:r>
    </w:p>
    <w:p w:rsidR="004C620F" w:rsidRDefault="004C620F" w:rsidP="007E00F9">
      <w:pPr>
        <w:pStyle w:val="Heading5"/>
      </w:pPr>
      <w:r>
        <w:t>Metabolic acidosis</w:t>
      </w:r>
    </w:p>
    <w:p w:rsidR="004C620F" w:rsidRDefault="004C620F" w:rsidP="004C620F">
      <w:r>
        <w:t xml:space="preserve">Overall, 3 of 3409 (0.1%) </w:t>
      </w:r>
      <w:r w:rsidR="002E313C">
        <w:t>ertugliflozin treated</w:t>
      </w:r>
      <w:r>
        <w:t xml:space="preserve"> subjects</w:t>
      </w:r>
      <w:r w:rsidR="00C242A4">
        <w:t xml:space="preserve"> </w:t>
      </w:r>
      <w:r>
        <w:t xml:space="preserve">were assessed to have met the case definition of ketoacidosis with either </w:t>
      </w:r>
      <w:r w:rsidR="00233AFA">
        <w:t>‘</w:t>
      </w:r>
      <w:r>
        <w:t>certain</w:t>
      </w:r>
      <w:r w:rsidR="00233AFA">
        <w:t>’</w:t>
      </w:r>
      <w:r>
        <w:t xml:space="preserve"> or </w:t>
      </w:r>
      <w:r w:rsidR="00233AFA">
        <w:t>‘</w:t>
      </w:r>
      <w:r>
        <w:t>possible</w:t>
      </w:r>
      <w:r w:rsidR="00233AFA">
        <w:t>’</w:t>
      </w:r>
      <w:r>
        <w:t xml:space="preserve"> likelihood compared to no cases in the non-ertugliflozin group (0 of 1450 subjects). Although the 3 cases assessed as </w:t>
      </w:r>
      <w:r w:rsidR="00233AFA">
        <w:t>‘</w:t>
      </w:r>
      <w:r>
        <w:t>certain</w:t>
      </w:r>
      <w:r w:rsidR="00233AFA">
        <w:t>’</w:t>
      </w:r>
      <w:r>
        <w:t xml:space="preserve"> or </w:t>
      </w:r>
      <w:r w:rsidR="00233AFA">
        <w:t>‘</w:t>
      </w:r>
      <w:r>
        <w:t>possible</w:t>
      </w:r>
      <w:r w:rsidR="00233AFA">
        <w:t>’</w:t>
      </w:r>
      <w:r>
        <w:t xml:space="preserve"> ketoacidosis were all in subjects on background metformin enrolled in the 4 FDC</w:t>
      </w:r>
      <w:r w:rsidR="00C242A4">
        <w:t xml:space="preserve"> </w:t>
      </w:r>
      <w:r>
        <w:t xml:space="preserve">studies, approximately 75% of the studies in the ertugliflozin </w:t>
      </w:r>
      <w:r w:rsidR="0034721C">
        <w:t>Phase III</w:t>
      </w:r>
      <w:r>
        <w:t xml:space="preserve"> program evaluated subjects on background metformin, and therefore, this result may not</w:t>
      </w:r>
      <w:r w:rsidR="00C242A4">
        <w:t xml:space="preserve"> </w:t>
      </w:r>
      <w:r>
        <w:t xml:space="preserve">reflect an increased risk of metabolic acidosis with ertugliflozin and metformin combination therapy relative to that of the individual agents. No events of lactic acidosis or related events (blood lactic acid abnormal, blood lactic acid increased, urine lactic acid, urine lactic acid increased, and hyperlactacidaemia) were reported in the </w:t>
      </w:r>
      <w:r w:rsidR="0034721C">
        <w:t>Phase III</w:t>
      </w:r>
      <w:r>
        <w:t xml:space="preserve"> development program. In the </w:t>
      </w:r>
      <w:r w:rsidR="000677B1">
        <w:t>ertugliflozin/metformin</w:t>
      </w:r>
      <w:r>
        <w:t xml:space="preserve"> Pool, there were no meaningful differences between groups in mean change from baseline in bicarbonate concentrations or events meeting PDLC criteria for decreases in bicarbonate.</w:t>
      </w:r>
    </w:p>
    <w:p w:rsidR="004C620F" w:rsidRDefault="002E313C" w:rsidP="007E00F9">
      <w:pPr>
        <w:pStyle w:val="Heading5"/>
      </w:pPr>
      <w:r>
        <w:t>Hypoglycaemia</w:t>
      </w:r>
    </w:p>
    <w:p w:rsidR="004C620F" w:rsidRDefault="004C620F" w:rsidP="004C620F">
      <w:r>
        <w:t xml:space="preserve">As background therapy and initiation of glycaemic rescue therapy could confound the frequency and severity of hypoglycaemia, primary analyses for hypoglycaemia in the ertugliflozin </w:t>
      </w:r>
      <w:r w:rsidR="0034721C">
        <w:t>Phase III</w:t>
      </w:r>
      <w:r>
        <w:t xml:space="preserve"> program were in the excluding rescue population in the 4 individual studies contributing to this submission (</w:t>
      </w:r>
      <w:r w:rsidR="000B694F">
        <w:t xml:space="preserve">Studies </w:t>
      </w:r>
      <w:r>
        <w:t>P007/1017, P006/1015, P002/1013 and P005/1019).</w:t>
      </w:r>
    </w:p>
    <w:p w:rsidR="004C620F" w:rsidRDefault="002E313C" w:rsidP="004C620F">
      <w:r>
        <w:t xml:space="preserve">In </w:t>
      </w:r>
      <w:r w:rsidR="000B694F">
        <w:t>the p</w:t>
      </w:r>
      <w:r>
        <w:t xml:space="preserve">lacebo </w:t>
      </w:r>
      <w:r w:rsidR="004C620F">
        <w:t xml:space="preserve">controlled </w:t>
      </w:r>
      <w:r w:rsidR="000B694F">
        <w:t xml:space="preserve">add-on to metformin </w:t>
      </w:r>
      <w:r w:rsidR="004C620F">
        <w:t>Study P007/1017, there were no notable differences in the incidence of documented hypoglycaemia (symptomatic and asymptomatic together). The incidence of severe hypoglycaemia</w:t>
      </w:r>
      <w:r w:rsidR="00C242A4">
        <w:t xml:space="preserve"> </w:t>
      </w:r>
      <w:r w:rsidR="004C620F">
        <w:t>was low (</w:t>
      </w:r>
      <w:r w:rsidR="00F04D8D">
        <w:t>Table 19)</w:t>
      </w:r>
      <w:r w:rsidR="004C620F">
        <w:t>. One subject in the ertugliflozin 5 mg group and 1 subject in the placebo group had events of severe hypoglycaemia. The incidence of symptomatic hypoglycaemia</w:t>
      </w:r>
      <w:r w:rsidR="00C242A4">
        <w:t xml:space="preserve"> </w:t>
      </w:r>
      <w:r w:rsidR="004C620F">
        <w:t xml:space="preserve">at Week 26 in the ertugliflozin 5 mg and the ertugliflozin 15 mg groups was numerically higher than in the placebo group (Table </w:t>
      </w:r>
      <w:r w:rsidR="00F04D8D">
        <w:t>20</w:t>
      </w:r>
      <w:r w:rsidR="004C620F">
        <w:t>)</w:t>
      </w:r>
      <w:r w:rsidR="00F04D8D">
        <w:t>.</w:t>
      </w:r>
    </w:p>
    <w:p w:rsidR="00F04D8D" w:rsidRDefault="00F04D8D" w:rsidP="00F04D8D">
      <w:pPr>
        <w:pStyle w:val="Tabletitle"/>
      </w:pPr>
      <w:bookmarkStart w:id="92" w:name="_Ref493835855"/>
      <w:bookmarkStart w:id="93" w:name="_Toc504037455"/>
      <w:r>
        <w:t>Table 19: Documented (symptomatic and asymptomatic) and sever</w:t>
      </w:r>
      <w:r w:rsidR="000B694F">
        <w:t>e</w:t>
      </w:r>
      <w:r>
        <w:t xml:space="preserve"> hypoglycaemia events in </w:t>
      </w:r>
      <w:r w:rsidR="000B694F">
        <w:t xml:space="preserve">the </w:t>
      </w:r>
      <w:r>
        <w:t xml:space="preserve">individual </w:t>
      </w:r>
      <w:r w:rsidR="000B694F">
        <w:t xml:space="preserve">Phase III </w:t>
      </w:r>
      <w:r>
        <w:t>studies (ertugliflozin / metformin)</w:t>
      </w:r>
      <w:bookmarkEnd w:id="92"/>
      <w:bookmarkEnd w:id="93"/>
    </w:p>
    <w:p w:rsidR="00F04D8D" w:rsidRDefault="00F04D8D" w:rsidP="00F04D8D">
      <w:r>
        <w:rPr>
          <w:noProof/>
          <w:lang w:eastAsia="en-AU"/>
        </w:rPr>
        <w:drawing>
          <wp:inline distT="0" distB="0" distL="0" distR="0" wp14:anchorId="569841D4" wp14:editId="2A22339D">
            <wp:extent cx="5731510" cy="2139645"/>
            <wp:effectExtent l="0" t="0" r="2540" b="0"/>
            <wp:docPr id="147" name="Picture 147" descr="Documented (symptomatic and asymptomatic) and sever hypoglycaemia events in individual phase 3 studies (ertugliflozin / metfo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5731510" cy="2139645"/>
                    </a:xfrm>
                    <a:prstGeom prst="rect">
                      <a:avLst/>
                    </a:prstGeom>
                    <a:noFill/>
                    <a:ln>
                      <a:noFill/>
                    </a:ln>
                  </pic:spPr>
                </pic:pic>
              </a:graphicData>
            </a:graphic>
          </wp:inline>
        </w:drawing>
      </w:r>
    </w:p>
    <w:p w:rsidR="00F04D8D" w:rsidRDefault="00F04D8D" w:rsidP="00F04D8D">
      <w:pPr>
        <w:pStyle w:val="Tabletitle"/>
      </w:pPr>
      <w:bookmarkStart w:id="94" w:name="_Ref493835858"/>
      <w:bookmarkStart w:id="95" w:name="_Toc504037456"/>
      <w:r>
        <w:lastRenderedPageBreak/>
        <w:t>Table 20: Symptomatic hypoglycaemia AEs by study (ertugliflozin / metformin)</w:t>
      </w:r>
      <w:bookmarkEnd w:id="94"/>
      <w:bookmarkEnd w:id="95"/>
    </w:p>
    <w:p w:rsidR="00F04D8D" w:rsidRDefault="00F04D8D" w:rsidP="00F04D8D">
      <w:r>
        <w:rPr>
          <w:noProof/>
          <w:lang w:eastAsia="en-AU"/>
        </w:rPr>
        <w:drawing>
          <wp:inline distT="0" distB="0" distL="0" distR="0" wp14:anchorId="7D22E074" wp14:editId="3E09BADA">
            <wp:extent cx="5731510" cy="2196992"/>
            <wp:effectExtent l="0" t="0" r="2540" b="0"/>
            <wp:docPr id="149" name="Picture 149" descr="Symptomatic hypoglycaemia AEs by study (ertugliflozin / metfo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5731510" cy="2196992"/>
                    </a:xfrm>
                    <a:prstGeom prst="rect">
                      <a:avLst/>
                    </a:prstGeom>
                    <a:noFill/>
                    <a:ln>
                      <a:noFill/>
                    </a:ln>
                  </pic:spPr>
                </pic:pic>
              </a:graphicData>
            </a:graphic>
          </wp:inline>
        </w:drawing>
      </w:r>
    </w:p>
    <w:p w:rsidR="004C620F" w:rsidRDefault="004C620F" w:rsidP="004C620F">
      <w:r>
        <w:t xml:space="preserve">In the </w:t>
      </w:r>
      <w:r w:rsidR="001F6870">
        <w:t>add-on to metformin and sitagliptin</w:t>
      </w:r>
      <w:r>
        <w:t xml:space="preserve"> Study P006/1015, the incidence of documented hypoglycaemia was low and not notably different between the ertugliflozin dose groups and the placebo group. Two subjects, 1 in the ertugliflozin 5 mg group and 1 in the placebo group, had an AE of severe hypoglycaemia. Compared with placebo, the incidence of symptomatic hypoglycaemia at Week 26 was similar in the ertugliflozin 5 mg group, and numerically lower in the ertugliflozin 15 mg group (Table </w:t>
      </w:r>
      <w:r w:rsidR="00F04D8D">
        <w:t>20</w:t>
      </w:r>
      <w:r>
        <w:t>).</w:t>
      </w:r>
    </w:p>
    <w:p w:rsidR="004C620F" w:rsidRDefault="004C620F" w:rsidP="004C620F">
      <w:r>
        <w:t xml:space="preserve">In the </w:t>
      </w:r>
      <w:r w:rsidR="001F6870">
        <w:t xml:space="preserve">ertugliflozin versus glimepiride as add-on to metformin </w:t>
      </w:r>
      <w:r>
        <w:t xml:space="preserve">Study P002/1013, the incidence of documented hypoglycaemia was lower in the ertugliflozin dose groups relative to the glimepiride group (5.6%, 8.2% and 27.2% in the ertugliflozin </w:t>
      </w:r>
      <w:r w:rsidR="007C40A2">
        <w:t>5 mg</w:t>
      </w:r>
      <w:r>
        <w:t>, 1</w:t>
      </w:r>
      <w:r w:rsidR="007C40A2">
        <w:t>5 mg</w:t>
      </w:r>
      <w:r>
        <w:t xml:space="preserve"> and glimepiride groups, respectively). The incidence of severe hypoglycaemia was also lower in the ertugliflozin dose groups compared to glimepiride. There were 2 </w:t>
      </w:r>
      <w:r w:rsidR="002E313C">
        <w:t>ertugliflozin treated</w:t>
      </w:r>
      <w:r>
        <w:t xml:space="preserve"> subjects, 1 each in the ertugliflozin 5 mg and 15 mg groups, compared with 10 glimepiride treated-subjects with severe hypoglycaemia reported. The incidence of symptomatic hypoglycaemia at Week 52 was lower in both the ertugliflozin 5 mg and 15 mg groups relative to the glimepiride group (3.1%, 5.2% and 19.2%, respectively).</w:t>
      </w:r>
    </w:p>
    <w:p w:rsidR="004C620F" w:rsidRDefault="004C620F" w:rsidP="004C620F">
      <w:r>
        <w:t xml:space="preserve">In the </w:t>
      </w:r>
      <w:r w:rsidR="001F6870">
        <w:t xml:space="preserve">ertugliflozin + sitagliptin factorial </w:t>
      </w:r>
      <w:r>
        <w:t xml:space="preserve">Study P005/1019, the incidence of documented hypoglycaemia was low and similar in the E5 and E15 groups, with a numerically lower incidence seen in the S100 group. One subject in the E15 group, and none in the E5 or S100 groups, had a severe event of hypoglycaemia. The incidence of symptomatic hypoglycaemia was the same in the E5, E15, and S100 groups (Table </w:t>
      </w:r>
      <w:r w:rsidR="00F04D8D">
        <w:t>20</w:t>
      </w:r>
      <w:r>
        <w:t>).</w:t>
      </w:r>
    </w:p>
    <w:p w:rsidR="00255E9C" w:rsidRDefault="004C620F" w:rsidP="004C620F">
      <w:r>
        <w:t xml:space="preserve">In the </w:t>
      </w:r>
      <w:r w:rsidR="000677B1">
        <w:t>ertugliflozin/metformin</w:t>
      </w:r>
      <w:r>
        <w:t xml:space="preserve"> FDC Pool, the incidence of documented hypoglycaemia (symptomatic and asymptomatic) was similar in the placebo and ertugliflozin groups (3.9%, 6.1% and 5.3%, in the placebo, ertugliflozin </w:t>
      </w:r>
      <w:r w:rsidR="007C40A2">
        <w:t>5 mg</w:t>
      </w:r>
      <w:r>
        <w:t xml:space="preserve"> and 1</w:t>
      </w:r>
      <w:r w:rsidR="007C40A2">
        <w:t>5 mg</w:t>
      </w:r>
      <w:r>
        <w:t xml:space="preserve"> groups, respectively). In addition, the incidence of severe hypoglycaemia was low (</w:t>
      </w:r>
      <w:r w:rsidR="00094198">
        <w:t xml:space="preserve">&lt; </w:t>
      </w:r>
      <w:r>
        <w:t xml:space="preserve">1%) and similar across the ertugliflozin dose groups and placebo group. Among the subjects having an episode of documented hypoglycaemia, most had only 1 event. The incidence of subjects having 3 or more events of documented hypoglycaemia was not notably different (0.6%, 1.7% and 0.8%, respectively). Finally, the incidence of subjects with an episode of documented hypoglycaemia associated with a glucose of </w:t>
      </w:r>
      <w:r w:rsidR="00094198">
        <w:t xml:space="preserve">&lt; </w:t>
      </w:r>
      <w:r>
        <w:t xml:space="preserve">3.1 mmol/L was low and similar in placebo and ertugliflozin groups (1.1%, 1.4% and 0.8%, respectively). Among the subjects having a severe event, only 1 subject in the ertugliflozin 5 mg group had a glucose </w:t>
      </w:r>
      <w:r w:rsidR="00094198">
        <w:t xml:space="preserve">&lt; </w:t>
      </w:r>
      <w:r>
        <w:t xml:space="preserve">3.1 mmol/L). There were no notable differences in the incidence of subjects having symptomatic hypoglycaemia events (2.2%, 3.6% and 2.2%, respectively). A clinical review of accidents and injuries, including falls, as determined by a CMQ determined that there were no subjects in the </w:t>
      </w:r>
      <w:r w:rsidR="000677B1">
        <w:t>ertugliflozin/metformin</w:t>
      </w:r>
      <w:r>
        <w:t xml:space="preserve"> Pool with hypoglycaemia events that were concurrent with or immediately preceding these events</w:t>
      </w:r>
      <w:r w:rsidR="00255E9C">
        <w:t>.</w:t>
      </w:r>
    </w:p>
    <w:p w:rsidR="004C620F" w:rsidRDefault="004C620F" w:rsidP="00F04D8D">
      <w:pPr>
        <w:pStyle w:val="Heading4"/>
      </w:pPr>
      <w:r>
        <w:lastRenderedPageBreak/>
        <w:t>Urinary tract infections</w:t>
      </w:r>
    </w:p>
    <w:p w:rsidR="004C620F" w:rsidRDefault="004C620F" w:rsidP="004C620F">
      <w:r>
        <w:t xml:space="preserve">In the </w:t>
      </w:r>
      <w:r w:rsidR="000677B1">
        <w:t>ertugliflozin/metformin</w:t>
      </w:r>
      <w:r>
        <w:t xml:space="preserve"> </w:t>
      </w:r>
      <w:r w:rsidR="001F6870">
        <w:t>pool</w:t>
      </w:r>
      <w:r>
        <w:t>, the incidence of urinary tract infections was significantly higher in the ertugliflozin 15 mg group (4.2%; p = 0.044) and numerically higher in the ertugliflozin 5 mg group (2.8%) and the all ertugliflozin groups (3.5%) compared to the placebo group (1.7%). There was 1 event of urinary tract infection in the ertugliflozin 15 mg group that resulted in discontinuation of study medication. There were no serious events of urinary tract infections. In Study P002/1013, the incidence of urinary tract infections was similar across the ertugliflozin 5 mg and 15 mg treatment groups (6.7% and 6.4%, respectively) and the glimepiride group (6.9%). In Study P005/1019, the incidence of urinary tract infections was numerically higher in the E5 and E15 groups (6.0% and 5.6%, respectively) relative to the S100 group (3.2%) (no formal comparisons were performed). Of note, the incidence of urinary tract infections in the E5/S100 and E15/S100 groups (3.3% and 3.7%, respectively) was similar to that of the S100 group</w:t>
      </w:r>
      <w:r w:rsidR="00F04D8D">
        <w:t>.</w:t>
      </w:r>
    </w:p>
    <w:p w:rsidR="004C620F" w:rsidRDefault="004C620F" w:rsidP="00F04D8D">
      <w:pPr>
        <w:pStyle w:val="Comment"/>
      </w:pPr>
      <w:r w:rsidRPr="00F04D8D">
        <w:rPr>
          <w:b/>
        </w:rPr>
        <w:t>Comment</w:t>
      </w:r>
      <w:r w:rsidR="002E313C">
        <w:t xml:space="preserve">: </w:t>
      </w:r>
      <w:r>
        <w:t xml:space="preserve">While the incidence of urinary tract infection was higher in </w:t>
      </w:r>
      <w:r w:rsidR="002E313C">
        <w:t>ertugliflozin treated</w:t>
      </w:r>
      <w:r>
        <w:t xml:space="preserve"> subjects in the </w:t>
      </w:r>
      <w:r w:rsidR="000677B1">
        <w:t>ertugliflozin/metformin</w:t>
      </w:r>
      <w:r>
        <w:t xml:space="preserve"> </w:t>
      </w:r>
      <w:r w:rsidR="001F6870">
        <w:t>pool</w:t>
      </w:r>
      <w:r>
        <w:t xml:space="preserve">, this was not typical of the other larger pooled analyses reviewed for the ertugliflozin SCS (PBO and </w:t>
      </w:r>
      <w:r w:rsidR="001F6870">
        <w:t>broad pools</w:t>
      </w:r>
      <w:r>
        <w:t xml:space="preserve">). The sponsors propose that as there is no mechanism to suggest a risk from the concurrent use of ertugliflozin and metformin and urinary tract infection is not considered a meaningful risk for the combination. Furthermore, </w:t>
      </w:r>
      <w:r w:rsidR="00233AFA">
        <w:t>‘</w:t>
      </w:r>
      <w:r>
        <w:t>urinary tract infections</w:t>
      </w:r>
      <w:r w:rsidR="00233AFA">
        <w:t>’</w:t>
      </w:r>
      <w:r>
        <w:t xml:space="preserve"> has been included as a potential risk in the proposed pharmacovigilance activities.</w:t>
      </w:r>
    </w:p>
    <w:p w:rsidR="004C620F" w:rsidRDefault="004C620F" w:rsidP="00F04D8D">
      <w:pPr>
        <w:pStyle w:val="Heading4"/>
      </w:pPr>
      <w:r>
        <w:t>Genital mycotic infection</w:t>
      </w:r>
    </w:p>
    <w:p w:rsidR="004C620F" w:rsidRDefault="004C620F" w:rsidP="004C620F">
      <w:r>
        <w:t xml:space="preserve">In the </w:t>
      </w:r>
      <w:r w:rsidR="00F04D8D">
        <w:t xml:space="preserve">ertugliflozin/metformin </w:t>
      </w:r>
      <w:r w:rsidR="001F6870">
        <w:t>pool</w:t>
      </w:r>
      <w:r>
        <w:t>, the incidence of genital mycotic infection in men was significantly higher in the ertugliflozin 5 mg group (3.9%; p = 0.005), ertugliflozin 15 mg group (3.4%; p = 0.009), and the all ertugliflozin group (3.7%; p = 0.006) relative to the placebo group (none reported).</w:t>
      </w:r>
      <w:r w:rsidR="00C242A4">
        <w:t xml:space="preserve"> </w:t>
      </w:r>
      <w:r>
        <w:t>None of the events was serious.</w:t>
      </w:r>
      <w:r w:rsidR="00C242A4">
        <w:t xml:space="preserve"> </w:t>
      </w:r>
      <w:r>
        <w:t>One subject in the ertugliflozin 5 mg group discontinued study medication due to an event of balanoposthitis. The incidence of genital mycotic infection in women was significantly higher in the ertugliflozin 5 mg group (6.5%; p</w:t>
      </w:r>
      <w:r w:rsidR="003E3964">
        <w:t> </w:t>
      </w:r>
      <w:r>
        <w:t>=</w:t>
      </w:r>
      <w:r w:rsidR="003E3964">
        <w:t> </w:t>
      </w:r>
      <w:r>
        <w:t>0.015), ertugliflozin 15 mg group (8.7%; p = 0.002), and the all ertugliflozin group (7.6%; p</w:t>
      </w:r>
      <w:r w:rsidR="003E3964">
        <w:t> </w:t>
      </w:r>
      <w:r>
        <w:t>=</w:t>
      </w:r>
      <w:r w:rsidR="003E3964">
        <w:t> </w:t>
      </w:r>
      <w:r>
        <w:t xml:space="preserve">0.004) relative to the placebo group (1.2%). The incidence of genital mycotic infection was numerically higher in the ertugliflozin 15 mg group relative to the ertugliflozin 5 mg group. Two subjects in the ertugliflozin 5 mg group (vulvovaginal mycotic infection and vulvovaginal candidiasis) discontinued study medication as a result of genital mycotic infections. The incidence of genital mycotic infections in both male and female subjects was also greater in ertugliflozin subjects in the 2 </w:t>
      </w:r>
      <w:r w:rsidR="002E313C">
        <w:t>active comparator</w:t>
      </w:r>
      <w:r>
        <w:t xml:space="preserve"> studies</w:t>
      </w:r>
      <w:r w:rsidR="00C242A4">
        <w:t xml:space="preserve"> </w:t>
      </w:r>
      <w:r>
        <w:t>(</w:t>
      </w:r>
      <w:r w:rsidR="001F6870">
        <w:t xml:space="preserve">Studies </w:t>
      </w:r>
      <w:r>
        <w:t xml:space="preserve">P002/1013 and P005/1019). In the overall ertugliflozin </w:t>
      </w:r>
      <w:r w:rsidR="0034721C">
        <w:t>Phase III</w:t>
      </w:r>
      <w:r>
        <w:t xml:space="preserve"> development program, the incidence of complicated infections was low in all groups (</w:t>
      </w:r>
      <w:r w:rsidR="00094198">
        <w:t xml:space="preserve">&lt; </w:t>
      </w:r>
      <w:r>
        <w:t>1% in men and ≤</w:t>
      </w:r>
      <w:r w:rsidR="002E313C">
        <w:t xml:space="preserve"> </w:t>
      </w:r>
      <w:r>
        <w:t xml:space="preserve">0.3% in women). Overall, the data in the </w:t>
      </w:r>
      <w:r w:rsidR="000677B1">
        <w:t>ertugliflozin/metformin</w:t>
      </w:r>
      <w:r w:rsidR="002E313C">
        <w:t xml:space="preserve"> Pool and the individual active </w:t>
      </w:r>
      <w:r>
        <w:t>controlled studies on a background of metformin identified no additional safety or tolerability concerns with regard to genital mycotic infections, for the combination relative to the two agents given alone.</w:t>
      </w:r>
    </w:p>
    <w:p w:rsidR="004C620F" w:rsidRDefault="004C620F" w:rsidP="003E3964">
      <w:pPr>
        <w:pStyle w:val="Heading4"/>
      </w:pPr>
      <w:r>
        <w:t xml:space="preserve">Volume </w:t>
      </w:r>
      <w:r w:rsidR="002E313C">
        <w:t>depletion and osmotic diuresis</w:t>
      </w:r>
    </w:p>
    <w:p w:rsidR="004C620F" w:rsidRDefault="004C620F" w:rsidP="004C620F">
      <w:r>
        <w:t xml:space="preserve">The incidence of volume depletion events in the </w:t>
      </w:r>
      <w:r w:rsidR="000677B1">
        <w:t>ertugliflozin/metformin</w:t>
      </w:r>
      <w:r>
        <w:t xml:space="preserve"> </w:t>
      </w:r>
      <w:r w:rsidR="001F6870">
        <w:t xml:space="preserve">pool </w:t>
      </w:r>
      <w:r>
        <w:t xml:space="preserve">was similar across the ertugliflozin 5 mg and 15 mg groups and the placebo group. The incidence of AEs related to osmotic diuresis in the </w:t>
      </w:r>
      <w:r w:rsidR="000677B1">
        <w:t>ertugliflozin/metformin</w:t>
      </w:r>
      <w:r>
        <w:t xml:space="preserve"> </w:t>
      </w:r>
      <w:r w:rsidR="001F6870">
        <w:t xml:space="preserve">pool </w:t>
      </w:r>
      <w:r>
        <w:t xml:space="preserve">was low across all groups but numerically higher in the ertugliflozin 5 mg and 15 mg groups (2.2% and 2.0%, respectively) relative to the placebo group (0.6%). None of these events was serious or led to discontinuation of study medication. One subject, in the ertugliflozin 15 mg group, had a severe event (pollakiuria); all other events were mild or moderate in intensity. Results for AEs related to increased urination were similar to those seen for osmotic diuresis. The incidence of events related to thirst was low, but numerically higher in the ertugliflozin 5 mg and 15 mg groups </w:t>
      </w:r>
      <w:r>
        <w:lastRenderedPageBreak/>
        <w:t>(0.8% and 0.6%, respectively) compared to the placebo group (0.3%)</w:t>
      </w:r>
      <w:r w:rsidR="00CE07A4">
        <w:t>)</w:t>
      </w:r>
      <w:r>
        <w:t xml:space="preserve">. None of the thirst AEs </w:t>
      </w:r>
      <w:r w:rsidR="00EF7D1E">
        <w:t>was</w:t>
      </w:r>
      <w:r>
        <w:t xml:space="preserve"> </w:t>
      </w:r>
      <w:r w:rsidR="003E3964">
        <w:t xml:space="preserve">of a </w:t>
      </w:r>
      <w:r>
        <w:t>serious</w:t>
      </w:r>
      <w:r w:rsidR="003E3964">
        <w:t xml:space="preserve"> or</w:t>
      </w:r>
      <w:r>
        <w:t xml:space="preserve"> severe</w:t>
      </w:r>
      <w:r w:rsidR="003E3964">
        <w:t xml:space="preserve"> nature </w:t>
      </w:r>
      <w:r>
        <w:t>or resulted in discontinuation from study medication. No formal analysis of osmotic diuresis was performed in individual CSRs. However, in a post</w:t>
      </w:r>
      <w:r w:rsidR="003E3964">
        <w:t xml:space="preserve"> </w:t>
      </w:r>
      <w:r>
        <w:t xml:space="preserve">hoc analysis for the </w:t>
      </w:r>
      <w:r w:rsidR="001F6870">
        <w:t xml:space="preserve">ertugliflozin+sitagliptin factorial </w:t>
      </w:r>
      <w:r>
        <w:t>Study P005/1010, the incidence of osmotic diuresis was low (≤</w:t>
      </w:r>
      <w:r w:rsidR="003E3964">
        <w:t xml:space="preserve"> </w:t>
      </w:r>
      <w:r>
        <w:t>2.1% in each group), without any notable pattern of occurrence across groups.</w:t>
      </w:r>
    </w:p>
    <w:p w:rsidR="004C620F" w:rsidRDefault="004C620F" w:rsidP="003E3964">
      <w:pPr>
        <w:pStyle w:val="Heading4"/>
      </w:pPr>
      <w:r>
        <w:t xml:space="preserve">Other safety topics in the ertugliflozin </w:t>
      </w:r>
      <w:r w:rsidR="0034721C">
        <w:t>Phase III</w:t>
      </w:r>
      <w:r>
        <w:t xml:space="preserve"> program</w:t>
      </w:r>
    </w:p>
    <w:p w:rsidR="00255E9C" w:rsidRDefault="004C620F" w:rsidP="004C620F">
      <w:r>
        <w:t xml:space="preserve">In the </w:t>
      </w:r>
      <w:r w:rsidR="0034721C">
        <w:t>Phase III</w:t>
      </w:r>
      <w:r>
        <w:t xml:space="preserve"> ertugliflozin development program, there was no increased risk associated with ertugliflozin treatment and fracture, venous thromboembolism, hepatic injury, pancreatitis, hypersensitivity or malignancy. Non-traumatic limb amputat</w:t>
      </w:r>
      <w:r w:rsidR="003E3964">
        <w:t>ions and peripheral revascularis</w:t>
      </w:r>
      <w:r>
        <w:t>ations were reported with low incidence overall; amputations, particularly involving toes, occurred more frequently in ertugliflozin treated subjects. The clinical significance of the amputatio</w:t>
      </w:r>
      <w:r w:rsidR="003E3964">
        <w:t>n/peripheral revascularis</w:t>
      </w:r>
      <w:r>
        <w:t>ation data as related to ertugliflozin is uncertain</w:t>
      </w:r>
      <w:r w:rsidR="00255E9C">
        <w:t>.</w:t>
      </w:r>
    </w:p>
    <w:p w:rsidR="004C620F" w:rsidRDefault="004C620F" w:rsidP="003E3964">
      <w:pPr>
        <w:pStyle w:val="Heading3"/>
      </w:pPr>
      <w:bookmarkStart w:id="96" w:name="_Toc4571214"/>
      <w:r>
        <w:t>Other safety issues</w:t>
      </w:r>
      <w:bookmarkEnd w:id="96"/>
    </w:p>
    <w:p w:rsidR="004C620F" w:rsidRDefault="004C620F" w:rsidP="003E3964">
      <w:pPr>
        <w:pStyle w:val="Heading4"/>
      </w:pPr>
      <w:r>
        <w:t>Safety in special populations</w:t>
      </w:r>
    </w:p>
    <w:p w:rsidR="004C620F" w:rsidRDefault="004C620F" w:rsidP="004C620F">
      <w:r>
        <w:t xml:space="preserve">No specific analyses to assess intrinsic factors were performed for subjects taking the combination of ertugliflozin and metformin. Formal subgroup analyses for safety were not performed in the </w:t>
      </w:r>
      <w:r w:rsidR="000677B1">
        <w:t>ertugliflozin/metformin</w:t>
      </w:r>
      <w:r>
        <w:t xml:space="preserve"> </w:t>
      </w:r>
      <w:r w:rsidR="001F6870">
        <w:t xml:space="preserve">pool </w:t>
      </w:r>
      <w:r>
        <w:t>given the smaller subgroup sizes limiting the precision of the estimates. However, genital mycotic infections were assessed by gender (refer above). Subgroup analyses for age, gender, race, ethnicity, and renal function w</w:t>
      </w:r>
      <w:r w:rsidR="002E313C">
        <w:t xml:space="preserve">ere performed in the 7 </w:t>
      </w:r>
      <w:r>
        <w:t xml:space="preserve">study ertugliflozin </w:t>
      </w:r>
      <w:r w:rsidR="001F6870">
        <w:t xml:space="preserve">broad pool </w:t>
      </w:r>
      <w:r>
        <w:t>(re</w:t>
      </w:r>
      <w:r w:rsidR="003E3964">
        <w:t xml:space="preserve">fer </w:t>
      </w:r>
      <w:r w:rsidR="001F6870">
        <w:t xml:space="preserve">to the </w:t>
      </w:r>
      <w:r w:rsidR="003E3964">
        <w:t>Steglatro evaluation report</w:t>
      </w:r>
      <w:r w:rsidR="001F6870">
        <w:t xml:space="preserve"> (see Attachment 2)</w:t>
      </w:r>
      <w:r>
        <w:t>).</w:t>
      </w:r>
    </w:p>
    <w:p w:rsidR="003E3964" w:rsidRDefault="004C620F" w:rsidP="003E3964">
      <w:pPr>
        <w:pStyle w:val="Heading5"/>
      </w:pPr>
      <w:r>
        <w:t>Pregnancy/lactation</w:t>
      </w:r>
    </w:p>
    <w:p w:rsidR="004C620F" w:rsidRDefault="004C620F" w:rsidP="004C620F">
      <w:r>
        <w:t>There are no adequate and well-controlled studies in pregnant women with the ertugliflozin/metformin FDC or its individual components. The FDC should be used during pregnancy only if the potential benefit justifies the potential risk to the foetus.</w:t>
      </w:r>
    </w:p>
    <w:p w:rsidR="004C620F" w:rsidRDefault="004C620F" w:rsidP="004C620F">
      <w:r>
        <w:t>Metformin did not adversely affect developmental outcomes when administered to rats and rabbits at doses up to 600 mg/kg/day. This represents an exposure of about 2 and 6 times the maximum recommended human dose of 2000 mg based on body surface area comparisons for rats and rabbits, respectively. Determination of foetal concentrations demonstrated a partial placental barrier to metformin. Based on results from animal studies, ertugliflozin may affect renal development and maturation, therefore the ertugliflozin/metformin FDC is not recommended during the second and third trimesters of pregnancy.</w:t>
      </w:r>
    </w:p>
    <w:p w:rsidR="004C620F" w:rsidRDefault="004C620F" w:rsidP="004C620F">
      <w:r>
        <w:t>No studies in lactating animals have been conducted with the combined components of the ertugliflozin/metformin FDC. In studies performed with the individual components, both ertugliflozin and metformin are secreted in the milk of lactating rats. It is not known whether ertugliflozin is excreted in human milk. Since human kidney maturation occurs in utero and during the first 2 years of life when lactational exposure may occur, there may be risk to the developing human kidney, based on data with ertugliflozin. Because many drugs are excreted in human milk and because of the potential for adverse reactions in nursing infants from the ertugliflozin/metformin FDC, a decision should be made whether to discontinue nursing or to discontinue the FDC, taking into account the importance of the drug to the mother.</w:t>
      </w:r>
    </w:p>
    <w:p w:rsidR="003E3964" w:rsidRDefault="004C620F" w:rsidP="003E3964">
      <w:pPr>
        <w:pStyle w:val="Heading5"/>
      </w:pPr>
      <w:r>
        <w:t>Overdose, drug abuse, withdrawal/ rebound</w:t>
      </w:r>
    </w:p>
    <w:p w:rsidR="004C620F" w:rsidRDefault="004C620F" w:rsidP="004C620F">
      <w:r>
        <w:t xml:space="preserve">In analyses of pooled </w:t>
      </w:r>
      <w:r w:rsidR="0034721C">
        <w:t>Phase I</w:t>
      </w:r>
      <w:r>
        <w:t xml:space="preserve"> studies, ertugliflozin was generally well tolerated when administered as a single dose of 300 mg in 7 subjects and 100 mg in 52 subjects and as multiple dose of 100 mg once daily for 14 days in 8 subjects. No new adverse events were reported (that </w:t>
      </w:r>
      <w:r>
        <w:lastRenderedPageBreak/>
        <w:t xml:space="preserve">were not seen in lower dose groups </w:t>
      </w:r>
      <w:r w:rsidR="00CE07A4">
        <w:t>(</w:t>
      </w:r>
      <w:r w:rsidR="00094198">
        <w:t xml:space="preserve">&lt; </w:t>
      </w:r>
      <w:r>
        <w:t>100 mg</w:t>
      </w:r>
      <w:r w:rsidR="00CE07A4">
        <w:t>)</w:t>
      </w:r>
      <w:r>
        <w:t>) and adverse events reported in more than 1</w:t>
      </w:r>
      <w:r w:rsidR="002E313C">
        <w:t> </w:t>
      </w:r>
      <w:r>
        <w:t>subject were generally similar to those reported at lower doses. There is no specific antidote for overdose with ertugliflozin. Overdose of</w:t>
      </w:r>
      <w:r w:rsidR="00C242A4">
        <w:t xml:space="preserve"> </w:t>
      </w:r>
      <w:r>
        <w:t>metformin hydrochloride has occurred, including ingestion of amounts greater than 50 g. Hypoglycaemia was reported in approximately 10% of cases, but no causal association with metformin hydrochloride has been established. Lactic acidosis has been reported in approximately 32% of metformin overdose cases. Metformin is dialyzable with a clearance of up to 170 mL/min under good hemodynamic conditions. Therefore, haemodialysis may be useful for removal of accumulated drug from patients in whom metformin overdosage is suspected.</w:t>
      </w:r>
    </w:p>
    <w:p w:rsidR="004C620F" w:rsidRDefault="004C620F" w:rsidP="004C620F">
      <w:r>
        <w:t>The drug abuse and dependence potential of ertugl</w:t>
      </w:r>
      <w:r w:rsidR="003E3964">
        <w:t>iflozin has not been characteris</w:t>
      </w:r>
      <w:r>
        <w:t>ed, but given the mechanism of action, it is not expected to be subject to drug abuse and dependence.</w:t>
      </w:r>
    </w:p>
    <w:p w:rsidR="004C620F" w:rsidRDefault="004C620F" w:rsidP="004C620F">
      <w:r>
        <w:t>No risk for drug abuse is contained in the metformin label.</w:t>
      </w:r>
      <w:r w:rsidR="00C242A4">
        <w:t xml:space="preserve"> </w:t>
      </w:r>
      <w:r>
        <w:t>There are no non-clinical or clinical data that would suggest a potential for withdrawal or rebound effects after discontinuing ertugliflozin. As with any AHA, it is expected that blood glucose levels could increase upon discontinuation of the AHA. However, based on the mechanisms of action of metformin and ertugliflozin, any increase in blood glucose levels would not be expected to be precipitous.</w:t>
      </w:r>
    </w:p>
    <w:p w:rsidR="004C620F" w:rsidRDefault="004C620F" w:rsidP="004C620F">
      <w:r>
        <w:t>Upon discontinuation of any AHA agent, patients should be advised to continue monitoring their blood glucose levels and discuss appropriate therapeutic options with their health care professional.</w:t>
      </w:r>
    </w:p>
    <w:p w:rsidR="003E3964" w:rsidRDefault="004C620F" w:rsidP="003E3964">
      <w:pPr>
        <w:pStyle w:val="Heading5"/>
      </w:pPr>
      <w:r>
        <w:t>Effects on ability to drive or operate machinery or impairment of mental ability</w:t>
      </w:r>
    </w:p>
    <w:p w:rsidR="00255E9C" w:rsidRDefault="004C620F" w:rsidP="004C620F">
      <w:r>
        <w:t>No studies on the effects on the ability to drive and use machinery have been performed with the combination of ertugliflozin and metformin. When the ertugliflozin/metformin FDC is used in combination with an insulin secretagogue or insulin, patients should be advised to take precautions to avoid hypoglycaemia while driving and using machinery</w:t>
      </w:r>
      <w:r w:rsidR="00255E9C">
        <w:t>.</w:t>
      </w:r>
    </w:p>
    <w:p w:rsidR="004C620F" w:rsidRDefault="004C620F" w:rsidP="003E3964">
      <w:pPr>
        <w:pStyle w:val="Heading4"/>
      </w:pPr>
      <w:r>
        <w:t>Safety related to drug-drug interactions and other interactions</w:t>
      </w:r>
    </w:p>
    <w:p w:rsidR="004C620F" w:rsidRDefault="004C620F" w:rsidP="004C620F">
      <w:r>
        <w:t xml:space="preserve">Metformin is negligibly bound to plasma proteins and is, therefore, less likely to interact with highly protein-bound drugs such as salicylates, </w:t>
      </w:r>
      <w:r w:rsidR="00EF7D1E">
        <w:t>sulphonamides</w:t>
      </w:r>
      <w:r>
        <w:t>, chloramphenicol, and probenecid, as compared to the sulfonylureas, which are extensively bound to serum proteins.</w:t>
      </w:r>
    </w:p>
    <w:p w:rsidR="004C620F" w:rsidRDefault="004C620F" w:rsidP="004C620F">
      <w:r>
        <w:t xml:space="preserve">No DDI studies were undertaken using the proposed FDC tablets. When administered as single agents, the DDIs for metformin are well established and the DDIs for ertugliflozin are discussed in the concurrent submission </w:t>
      </w:r>
      <w:r w:rsidR="003E2983">
        <w:t>for Steglatro</w:t>
      </w:r>
      <w:r>
        <w:t>. It should be noted however that the PK interactions between ertugliflozin and other drugs commonly administered to the target population such as diuretics, warfarin, digoxin</w:t>
      </w:r>
      <w:r w:rsidR="004E363B">
        <w:t xml:space="preserve"> and so on was</w:t>
      </w:r>
      <w:r>
        <w:t xml:space="preserve"> not evaluated in the concurrent submission. In addition, a limited number of DDI studies were undertaken with drugs that are known to interact with the pathways via which ertugliflozin is metabolised. For instance, although ertugliflozin is in part metabolised by CYP3A4, no studies have examined the effects of a strong CYP3A-inhibitor on ertugliflozin PKs or safety.</w:t>
      </w:r>
    </w:p>
    <w:p w:rsidR="004C620F" w:rsidRDefault="004E363B" w:rsidP="004E363B">
      <w:pPr>
        <w:pStyle w:val="Heading3"/>
      </w:pPr>
      <w:bookmarkStart w:id="97" w:name="_Toc4571215"/>
      <w:r>
        <w:t>Post marketing experience</w:t>
      </w:r>
      <w:bookmarkEnd w:id="97"/>
    </w:p>
    <w:p w:rsidR="004C620F" w:rsidRDefault="004C620F" w:rsidP="004C620F">
      <w:r>
        <w:t>Not applicable as the ertugliflozin/metformin FDC has not been approved for use in any country.</w:t>
      </w:r>
    </w:p>
    <w:p w:rsidR="004C620F" w:rsidRDefault="004C620F" w:rsidP="004E363B">
      <w:pPr>
        <w:pStyle w:val="Heading3"/>
      </w:pPr>
      <w:bookmarkStart w:id="98" w:name="_Toc4571216"/>
      <w:r>
        <w:t>Evaluator’s overall conclusions on clinical safety</w:t>
      </w:r>
      <w:bookmarkEnd w:id="98"/>
    </w:p>
    <w:p w:rsidR="004C620F" w:rsidRDefault="004C620F" w:rsidP="004C620F">
      <w:r>
        <w:t>The safety and tolerability profile of ertugliflozin, 5 mg</w:t>
      </w:r>
      <w:r w:rsidR="00F31E83">
        <w:t xml:space="preserve"> QD </w:t>
      </w:r>
      <w:r>
        <w:t xml:space="preserve">and 15 mg </w:t>
      </w:r>
      <w:r w:rsidR="004E363B">
        <w:t>QD</w:t>
      </w:r>
      <w:r>
        <w:t>, has been presented in a separate submission (refer to th</w:t>
      </w:r>
      <w:r w:rsidR="002E313C">
        <w:t>e Steglatro report, submission</w:t>
      </w:r>
      <w:r>
        <w:t xml:space="preserve"> PM-2017-01328-1-5</w:t>
      </w:r>
      <w:r w:rsidR="001F6870">
        <w:t>, available as Attachment 2</w:t>
      </w:r>
      <w:r>
        <w:t xml:space="preserve">). Metformin, including the proposed daily doses, has an established safety and </w:t>
      </w:r>
      <w:r>
        <w:lastRenderedPageBreak/>
        <w:t>tolerability profile. The main AEs associated with metformin use are diarrhoea, nausea/vomiting, flatulence, asthenia, indigestion, abdominal discomfort, metallic taste and headache. Lactic acidosis is a rare, but serious, metabolic complication that can occur due to metformin accumulation during treatment</w:t>
      </w:r>
      <w:r w:rsidR="004E363B">
        <w:t>.</w:t>
      </w:r>
      <w:r>
        <w:t xml:space="preserve"> The following conditions and situations can result in lactic acidosis: impaired renal function, concomitant medication(s) that may affect renal function, impaired hepatic function, excessive alcohol intake, poorly controlled diabetes, ketosis, prolonged fasting, and any condition associated with hypoxia. Therefore, patients experiencing these conditions should avoid taking metformin. Intravascular contrast studies with iodinated materials can lead to acute alteration of renal function and have been associated with lactic acidosis in patients receiving metformin. Hypoxic states, including CV collapse (shock) from whatever cause, acute congestive heart failure, acute myocardial infarction and other conditions </w:t>
      </w:r>
      <w:r w:rsidR="001F6870">
        <w:t xml:space="preserve">characterised </w:t>
      </w:r>
      <w:r>
        <w:t>by hypoxemia have been associated with lactic acidosis and may also cause prerenal azotemia.</w:t>
      </w:r>
    </w:p>
    <w:p w:rsidR="004C620F" w:rsidRDefault="004C620F" w:rsidP="004C620F">
      <w:r>
        <w:t xml:space="preserve">All the above know AEs associated with metformin use have been adequately covered in the proposed </w:t>
      </w:r>
      <w:r w:rsidR="002E313C">
        <w:t xml:space="preserve">PI for the FDC of ertugliflozin </w:t>
      </w:r>
      <w:r>
        <w:t>metformin.</w:t>
      </w:r>
    </w:p>
    <w:p w:rsidR="004C620F" w:rsidRDefault="004C620F" w:rsidP="004C620F">
      <w:r>
        <w:t xml:space="preserve">Ertugliflozin treatment, in the overall </w:t>
      </w:r>
      <w:r w:rsidR="0034721C">
        <w:t>Phase III</w:t>
      </w:r>
      <w:r>
        <w:t xml:space="preserve"> program and in the </w:t>
      </w:r>
      <w:r w:rsidR="000677B1">
        <w:t>ertugliflozin/metformin</w:t>
      </w:r>
      <w:r>
        <w:t xml:space="preserve"> </w:t>
      </w:r>
      <w:r w:rsidR="001F6870">
        <w:t>pool</w:t>
      </w:r>
      <w:r>
        <w:t xml:space="preserve">, led to small mean changes from baseline in the serum lipid profile including increased LDL-C, total cholesterol, and HDL-C and decreases in triglycerides. There were small increases in phosphate and magnesium, but not calcium, with ertugliflozin treatment. This was similar to the findings in the broader </w:t>
      </w:r>
      <w:r w:rsidR="0034721C">
        <w:t>Phase III</w:t>
      </w:r>
      <w:r>
        <w:t xml:space="preserve"> ertugliflozin program. The clinical significance of these findings is unknown given there was no increase in fractures or decrease in bone mineral density (BMD) at 26 weeks in </w:t>
      </w:r>
      <w:r w:rsidR="002E313C">
        <w:t>ertugliflozin treated</w:t>
      </w:r>
      <w:r>
        <w:t xml:space="preserve"> groups in the </w:t>
      </w:r>
      <w:r w:rsidR="001F6870">
        <w:t>placebo-controlled add-on to metformin</w:t>
      </w:r>
      <w:r>
        <w:t xml:space="preserve"> Study (P007/1017). There were no meaningful changes noted in potassium level. There were no meaningful changes in potassium, bicarbonate, or sodium associated with ertugliflozin treatment in the </w:t>
      </w:r>
      <w:r w:rsidR="000677B1">
        <w:t>ertugliflozin/metformin</w:t>
      </w:r>
      <w:r>
        <w:t xml:space="preserve"> Pool and the 2 active comparator studies on metformin background therapy not included in the Pool. Ertugliflozin treatment in the </w:t>
      </w:r>
      <w:r w:rsidR="000677B1">
        <w:t>ertugliflozin/metformin</w:t>
      </w:r>
      <w:r>
        <w:t xml:space="preserve"> Pool was associated with decreases in systolic and diastolic blood pressure and body weight. There was no noted increase in heart rate or measures of orthostatic hypotension. There were no clinically meaningful differences in ECG parameters (heart rate, PR, QRS, QT, QTcB, and QTcF interval) across the ertugliflozin 5 mg and 15 mg groups and placebo group. These results are consistent with those in the full ertugliflozin development program.</w:t>
      </w:r>
    </w:p>
    <w:p w:rsidR="0092511F" w:rsidRDefault="004C620F" w:rsidP="004C620F">
      <w:r>
        <w:t xml:space="preserve">Overall, the combination of ertugliflozin and metformin was generally safe and well tolerated, for both the 5 mg and 15 mg doses of ertugliflozin. The use of an FDC of ertugliflozin and metformin is supported by these </w:t>
      </w:r>
      <w:r w:rsidR="0034721C">
        <w:t>Phase III</w:t>
      </w:r>
      <w:r>
        <w:t xml:space="preserve"> clinical data that evaluate the combination of ertugliflozin and metformin administered as separate tablets, with the demonstrated BE of the FDC to the individual components when co-administered and equivalence of ertugliflozin area under the curve over 24 hours at steady state of once</w:t>
      </w:r>
      <w:r w:rsidR="004E363B">
        <w:t xml:space="preserve"> </w:t>
      </w:r>
      <w:r>
        <w:t xml:space="preserve">daily </w:t>
      </w:r>
      <w:r w:rsidR="00F31E83">
        <w:t>(QD)</w:t>
      </w:r>
      <w:r>
        <w:t xml:space="preserve"> and twice</w:t>
      </w:r>
      <w:r w:rsidR="004E363B">
        <w:t xml:space="preserve"> </w:t>
      </w:r>
      <w:r>
        <w:t>daily (</w:t>
      </w:r>
      <w:r w:rsidR="00B3476E">
        <w:t>BD</w:t>
      </w:r>
      <w:r>
        <w:t>) dosing regimen. Overall, no safety concerns were identified that were unique to the combination of ertugliflozin and metformin and safety of the proposed FDC is adequately described by experie</w:t>
      </w:r>
      <w:r w:rsidR="0092511F">
        <w:t>nce with the individual agents.</w:t>
      </w:r>
    </w:p>
    <w:p w:rsidR="004C620F" w:rsidRDefault="0092511F" w:rsidP="0092511F">
      <w:pPr>
        <w:pStyle w:val="Heading3"/>
      </w:pPr>
      <w:bookmarkStart w:id="99" w:name="_Toc4571217"/>
      <w:r>
        <w:lastRenderedPageBreak/>
        <w:t xml:space="preserve">First </w:t>
      </w:r>
      <w:r w:rsidR="00B81389">
        <w:t>round benefit-risk assessment</w:t>
      </w:r>
      <w:bookmarkEnd w:id="99"/>
    </w:p>
    <w:p w:rsidR="004C620F" w:rsidRDefault="004C620F" w:rsidP="001F6870">
      <w:pPr>
        <w:pStyle w:val="Heading4"/>
      </w:pPr>
      <w:r>
        <w:t>Fir</w:t>
      </w:r>
      <w:r w:rsidR="00704CC3">
        <w:t>st round assessment of benefits</w:t>
      </w:r>
    </w:p>
    <w:p w:rsidR="00704CC3" w:rsidRPr="00704CC3" w:rsidRDefault="00704CC3">
      <w:pPr>
        <w:pStyle w:val="Tabletitle"/>
        <w:rPr>
          <w:lang w:eastAsia="ja-JP"/>
        </w:rPr>
      </w:pPr>
      <w:r>
        <w:rPr>
          <w:lang w:eastAsia="ja-JP"/>
        </w:rPr>
        <w:t xml:space="preserve">Table 21: </w:t>
      </w:r>
      <w:r>
        <w:t>First round assessment of benefits</w:t>
      </w:r>
    </w:p>
    <w:tbl>
      <w:tblPr>
        <w:tblStyle w:val="TableGrid"/>
        <w:tblW w:w="0" w:type="auto"/>
        <w:tblInd w:w="108" w:type="dxa"/>
        <w:tblLook w:val="04A0" w:firstRow="1" w:lastRow="0" w:firstColumn="1" w:lastColumn="0" w:noHBand="0" w:noVBand="1"/>
      </w:tblPr>
      <w:tblGrid>
        <w:gridCol w:w="4511"/>
        <w:gridCol w:w="4278"/>
      </w:tblGrid>
      <w:tr w:rsidR="0092511F" w:rsidRPr="0092511F" w:rsidTr="0092511F">
        <w:trPr>
          <w:cantSplit/>
          <w:tblHeader/>
        </w:trPr>
        <w:tc>
          <w:tcPr>
            <w:tcW w:w="8789" w:type="dxa"/>
            <w:gridSpan w:val="2"/>
            <w:shd w:val="clear" w:color="auto" w:fill="006DA7" w:themeFill="accent3"/>
          </w:tcPr>
          <w:p w:rsidR="0092511F" w:rsidRPr="0092511F" w:rsidRDefault="0092511F">
            <w:pPr>
              <w:keepNext/>
              <w:rPr>
                <w:b/>
                <w:color w:val="FFFFFF" w:themeColor="background1"/>
                <w:sz w:val="20"/>
                <w:szCs w:val="20"/>
              </w:rPr>
            </w:pPr>
            <w:r w:rsidRPr="0092511F">
              <w:rPr>
                <w:b/>
                <w:color w:val="FFFFFF" w:themeColor="background1"/>
                <w:sz w:val="20"/>
                <w:szCs w:val="20"/>
              </w:rPr>
              <w:t>Indication</w:t>
            </w:r>
          </w:p>
        </w:tc>
      </w:tr>
      <w:tr w:rsidR="0092511F" w:rsidRPr="0092511F" w:rsidTr="0092511F">
        <w:trPr>
          <w:cantSplit/>
          <w:tblHeader/>
        </w:trPr>
        <w:tc>
          <w:tcPr>
            <w:tcW w:w="4511" w:type="dxa"/>
            <w:shd w:val="clear" w:color="auto" w:fill="00517D" w:themeFill="accent3" w:themeFillShade="BF"/>
          </w:tcPr>
          <w:p w:rsidR="0092511F" w:rsidRPr="0092511F" w:rsidRDefault="0092511F" w:rsidP="001F6870">
            <w:pPr>
              <w:keepNext/>
              <w:rPr>
                <w:b/>
                <w:sz w:val="20"/>
                <w:szCs w:val="20"/>
              </w:rPr>
            </w:pPr>
            <w:r w:rsidRPr="0092511F">
              <w:rPr>
                <w:b/>
                <w:color w:val="FFFFFF" w:themeColor="background1"/>
                <w:sz w:val="20"/>
                <w:szCs w:val="20"/>
              </w:rPr>
              <w:t>Benefits</w:t>
            </w:r>
          </w:p>
        </w:tc>
        <w:tc>
          <w:tcPr>
            <w:tcW w:w="4278" w:type="dxa"/>
            <w:shd w:val="clear" w:color="auto" w:fill="00517D" w:themeFill="accent3" w:themeFillShade="BF"/>
          </w:tcPr>
          <w:p w:rsidR="0092511F" w:rsidRPr="0092511F" w:rsidRDefault="0092511F">
            <w:pPr>
              <w:keepNext/>
              <w:rPr>
                <w:b/>
                <w:color w:val="FFFFFF" w:themeColor="background1"/>
                <w:sz w:val="20"/>
                <w:szCs w:val="20"/>
              </w:rPr>
            </w:pPr>
            <w:r w:rsidRPr="0092511F">
              <w:rPr>
                <w:b/>
                <w:color w:val="FFFFFF" w:themeColor="background1"/>
                <w:sz w:val="20"/>
                <w:szCs w:val="20"/>
              </w:rPr>
              <w:t>Strengths and Uncertainties</w:t>
            </w:r>
          </w:p>
        </w:tc>
      </w:tr>
      <w:tr w:rsidR="0092511F" w:rsidRPr="0092511F" w:rsidTr="00E678BC">
        <w:tc>
          <w:tcPr>
            <w:tcW w:w="4511" w:type="dxa"/>
          </w:tcPr>
          <w:p w:rsidR="0092511F" w:rsidRPr="0092511F" w:rsidRDefault="0092511F" w:rsidP="00DA242E">
            <w:pPr>
              <w:keepNext/>
              <w:rPr>
                <w:i/>
                <w:sz w:val="20"/>
                <w:szCs w:val="20"/>
              </w:rPr>
            </w:pPr>
            <w:r w:rsidRPr="0092511F">
              <w:rPr>
                <w:rFonts w:eastAsia="TimesNewRoman"/>
                <w:sz w:val="20"/>
                <w:szCs w:val="20"/>
              </w:rPr>
              <w:t>Ertugliflozin 15 mg and 5 mg, as add-on to metformin (alone or in combination with sitagliptin) provides clinically meaningful improvements in glycaemic control (</w:t>
            </w:r>
            <w:r w:rsidR="00C86E15">
              <w:rPr>
                <w:rFonts w:eastAsia="TimesNewRoman"/>
                <w:sz w:val="20"/>
                <w:szCs w:val="20"/>
              </w:rPr>
              <w:t>A1c</w:t>
            </w:r>
            <w:r w:rsidRPr="0092511F">
              <w:rPr>
                <w:rFonts w:eastAsia="TimesNewRoman"/>
                <w:sz w:val="20"/>
                <w:szCs w:val="20"/>
              </w:rPr>
              <w:t xml:space="preserve">, proportion of subjects with </w:t>
            </w:r>
            <w:r w:rsidR="00C86E15">
              <w:rPr>
                <w:rFonts w:eastAsia="TimesNewRoman"/>
                <w:sz w:val="20"/>
                <w:szCs w:val="20"/>
              </w:rPr>
              <w:t>A1c</w:t>
            </w:r>
            <w:r w:rsidRPr="0092511F">
              <w:rPr>
                <w:rFonts w:eastAsia="TimesNewRoman"/>
                <w:sz w:val="20"/>
                <w:szCs w:val="20"/>
              </w:rPr>
              <w:t xml:space="preserve"> </w:t>
            </w:r>
            <w:r w:rsidR="00094198">
              <w:rPr>
                <w:rFonts w:eastAsia="TimesNewRoman"/>
                <w:sz w:val="20"/>
                <w:szCs w:val="20"/>
              </w:rPr>
              <w:t xml:space="preserve">&lt; </w:t>
            </w:r>
            <w:r w:rsidR="002E313C">
              <w:rPr>
                <w:rFonts w:eastAsia="TimesNewRoman"/>
                <w:sz w:val="20"/>
                <w:szCs w:val="20"/>
              </w:rPr>
              <w:t>7.0%, FPG, 2 </w:t>
            </w:r>
            <w:r w:rsidRPr="0092511F">
              <w:rPr>
                <w:rFonts w:eastAsia="TimesNewRoman"/>
                <w:sz w:val="20"/>
                <w:szCs w:val="20"/>
              </w:rPr>
              <w:t>hour PPG), as well as body weight reduction and SBP reduction in subjects with T2DM</w:t>
            </w:r>
            <w:r w:rsidR="002E313C">
              <w:rPr>
                <w:rFonts w:eastAsia="TimesNewRoman"/>
                <w:sz w:val="20"/>
                <w:szCs w:val="20"/>
              </w:rPr>
              <w:t>.</w:t>
            </w:r>
          </w:p>
        </w:tc>
        <w:tc>
          <w:tcPr>
            <w:tcW w:w="4278" w:type="dxa"/>
          </w:tcPr>
          <w:p w:rsidR="0092511F" w:rsidRPr="0092511F" w:rsidRDefault="0092511F" w:rsidP="00DA242E">
            <w:pPr>
              <w:keepNext/>
              <w:rPr>
                <w:i/>
                <w:sz w:val="20"/>
                <w:szCs w:val="20"/>
              </w:rPr>
            </w:pPr>
            <w:r w:rsidRPr="0092511F">
              <w:rPr>
                <w:sz w:val="20"/>
                <w:szCs w:val="20"/>
              </w:rPr>
              <w:t>Results of long term maintenance of efficacy of ertugliflozin in combination with other AHAs was not provided in this submission although data from the ongoing Phase B of the pivotal studies should help to address this</w:t>
            </w:r>
            <w:r w:rsidR="002E313C">
              <w:rPr>
                <w:sz w:val="20"/>
                <w:szCs w:val="20"/>
              </w:rPr>
              <w:t>.</w:t>
            </w:r>
          </w:p>
        </w:tc>
      </w:tr>
      <w:tr w:rsidR="0092511F" w:rsidRPr="0092511F" w:rsidTr="00E678BC">
        <w:tc>
          <w:tcPr>
            <w:tcW w:w="4511" w:type="dxa"/>
          </w:tcPr>
          <w:p w:rsidR="0092511F" w:rsidRPr="0092511F" w:rsidRDefault="0092511F" w:rsidP="0092511F">
            <w:pPr>
              <w:rPr>
                <w:rFonts w:eastAsia="TimesNewRoman"/>
                <w:sz w:val="20"/>
                <w:szCs w:val="20"/>
              </w:rPr>
            </w:pPr>
            <w:r w:rsidRPr="0092511F">
              <w:rPr>
                <w:rFonts w:eastAsia="TimesNewRoman"/>
                <w:sz w:val="20"/>
                <w:szCs w:val="20"/>
              </w:rPr>
              <w:t xml:space="preserve">Ertugliflozin 15 mg plus metformin provides non-inferior </w:t>
            </w:r>
            <w:r w:rsidR="00C86E15">
              <w:rPr>
                <w:rFonts w:eastAsia="TimesNewRoman"/>
                <w:sz w:val="20"/>
                <w:szCs w:val="20"/>
              </w:rPr>
              <w:t>A1c</w:t>
            </w:r>
            <w:r w:rsidRPr="0092511F">
              <w:rPr>
                <w:rFonts w:eastAsia="TimesNewRoman"/>
                <w:sz w:val="20"/>
                <w:szCs w:val="20"/>
              </w:rPr>
              <w:t xml:space="preserve"> reduction compared to glimepiride plus metformin.</w:t>
            </w:r>
          </w:p>
          <w:p w:rsidR="0092511F" w:rsidRPr="0092511F" w:rsidRDefault="0092511F" w:rsidP="0092511F">
            <w:pPr>
              <w:rPr>
                <w:sz w:val="20"/>
                <w:szCs w:val="20"/>
              </w:rPr>
            </w:pPr>
            <w:r w:rsidRPr="0092511F">
              <w:rPr>
                <w:sz w:val="20"/>
                <w:szCs w:val="20"/>
              </w:rPr>
              <w:t>Ertugliflozin 5</w:t>
            </w:r>
            <w:r w:rsidR="002E313C">
              <w:rPr>
                <w:sz w:val="20"/>
                <w:szCs w:val="20"/>
              </w:rPr>
              <w:t xml:space="preserve"> </w:t>
            </w:r>
            <w:r w:rsidRPr="0092511F">
              <w:rPr>
                <w:sz w:val="20"/>
                <w:szCs w:val="20"/>
              </w:rPr>
              <w:t>mg and 15</w:t>
            </w:r>
            <w:r w:rsidR="002E313C">
              <w:rPr>
                <w:sz w:val="20"/>
                <w:szCs w:val="20"/>
              </w:rPr>
              <w:t xml:space="preserve"> </w:t>
            </w:r>
            <w:r w:rsidRPr="0092511F">
              <w:rPr>
                <w:sz w:val="20"/>
                <w:szCs w:val="20"/>
              </w:rPr>
              <w:t>mg od was associated with greater reduction in FPG, body weight and SBP compared with glimepiride.</w:t>
            </w:r>
          </w:p>
          <w:p w:rsidR="0092511F" w:rsidRPr="0092511F" w:rsidRDefault="0092511F" w:rsidP="0092511F">
            <w:pPr>
              <w:rPr>
                <w:i/>
                <w:sz w:val="20"/>
                <w:szCs w:val="20"/>
              </w:rPr>
            </w:pPr>
            <w:r w:rsidRPr="0092511F">
              <w:rPr>
                <w:rFonts w:eastAsia="TimesNewRoman"/>
                <w:sz w:val="20"/>
                <w:szCs w:val="20"/>
              </w:rPr>
              <w:t>Significantly lower incidence of hypoglycaemia with ertugliflozin compared with glimepiride</w:t>
            </w:r>
            <w:r w:rsidR="002E313C">
              <w:rPr>
                <w:rFonts w:eastAsia="TimesNewRoman"/>
                <w:sz w:val="20"/>
                <w:szCs w:val="20"/>
              </w:rPr>
              <w:t>.</w:t>
            </w:r>
          </w:p>
        </w:tc>
        <w:tc>
          <w:tcPr>
            <w:tcW w:w="4278" w:type="dxa"/>
          </w:tcPr>
          <w:p w:rsidR="0092511F" w:rsidRPr="0092511F" w:rsidRDefault="0092511F" w:rsidP="0092511F">
            <w:pPr>
              <w:rPr>
                <w:i/>
                <w:sz w:val="20"/>
                <w:szCs w:val="20"/>
              </w:rPr>
            </w:pPr>
            <w:r w:rsidRPr="0092511F">
              <w:rPr>
                <w:sz w:val="20"/>
                <w:szCs w:val="20"/>
              </w:rPr>
              <w:t>Non-inferiority of ertugliflozin 5mg and g</w:t>
            </w:r>
            <w:r w:rsidR="002E313C">
              <w:rPr>
                <w:sz w:val="20"/>
                <w:szCs w:val="20"/>
              </w:rPr>
              <w:t>limepiride was not established.</w:t>
            </w:r>
          </w:p>
        </w:tc>
      </w:tr>
      <w:tr w:rsidR="0092511F" w:rsidRPr="0092511F" w:rsidTr="00E678BC">
        <w:tc>
          <w:tcPr>
            <w:tcW w:w="4511" w:type="dxa"/>
          </w:tcPr>
          <w:p w:rsidR="0092511F" w:rsidRPr="0092511F" w:rsidRDefault="0092511F" w:rsidP="0092511F">
            <w:pPr>
              <w:rPr>
                <w:i/>
                <w:sz w:val="20"/>
                <w:szCs w:val="20"/>
              </w:rPr>
            </w:pPr>
            <w:r w:rsidRPr="0092511F">
              <w:rPr>
                <w:rFonts w:eastAsia="TimesNewRoman"/>
                <w:sz w:val="20"/>
                <w:szCs w:val="20"/>
              </w:rPr>
              <w:t>No safety concerns were identified that were unique to the combination of ertugliflozin and metformin and safety of the proposed FDC is adequately described by experience with the individual agents.</w:t>
            </w:r>
          </w:p>
        </w:tc>
        <w:tc>
          <w:tcPr>
            <w:tcW w:w="4278" w:type="dxa"/>
          </w:tcPr>
          <w:p w:rsidR="0092511F" w:rsidRPr="0092511F" w:rsidRDefault="0092511F" w:rsidP="0092511F">
            <w:pPr>
              <w:rPr>
                <w:i/>
                <w:sz w:val="20"/>
                <w:szCs w:val="20"/>
              </w:rPr>
            </w:pPr>
            <w:r w:rsidRPr="0092511F">
              <w:rPr>
                <w:sz w:val="20"/>
                <w:szCs w:val="20"/>
              </w:rPr>
              <w:t>Dose-dependent increase in incidence of genital mycotic infections and elevated LDL-C.</w:t>
            </w:r>
          </w:p>
        </w:tc>
      </w:tr>
      <w:tr w:rsidR="0092511F" w:rsidRPr="0092511F" w:rsidTr="00E678BC">
        <w:tc>
          <w:tcPr>
            <w:tcW w:w="4511" w:type="dxa"/>
          </w:tcPr>
          <w:p w:rsidR="0092511F" w:rsidRPr="0092511F" w:rsidRDefault="0092511F" w:rsidP="0092511F">
            <w:pPr>
              <w:rPr>
                <w:sz w:val="20"/>
                <w:szCs w:val="20"/>
              </w:rPr>
            </w:pPr>
            <w:r w:rsidRPr="0092511F">
              <w:rPr>
                <w:sz w:val="20"/>
                <w:szCs w:val="20"/>
              </w:rPr>
              <w:t>FDC has the potential to improve treatment compliance.</w:t>
            </w:r>
          </w:p>
        </w:tc>
        <w:tc>
          <w:tcPr>
            <w:tcW w:w="4278" w:type="dxa"/>
          </w:tcPr>
          <w:p w:rsidR="0092511F" w:rsidRPr="0092511F" w:rsidRDefault="0092511F" w:rsidP="0092511F">
            <w:pPr>
              <w:rPr>
                <w:sz w:val="20"/>
                <w:szCs w:val="20"/>
              </w:rPr>
            </w:pPr>
            <w:r w:rsidRPr="0092511F">
              <w:rPr>
                <w:sz w:val="20"/>
                <w:szCs w:val="20"/>
              </w:rPr>
              <w:t>However, proposed FDC uses immediate release metformin and so requires twice daily dosing. Use of extended release metformin which requires only once daily dosing wa</w:t>
            </w:r>
            <w:r w:rsidR="002E313C">
              <w:rPr>
                <w:sz w:val="20"/>
                <w:szCs w:val="20"/>
              </w:rPr>
              <w:t>s not explored by the sponsors.</w:t>
            </w:r>
          </w:p>
        </w:tc>
      </w:tr>
    </w:tbl>
    <w:p w:rsidR="0092511F" w:rsidRDefault="0092511F" w:rsidP="0092511F">
      <w:pPr>
        <w:pStyle w:val="Heading3"/>
      </w:pPr>
      <w:bookmarkStart w:id="100" w:name="_Toc236802596"/>
      <w:bookmarkStart w:id="101" w:name="_Toc241374334"/>
      <w:bookmarkStart w:id="102" w:name="_Ref272160964"/>
      <w:bookmarkStart w:id="103" w:name="_Toc272414694"/>
      <w:bookmarkStart w:id="104" w:name="_Toc290888558"/>
      <w:bookmarkStart w:id="105" w:name="_Toc416353773"/>
      <w:bookmarkStart w:id="106" w:name="_Toc421005315"/>
      <w:bookmarkStart w:id="107" w:name="_Toc432079186"/>
      <w:bookmarkStart w:id="108" w:name="_Toc432080759"/>
      <w:bookmarkStart w:id="109" w:name="_Ref503355252"/>
      <w:bookmarkStart w:id="110" w:name="_Ref503356346"/>
      <w:bookmarkStart w:id="111" w:name="_Toc504037323"/>
      <w:bookmarkStart w:id="112" w:name="_Toc4571218"/>
      <w:r w:rsidRPr="000D5752">
        <w:t>First round assessment of risks</w:t>
      </w:r>
      <w:bookmarkEnd w:id="100"/>
      <w:bookmarkEnd w:id="101"/>
      <w:bookmarkEnd w:id="102"/>
      <w:bookmarkEnd w:id="103"/>
      <w:bookmarkEnd w:id="104"/>
      <w:bookmarkEnd w:id="105"/>
      <w:bookmarkEnd w:id="106"/>
      <w:bookmarkEnd w:id="107"/>
      <w:bookmarkEnd w:id="108"/>
      <w:bookmarkEnd w:id="109"/>
      <w:bookmarkEnd w:id="110"/>
      <w:bookmarkEnd w:id="111"/>
      <w:bookmarkEnd w:id="112"/>
    </w:p>
    <w:p w:rsidR="00704CC3" w:rsidRPr="00704CC3" w:rsidRDefault="00704CC3" w:rsidP="00704CC3">
      <w:pPr>
        <w:pStyle w:val="Tabletitle"/>
        <w:rPr>
          <w:lang w:eastAsia="ja-JP"/>
        </w:rPr>
      </w:pPr>
      <w:r>
        <w:t>Table 22: First round assessment of risks</w:t>
      </w:r>
    </w:p>
    <w:tbl>
      <w:tblPr>
        <w:tblStyle w:val="TableGrid"/>
        <w:tblW w:w="0" w:type="auto"/>
        <w:tblInd w:w="108" w:type="dxa"/>
        <w:tblLook w:val="04A0" w:firstRow="1" w:lastRow="0" w:firstColumn="1" w:lastColumn="0" w:noHBand="0" w:noVBand="1"/>
      </w:tblPr>
      <w:tblGrid>
        <w:gridCol w:w="4395"/>
        <w:gridCol w:w="4394"/>
      </w:tblGrid>
      <w:tr w:rsidR="0092511F" w:rsidRPr="0092511F" w:rsidTr="0092511F">
        <w:trPr>
          <w:cantSplit/>
          <w:tblHeader/>
        </w:trPr>
        <w:tc>
          <w:tcPr>
            <w:tcW w:w="4395" w:type="dxa"/>
            <w:shd w:val="clear" w:color="auto" w:fill="006DA7" w:themeFill="accent3"/>
          </w:tcPr>
          <w:p w:rsidR="0092511F" w:rsidRPr="0092511F" w:rsidRDefault="0092511F" w:rsidP="0092511F">
            <w:pPr>
              <w:rPr>
                <w:b/>
                <w:color w:val="FFFFFF" w:themeColor="background1"/>
                <w:sz w:val="20"/>
                <w:szCs w:val="20"/>
              </w:rPr>
            </w:pPr>
            <w:r w:rsidRPr="0092511F">
              <w:rPr>
                <w:b/>
                <w:color w:val="FFFFFF" w:themeColor="background1"/>
                <w:sz w:val="20"/>
                <w:szCs w:val="20"/>
              </w:rPr>
              <w:t>Risks</w:t>
            </w:r>
          </w:p>
        </w:tc>
        <w:tc>
          <w:tcPr>
            <w:tcW w:w="4394" w:type="dxa"/>
            <w:shd w:val="clear" w:color="auto" w:fill="006DA7" w:themeFill="accent3"/>
          </w:tcPr>
          <w:p w:rsidR="0092511F" w:rsidRPr="0092511F" w:rsidRDefault="0092511F" w:rsidP="0092511F">
            <w:pPr>
              <w:rPr>
                <w:b/>
                <w:color w:val="FFFFFF" w:themeColor="background1"/>
                <w:sz w:val="20"/>
                <w:szCs w:val="20"/>
              </w:rPr>
            </w:pPr>
            <w:r w:rsidRPr="0092511F">
              <w:rPr>
                <w:b/>
                <w:color w:val="FFFFFF" w:themeColor="background1"/>
                <w:sz w:val="20"/>
                <w:szCs w:val="20"/>
              </w:rPr>
              <w:t>Strengths and Uncertainties</w:t>
            </w:r>
          </w:p>
        </w:tc>
      </w:tr>
      <w:tr w:rsidR="0092511F" w:rsidRPr="00C37A1D" w:rsidTr="00E678BC">
        <w:tc>
          <w:tcPr>
            <w:tcW w:w="4395" w:type="dxa"/>
          </w:tcPr>
          <w:p w:rsidR="0092511F" w:rsidRPr="0092511F" w:rsidRDefault="0092511F" w:rsidP="0092511F">
            <w:pPr>
              <w:rPr>
                <w:sz w:val="20"/>
                <w:szCs w:val="20"/>
              </w:rPr>
            </w:pPr>
            <w:r w:rsidRPr="0092511F">
              <w:rPr>
                <w:sz w:val="20"/>
                <w:szCs w:val="20"/>
              </w:rPr>
              <w:t>Incidence of deaths was low, but numerically higher in ertugliflozin groups.</w:t>
            </w:r>
          </w:p>
        </w:tc>
        <w:tc>
          <w:tcPr>
            <w:tcW w:w="4394" w:type="dxa"/>
          </w:tcPr>
          <w:p w:rsidR="0092511F" w:rsidRPr="0092511F" w:rsidRDefault="0092511F" w:rsidP="0092511F">
            <w:pPr>
              <w:rPr>
                <w:sz w:val="20"/>
                <w:szCs w:val="20"/>
              </w:rPr>
            </w:pPr>
            <w:r w:rsidRPr="0092511F">
              <w:rPr>
                <w:sz w:val="20"/>
                <w:szCs w:val="20"/>
              </w:rPr>
              <w:t>Deaths occurred in 10 (0.6%), 8 (0.5% and 3 (0.2%) of subjects in ertugliflozin 5</w:t>
            </w:r>
            <w:r w:rsidR="002E313C">
              <w:rPr>
                <w:sz w:val="20"/>
                <w:szCs w:val="20"/>
              </w:rPr>
              <w:t xml:space="preserve"> </w:t>
            </w:r>
            <w:r w:rsidRPr="0092511F">
              <w:rPr>
                <w:sz w:val="20"/>
                <w:szCs w:val="20"/>
              </w:rPr>
              <w:t>mg, 15</w:t>
            </w:r>
            <w:r w:rsidR="002E313C">
              <w:rPr>
                <w:sz w:val="20"/>
                <w:szCs w:val="20"/>
              </w:rPr>
              <w:t xml:space="preserve"> </w:t>
            </w:r>
            <w:r w:rsidRPr="0092511F">
              <w:rPr>
                <w:sz w:val="20"/>
                <w:szCs w:val="20"/>
              </w:rPr>
              <w:t>mg and non-ertugliflozin groups, respectively; majority of fatal ev</w:t>
            </w:r>
            <w:r w:rsidR="002E313C">
              <w:rPr>
                <w:sz w:val="20"/>
                <w:szCs w:val="20"/>
              </w:rPr>
              <w:t>ents were related to CV deaths.</w:t>
            </w:r>
          </w:p>
        </w:tc>
      </w:tr>
      <w:tr w:rsidR="0092511F" w:rsidRPr="00C37A1D" w:rsidTr="00E678BC">
        <w:tc>
          <w:tcPr>
            <w:tcW w:w="4395" w:type="dxa"/>
          </w:tcPr>
          <w:p w:rsidR="0092511F" w:rsidRPr="0092511F" w:rsidRDefault="0092511F" w:rsidP="00FB1CEE">
            <w:pPr>
              <w:rPr>
                <w:rFonts w:eastAsia="TimesNewRoman"/>
                <w:sz w:val="20"/>
                <w:szCs w:val="20"/>
              </w:rPr>
            </w:pPr>
            <w:r w:rsidRPr="0092511F">
              <w:rPr>
                <w:rFonts w:eastAsia="TimesNewRoman"/>
                <w:sz w:val="20"/>
                <w:szCs w:val="20"/>
              </w:rPr>
              <w:t>Although CV met</w:t>
            </w:r>
            <w:r w:rsidR="00EF7D1E">
              <w:rPr>
                <w:rFonts w:eastAsia="TimesNewRoman"/>
                <w:sz w:val="20"/>
                <w:szCs w:val="20"/>
              </w:rPr>
              <w:t>a-</w:t>
            </w:r>
            <w:r w:rsidRPr="0092511F">
              <w:rPr>
                <w:rFonts w:eastAsia="TimesNewRoman"/>
                <w:sz w:val="20"/>
                <w:szCs w:val="20"/>
              </w:rPr>
              <w:t>analysis of confirmed/adju</w:t>
            </w:r>
            <w:r w:rsidR="002E313C">
              <w:rPr>
                <w:rFonts w:eastAsia="TimesNewRoman"/>
                <w:sz w:val="20"/>
                <w:szCs w:val="20"/>
              </w:rPr>
              <w:t>dicated CV events in the Phase </w:t>
            </w:r>
            <w:r w:rsidR="00FB1CEE">
              <w:rPr>
                <w:rFonts w:eastAsia="TimesNewRoman"/>
                <w:sz w:val="20"/>
                <w:szCs w:val="20"/>
              </w:rPr>
              <w:t>III</w:t>
            </w:r>
            <w:r w:rsidRPr="0092511F">
              <w:rPr>
                <w:rFonts w:eastAsia="TimesNewRoman"/>
                <w:sz w:val="20"/>
                <w:szCs w:val="20"/>
              </w:rPr>
              <w:t xml:space="preserve"> studies was conduct</w:t>
            </w:r>
            <w:r w:rsidR="002E313C">
              <w:rPr>
                <w:rFonts w:eastAsia="TimesNewRoman"/>
                <w:sz w:val="20"/>
                <w:szCs w:val="20"/>
              </w:rPr>
              <w:t xml:space="preserve">ed, results were </w:t>
            </w:r>
            <w:r w:rsidR="002E313C">
              <w:rPr>
                <w:rFonts w:eastAsia="TimesNewRoman"/>
                <w:sz w:val="20"/>
                <w:szCs w:val="20"/>
              </w:rPr>
              <w:lastRenderedPageBreak/>
              <w:t>not presented.</w:t>
            </w:r>
          </w:p>
        </w:tc>
        <w:tc>
          <w:tcPr>
            <w:tcW w:w="4394" w:type="dxa"/>
          </w:tcPr>
          <w:p w:rsidR="0092511F" w:rsidRPr="0092511F" w:rsidRDefault="0092511F" w:rsidP="0092511F">
            <w:pPr>
              <w:rPr>
                <w:sz w:val="20"/>
                <w:szCs w:val="20"/>
              </w:rPr>
            </w:pPr>
            <w:r w:rsidRPr="0092511F">
              <w:rPr>
                <w:sz w:val="20"/>
                <w:szCs w:val="20"/>
              </w:rPr>
              <w:lastRenderedPageBreak/>
              <w:t>The spon</w:t>
            </w:r>
            <w:r w:rsidR="002E313C">
              <w:rPr>
                <w:sz w:val="20"/>
                <w:szCs w:val="20"/>
              </w:rPr>
              <w:t>sor has initiated a CV outcome Study </w:t>
            </w:r>
            <w:r w:rsidRPr="0092511F">
              <w:rPr>
                <w:sz w:val="20"/>
                <w:szCs w:val="20"/>
              </w:rPr>
              <w:t>P004/1021 which i</w:t>
            </w:r>
            <w:r w:rsidR="002E313C">
              <w:rPr>
                <w:sz w:val="20"/>
                <w:szCs w:val="20"/>
              </w:rPr>
              <w:t>s expected to complete in 2019.</w:t>
            </w:r>
          </w:p>
        </w:tc>
      </w:tr>
      <w:tr w:rsidR="0092511F" w:rsidRPr="00C37A1D" w:rsidTr="00E678BC">
        <w:tc>
          <w:tcPr>
            <w:tcW w:w="4395" w:type="dxa"/>
          </w:tcPr>
          <w:p w:rsidR="0092511F" w:rsidRPr="0092511F" w:rsidRDefault="0092511F" w:rsidP="0092511F">
            <w:pPr>
              <w:rPr>
                <w:rFonts w:eastAsia="TimesNewRoman"/>
                <w:sz w:val="20"/>
                <w:szCs w:val="20"/>
              </w:rPr>
            </w:pPr>
            <w:r w:rsidRPr="0092511F">
              <w:rPr>
                <w:rFonts w:eastAsia="TimesNewRoman"/>
                <w:sz w:val="20"/>
                <w:szCs w:val="20"/>
              </w:rPr>
              <w:lastRenderedPageBreak/>
              <w:t>Increased risk of lower limb amputations; of the 10 reported amputations in the Broad pool with highest incidence in the ertugliflozin 15</w:t>
            </w:r>
            <w:r w:rsidR="002E313C">
              <w:rPr>
                <w:rFonts w:eastAsia="TimesNewRoman"/>
                <w:sz w:val="20"/>
                <w:szCs w:val="20"/>
              </w:rPr>
              <w:t xml:space="preserve"> </w:t>
            </w:r>
            <w:r w:rsidRPr="0092511F">
              <w:rPr>
                <w:rFonts w:eastAsia="TimesNewRoman"/>
                <w:sz w:val="20"/>
                <w:szCs w:val="20"/>
              </w:rPr>
              <w:t>mg group; 8 subjects in the ertugliflozin 15</w:t>
            </w:r>
            <w:r w:rsidR="002E313C">
              <w:rPr>
                <w:rFonts w:eastAsia="TimesNewRoman"/>
                <w:sz w:val="20"/>
                <w:szCs w:val="20"/>
              </w:rPr>
              <w:t xml:space="preserve"> </w:t>
            </w:r>
            <w:r w:rsidRPr="0092511F">
              <w:rPr>
                <w:rFonts w:eastAsia="TimesNewRoman"/>
                <w:sz w:val="20"/>
                <w:szCs w:val="20"/>
              </w:rPr>
              <w:t xml:space="preserve">mg group and 1 subject each in the ertugliflozin and non-ertugliflozin groups. This is especially important in light of current findings of increased risk of lower limb amputations associated with another </w:t>
            </w:r>
            <w:r w:rsidR="00F72CC6">
              <w:rPr>
                <w:rFonts w:eastAsia="TimesNewRoman"/>
                <w:sz w:val="20"/>
                <w:szCs w:val="20"/>
              </w:rPr>
              <w:t>SGLT2 inhibitor canagliflozin.</w:t>
            </w:r>
          </w:p>
        </w:tc>
        <w:tc>
          <w:tcPr>
            <w:tcW w:w="4394" w:type="dxa"/>
          </w:tcPr>
          <w:p w:rsidR="0092511F" w:rsidRPr="0092511F" w:rsidRDefault="0092511F" w:rsidP="0092511F">
            <w:pPr>
              <w:rPr>
                <w:sz w:val="20"/>
                <w:szCs w:val="20"/>
              </w:rPr>
            </w:pPr>
            <w:r w:rsidRPr="0092511F">
              <w:rPr>
                <w:sz w:val="20"/>
                <w:szCs w:val="20"/>
              </w:rPr>
              <w:t>12 subjects with non-traumatic limb amputation and peripheral revascularisation reported in the Broad pool; all 12 subjects had baseline risk factors for amputation (</w:t>
            </w:r>
            <w:r w:rsidR="002E313C">
              <w:rPr>
                <w:sz w:val="20"/>
                <w:szCs w:val="20"/>
              </w:rPr>
              <w:t>for example</w:t>
            </w:r>
            <w:r w:rsidRPr="0092511F">
              <w:rPr>
                <w:sz w:val="20"/>
                <w:szCs w:val="20"/>
              </w:rPr>
              <w:t>, peripheral neuropathy, peripheral artery disease) or peripheral revascularisation (</w:t>
            </w:r>
            <w:r w:rsidR="002E313C">
              <w:rPr>
                <w:sz w:val="20"/>
                <w:szCs w:val="20"/>
              </w:rPr>
              <w:t>for example</w:t>
            </w:r>
            <w:r w:rsidRPr="0092511F">
              <w:rPr>
                <w:sz w:val="20"/>
                <w:szCs w:val="20"/>
              </w:rPr>
              <w:t>, hyp</w:t>
            </w:r>
            <w:r w:rsidR="00F72CC6">
              <w:rPr>
                <w:sz w:val="20"/>
                <w:szCs w:val="20"/>
              </w:rPr>
              <w:t>ertension and hyperlipidaemia).</w:t>
            </w:r>
          </w:p>
        </w:tc>
      </w:tr>
      <w:tr w:rsidR="0092511F" w:rsidRPr="00C37A1D" w:rsidTr="00E678BC">
        <w:tc>
          <w:tcPr>
            <w:tcW w:w="4395" w:type="dxa"/>
          </w:tcPr>
          <w:p w:rsidR="0092511F" w:rsidRPr="0092511F" w:rsidRDefault="0092511F" w:rsidP="0092511F">
            <w:pPr>
              <w:rPr>
                <w:rFonts w:eastAsia="TimesNewRoman"/>
                <w:sz w:val="20"/>
                <w:szCs w:val="20"/>
              </w:rPr>
            </w:pPr>
            <w:r w:rsidRPr="0092511F">
              <w:rPr>
                <w:sz w:val="20"/>
                <w:szCs w:val="20"/>
              </w:rPr>
              <w:t xml:space="preserve">Reduction in eGFR observed following ertugliflozin treatment with greater reduction in patients with moderate renal impairment. Incidence of </w:t>
            </w:r>
            <w:r w:rsidR="002E313C">
              <w:rPr>
                <w:sz w:val="20"/>
                <w:szCs w:val="20"/>
              </w:rPr>
              <w:t>renal related</w:t>
            </w:r>
            <w:r w:rsidRPr="0092511F">
              <w:rPr>
                <w:sz w:val="20"/>
                <w:szCs w:val="20"/>
              </w:rPr>
              <w:t xml:space="preserve"> AEs also higher.</w:t>
            </w:r>
          </w:p>
        </w:tc>
        <w:tc>
          <w:tcPr>
            <w:tcW w:w="4394" w:type="dxa"/>
          </w:tcPr>
          <w:p w:rsidR="0092511F" w:rsidRPr="0092511F" w:rsidRDefault="0092511F" w:rsidP="0092511F">
            <w:pPr>
              <w:rPr>
                <w:sz w:val="20"/>
                <w:szCs w:val="20"/>
              </w:rPr>
            </w:pPr>
          </w:p>
        </w:tc>
      </w:tr>
      <w:tr w:rsidR="0092511F" w:rsidRPr="00C37A1D" w:rsidTr="00E678BC">
        <w:tc>
          <w:tcPr>
            <w:tcW w:w="4395" w:type="dxa"/>
          </w:tcPr>
          <w:p w:rsidR="0092511F" w:rsidRPr="0092511F" w:rsidRDefault="0092511F" w:rsidP="0092511F">
            <w:pPr>
              <w:rPr>
                <w:rFonts w:eastAsia="TimesNewRoman"/>
                <w:sz w:val="20"/>
                <w:szCs w:val="20"/>
              </w:rPr>
            </w:pPr>
            <w:r w:rsidRPr="0092511F">
              <w:rPr>
                <w:rFonts w:eastAsia="TimesNewRoman"/>
                <w:sz w:val="20"/>
                <w:szCs w:val="20"/>
              </w:rPr>
              <w:t xml:space="preserve">The incidence of volume depletion events was numerically higher in both ertugliflozin groups relative to the non-ertugliflozin group especially among subjects aged </w:t>
            </w:r>
            <w:r w:rsidR="00094198">
              <w:rPr>
                <w:rFonts w:eastAsia="TimesNewRoman"/>
                <w:sz w:val="20"/>
                <w:szCs w:val="20"/>
              </w:rPr>
              <w:t xml:space="preserve">&gt; </w:t>
            </w:r>
            <w:r w:rsidRPr="0092511F">
              <w:rPr>
                <w:rFonts w:eastAsia="TimesNewRoman"/>
                <w:sz w:val="20"/>
                <w:szCs w:val="20"/>
              </w:rPr>
              <w:t>65 years, with renal impairment and those</w:t>
            </w:r>
            <w:r w:rsidR="00F72CC6">
              <w:rPr>
                <w:rFonts w:eastAsia="TimesNewRoman"/>
                <w:sz w:val="20"/>
                <w:szCs w:val="20"/>
              </w:rPr>
              <w:t xml:space="preserve"> on diuretics.</w:t>
            </w:r>
          </w:p>
        </w:tc>
        <w:tc>
          <w:tcPr>
            <w:tcW w:w="4394" w:type="dxa"/>
          </w:tcPr>
          <w:p w:rsidR="0092511F" w:rsidRPr="0092511F" w:rsidRDefault="0092511F" w:rsidP="0092511F">
            <w:pPr>
              <w:rPr>
                <w:sz w:val="20"/>
                <w:szCs w:val="20"/>
              </w:rPr>
            </w:pPr>
            <w:r w:rsidRPr="0092511F">
              <w:rPr>
                <w:sz w:val="20"/>
                <w:szCs w:val="20"/>
              </w:rPr>
              <w:t xml:space="preserve">Incidence of volume depletion AEs in subgroup of subjects aged </w:t>
            </w:r>
            <w:r w:rsidR="00094198">
              <w:rPr>
                <w:sz w:val="20"/>
                <w:szCs w:val="20"/>
              </w:rPr>
              <w:t xml:space="preserve">&gt; </w:t>
            </w:r>
            <w:r w:rsidRPr="0092511F">
              <w:rPr>
                <w:sz w:val="20"/>
                <w:szCs w:val="20"/>
              </w:rPr>
              <w:t>65 years was 2.2%, 2.6% and 1.1% in the ertugliflozin 5mg, 15mg and non-ertu</w:t>
            </w:r>
            <w:r w:rsidR="00F72CC6">
              <w:rPr>
                <w:sz w:val="20"/>
                <w:szCs w:val="20"/>
              </w:rPr>
              <w:t>gliflozin groups, respectively.</w:t>
            </w:r>
          </w:p>
        </w:tc>
      </w:tr>
      <w:tr w:rsidR="0092511F" w:rsidRPr="00C37A1D" w:rsidTr="00E678BC">
        <w:tc>
          <w:tcPr>
            <w:tcW w:w="4395" w:type="dxa"/>
          </w:tcPr>
          <w:p w:rsidR="0092511F" w:rsidRPr="0092511F" w:rsidRDefault="0092511F" w:rsidP="0092511F">
            <w:pPr>
              <w:rPr>
                <w:i/>
                <w:sz w:val="20"/>
                <w:szCs w:val="20"/>
              </w:rPr>
            </w:pPr>
            <w:r w:rsidRPr="0092511F">
              <w:rPr>
                <w:rFonts w:eastAsia="TimesNewRoman"/>
                <w:sz w:val="20"/>
                <w:szCs w:val="20"/>
              </w:rPr>
              <w:t>The incidence of genital mycotic infections was higher in the ertugliflozin groups than in the non-ertugliflozin groups in both men and women. In female subjects, there was a modest dose-relationship.</w:t>
            </w:r>
          </w:p>
        </w:tc>
        <w:tc>
          <w:tcPr>
            <w:tcW w:w="4394" w:type="dxa"/>
          </w:tcPr>
          <w:p w:rsidR="0092511F" w:rsidRPr="0092511F" w:rsidRDefault="0092511F" w:rsidP="0092511F">
            <w:pPr>
              <w:rPr>
                <w:sz w:val="20"/>
                <w:szCs w:val="20"/>
              </w:rPr>
            </w:pPr>
            <w:r w:rsidRPr="0092511F">
              <w:rPr>
                <w:sz w:val="20"/>
                <w:szCs w:val="20"/>
              </w:rPr>
              <w:t>Incidence of complicated infections was low (</w:t>
            </w:r>
            <w:r w:rsidR="00F72CC6">
              <w:rPr>
                <w:sz w:val="20"/>
                <w:szCs w:val="20"/>
              </w:rPr>
              <w:t>&lt; </w:t>
            </w:r>
            <w:r w:rsidRPr="0092511F">
              <w:rPr>
                <w:sz w:val="20"/>
                <w:szCs w:val="20"/>
              </w:rPr>
              <w:t>1%) but still high</w:t>
            </w:r>
            <w:r w:rsidR="00F72CC6">
              <w:rPr>
                <w:sz w:val="20"/>
                <w:szCs w:val="20"/>
              </w:rPr>
              <w:t>er in the ertugliflozin groups.</w:t>
            </w:r>
          </w:p>
        </w:tc>
      </w:tr>
      <w:tr w:rsidR="0092511F" w:rsidRPr="00C37A1D" w:rsidTr="00E678BC">
        <w:tc>
          <w:tcPr>
            <w:tcW w:w="4395" w:type="dxa"/>
          </w:tcPr>
          <w:p w:rsidR="0092511F" w:rsidRPr="0092511F" w:rsidRDefault="007E053F" w:rsidP="0092511F">
            <w:pPr>
              <w:rPr>
                <w:rFonts w:eastAsia="TimesNewRoman"/>
                <w:sz w:val="20"/>
                <w:szCs w:val="20"/>
              </w:rPr>
            </w:pPr>
            <w:r>
              <w:rPr>
                <w:rFonts w:eastAsia="TimesNewRoman"/>
                <w:sz w:val="20"/>
                <w:szCs w:val="20"/>
              </w:rPr>
              <w:t>None of the Phase II</w:t>
            </w:r>
            <w:r w:rsidR="0092511F" w:rsidRPr="0092511F">
              <w:rPr>
                <w:rFonts w:eastAsia="TimesNewRoman"/>
                <w:sz w:val="20"/>
                <w:szCs w:val="20"/>
              </w:rPr>
              <w:t xml:space="preserve"> dose ranging studies evaluated the propo</w:t>
            </w:r>
            <w:r w:rsidR="00F72CC6">
              <w:rPr>
                <w:rFonts w:eastAsia="TimesNewRoman"/>
                <w:sz w:val="20"/>
                <w:szCs w:val="20"/>
              </w:rPr>
              <w:t>sed 15mg dose of ertugliflozin.</w:t>
            </w:r>
          </w:p>
        </w:tc>
        <w:tc>
          <w:tcPr>
            <w:tcW w:w="4394" w:type="dxa"/>
          </w:tcPr>
          <w:p w:rsidR="0092511F" w:rsidRPr="0092511F" w:rsidRDefault="0092511F" w:rsidP="0092511F">
            <w:pPr>
              <w:rPr>
                <w:i/>
                <w:sz w:val="20"/>
                <w:szCs w:val="20"/>
                <w:u w:val="single"/>
              </w:rPr>
            </w:pPr>
          </w:p>
        </w:tc>
      </w:tr>
      <w:tr w:rsidR="0092511F" w:rsidRPr="00C37A1D" w:rsidTr="00E678BC">
        <w:tc>
          <w:tcPr>
            <w:tcW w:w="4395" w:type="dxa"/>
          </w:tcPr>
          <w:p w:rsidR="0092511F" w:rsidRPr="0092511F" w:rsidRDefault="0092511F" w:rsidP="0092511F">
            <w:pPr>
              <w:rPr>
                <w:sz w:val="20"/>
                <w:szCs w:val="20"/>
              </w:rPr>
            </w:pPr>
            <w:r w:rsidRPr="0092511F">
              <w:rPr>
                <w:sz w:val="20"/>
                <w:szCs w:val="20"/>
              </w:rPr>
              <w:t>Lack of evidence to support long term maintenance of efficacy of ertugliflozin beyond 26 weeks with exception of one study (P002/1013) comparing ertugliflozin with glimepiride in patients with inadequate glycaemic control on metformin monotherapy which provided data up to 52 weeks</w:t>
            </w:r>
          </w:p>
        </w:tc>
        <w:tc>
          <w:tcPr>
            <w:tcW w:w="4394" w:type="dxa"/>
          </w:tcPr>
          <w:p w:rsidR="0092511F" w:rsidRPr="0092511F" w:rsidRDefault="0092511F" w:rsidP="0092511F">
            <w:pPr>
              <w:rPr>
                <w:i/>
                <w:sz w:val="20"/>
                <w:szCs w:val="20"/>
                <w:u w:val="single"/>
              </w:rPr>
            </w:pPr>
            <w:r w:rsidRPr="0092511F">
              <w:rPr>
                <w:sz w:val="20"/>
                <w:szCs w:val="20"/>
              </w:rPr>
              <w:t>Phase B of most of the studies (except the initial combination therapy study (P017/1047)</w:t>
            </w:r>
            <w:r w:rsidR="00EF7D1E">
              <w:rPr>
                <w:sz w:val="20"/>
                <w:szCs w:val="20"/>
              </w:rPr>
              <w:t xml:space="preserve"> </w:t>
            </w:r>
            <w:r w:rsidRPr="0092511F">
              <w:rPr>
                <w:sz w:val="20"/>
                <w:szCs w:val="20"/>
              </w:rPr>
              <w:t>with ertugliflozin+sitalgliptin) should provide data on long term efficacy and these results should be made available for evaluation in order to confirm long term maintenance of efficacy in proposed indication.</w:t>
            </w:r>
          </w:p>
        </w:tc>
      </w:tr>
    </w:tbl>
    <w:p w:rsidR="004C620F" w:rsidRDefault="004C620F" w:rsidP="0092511F">
      <w:pPr>
        <w:pStyle w:val="Heading4"/>
      </w:pPr>
      <w:r>
        <w:t>First round assessment of benefit-risk balance</w:t>
      </w:r>
    </w:p>
    <w:p w:rsidR="004C620F" w:rsidRDefault="004C620F" w:rsidP="004C620F">
      <w:r>
        <w:t xml:space="preserve">No </w:t>
      </w:r>
      <w:r w:rsidR="0034721C">
        <w:t>Phase III</w:t>
      </w:r>
      <w:r>
        <w:t xml:space="preserve"> studies have been performed with the proposed ertugliflozin/metformin FDC tablet</w:t>
      </w:r>
      <w:r w:rsidR="0092511F">
        <w:t>.</w:t>
      </w:r>
      <w:r>
        <w:t xml:space="preserve"> The studied doses of the FDC tablets (ertugliflozin 7.5 mg/metformin 1000 mg, ertugliflozin 7.5 mg/metformin 850 mg and ertugliflozin 2.5 mg/metformin 500 mg) are bioequivalent under fasted conditions to the corresponding doses of ertugliflozin and metformin tablets (US or EU-sourced Glucophage) when co-administered. The metformin component of the studied doses of the FDC tablets (ertugliflozin 7.5 mg/metformin 850 mg and ertugliflozin 2.5 mg/metformin 500 mg) is also bioequivalent to the corresponding doses of metformin tablets (Canadian</w:t>
      </w:r>
      <w:r w:rsidR="0092511F">
        <w:t xml:space="preserve"> </w:t>
      </w:r>
      <w:r>
        <w:t xml:space="preserve">sourced Glucophage) when co-administered with corresponding doses of ertugliflozin tablets under fasted and fed conditions. These clinical data, along with the in vitro multi-media dissolution data, support the bridging of pharmacokinetic, </w:t>
      </w:r>
      <w:r>
        <w:lastRenderedPageBreak/>
        <w:t xml:space="preserve">pharmacodynamic, efficacy and safety data obtained in the </w:t>
      </w:r>
      <w:r w:rsidR="0034721C">
        <w:t>Phase III</w:t>
      </w:r>
      <w:r>
        <w:t xml:space="preserve"> studies to the proposed FDC commercial tablets. Hence, data obtained from the 4 </w:t>
      </w:r>
      <w:r w:rsidR="0034721C">
        <w:t>Phase III</w:t>
      </w:r>
      <w:r>
        <w:t xml:space="preserve"> studies (P006/1015, P007/1017, P002/1013 and P005/1019) that assessed the use of ertugliflozin on a background of metformin (</w:t>
      </w:r>
      <w:r w:rsidR="00E900A0">
        <w:t xml:space="preserve">≥ </w:t>
      </w:r>
      <w:r>
        <w:t>1500 mg/day) can be bridged to the FDC tablet based on established bioequivalence.</w:t>
      </w:r>
    </w:p>
    <w:p w:rsidR="004C620F" w:rsidRDefault="004C620F" w:rsidP="004C620F">
      <w:r>
        <w:t xml:space="preserve">In all 4 studies, clinically meaningful </w:t>
      </w:r>
      <w:r w:rsidR="00C86E15">
        <w:t>A1c</w:t>
      </w:r>
      <w:r>
        <w:t xml:space="preserve"> reductions were observed when ertugliflozin 5 mg or 15 mg was added on to metformin (second line use) or metformin and sitagliptin (third line use). On a background of metformin, ertugliflozin 5 mg and 15 mg resulted in reductions in </w:t>
      </w:r>
      <w:r w:rsidR="00C86E15">
        <w:t>A1c</w:t>
      </w:r>
      <w:r>
        <w:t xml:space="preserve"> that were generally greater than the results in the placebo group at Week 26, irrespective of gender, age, sex, race, ethnicity, geographic region, baseline BMI, baseline </w:t>
      </w:r>
      <w:r w:rsidR="00C86E15">
        <w:t>A1c</w:t>
      </w:r>
      <w:r>
        <w:t>, baseline eGFR, and duration of T2DM.The results of Study P002/1013 demonstrate that ertugliflozin offers several clinically relevant advantages to glimepiride as an add-on to metformin with regards to safety/ tolerability (</w:t>
      </w:r>
      <w:r w:rsidR="003E2983">
        <w:t>that is,</w:t>
      </w:r>
      <w:r>
        <w:t xml:space="preserve"> lower rates of hypoglycaemia) and reductions in SBP and body weight.</w:t>
      </w:r>
    </w:p>
    <w:p w:rsidR="004C620F" w:rsidRDefault="004C620F" w:rsidP="004C620F">
      <w:r>
        <w:t xml:space="preserve">In the </w:t>
      </w:r>
      <w:r w:rsidR="000677B1">
        <w:t>ertugliflozin/metformin</w:t>
      </w:r>
      <w:r>
        <w:t xml:space="preserve"> FDC </w:t>
      </w:r>
      <w:r w:rsidR="001F6870">
        <w:t>pool</w:t>
      </w:r>
      <w:r>
        <w:t xml:space="preserve">, ertugliflozin 15 mg provided a numerically greater reduction in </w:t>
      </w:r>
      <w:r w:rsidR="00C86E15">
        <w:t>A1c</w:t>
      </w:r>
      <w:r>
        <w:t xml:space="preserve"> (approximately 0.14%) compared to ertugliflozin 5 mg. In all 4 </w:t>
      </w:r>
      <w:r w:rsidR="0034721C">
        <w:t>Phase III</w:t>
      </w:r>
      <w:r>
        <w:t xml:space="preserve"> studies, a numerically greater proportion of subjects reached </w:t>
      </w:r>
      <w:r w:rsidR="00C86E15">
        <w:t>A1c</w:t>
      </w:r>
      <w:r>
        <w:t xml:space="preserve"> </w:t>
      </w:r>
      <w:r w:rsidR="00094198">
        <w:t xml:space="preserve">&lt; </w:t>
      </w:r>
      <w:r>
        <w:t xml:space="preserve">7.0% with ertugliflozin 15 mg compared with 5 mg. The small but consistently greater </w:t>
      </w:r>
      <w:r w:rsidR="00C86E15">
        <w:t>A1c</w:t>
      </w:r>
      <w:r>
        <w:t xml:space="preserve"> reduction from baseline with ertugliflozin 15 mg over ertugliflozin 5 mg may have an impact on the ability of patients to reach their </w:t>
      </w:r>
      <w:r w:rsidR="00C86E15">
        <w:t>A1c</w:t>
      </w:r>
      <w:r>
        <w:t xml:space="preserve"> goal.</w:t>
      </w:r>
    </w:p>
    <w:p w:rsidR="004C620F" w:rsidRDefault="004C620F" w:rsidP="004C620F">
      <w:r>
        <w:t xml:space="preserve">The mechanism of action of ertugliflozin and metformin and the safety profiles of each agent do not suggest significant safety or tolerability risks related to the combination of the 2 agents. The safety data from the 4 </w:t>
      </w:r>
      <w:r w:rsidR="0034721C">
        <w:t>Phase III</w:t>
      </w:r>
      <w:r>
        <w:t xml:space="preserve"> studies are entirely consistent with the safety data from the overall ertugliflozin program (7 </w:t>
      </w:r>
      <w:r w:rsidR="0034721C">
        <w:t>Phase III</w:t>
      </w:r>
      <w:r>
        <w:t xml:space="preserve"> studies). Overall, studies on a background of metformin identified no additional safety or tolerability risk for the combination relative to the 2 agents administered alone.</w:t>
      </w:r>
    </w:p>
    <w:p w:rsidR="004C620F" w:rsidRDefault="004C620F" w:rsidP="004C620F">
      <w:r>
        <w:t xml:space="preserve">The ertugliflozin/metformin FDC will contain an immediate-release formulation of metformin, which requires twice daily dosing. Therefore, the ertugliflozin/metformin FDC also requires twice daily dosing. Bridging of the once daily ertugliflozin dosing regimen used in the </w:t>
      </w:r>
      <w:r w:rsidR="0034721C">
        <w:t>Phase III</w:t>
      </w:r>
      <w:r>
        <w:t xml:space="preserve"> studies to the proposed</w:t>
      </w:r>
      <w:r w:rsidR="00F31E83">
        <w:t xml:space="preserve"> </w:t>
      </w:r>
      <w:r w:rsidR="00B3476E">
        <w:t>BD</w:t>
      </w:r>
      <w:r w:rsidR="00F31E83">
        <w:t xml:space="preserve"> </w:t>
      </w:r>
      <w:r>
        <w:t>regimen for the FDC was shown</w:t>
      </w:r>
      <w:r w:rsidR="00C242A4">
        <w:t xml:space="preserve"> </w:t>
      </w:r>
      <w:r>
        <w:t xml:space="preserve">through a </w:t>
      </w:r>
      <w:r w:rsidR="0034721C">
        <w:t>Phase I</w:t>
      </w:r>
      <w:r>
        <w:t xml:space="preserve"> PK/PD study (P035/1051) which showed equivalence of steady-state ertugliflozin </w:t>
      </w:r>
      <w:r w:rsidR="003E2983">
        <w:t>AUC</w:t>
      </w:r>
      <w:r w:rsidR="003E2983" w:rsidRPr="003E2983">
        <w:rPr>
          <w:vertAlign w:val="subscript"/>
        </w:rPr>
        <w:t>0-24</w:t>
      </w:r>
      <w:r>
        <w:t xml:space="preserve"> on Day 6, and similarity in steady state PD (</w:t>
      </w:r>
      <w:r w:rsidR="003E2983">
        <w:t>UGE</w:t>
      </w:r>
      <w:r w:rsidR="003E2983" w:rsidRPr="003E2983">
        <w:rPr>
          <w:vertAlign w:val="subscript"/>
        </w:rPr>
        <w:t>0-24</w:t>
      </w:r>
      <w:r>
        <w:t xml:space="preserve"> after the morning dose on Day 6), between the</w:t>
      </w:r>
      <w:r w:rsidR="00F31E83">
        <w:t xml:space="preserve"> QD </w:t>
      </w:r>
      <w:r>
        <w:t>and</w:t>
      </w:r>
      <w:r w:rsidR="00F31E83">
        <w:t xml:space="preserve"> </w:t>
      </w:r>
      <w:r w:rsidR="00B3476E">
        <w:t>BD</w:t>
      </w:r>
      <w:r w:rsidR="00F31E83">
        <w:t xml:space="preserve"> </w:t>
      </w:r>
      <w:r>
        <w:t>regimens at the same total daily dose (2.5 mg</w:t>
      </w:r>
      <w:r w:rsidR="00F31E83">
        <w:t xml:space="preserve"> </w:t>
      </w:r>
      <w:r w:rsidR="00B3476E">
        <w:t>BD</w:t>
      </w:r>
      <w:r w:rsidR="00F31E83">
        <w:t xml:space="preserve"> versus </w:t>
      </w:r>
      <w:r>
        <w:t>5 mg</w:t>
      </w:r>
      <w:r w:rsidR="00F31E83">
        <w:t xml:space="preserve"> QD </w:t>
      </w:r>
      <w:r>
        <w:t>and 7.5 mg</w:t>
      </w:r>
      <w:r w:rsidR="00F31E83">
        <w:t xml:space="preserve"> </w:t>
      </w:r>
      <w:r w:rsidR="00B3476E">
        <w:t>BD</w:t>
      </w:r>
      <w:r w:rsidR="00F31E83">
        <w:t xml:space="preserve"> versus </w:t>
      </w:r>
      <w:r>
        <w:t xml:space="preserve">15 mg </w:t>
      </w:r>
      <w:r w:rsidR="00F72CC6">
        <w:t>QD</w:t>
      </w:r>
      <w:r>
        <w:t>). This study supports</w:t>
      </w:r>
      <w:r w:rsidR="00F31E83">
        <w:t xml:space="preserve"> </w:t>
      </w:r>
      <w:r w:rsidR="00B3476E">
        <w:t>BD</w:t>
      </w:r>
      <w:r w:rsidR="00F31E83">
        <w:t xml:space="preserve"> </w:t>
      </w:r>
      <w:r>
        <w:t>dosing of the ertugliflozin-metformin FDC. However, it is important to note that there was no clinical study to compare the clinical efficacy/safety of once</w:t>
      </w:r>
      <w:r w:rsidR="00F31E83">
        <w:t xml:space="preserve"> versus </w:t>
      </w:r>
      <w:r>
        <w:t xml:space="preserve">twice daily ertugliflozin dosing. Furthermore, two FDCs containing a SGLT-2 inhibitor and metformin are already available in Australia: </w:t>
      </w:r>
      <w:r w:rsidR="00CF0730">
        <w:t>Xigduo</w:t>
      </w:r>
      <w:r>
        <w:t xml:space="preserve">-XR: FDC of dapagliflozin+metformin which requires once daily dosing, and </w:t>
      </w:r>
      <w:r w:rsidR="00CF0730">
        <w:t>Jardiamet</w:t>
      </w:r>
      <w:r>
        <w:t>: FDC containing empagliflozin and metformin which requires twice daily dosing. It is important to note that empagliflozin has added advantage of being approved in adults with type 2 diabetes mellitus and established cardiovascular disease to reduce the risk of cardiovascular death. This is especially important in light of the fact that no CV data was submitted for ertugliflozin. There is also lack of adequate evidence for LT efficacy/safety of ertugliflozin (refer to Steglatro report).</w:t>
      </w:r>
    </w:p>
    <w:p w:rsidR="00255E9C" w:rsidRDefault="004C620F" w:rsidP="004C620F">
      <w:r>
        <w:t xml:space="preserve">Overall, the benefit-risk profile Segluromet (FDC of ertugliflozin+metformin) in the proposed usage is not currently favourable, but may become favourable if the changes recommended </w:t>
      </w:r>
      <w:r w:rsidR="00CF0730">
        <w:t>in section 8.6</w:t>
      </w:r>
      <w:r>
        <w:t xml:space="preserve"> are adopted</w:t>
      </w:r>
      <w:r w:rsidR="00255E9C">
        <w:t>.</w:t>
      </w:r>
    </w:p>
    <w:p w:rsidR="004C620F" w:rsidRDefault="00CF0730" w:rsidP="00CF0730">
      <w:pPr>
        <w:pStyle w:val="Heading3"/>
      </w:pPr>
      <w:bookmarkStart w:id="113" w:name="_Toc4571219"/>
      <w:r>
        <w:t>First round recommendation regarding authorisation</w:t>
      </w:r>
      <w:bookmarkEnd w:id="113"/>
    </w:p>
    <w:p w:rsidR="00CF0730" w:rsidRDefault="004C620F" w:rsidP="00CF0730">
      <w:r>
        <w:t>It is recommended that approval for the following indication cannot be granted at this stage:</w:t>
      </w:r>
    </w:p>
    <w:p w:rsidR="004C620F" w:rsidRDefault="004C620F" w:rsidP="00CF0730">
      <w:pPr>
        <w:ind w:left="720"/>
      </w:pPr>
      <w:r w:rsidRPr="00CF0730">
        <w:rPr>
          <w:i/>
        </w:rPr>
        <w:lastRenderedPageBreak/>
        <w:t>Segluromet (ertugliflozin and metformin hydrochloride) is indicated as an adjunct to diet and exercise to improve glycaemic control in adults with type 2 diabetes mellitus when treatment with both ertugliflozin and metformin is appropriate</w:t>
      </w:r>
      <w:r>
        <w:t>.</w:t>
      </w:r>
    </w:p>
    <w:p w:rsidR="00CF0730" w:rsidRDefault="004C620F" w:rsidP="00CF0730">
      <w:r>
        <w:t>However, approval could be granted for a slightly modified w</w:t>
      </w:r>
      <w:r w:rsidR="00F72CC6">
        <w:t>ording of the above indication:</w:t>
      </w:r>
    </w:p>
    <w:p w:rsidR="004C620F" w:rsidRDefault="00CF0730" w:rsidP="00CF0730">
      <w:pPr>
        <w:ind w:left="720"/>
      </w:pPr>
      <w:r w:rsidRPr="00CF0730">
        <w:rPr>
          <w:i/>
        </w:rPr>
        <w:t>Indications</w:t>
      </w:r>
      <w:r w:rsidR="004C620F" w:rsidRPr="00CF0730">
        <w:rPr>
          <w:i/>
        </w:rPr>
        <w:t>: Segluromet (ertugliflozin and metformin hydrochloride) is indicated as an adjunct to diet and exercise to improve glycaemic control in adults with type 2 diabetes mellitus when treatment with both ertugliflozin and metformin is appropriate. (</w:t>
      </w:r>
      <w:r w:rsidRPr="00CF0730">
        <w:rPr>
          <w:i/>
        </w:rPr>
        <w:t>refer Clinical Trials, Dosage and Administration</w:t>
      </w:r>
      <w:r w:rsidR="004C620F" w:rsidRPr="00CF0730">
        <w:rPr>
          <w:i/>
        </w:rPr>
        <w:t>).</w:t>
      </w:r>
    </w:p>
    <w:p w:rsidR="004C620F" w:rsidRDefault="004C620F" w:rsidP="004C620F">
      <w:r>
        <w:t>Approval for above modified indication is also conditional to the following:</w:t>
      </w:r>
    </w:p>
    <w:p w:rsidR="004C620F" w:rsidRDefault="00CF0730" w:rsidP="00CF0730">
      <w:pPr>
        <w:pStyle w:val="ListBullet"/>
      </w:pPr>
      <w:r>
        <w:t>R</w:t>
      </w:r>
      <w:r w:rsidR="004C620F">
        <w:t>esolution of outstanding issues of the ertugliflozin submis</w:t>
      </w:r>
      <w:r>
        <w:t>sion (refer to Steglatro report</w:t>
      </w:r>
      <w:r w:rsidR="001F6870">
        <w:t xml:space="preserve"> (see Attachment 2)</w:t>
      </w:r>
      <w:r>
        <w:t>).</w:t>
      </w:r>
    </w:p>
    <w:p w:rsidR="004C620F" w:rsidRDefault="004C620F" w:rsidP="00CF0730">
      <w:pPr>
        <w:pStyle w:val="ListBullet"/>
      </w:pPr>
      <w:r>
        <w:t>Incorporation of suggested changes to proposed PI</w:t>
      </w:r>
      <w:r w:rsidR="00CF0730">
        <w:t>.</w:t>
      </w:r>
    </w:p>
    <w:p w:rsidR="004C620F" w:rsidRDefault="004C620F" w:rsidP="00CF0730">
      <w:pPr>
        <w:pStyle w:val="ListBullet"/>
      </w:pPr>
      <w:r>
        <w:t xml:space="preserve">Satisfactory response to </w:t>
      </w:r>
      <w:r w:rsidR="00CF0730">
        <w:t>Clinical questions.</w:t>
      </w:r>
    </w:p>
    <w:p w:rsidR="004C620F" w:rsidRDefault="004C620F" w:rsidP="00AB5D2E">
      <w:pPr>
        <w:pStyle w:val="Heading2"/>
      </w:pPr>
      <w:bookmarkStart w:id="114" w:name="_Toc4571220"/>
      <w:r>
        <w:t>Clinical questions</w:t>
      </w:r>
      <w:bookmarkEnd w:id="114"/>
    </w:p>
    <w:p w:rsidR="004C620F" w:rsidRDefault="004C620F" w:rsidP="00AB5D2E">
      <w:pPr>
        <w:pStyle w:val="Heading3"/>
      </w:pPr>
      <w:bookmarkStart w:id="115" w:name="_Toc4571221"/>
      <w:r>
        <w:t>Pharmacokinetics</w:t>
      </w:r>
      <w:bookmarkEnd w:id="115"/>
    </w:p>
    <w:p w:rsidR="004C620F" w:rsidRDefault="004C620F" w:rsidP="00E0377E">
      <w:pPr>
        <w:pStyle w:val="Heading4"/>
      </w:pPr>
      <w:r>
        <w:t>Question 1:</w:t>
      </w:r>
    </w:p>
    <w:p w:rsidR="004C620F" w:rsidRDefault="004C620F" w:rsidP="004C620F">
      <w:r>
        <w:t>Can the sponsor please confirm that the compositions of the proposed Segluromet and MSD</w:t>
      </w:r>
      <w:r w:rsidR="001F6870">
        <w:noBreakHyphen/>
      </w:r>
      <w:r>
        <w:t>ertugliflozin-metformin FDC tablets of matching dose strengths are identical?</w:t>
      </w:r>
    </w:p>
    <w:p w:rsidR="004C620F" w:rsidRDefault="004C620F" w:rsidP="00E0377E">
      <w:pPr>
        <w:pStyle w:val="Heading4"/>
      </w:pPr>
      <w:r>
        <w:t>Question 2:</w:t>
      </w:r>
    </w:p>
    <w:p w:rsidR="004C620F" w:rsidRDefault="004C620F" w:rsidP="004C620F">
      <w:r>
        <w:t>Metformin is also available as an extended-release tablet in Australia, which requires once daily dosing</w:t>
      </w:r>
      <w:r w:rsidR="00EF7D1E">
        <w:t>;</w:t>
      </w:r>
      <w:r>
        <w:t xml:space="preserve"> can the sponsor please explain why this formulation of metformin was not explored by the sponsors for the FDC?</w:t>
      </w:r>
    </w:p>
    <w:p w:rsidR="004C620F" w:rsidRDefault="004C620F" w:rsidP="00E0377E">
      <w:pPr>
        <w:pStyle w:val="Heading3"/>
      </w:pPr>
      <w:bookmarkStart w:id="116" w:name="_Toc4571222"/>
      <w:r>
        <w:t>Pharmacodynamics</w:t>
      </w:r>
      <w:bookmarkEnd w:id="116"/>
    </w:p>
    <w:p w:rsidR="004C620F" w:rsidRDefault="004C620F" w:rsidP="004C620F">
      <w:r>
        <w:t>None.</w:t>
      </w:r>
    </w:p>
    <w:p w:rsidR="004C620F" w:rsidRDefault="004C620F" w:rsidP="00E0377E">
      <w:pPr>
        <w:pStyle w:val="Heading3"/>
      </w:pPr>
      <w:bookmarkStart w:id="117" w:name="_Toc4571223"/>
      <w:r>
        <w:t>Efficacy</w:t>
      </w:r>
      <w:bookmarkEnd w:id="117"/>
    </w:p>
    <w:p w:rsidR="004C620F" w:rsidRDefault="004C620F" w:rsidP="004C620F">
      <w:r>
        <w:t>None.</w:t>
      </w:r>
    </w:p>
    <w:p w:rsidR="004C620F" w:rsidRDefault="004C620F" w:rsidP="00E0377E">
      <w:pPr>
        <w:pStyle w:val="Heading3"/>
      </w:pPr>
      <w:bookmarkStart w:id="118" w:name="_Toc4571224"/>
      <w:r>
        <w:t>Safety</w:t>
      </w:r>
      <w:bookmarkEnd w:id="118"/>
    </w:p>
    <w:p w:rsidR="00267447" w:rsidRPr="00267447" w:rsidRDefault="00267447" w:rsidP="00DA242E">
      <w:pPr>
        <w:pStyle w:val="Heading4"/>
      </w:pPr>
      <w:r>
        <w:t>Question 3</w:t>
      </w:r>
    </w:p>
    <w:p w:rsidR="00267447" w:rsidRDefault="004C620F" w:rsidP="004C620F">
      <w:r>
        <w:t>In the SCS the following is mentioned</w:t>
      </w:r>
      <w:r w:rsidR="00267447">
        <w:t>:</w:t>
      </w:r>
    </w:p>
    <w:p w:rsidR="004C620F" w:rsidRDefault="004C620F" w:rsidP="00DA242E">
      <w:pPr>
        <w:ind w:left="720"/>
      </w:pPr>
      <w:r>
        <w:t>4</w:t>
      </w:r>
      <w:r w:rsidRPr="007A3FAF">
        <w:rPr>
          <w:i/>
        </w:rPr>
        <w:t xml:space="preserve">.1.1 Sitting Systolic Blood Pressure In the </w:t>
      </w:r>
      <w:r w:rsidR="000677B1" w:rsidRPr="007A3FAF">
        <w:rPr>
          <w:i/>
        </w:rPr>
        <w:t>ertugliflozin/metformin</w:t>
      </w:r>
      <w:r w:rsidRPr="007A3FAF">
        <w:rPr>
          <w:i/>
        </w:rPr>
        <w:t xml:space="preserve"> Pool, baseline systolic blood pressure values were approximately 130 mmHg across groups. There was a decrease in systolic blood pressure at each time point in the ertugliflozin 5 mg and 15 mg groups relative to the placebo group (Figure 4). The mean change from baseline in sitting systolic blood pressure at Week 26 was greater in the ertugliflozin 5 mg and 15 mg groups (-4.32 mmHg and -5.29 mg/dL, respectively) relative to the placebo group (-0.39 mg/dL)</w:t>
      </w:r>
      <w:r>
        <w:t>.</w:t>
      </w:r>
    </w:p>
    <w:p w:rsidR="004C620F" w:rsidRDefault="004C620F" w:rsidP="00DA242E">
      <w:r>
        <w:t xml:space="preserve">There appears to be a typographical </w:t>
      </w:r>
      <w:r w:rsidR="007A3FAF">
        <w:t>error in terms of units for SBP. C</w:t>
      </w:r>
      <w:r>
        <w:t>ould the sponsors please confirm that the values are accurate although the units are not</w:t>
      </w:r>
      <w:r w:rsidR="007A3FAF">
        <w:t>?</w:t>
      </w:r>
    </w:p>
    <w:p w:rsidR="004C620F" w:rsidRDefault="007A3FAF" w:rsidP="007A3FAF">
      <w:pPr>
        <w:pStyle w:val="Heading2"/>
      </w:pPr>
      <w:bookmarkStart w:id="119" w:name="_Toc4571225"/>
      <w:r>
        <w:lastRenderedPageBreak/>
        <w:t>Second round evaluation</w:t>
      </w:r>
      <w:bookmarkEnd w:id="119"/>
    </w:p>
    <w:p w:rsidR="004C620F" w:rsidRDefault="004C620F" w:rsidP="007A3FAF">
      <w:pPr>
        <w:pStyle w:val="Heading3"/>
      </w:pPr>
      <w:bookmarkStart w:id="120" w:name="_Toc4571226"/>
      <w:r>
        <w:t>Clinical Questions</w:t>
      </w:r>
      <w:bookmarkEnd w:id="120"/>
    </w:p>
    <w:p w:rsidR="00255E9C" w:rsidRDefault="004C620F" w:rsidP="004C620F">
      <w:r>
        <w:t>The clinical questions in the first round report are stated first followed by a summary of the sponsor’s response and then the evaluator’s comments on the sponsor’s response</w:t>
      </w:r>
      <w:r w:rsidR="00255E9C">
        <w:t>.</w:t>
      </w:r>
    </w:p>
    <w:p w:rsidR="004C620F" w:rsidRDefault="004C620F" w:rsidP="007A3FAF">
      <w:pPr>
        <w:pStyle w:val="Heading4"/>
      </w:pPr>
      <w:r>
        <w:t>Pharmacokinetics</w:t>
      </w:r>
    </w:p>
    <w:p w:rsidR="004C620F" w:rsidRDefault="004C620F" w:rsidP="007A3FAF">
      <w:pPr>
        <w:pStyle w:val="Heading5"/>
      </w:pPr>
      <w:r>
        <w:t>Question 1</w:t>
      </w:r>
    </w:p>
    <w:p w:rsidR="004C620F" w:rsidRPr="00DA242E" w:rsidRDefault="004C620F" w:rsidP="00267447">
      <w:pPr>
        <w:rPr>
          <w:i/>
        </w:rPr>
      </w:pPr>
      <w:r w:rsidRPr="00DA242E">
        <w:rPr>
          <w:i/>
        </w:rPr>
        <w:t>Can the sponsor please confirm that the compositions of the proposed Segluromet and MSD-ertugliflozin-metformin FDC tablets of matching dose strengths are identical?</w:t>
      </w:r>
    </w:p>
    <w:p w:rsidR="004C620F" w:rsidRDefault="007A3FAF" w:rsidP="007A3FAF">
      <w:pPr>
        <w:pStyle w:val="Heading6"/>
      </w:pPr>
      <w:r>
        <w:t>Sponsor’s response</w:t>
      </w:r>
    </w:p>
    <w:p w:rsidR="004C620F" w:rsidRDefault="004C620F" w:rsidP="004C620F">
      <w:r>
        <w:t xml:space="preserve">The </w:t>
      </w:r>
      <w:r w:rsidR="00267447">
        <w:t xml:space="preserve">sponsor </w:t>
      </w:r>
      <w:r>
        <w:t>confirms that the composition of the proposed Segluromet and MSD-ertugliflozin-metformin fixed-dose combination (FDC) of matching dose strengths are identical.</w:t>
      </w:r>
    </w:p>
    <w:p w:rsidR="004C620F" w:rsidRDefault="007A3FAF" w:rsidP="007A3FAF">
      <w:pPr>
        <w:pStyle w:val="Heading6"/>
      </w:pPr>
      <w:r>
        <w:t>Evaluator’s comments</w:t>
      </w:r>
    </w:p>
    <w:p w:rsidR="004C620F" w:rsidRDefault="004C620F" w:rsidP="007A3FAF">
      <w:r>
        <w:t xml:space="preserve">The evaluator is satisfied with </w:t>
      </w:r>
      <w:r w:rsidR="00820B41">
        <w:t>the sponsor</w:t>
      </w:r>
      <w:r>
        <w:t>’s response.</w:t>
      </w:r>
    </w:p>
    <w:p w:rsidR="004C620F" w:rsidRDefault="004C620F" w:rsidP="007A3FAF">
      <w:pPr>
        <w:pStyle w:val="Heading5"/>
      </w:pPr>
      <w:r>
        <w:t>Question 2</w:t>
      </w:r>
    </w:p>
    <w:p w:rsidR="004C620F" w:rsidRPr="00DA242E" w:rsidRDefault="004C620F" w:rsidP="004C620F">
      <w:pPr>
        <w:rPr>
          <w:i/>
        </w:rPr>
      </w:pPr>
      <w:r w:rsidRPr="00DA242E">
        <w:rPr>
          <w:i/>
        </w:rPr>
        <w:t>Metformin is also available as an extended-release tablet in Australia, which requires once daily dosing</w:t>
      </w:r>
      <w:r w:rsidR="00EF7D1E" w:rsidRPr="00DA242E">
        <w:rPr>
          <w:i/>
        </w:rPr>
        <w:t>;</w:t>
      </w:r>
      <w:r w:rsidRPr="00DA242E">
        <w:rPr>
          <w:i/>
        </w:rPr>
        <w:t xml:space="preserve"> can the sponsor please explain why this formulation of metformin was not explored by the sponsors for the FDC?</w:t>
      </w:r>
    </w:p>
    <w:p w:rsidR="004C620F" w:rsidRDefault="004C620F" w:rsidP="007A3FAF">
      <w:pPr>
        <w:pStyle w:val="Heading6"/>
      </w:pPr>
      <w:r>
        <w:t xml:space="preserve">Sponsor’s </w:t>
      </w:r>
      <w:r w:rsidR="007A3FAF">
        <w:t>response</w:t>
      </w:r>
    </w:p>
    <w:p w:rsidR="004C620F" w:rsidRDefault="004C620F" w:rsidP="004C620F">
      <w:r>
        <w:t xml:space="preserve">Both </w:t>
      </w:r>
      <w:r w:rsidR="00EF7D1E">
        <w:t xml:space="preserve">an </w:t>
      </w:r>
      <w:r>
        <w:t xml:space="preserve">immediate release as well as </w:t>
      </w:r>
      <w:r w:rsidR="00EF7D1E">
        <w:t xml:space="preserve">an </w:t>
      </w:r>
      <w:r>
        <w:t>extended-release formulation w</w:t>
      </w:r>
      <w:r w:rsidR="00EF7D1E">
        <w:t>as</w:t>
      </w:r>
      <w:r>
        <w:t xml:space="preserve"> evaluated by the sponsor for the FDC. The results showed that only the immediate release metformin FDC formulation is commercially viable as immediate release metformin is available globally while the extended-release metformin is only available in specific markets.</w:t>
      </w:r>
    </w:p>
    <w:p w:rsidR="004C620F" w:rsidRDefault="004C620F" w:rsidP="00DA242E">
      <w:pPr>
        <w:pStyle w:val="Heading6"/>
      </w:pPr>
      <w:r>
        <w:t xml:space="preserve">Evaluator’s </w:t>
      </w:r>
      <w:r w:rsidR="007A3FAF">
        <w:t>c</w:t>
      </w:r>
      <w:r>
        <w:t>omments</w:t>
      </w:r>
    </w:p>
    <w:p w:rsidR="004C620F" w:rsidRDefault="004C620F" w:rsidP="004C620F">
      <w:r>
        <w:t xml:space="preserve">The evaluator is satisfied with </w:t>
      </w:r>
      <w:r w:rsidR="00820B41">
        <w:t>the sponsor</w:t>
      </w:r>
      <w:r>
        <w:t>’s response.</w:t>
      </w:r>
    </w:p>
    <w:p w:rsidR="004C620F" w:rsidRDefault="004C620F" w:rsidP="007A3FAF">
      <w:pPr>
        <w:pStyle w:val="Heading4"/>
      </w:pPr>
      <w:r>
        <w:t>Safety</w:t>
      </w:r>
    </w:p>
    <w:p w:rsidR="004C620F" w:rsidRDefault="00F72CC6" w:rsidP="007A3FAF">
      <w:pPr>
        <w:pStyle w:val="Heading5"/>
      </w:pPr>
      <w:r>
        <w:t>Question 3</w:t>
      </w:r>
    </w:p>
    <w:p w:rsidR="00267447" w:rsidRDefault="004C620F" w:rsidP="004C620F">
      <w:pPr>
        <w:rPr>
          <w:i/>
        </w:rPr>
      </w:pPr>
      <w:r w:rsidRPr="00DA242E">
        <w:rPr>
          <w:i/>
        </w:rPr>
        <w:t>In the SCS the following is mentioned</w:t>
      </w:r>
      <w:r w:rsidR="00267447">
        <w:rPr>
          <w:i/>
        </w:rPr>
        <w:t>:</w:t>
      </w:r>
    </w:p>
    <w:p w:rsidR="004C620F" w:rsidRDefault="004C620F" w:rsidP="00DA242E">
      <w:pPr>
        <w:ind w:left="720"/>
      </w:pPr>
      <w:r w:rsidRPr="0092511F">
        <w:rPr>
          <w:i/>
        </w:rPr>
        <w:t xml:space="preserve">4.1.1 Sitting Systolic Blood Pressure In the </w:t>
      </w:r>
      <w:r w:rsidR="000677B1" w:rsidRPr="0092511F">
        <w:rPr>
          <w:i/>
        </w:rPr>
        <w:t>ertugliflozin/metformin</w:t>
      </w:r>
      <w:r w:rsidRPr="0092511F">
        <w:rPr>
          <w:i/>
        </w:rPr>
        <w:t xml:space="preserve"> Pool, baseline systolic blood pressure values were approximately 130 mmHg across groups. There was a decrease in systolic blood pressure at each time point in the ertugliflozin 5 mg and 15 mg groups relative to the placebo group (Figure 4). The mean change from baseline in sitting systolic blood pressure at Week 26 was greater in the ertugliflozin 5 mg and 15 mg groups (-4.32 mmHg and -5.29 mg/dL, respectively) relative to the placebo group (-0.39 mg/dL).</w:t>
      </w:r>
    </w:p>
    <w:p w:rsidR="004C620F" w:rsidRPr="00DA242E" w:rsidRDefault="004C620F" w:rsidP="004C620F">
      <w:pPr>
        <w:rPr>
          <w:i/>
        </w:rPr>
      </w:pPr>
      <w:r w:rsidRPr="00DA242E">
        <w:rPr>
          <w:i/>
        </w:rPr>
        <w:t>There appears to be a typographical error in terms of units for SBP</w:t>
      </w:r>
      <w:r w:rsidR="007A3FAF" w:rsidRPr="00DA242E">
        <w:rPr>
          <w:i/>
        </w:rPr>
        <w:t>. C</w:t>
      </w:r>
      <w:r w:rsidRPr="00DA242E">
        <w:rPr>
          <w:i/>
        </w:rPr>
        <w:t>ould the sponsor please confirm that the values are accu</w:t>
      </w:r>
      <w:r w:rsidR="007A3FAF" w:rsidRPr="00DA242E">
        <w:rPr>
          <w:i/>
        </w:rPr>
        <w:t>rate although the units are not?</w:t>
      </w:r>
    </w:p>
    <w:p w:rsidR="004C620F" w:rsidRDefault="004C620F" w:rsidP="007A3FAF">
      <w:pPr>
        <w:pStyle w:val="Heading6"/>
      </w:pPr>
      <w:r>
        <w:t xml:space="preserve">Sponsor’s </w:t>
      </w:r>
      <w:r w:rsidR="007A3FAF">
        <w:t>r</w:t>
      </w:r>
      <w:r>
        <w:t>esponse</w:t>
      </w:r>
    </w:p>
    <w:p w:rsidR="004C620F" w:rsidRDefault="004C620F" w:rsidP="004C620F">
      <w:r>
        <w:t xml:space="preserve">The </w:t>
      </w:r>
      <w:r w:rsidR="007A3FAF">
        <w:t>sponsor</w:t>
      </w:r>
      <w:r>
        <w:t xml:space="preserve"> confirms that the blood pressure units for the ertugliflozin 15 mg and placebo groups are incorrect and that all other results in the paragraph are accurate.</w:t>
      </w:r>
    </w:p>
    <w:p w:rsidR="004C620F" w:rsidRDefault="004C620F" w:rsidP="007A3FAF">
      <w:pPr>
        <w:pStyle w:val="Heading6"/>
      </w:pPr>
      <w:r>
        <w:t xml:space="preserve">Evaluator’s </w:t>
      </w:r>
      <w:r w:rsidR="007A3FAF">
        <w:t>c</w:t>
      </w:r>
      <w:r w:rsidR="00F72CC6">
        <w:t>omments:</w:t>
      </w:r>
    </w:p>
    <w:p w:rsidR="004C620F" w:rsidRDefault="004C620F" w:rsidP="004C620F">
      <w:r>
        <w:t>The sponsor’s response is satisfactory.</w:t>
      </w:r>
    </w:p>
    <w:p w:rsidR="004C620F" w:rsidRDefault="007A3FAF" w:rsidP="007A3FAF">
      <w:pPr>
        <w:pStyle w:val="Heading3"/>
      </w:pPr>
      <w:bookmarkStart w:id="121" w:name="_Toc4571227"/>
      <w:r>
        <w:lastRenderedPageBreak/>
        <w:t>Second round benefit-risk assessment</w:t>
      </w:r>
      <w:bookmarkEnd w:id="121"/>
    </w:p>
    <w:p w:rsidR="004C620F" w:rsidRDefault="004C620F" w:rsidP="007A3FAF">
      <w:pPr>
        <w:pStyle w:val="Heading4"/>
      </w:pPr>
      <w:r>
        <w:t>Second round assessment of benefits</w:t>
      </w:r>
    </w:p>
    <w:p w:rsidR="004C620F" w:rsidRDefault="004C620F" w:rsidP="004C620F">
      <w:r>
        <w:t>After consideration of the responses to clinical questions, the benefits of ertugliflozin</w:t>
      </w:r>
      <w:r w:rsidR="00267447">
        <w:t> </w:t>
      </w:r>
      <w:r>
        <w:t>+</w:t>
      </w:r>
      <w:r w:rsidR="00267447">
        <w:t> </w:t>
      </w:r>
      <w:r>
        <w:t xml:space="preserve">metformin FDC in the proposed usage are unchanged from those identified in </w:t>
      </w:r>
      <w:r w:rsidR="007A3FAF">
        <w:t>the first round evaluation of Se</w:t>
      </w:r>
      <w:r w:rsidR="00EF7D1E">
        <w:t>g</w:t>
      </w:r>
      <w:r w:rsidR="007A3FAF">
        <w:t>luromet</w:t>
      </w:r>
      <w:r>
        <w:t>.</w:t>
      </w:r>
    </w:p>
    <w:p w:rsidR="004C620F" w:rsidRDefault="004C620F" w:rsidP="007A3FAF">
      <w:pPr>
        <w:pStyle w:val="Heading4"/>
      </w:pPr>
      <w:r>
        <w:t>Second round assessment of risks</w:t>
      </w:r>
    </w:p>
    <w:p w:rsidR="004C620F" w:rsidRDefault="004C620F" w:rsidP="004C620F">
      <w:r>
        <w:t>After consideration of the responses to clinical questions, the risks of ertugliflozin</w:t>
      </w:r>
      <w:r w:rsidR="00267447">
        <w:t> </w:t>
      </w:r>
      <w:r>
        <w:t>+</w:t>
      </w:r>
      <w:r w:rsidR="00267447">
        <w:t> </w:t>
      </w:r>
      <w:r>
        <w:t xml:space="preserve">metformin FDC in the proposed usage are unchanged from those identified in </w:t>
      </w:r>
      <w:r w:rsidR="007A3FAF">
        <w:t>the first round evaluation of Se</w:t>
      </w:r>
      <w:r w:rsidR="00EF7D1E">
        <w:t>g</w:t>
      </w:r>
      <w:r w:rsidR="007A3FAF">
        <w:t>luromet</w:t>
      </w:r>
      <w:r>
        <w:t>.</w:t>
      </w:r>
    </w:p>
    <w:p w:rsidR="004C620F" w:rsidRDefault="004C620F" w:rsidP="007A3FAF">
      <w:pPr>
        <w:pStyle w:val="Heading4"/>
      </w:pPr>
      <w:r>
        <w:t>Second round assessment of benefit-risk balance</w:t>
      </w:r>
    </w:p>
    <w:p w:rsidR="004C620F" w:rsidRDefault="004C620F" w:rsidP="004C620F">
      <w:r>
        <w:t>The benefit-risk balance of ertugliflozin (</w:t>
      </w:r>
      <w:r w:rsidR="0034721C">
        <w:t>Steglatro</w:t>
      </w:r>
      <w:r>
        <w:t>), given the proposed usage is favourable</w:t>
      </w:r>
      <w:r w:rsidR="00267447">
        <w:t>.</w:t>
      </w:r>
    </w:p>
    <w:p w:rsidR="004C620F" w:rsidRDefault="004C620F" w:rsidP="004C620F">
      <w:r>
        <w:t>All the clinical questions raised in the first round report have been addressed satisfactorily. Furthermore, all changes recommended by the evaluators to the draft PI in the first round report have been incorporated.</w:t>
      </w:r>
    </w:p>
    <w:p w:rsidR="004C620F" w:rsidRDefault="007A3FAF" w:rsidP="007A3FAF">
      <w:pPr>
        <w:pStyle w:val="Heading3"/>
      </w:pPr>
      <w:bookmarkStart w:id="122" w:name="_Toc4571228"/>
      <w:r>
        <w:t>Second round recommendation regarding authorisation</w:t>
      </w:r>
      <w:bookmarkEnd w:id="122"/>
    </w:p>
    <w:p w:rsidR="004C620F" w:rsidRDefault="004C620F" w:rsidP="004C620F">
      <w:r>
        <w:t xml:space="preserve">Approval of Segluromet (ertugliflozin </w:t>
      </w:r>
      <w:r w:rsidR="00EF7D1E">
        <w:t>and</w:t>
      </w:r>
      <w:r>
        <w:t xml:space="preserve"> metformin FDC) is recommended for the following indication:</w:t>
      </w:r>
    </w:p>
    <w:p w:rsidR="004C620F" w:rsidRDefault="004C620F" w:rsidP="007A3FAF">
      <w:pPr>
        <w:ind w:left="720"/>
      </w:pPr>
      <w:r w:rsidRPr="007A3FAF">
        <w:rPr>
          <w:i/>
        </w:rPr>
        <w:t>Segluromet (ertugliflozin and metformin hydrochloride) is indicated as an adjunct to diet and exercise to improve glycaemic control in adults with type 2 diabetes mellitus when treatment with both ertugliflozin and metformin is appropriate. (</w:t>
      </w:r>
      <w:r w:rsidR="007A3FAF" w:rsidRPr="007A3FAF">
        <w:rPr>
          <w:i/>
        </w:rPr>
        <w:t>refer Clinical Trials, Dosage and Administration</w:t>
      </w:r>
      <w:r w:rsidRPr="007A3FAF">
        <w:rPr>
          <w:i/>
        </w:rPr>
        <w:t>).</w:t>
      </w:r>
    </w:p>
    <w:p w:rsidR="004C620F" w:rsidRDefault="004C620F" w:rsidP="004C620F">
      <w:r>
        <w:t>Approval for the above indication is subject to the following:</w:t>
      </w:r>
    </w:p>
    <w:p w:rsidR="00255E9C" w:rsidRDefault="007A3FAF" w:rsidP="007A3FAF">
      <w:pPr>
        <w:pStyle w:val="ListBullet"/>
      </w:pPr>
      <w:r>
        <w:t>R</w:t>
      </w:r>
      <w:r w:rsidR="004C620F">
        <w:t xml:space="preserve">esults from the ongoing Phase B of all 7 </w:t>
      </w:r>
      <w:r w:rsidR="0034721C">
        <w:t>Phase III</w:t>
      </w:r>
      <w:r w:rsidR="004C620F">
        <w:t xml:space="preserve"> studies should be submitted to enable assessment of long-term efficacy and safety of ertugliflozin component of the proposed FDC</w:t>
      </w:r>
      <w:r w:rsidR="00255E9C">
        <w:t>.</w:t>
      </w:r>
    </w:p>
    <w:p w:rsidR="003A7F6C" w:rsidRPr="00B811C6" w:rsidRDefault="004C620F" w:rsidP="007A3FAF">
      <w:pPr>
        <w:pStyle w:val="ListBullet"/>
      </w:pPr>
      <w:r>
        <w:t xml:space="preserve">Submission of results of the cardiovascular meta-analysis (CVMA) of adjudicated, confirmed CV events from the </w:t>
      </w:r>
      <w:r w:rsidR="0034721C">
        <w:t>Phase II</w:t>
      </w:r>
      <w:r w:rsidR="00F72CC6">
        <w:t>/III</w:t>
      </w:r>
      <w:r>
        <w:t xml:space="preserve"> studies and from the ongoing CV outcome study (</w:t>
      </w:r>
      <w:r w:rsidR="00267447">
        <w:t xml:space="preserve">Study </w:t>
      </w:r>
      <w:r>
        <w:t>P004/1021) upon completion.</w:t>
      </w:r>
    </w:p>
    <w:bookmarkEnd w:id="3"/>
    <w:bookmarkEnd w:id="1"/>
    <w:bookmarkEnd w:id="0"/>
    <w:p w:rsidR="003D1E62" w:rsidRDefault="003D1E62" w:rsidP="002666AC"/>
    <w:p w:rsidR="004C620F" w:rsidRPr="001D043B" w:rsidRDefault="004C620F" w:rsidP="002666AC">
      <w:pPr>
        <w:sectPr w:rsidR="004C620F" w:rsidRPr="001D043B" w:rsidSect="008D770F">
          <w:headerReference w:type="even" r:id="rId51"/>
          <w:headerReference w:type="default" r:id="rId52"/>
          <w:headerReference w:type="first" r:id="rId53"/>
          <w:footerReference w:type="first" r:id="rId54"/>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4C620F">
        <w:trPr>
          <w:trHeight w:hRule="exact" w:val="564"/>
        </w:trPr>
        <w:tc>
          <w:tcPr>
            <w:tcW w:w="9175" w:type="dxa"/>
          </w:tcPr>
          <w:p w:rsidR="00B3567E" w:rsidRPr="00487162" w:rsidRDefault="00B3567E" w:rsidP="004C620F">
            <w:pPr>
              <w:pStyle w:val="TGASignoff"/>
            </w:pPr>
            <w:r w:rsidRPr="00487162">
              <w:lastRenderedPageBreak/>
              <w:t>Therapeutic Goods Administration</w:t>
            </w:r>
          </w:p>
        </w:tc>
      </w:tr>
      <w:tr w:rsidR="00B3567E" w:rsidRPr="00487162" w:rsidTr="004C620F">
        <w:trPr>
          <w:trHeight w:val="1221"/>
        </w:trPr>
        <w:tc>
          <w:tcPr>
            <w:tcW w:w="9175" w:type="dxa"/>
            <w:tcMar>
              <w:top w:w="28" w:type="dxa"/>
            </w:tcMar>
          </w:tcPr>
          <w:p w:rsidR="00B3567E" w:rsidRPr="00487162" w:rsidRDefault="00B3567E" w:rsidP="004C620F">
            <w:pPr>
              <w:pStyle w:val="Address"/>
            </w:pPr>
            <w:r w:rsidRPr="00487162">
              <w:t>PO Box 100 Woden ACT 2606 Australia</w:t>
            </w:r>
          </w:p>
          <w:p w:rsidR="00B3567E" w:rsidRPr="00487162" w:rsidRDefault="00B3567E" w:rsidP="004C620F">
            <w:pPr>
              <w:pStyle w:val="Address"/>
            </w:pPr>
            <w:r w:rsidRPr="00487162">
              <w:t xml:space="preserve">Email: </w:t>
            </w:r>
            <w:hyperlink r:id="rId55" w:history="1">
              <w:r w:rsidRPr="008D770F">
                <w:rPr>
                  <w:rStyle w:val="Hyperlink"/>
                </w:rPr>
                <w:t>info@tga.gov.au</w:t>
              </w:r>
            </w:hyperlink>
            <w:r w:rsidR="00C242A4">
              <w:t xml:space="preserve"> </w:t>
            </w:r>
            <w:r w:rsidRPr="00487162">
              <w:t>Phone: 1800 020 653</w:t>
            </w:r>
            <w:r w:rsidR="00C242A4">
              <w:t xml:space="preserve"> </w:t>
            </w:r>
            <w:r w:rsidRPr="00487162">
              <w:t>Fax: 02 6232 8605</w:t>
            </w:r>
          </w:p>
          <w:p w:rsidR="00B3567E" w:rsidRPr="008D770F" w:rsidRDefault="00B81389" w:rsidP="004C620F">
            <w:pPr>
              <w:pStyle w:val="Address"/>
              <w:spacing w:line="260" w:lineRule="atLeast"/>
              <w:rPr>
                <w:b/>
                <w:color w:val="0000FF"/>
                <w:u w:val="single"/>
              </w:rPr>
            </w:pPr>
            <w:hyperlink r:id="rId5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7"/>
      <w:headerReference w:type="default" r:id="rId58"/>
      <w:footerReference w:type="default" r:id="rId59"/>
      <w:headerReference w:type="first" r:id="rId60"/>
      <w:footerReference w:type="first" r:id="rId6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0B8" w:rsidRDefault="003310B8" w:rsidP="00C40A36">
      <w:pPr>
        <w:spacing w:after="0"/>
      </w:pPr>
      <w:r>
        <w:separator/>
      </w:r>
    </w:p>
  </w:endnote>
  <w:endnote w:type="continuationSeparator" w:id="0">
    <w:p w:rsidR="003310B8" w:rsidRDefault="003310B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3310B8" w:rsidRPr="00487162" w:rsidTr="00233AFA">
      <w:trPr>
        <w:trHeight w:val="269"/>
      </w:trPr>
      <w:tc>
        <w:tcPr>
          <w:tcW w:w="7513" w:type="dxa"/>
          <w:tcMar>
            <w:top w:w="142" w:type="dxa"/>
            <w:bottom w:w="0" w:type="dxa"/>
          </w:tcMar>
        </w:tcPr>
        <w:p w:rsidR="003310B8" w:rsidRPr="00487162" w:rsidRDefault="003310B8" w:rsidP="00EA60AC">
          <w:pPr>
            <w:pStyle w:val="Footer"/>
          </w:pPr>
          <w:r>
            <w:t>Submission</w:t>
          </w:r>
          <w:r w:rsidRPr="00487162">
            <w:t xml:space="preserve"> PM-20</w:t>
          </w:r>
          <w:r>
            <w:t>17</w:t>
          </w:r>
          <w:r w:rsidRPr="00487162">
            <w:t>-</w:t>
          </w:r>
          <w:r>
            <w:t>01330</w:t>
          </w:r>
          <w:r w:rsidRPr="00487162">
            <w:t>-</w:t>
          </w:r>
          <w:r>
            <w:t>1-5 Extract from the Clinical Evaluation Report for Segluromet FINAL 4 February 2019</w:t>
          </w:r>
        </w:p>
      </w:tc>
      <w:tc>
        <w:tcPr>
          <w:tcW w:w="1348" w:type="dxa"/>
          <w:tcMar>
            <w:top w:w="142" w:type="dxa"/>
            <w:bottom w:w="0" w:type="dxa"/>
          </w:tcMar>
        </w:tcPr>
        <w:p w:rsidR="003310B8" w:rsidRPr="00981D66" w:rsidRDefault="003310B8"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81389">
            <w:rPr>
              <w:noProof/>
            </w:rPr>
            <w:t>4</w:t>
          </w:r>
          <w:r w:rsidRPr="00981D66">
            <w:fldChar w:fldCharType="end"/>
          </w:r>
          <w:r w:rsidRPr="00981D66">
            <w:t xml:space="preserve"> of </w:t>
          </w:r>
          <w:r w:rsidR="00B81389">
            <w:fldChar w:fldCharType="begin"/>
          </w:r>
          <w:r w:rsidR="00B81389">
            <w:instrText xml:space="preserve"> NUMPAGES  \* Arabic  \* MERGEFORMAT </w:instrText>
          </w:r>
          <w:r w:rsidR="00B81389">
            <w:fldChar w:fldCharType="separate"/>
          </w:r>
          <w:r w:rsidR="00B81389">
            <w:rPr>
              <w:noProof/>
            </w:rPr>
            <w:t>71</w:t>
          </w:r>
          <w:r w:rsidR="00B81389">
            <w:rPr>
              <w:noProof/>
            </w:rPr>
            <w:fldChar w:fldCharType="end"/>
          </w:r>
        </w:p>
      </w:tc>
    </w:tr>
  </w:tbl>
  <w:p w:rsidR="003310B8" w:rsidRDefault="003310B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310B8" w:rsidRPr="00487162" w:rsidTr="00E45619">
      <w:trPr>
        <w:trHeight w:val="269"/>
      </w:trPr>
      <w:tc>
        <w:tcPr>
          <w:tcW w:w="4519" w:type="dxa"/>
          <w:tcBorders>
            <w:top w:val="single" w:sz="4" w:space="0" w:color="auto"/>
          </w:tcBorders>
          <w:tcMar>
            <w:top w:w="142" w:type="dxa"/>
            <w:bottom w:w="0" w:type="dxa"/>
          </w:tcMar>
        </w:tcPr>
        <w:p w:rsidR="003310B8" w:rsidRPr="00487162" w:rsidRDefault="003310B8" w:rsidP="00FE1DEE">
          <w:pPr>
            <w:pStyle w:val="Footer"/>
          </w:pPr>
          <w:r w:rsidRPr="00487162">
            <w:t>Document title, Part #, Section # - Section title</w:t>
          </w:r>
        </w:p>
        <w:p w:rsidR="003310B8" w:rsidRPr="00487162" w:rsidRDefault="003310B8" w:rsidP="00FE1DEE">
          <w:pPr>
            <w:pStyle w:val="Footer"/>
          </w:pPr>
          <w:r w:rsidRPr="00487162">
            <w:t>V1.0 October 2010</w:t>
          </w:r>
        </w:p>
      </w:tc>
      <w:tc>
        <w:tcPr>
          <w:tcW w:w="4342" w:type="dxa"/>
          <w:tcBorders>
            <w:top w:val="single" w:sz="4" w:space="0" w:color="auto"/>
          </w:tcBorders>
          <w:tcMar>
            <w:top w:w="142" w:type="dxa"/>
            <w:bottom w:w="0" w:type="dxa"/>
          </w:tcMar>
        </w:tcPr>
        <w:p w:rsidR="003310B8" w:rsidRPr="00487162" w:rsidRDefault="003310B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81389">
            <w:fldChar w:fldCharType="begin"/>
          </w:r>
          <w:r w:rsidR="00B81389">
            <w:instrText xml:space="preserve"> NUMPAGES  </w:instrText>
          </w:r>
          <w:r w:rsidR="00B81389">
            <w:fldChar w:fldCharType="separate"/>
          </w:r>
          <w:r>
            <w:rPr>
              <w:noProof/>
            </w:rPr>
            <w:t>1</w:t>
          </w:r>
          <w:r w:rsidR="00B81389">
            <w:rPr>
              <w:noProof/>
            </w:rPr>
            <w:fldChar w:fldCharType="end"/>
          </w:r>
        </w:p>
      </w:tc>
    </w:tr>
  </w:tbl>
  <w:p w:rsidR="003310B8" w:rsidRDefault="003310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B8" w:rsidRDefault="003310B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310B8" w:rsidTr="0010601F">
      <w:trPr>
        <w:trHeight w:val="108"/>
      </w:trPr>
      <w:tc>
        <w:tcPr>
          <w:tcW w:w="8875" w:type="dxa"/>
          <w:gridSpan w:val="2"/>
          <w:tcBorders>
            <w:bottom w:val="single" w:sz="4" w:space="0" w:color="auto"/>
          </w:tcBorders>
          <w:tcMar>
            <w:right w:w="284" w:type="dxa"/>
          </w:tcMar>
        </w:tcPr>
        <w:p w:rsidR="003310B8" w:rsidRDefault="003310B8" w:rsidP="006E08B3">
          <w:pPr>
            <w:pStyle w:val="Heading3"/>
          </w:pPr>
          <w:r>
            <w:t>Copyright</w:t>
          </w:r>
        </w:p>
        <w:p w:rsidR="003310B8" w:rsidRDefault="003310B8" w:rsidP="006E08B3">
          <w:r>
            <w:rPr>
              <w:rFonts w:cs="Arial"/>
            </w:rPr>
            <w:t>©</w:t>
          </w:r>
          <w:r>
            <w:t xml:space="preserve"> Commonwealth of Australia (add year)</w:t>
          </w:r>
        </w:p>
        <w:p w:rsidR="003310B8" w:rsidRDefault="003310B8" w:rsidP="006E08B3"/>
        <w:p w:rsidR="003310B8" w:rsidRDefault="003310B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310B8" w:rsidRDefault="003310B8" w:rsidP="006E08B3"/>
        <w:p w:rsidR="003310B8" w:rsidRDefault="003310B8" w:rsidP="006E08B3">
          <w:pPr>
            <w:pStyle w:val="Heading3"/>
          </w:pPr>
          <w:r>
            <w:t>Confidentiality</w:t>
          </w:r>
        </w:p>
        <w:p w:rsidR="003310B8" w:rsidRDefault="003310B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310B8" w:rsidRDefault="003310B8" w:rsidP="006E08B3"/>
        <w:p w:rsidR="003310B8" w:rsidRDefault="003310B8" w:rsidP="006E08B3">
          <w:r>
            <w:t>For submission made by individuals, all personal details, other than your name, will be removed from your submission before it is published on the TGA’s Internet site.</w:t>
          </w:r>
        </w:p>
        <w:p w:rsidR="003310B8" w:rsidRDefault="003310B8" w:rsidP="006E08B3"/>
        <w:p w:rsidR="003310B8" w:rsidRDefault="003310B8" w:rsidP="006E08B3">
          <w:r>
            <w:t>In addition, a list of parties making submissions will be published. If you do not wish to be identified with your submission you must specifically request this in the space provided ib the submission coversheet.</w:t>
          </w:r>
        </w:p>
      </w:tc>
    </w:tr>
    <w:tr w:rsidR="003310B8" w:rsidTr="0010601F">
      <w:trPr>
        <w:trHeight w:val="417"/>
      </w:trPr>
      <w:tc>
        <w:tcPr>
          <w:tcW w:w="4519" w:type="dxa"/>
          <w:tcBorders>
            <w:top w:val="single" w:sz="4" w:space="0" w:color="auto"/>
          </w:tcBorders>
          <w:tcMar>
            <w:top w:w="142" w:type="dxa"/>
            <w:bottom w:w="0" w:type="dxa"/>
          </w:tcMar>
        </w:tcPr>
        <w:p w:rsidR="003310B8" w:rsidRDefault="003310B8" w:rsidP="006E08B3">
          <w:r>
            <w:t>Document title, Part #, Section # - Section title</w:t>
          </w:r>
        </w:p>
        <w:p w:rsidR="003310B8" w:rsidRDefault="003310B8" w:rsidP="006E08B3">
          <w:r>
            <w:t>V1.0 October 2010</w:t>
          </w:r>
        </w:p>
      </w:tc>
      <w:tc>
        <w:tcPr>
          <w:tcW w:w="4356" w:type="dxa"/>
          <w:tcBorders>
            <w:top w:val="single" w:sz="4" w:space="0" w:color="auto"/>
          </w:tcBorders>
          <w:tcMar>
            <w:top w:w="142" w:type="dxa"/>
            <w:bottom w:w="0" w:type="dxa"/>
          </w:tcMar>
        </w:tcPr>
        <w:p w:rsidR="003310B8" w:rsidRDefault="003310B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81389">
            <w:fldChar w:fldCharType="begin"/>
          </w:r>
          <w:r w:rsidR="00B81389">
            <w:instrText xml:space="preserve"> NUMPAGES  \* Arabic </w:instrText>
          </w:r>
          <w:r w:rsidR="00B81389">
            <w:fldChar w:fldCharType="separate"/>
          </w:r>
          <w:r>
            <w:rPr>
              <w:noProof/>
            </w:rPr>
            <w:t>1</w:t>
          </w:r>
          <w:r w:rsidR="00B81389">
            <w:rPr>
              <w:noProof/>
            </w:rPr>
            <w:fldChar w:fldCharType="end"/>
          </w:r>
          <w:r>
            <w:t xml:space="preserve"> </w:t>
          </w:r>
        </w:p>
      </w:tc>
    </w:tr>
  </w:tbl>
  <w:p w:rsidR="003310B8" w:rsidRDefault="003310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0B8" w:rsidRDefault="003310B8" w:rsidP="00C40A36">
      <w:pPr>
        <w:spacing w:after="0"/>
      </w:pPr>
      <w:r>
        <w:separator/>
      </w:r>
    </w:p>
  </w:footnote>
  <w:footnote w:type="continuationSeparator" w:id="0">
    <w:p w:rsidR="003310B8" w:rsidRDefault="003310B8"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B8" w:rsidRDefault="003310B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B8" w:rsidRDefault="003310B8">
    <w:pPr>
      <w:rPr>
        <w:noProof/>
        <w:lang w:eastAsia="en-AU"/>
      </w:rPr>
    </w:pPr>
    <w:r w:rsidRPr="002D545C">
      <w:rPr>
        <w:noProof/>
        <w:lang w:eastAsia="en-AU"/>
      </w:rPr>
      <w:drawing>
        <wp:anchor distT="0" distB="0" distL="114300" distR="114300" simplePos="0" relativeHeight="251659264" behindDoc="1" locked="0" layoutInCell="1" allowOverlap="1" wp14:anchorId="543ED252" wp14:editId="09176AA2">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310B8" w:rsidRDefault="003310B8" w:rsidP="00593AD1">
    <w:pPr>
      <w:pStyle w:val="HeaderNoLine"/>
    </w:pPr>
    <w:r>
      <w:rPr>
        <w:noProof/>
        <w:lang w:eastAsia="en-AU"/>
      </w:rPr>
      <w:drawing>
        <wp:inline distT="0" distB="0" distL="0" distR="0" wp14:anchorId="62629055" wp14:editId="7A47F1A7">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B8" w:rsidRDefault="003310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B8" w:rsidRDefault="003310B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B8" w:rsidRDefault="003310B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B8" w:rsidRDefault="003310B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B8" w:rsidRDefault="003310B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B8" w:rsidRDefault="003310B8" w:rsidP="006E08B3">
    <w:r>
      <w:t>Therapeutic Goods Administration</w:t>
    </w:r>
  </w:p>
  <w:p w:rsidR="003310B8" w:rsidRDefault="003310B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BE56888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4D2637CC"/>
    <w:lvl w:ilvl="0">
      <w:start w:val="1"/>
      <w:numFmt w:val="decimal"/>
      <w:pStyle w:val="Heading2"/>
      <w:lvlText w:val="%1."/>
      <w:lvlJc w:val="left"/>
      <w:pPr>
        <w:tabs>
          <w:tab w:val="num" w:pos="567"/>
        </w:tabs>
        <w:ind w:left="567" w:hanging="56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20F"/>
    <w:rsid w:val="00002031"/>
    <w:rsid w:val="00004734"/>
    <w:rsid w:val="00006B22"/>
    <w:rsid w:val="0001276A"/>
    <w:rsid w:val="000246AE"/>
    <w:rsid w:val="00025C67"/>
    <w:rsid w:val="00040ACB"/>
    <w:rsid w:val="0005559E"/>
    <w:rsid w:val="000677B1"/>
    <w:rsid w:val="00077775"/>
    <w:rsid w:val="00090471"/>
    <w:rsid w:val="00094198"/>
    <w:rsid w:val="00097B5E"/>
    <w:rsid w:val="000A3AED"/>
    <w:rsid w:val="000A63AF"/>
    <w:rsid w:val="000B3532"/>
    <w:rsid w:val="000B3A75"/>
    <w:rsid w:val="000B694F"/>
    <w:rsid w:val="000C690F"/>
    <w:rsid w:val="000D1295"/>
    <w:rsid w:val="000D391B"/>
    <w:rsid w:val="000D3D6D"/>
    <w:rsid w:val="000D4FC7"/>
    <w:rsid w:val="000D5028"/>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4567D"/>
    <w:rsid w:val="001516B1"/>
    <w:rsid w:val="00154EBB"/>
    <w:rsid w:val="00156316"/>
    <w:rsid w:val="00165389"/>
    <w:rsid w:val="0016544F"/>
    <w:rsid w:val="0017078F"/>
    <w:rsid w:val="001708EC"/>
    <w:rsid w:val="0017693F"/>
    <w:rsid w:val="0017713B"/>
    <w:rsid w:val="0018110E"/>
    <w:rsid w:val="00181684"/>
    <w:rsid w:val="001843C6"/>
    <w:rsid w:val="001850E0"/>
    <w:rsid w:val="00187A49"/>
    <w:rsid w:val="0019003C"/>
    <w:rsid w:val="001A2158"/>
    <w:rsid w:val="001A3507"/>
    <w:rsid w:val="001A525F"/>
    <w:rsid w:val="001B09F9"/>
    <w:rsid w:val="001B5D98"/>
    <w:rsid w:val="001B6448"/>
    <w:rsid w:val="001C657B"/>
    <w:rsid w:val="001E07CF"/>
    <w:rsid w:val="001E59F1"/>
    <w:rsid w:val="001F497A"/>
    <w:rsid w:val="001F49EB"/>
    <w:rsid w:val="001F6870"/>
    <w:rsid w:val="001F6CBA"/>
    <w:rsid w:val="00201D4E"/>
    <w:rsid w:val="002076C9"/>
    <w:rsid w:val="00220B8A"/>
    <w:rsid w:val="002257F3"/>
    <w:rsid w:val="00233456"/>
    <w:rsid w:val="002339A5"/>
    <w:rsid w:val="00233AFA"/>
    <w:rsid w:val="00255E9C"/>
    <w:rsid w:val="00257848"/>
    <w:rsid w:val="002629A1"/>
    <w:rsid w:val="002666AC"/>
    <w:rsid w:val="00267447"/>
    <w:rsid w:val="0027084A"/>
    <w:rsid w:val="00283420"/>
    <w:rsid w:val="00286434"/>
    <w:rsid w:val="00286C59"/>
    <w:rsid w:val="00292113"/>
    <w:rsid w:val="002942D1"/>
    <w:rsid w:val="0029501A"/>
    <w:rsid w:val="002B1638"/>
    <w:rsid w:val="002C63ED"/>
    <w:rsid w:val="002D545C"/>
    <w:rsid w:val="002D6161"/>
    <w:rsid w:val="002E1F39"/>
    <w:rsid w:val="002E313C"/>
    <w:rsid w:val="002E448B"/>
    <w:rsid w:val="002E4C9A"/>
    <w:rsid w:val="002F11F8"/>
    <w:rsid w:val="002F3F56"/>
    <w:rsid w:val="002F44B5"/>
    <w:rsid w:val="00311AC0"/>
    <w:rsid w:val="0032583B"/>
    <w:rsid w:val="00327883"/>
    <w:rsid w:val="003310B8"/>
    <w:rsid w:val="00335504"/>
    <w:rsid w:val="0034721C"/>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2983"/>
    <w:rsid w:val="003E3208"/>
    <w:rsid w:val="003E3964"/>
    <w:rsid w:val="003F0B04"/>
    <w:rsid w:val="0040134E"/>
    <w:rsid w:val="00415D59"/>
    <w:rsid w:val="0043797D"/>
    <w:rsid w:val="00440A2D"/>
    <w:rsid w:val="004564A7"/>
    <w:rsid w:val="004617BF"/>
    <w:rsid w:val="00463658"/>
    <w:rsid w:val="004722CC"/>
    <w:rsid w:val="00487BB8"/>
    <w:rsid w:val="004936E4"/>
    <w:rsid w:val="00494E60"/>
    <w:rsid w:val="00497487"/>
    <w:rsid w:val="004A6901"/>
    <w:rsid w:val="004A7E13"/>
    <w:rsid w:val="004B3596"/>
    <w:rsid w:val="004B7B76"/>
    <w:rsid w:val="004C2DCA"/>
    <w:rsid w:val="004C620F"/>
    <w:rsid w:val="004E363B"/>
    <w:rsid w:val="004F0F38"/>
    <w:rsid w:val="004F4AF5"/>
    <w:rsid w:val="004F59F4"/>
    <w:rsid w:val="00501921"/>
    <w:rsid w:val="00530354"/>
    <w:rsid w:val="0053625B"/>
    <w:rsid w:val="005434C6"/>
    <w:rsid w:val="00543B39"/>
    <w:rsid w:val="00550096"/>
    <w:rsid w:val="00557FF9"/>
    <w:rsid w:val="00575E67"/>
    <w:rsid w:val="00576378"/>
    <w:rsid w:val="00577945"/>
    <w:rsid w:val="00577E38"/>
    <w:rsid w:val="00585322"/>
    <w:rsid w:val="005857C6"/>
    <w:rsid w:val="00586F98"/>
    <w:rsid w:val="0058709C"/>
    <w:rsid w:val="00592F6E"/>
    <w:rsid w:val="00593AD1"/>
    <w:rsid w:val="005A68B6"/>
    <w:rsid w:val="005C5570"/>
    <w:rsid w:val="005C6DED"/>
    <w:rsid w:val="005C79A4"/>
    <w:rsid w:val="005D5442"/>
    <w:rsid w:val="005D7420"/>
    <w:rsid w:val="00603F32"/>
    <w:rsid w:val="006170F0"/>
    <w:rsid w:val="00620406"/>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4CC3"/>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3806"/>
    <w:rsid w:val="007A3FAF"/>
    <w:rsid w:val="007B6E9F"/>
    <w:rsid w:val="007C1216"/>
    <w:rsid w:val="007C1AF7"/>
    <w:rsid w:val="007C40A2"/>
    <w:rsid w:val="007E00F9"/>
    <w:rsid w:val="007E053F"/>
    <w:rsid w:val="007E6E27"/>
    <w:rsid w:val="007F3E00"/>
    <w:rsid w:val="00805D27"/>
    <w:rsid w:val="00820B41"/>
    <w:rsid w:val="00821776"/>
    <w:rsid w:val="0082345C"/>
    <w:rsid w:val="008321F5"/>
    <w:rsid w:val="00832369"/>
    <w:rsid w:val="00834660"/>
    <w:rsid w:val="00836BC2"/>
    <w:rsid w:val="008414A0"/>
    <w:rsid w:val="0085641B"/>
    <w:rsid w:val="00857136"/>
    <w:rsid w:val="008718CD"/>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2511F"/>
    <w:rsid w:val="00930237"/>
    <w:rsid w:val="00943185"/>
    <w:rsid w:val="009438E8"/>
    <w:rsid w:val="00943D71"/>
    <w:rsid w:val="0094614A"/>
    <w:rsid w:val="00946EA5"/>
    <w:rsid w:val="0095160F"/>
    <w:rsid w:val="00963C08"/>
    <w:rsid w:val="00981D66"/>
    <w:rsid w:val="00983B62"/>
    <w:rsid w:val="0098585A"/>
    <w:rsid w:val="0098669D"/>
    <w:rsid w:val="00994C95"/>
    <w:rsid w:val="009A4CED"/>
    <w:rsid w:val="009A690D"/>
    <w:rsid w:val="009B1D12"/>
    <w:rsid w:val="009B416B"/>
    <w:rsid w:val="009C4BD5"/>
    <w:rsid w:val="009D7B77"/>
    <w:rsid w:val="009E0BB0"/>
    <w:rsid w:val="009E3FBB"/>
    <w:rsid w:val="00A03C19"/>
    <w:rsid w:val="00A102E4"/>
    <w:rsid w:val="00A12C42"/>
    <w:rsid w:val="00A14DF7"/>
    <w:rsid w:val="00A235D9"/>
    <w:rsid w:val="00A3246D"/>
    <w:rsid w:val="00A36FA7"/>
    <w:rsid w:val="00A475B7"/>
    <w:rsid w:val="00A47AF7"/>
    <w:rsid w:val="00A47C3E"/>
    <w:rsid w:val="00A50226"/>
    <w:rsid w:val="00A60BAD"/>
    <w:rsid w:val="00A86EE5"/>
    <w:rsid w:val="00A964D1"/>
    <w:rsid w:val="00AA0ED0"/>
    <w:rsid w:val="00AA3499"/>
    <w:rsid w:val="00AB5D2E"/>
    <w:rsid w:val="00AC2B40"/>
    <w:rsid w:val="00AC2BB2"/>
    <w:rsid w:val="00AC2C3C"/>
    <w:rsid w:val="00AC512D"/>
    <w:rsid w:val="00AE01C2"/>
    <w:rsid w:val="00AE146A"/>
    <w:rsid w:val="00AE65EB"/>
    <w:rsid w:val="00AE67A7"/>
    <w:rsid w:val="00AF1D94"/>
    <w:rsid w:val="00AF60C5"/>
    <w:rsid w:val="00B009C6"/>
    <w:rsid w:val="00B01548"/>
    <w:rsid w:val="00B02208"/>
    <w:rsid w:val="00B1425E"/>
    <w:rsid w:val="00B17F04"/>
    <w:rsid w:val="00B21D29"/>
    <w:rsid w:val="00B25034"/>
    <w:rsid w:val="00B275F4"/>
    <w:rsid w:val="00B33588"/>
    <w:rsid w:val="00B33863"/>
    <w:rsid w:val="00B3476E"/>
    <w:rsid w:val="00B3567E"/>
    <w:rsid w:val="00B37D17"/>
    <w:rsid w:val="00B4175E"/>
    <w:rsid w:val="00B434E2"/>
    <w:rsid w:val="00B452CE"/>
    <w:rsid w:val="00B54C25"/>
    <w:rsid w:val="00B76B91"/>
    <w:rsid w:val="00B77EB1"/>
    <w:rsid w:val="00B811C6"/>
    <w:rsid w:val="00B81389"/>
    <w:rsid w:val="00B85A87"/>
    <w:rsid w:val="00B92E08"/>
    <w:rsid w:val="00B96EBE"/>
    <w:rsid w:val="00BC622A"/>
    <w:rsid w:val="00BD45E3"/>
    <w:rsid w:val="00BE0A78"/>
    <w:rsid w:val="00BE32A6"/>
    <w:rsid w:val="00BE6252"/>
    <w:rsid w:val="00BE79F0"/>
    <w:rsid w:val="00BF046D"/>
    <w:rsid w:val="00BF1190"/>
    <w:rsid w:val="00BF5D04"/>
    <w:rsid w:val="00C04647"/>
    <w:rsid w:val="00C1164D"/>
    <w:rsid w:val="00C137CE"/>
    <w:rsid w:val="00C16861"/>
    <w:rsid w:val="00C22678"/>
    <w:rsid w:val="00C242A4"/>
    <w:rsid w:val="00C305A1"/>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83CE2"/>
    <w:rsid w:val="00C86E15"/>
    <w:rsid w:val="00CB6BC0"/>
    <w:rsid w:val="00CC1B7C"/>
    <w:rsid w:val="00CC727F"/>
    <w:rsid w:val="00CE07A4"/>
    <w:rsid w:val="00CF0730"/>
    <w:rsid w:val="00CF15C3"/>
    <w:rsid w:val="00CF2B6F"/>
    <w:rsid w:val="00CF58B6"/>
    <w:rsid w:val="00D017ED"/>
    <w:rsid w:val="00D040D3"/>
    <w:rsid w:val="00D04C65"/>
    <w:rsid w:val="00D224FE"/>
    <w:rsid w:val="00D53A31"/>
    <w:rsid w:val="00D6493E"/>
    <w:rsid w:val="00D7301E"/>
    <w:rsid w:val="00D82B63"/>
    <w:rsid w:val="00D83AE1"/>
    <w:rsid w:val="00D855D4"/>
    <w:rsid w:val="00D87961"/>
    <w:rsid w:val="00D93466"/>
    <w:rsid w:val="00DA1124"/>
    <w:rsid w:val="00DA242E"/>
    <w:rsid w:val="00DB4E08"/>
    <w:rsid w:val="00DB75B7"/>
    <w:rsid w:val="00DC0C61"/>
    <w:rsid w:val="00DC156B"/>
    <w:rsid w:val="00DC6E02"/>
    <w:rsid w:val="00DE02AE"/>
    <w:rsid w:val="00DF1D7F"/>
    <w:rsid w:val="00DF4BE4"/>
    <w:rsid w:val="00E02FB4"/>
    <w:rsid w:val="00E0377E"/>
    <w:rsid w:val="00E07F15"/>
    <w:rsid w:val="00E16B0B"/>
    <w:rsid w:val="00E20571"/>
    <w:rsid w:val="00E235F7"/>
    <w:rsid w:val="00E23659"/>
    <w:rsid w:val="00E239D4"/>
    <w:rsid w:val="00E26130"/>
    <w:rsid w:val="00E2741C"/>
    <w:rsid w:val="00E31FFE"/>
    <w:rsid w:val="00E40B22"/>
    <w:rsid w:val="00E45619"/>
    <w:rsid w:val="00E4588F"/>
    <w:rsid w:val="00E46DA3"/>
    <w:rsid w:val="00E51BB1"/>
    <w:rsid w:val="00E624A5"/>
    <w:rsid w:val="00E678BC"/>
    <w:rsid w:val="00E7344E"/>
    <w:rsid w:val="00E77B22"/>
    <w:rsid w:val="00E900A0"/>
    <w:rsid w:val="00E936E3"/>
    <w:rsid w:val="00E979F4"/>
    <w:rsid w:val="00EA60AC"/>
    <w:rsid w:val="00EB0798"/>
    <w:rsid w:val="00EB40AD"/>
    <w:rsid w:val="00EB586E"/>
    <w:rsid w:val="00EB5FC8"/>
    <w:rsid w:val="00ED3CAD"/>
    <w:rsid w:val="00ED5A41"/>
    <w:rsid w:val="00EE1DE8"/>
    <w:rsid w:val="00EF7D1E"/>
    <w:rsid w:val="00F033EC"/>
    <w:rsid w:val="00F04D8D"/>
    <w:rsid w:val="00F04F68"/>
    <w:rsid w:val="00F12670"/>
    <w:rsid w:val="00F14B27"/>
    <w:rsid w:val="00F3148D"/>
    <w:rsid w:val="00F31E83"/>
    <w:rsid w:val="00F325C5"/>
    <w:rsid w:val="00F32FE0"/>
    <w:rsid w:val="00F35298"/>
    <w:rsid w:val="00F46810"/>
    <w:rsid w:val="00F47333"/>
    <w:rsid w:val="00F47E37"/>
    <w:rsid w:val="00F53C07"/>
    <w:rsid w:val="00F54B65"/>
    <w:rsid w:val="00F640B6"/>
    <w:rsid w:val="00F72CC6"/>
    <w:rsid w:val="00F80E40"/>
    <w:rsid w:val="00F848D9"/>
    <w:rsid w:val="00FA5B82"/>
    <w:rsid w:val="00FA639E"/>
    <w:rsid w:val="00FB1CE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28342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3310B8"/>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4C62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8Char">
    <w:name w:val="Heading 8 Char"/>
    <w:basedOn w:val="DefaultParagraphFont"/>
    <w:link w:val="Heading8"/>
    <w:uiPriority w:val="9"/>
    <w:rsid w:val="00283420"/>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28342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3310B8"/>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4C62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8Char">
    <w:name w:val="Heading 8 Char"/>
    <w:basedOn w:val="DefaultParagraphFont"/>
    <w:link w:val="Heading8"/>
    <w:uiPriority w:val="9"/>
    <w:rsid w:val="00283420"/>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685227">
      <w:bodyDiv w:val="1"/>
      <w:marLeft w:val="0"/>
      <w:marRight w:val="0"/>
      <w:marTop w:val="0"/>
      <w:marBottom w:val="0"/>
      <w:divBdr>
        <w:top w:val="none" w:sz="0" w:space="0" w:color="auto"/>
        <w:left w:val="none" w:sz="0" w:space="0" w:color="auto"/>
        <w:bottom w:val="none" w:sz="0" w:space="0" w:color="auto"/>
        <w:right w:val="none" w:sz="0" w:space="0" w:color="auto"/>
      </w:divBdr>
    </w:div>
    <w:div w:id="179144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image" Target="media/image18.emf"/><Relationship Id="rId42" Type="http://schemas.microsoft.com/office/2007/relationships/hdphoto" Target="media/hdphoto6.wdp"/><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hyperlink" Target="mailto:info@tga.gov.a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29" Type="http://schemas.microsoft.com/office/2007/relationships/hdphoto" Target="media/hdphoto4.wdp"/><Relationship Id="rId41" Type="http://schemas.openxmlformats.org/officeDocument/2006/relationships/image" Target="media/image24.png"/><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microsoft.com/office/2007/relationships/hdphoto" Target="media/hdphoto3.wdp"/><Relationship Id="rId32" Type="http://schemas.openxmlformats.org/officeDocument/2006/relationships/image" Target="media/image16.emf"/><Relationship Id="rId37" Type="http://schemas.openxmlformats.org/officeDocument/2006/relationships/image" Target="media/image21.emf"/><Relationship Id="rId40" Type="http://schemas.microsoft.com/office/2007/relationships/hdphoto" Target="media/hdphoto5.wdp"/><Relationship Id="rId45" Type="http://schemas.openxmlformats.org/officeDocument/2006/relationships/image" Target="media/image27.emf"/><Relationship Id="rId53" Type="http://schemas.openxmlformats.org/officeDocument/2006/relationships/header" Target="header5.xm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emf"/><Relationship Id="rId57" Type="http://schemas.openxmlformats.org/officeDocument/2006/relationships/header" Target="header6.xml"/><Relationship Id="rId61" Type="http://schemas.openxmlformats.org/officeDocument/2006/relationships/footer" Target="footer4.xml"/><Relationship Id="rId10" Type="http://schemas.openxmlformats.org/officeDocument/2006/relationships/hyperlink" Target="https://www.tga.gov.au/product-information-pi" TargetMode="External"/><Relationship Id="rId19" Type="http://schemas.microsoft.com/office/2007/relationships/hdphoto" Target="media/hdphoto2.wdp"/><Relationship Id="rId31" Type="http://schemas.openxmlformats.org/officeDocument/2006/relationships/image" Target="media/image15.emf"/><Relationship Id="rId44" Type="http://schemas.openxmlformats.org/officeDocument/2006/relationships/image" Target="media/image26.emf"/><Relationship Id="rId52" Type="http://schemas.openxmlformats.org/officeDocument/2006/relationships/header" Target="header4.xml"/><Relationship Id="rId60"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8.emf"/><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496\t0PG1ST9.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6C814-1C7F-4823-A8BA-14F109C19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t0PG1ST9.DOTX</Template>
  <TotalTime>16</TotalTime>
  <Pages>71</Pages>
  <Words>23541</Words>
  <Characters>134186</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Attachment: Extract from Clinical Evaluation:  Ertugliflozin / Metformin</vt:lpstr>
    </vt:vector>
  </TitlesOfParts>
  <Company>Department of Health TGA</Company>
  <LinksUpToDate>false</LinksUpToDate>
  <CharactersWithSpaces>157413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Ertugliflozin / Metformin</dc:title>
  <dc:subject>prescription medicines</dc:subject>
  <dc:creator>Therapeutic Goods Administration</dc:creator>
  <cp:keywords>AusPARs</cp:keywords>
  <cp:lastPrinted>2015-09-22T23:53:00Z</cp:lastPrinted>
  <dcterms:created xsi:type="dcterms:W3CDTF">2019-03-24T23:03:00Z</dcterms:created>
  <dcterms:modified xsi:type="dcterms:W3CDTF">2019-03-26T22:26:00Z</dcterms:modified>
</cp:coreProperties>
</file>